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6"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33"/>
          <w:szCs w:val="33"/>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January 31, 2023</w:t>
      </w:r>
    </w:p>
    <w:p>
      <w:pPr>
        <w:spacing w:after="0" w:line="7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33"/>
          <w:szCs w:val="33"/>
          <w:color w:val="auto"/>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45" w:lineRule="exact"/>
        <w:rPr>
          <w:sz w:val="24"/>
          <w:szCs w:val="24"/>
          <w:color w:val="auto"/>
        </w:rPr>
      </w:pPr>
    </w:p>
    <w:p>
      <w:pPr>
        <w:ind w:left="388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83185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8"/>
                <w:szCs w:val="18"/>
                <w:b w:val="1"/>
                <w:bCs w:val="1"/>
                <w:color w:val="auto"/>
                <w:w w:val="91"/>
              </w:rPr>
              <w:t>Delaware</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384"/>
              <w:spacing w:after="0"/>
              <w:rPr>
                <w:sz w:val="20"/>
                <w:szCs w:val="20"/>
                <w:color w:val="auto"/>
              </w:rPr>
            </w:pPr>
            <w:r>
              <w:rPr>
                <w:rFonts w:ascii="Arial" w:cs="Arial" w:eastAsia="Arial" w:hAnsi="Arial"/>
                <w:sz w:val="18"/>
                <w:szCs w:val="18"/>
                <w:b w:val="1"/>
                <w:bCs w:val="1"/>
                <w:color w:val="auto"/>
              </w:rPr>
              <w:t>51-0291762</w:t>
            </w:r>
          </w:p>
        </w:tc>
        <w:tc>
          <w:tcPr>
            <w:tcW w:w="860" w:type="dxa"/>
            <w:vAlign w:val="bottom"/>
          </w:tcPr>
          <w:p>
            <w:pPr>
              <w:spacing w:after="0"/>
              <w:rPr>
                <w:sz w:val="20"/>
                <w:szCs w:val="20"/>
                <w:color w:val="auto"/>
              </w:rPr>
            </w:pPr>
          </w:p>
        </w:tc>
      </w:tr>
      <w:tr>
        <w:trPr>
          <w:trHeight w:val="128"/>
        </w:trPr>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40" w:type="dxa"/>
            <w:vAlign w:val="bottom"/>
            <w:gridSpan w:val="3"/>
          </w:tcPr>
          <w:p>
            <w:pPr>
              <w:jc w:val="center"/>
              <w:ind w:left="838"/>
              <w:spacing w:after="0" w:line="129" w:lineRule="exact"/>
              <w:rPr>
                <w:sz w:val="20"/>
                <w:szCs w:val="20"/>
                <w:color w:val="auto"/>
              </w:rPr>
            </w:pPr>
            <w:r>
              <w:rPr>
                <w:rFonts w:ascii="Arial" w:cs="Arial" w:eastAsia="Arial" w:hAnsi="Arial"/>
                <w:sz w:val="14"/>
                <w:szCs w:val="14"/>
                <w:color w:val="auto"/>
                <w:w w:val="94"/>
              </w:rPr>
              <w:t>(State or Other Jurisdiction of</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jc w:val="center"/>
              <w:ind w:right="1164"/>
              <w:spacing w:after="0" w:line="129" w:lineRule="exact"/>
              <w:rPr>
                <w:sz w:val="20"/>
                <w:szCs w:val="20"/>
                <w:color w:val="auto"/>
              </w:rPr>
            </w:pPr>
            <w:r>
              <w:rPr>
                <w:rFonts w:ascii="Arial" w:cs="Arial" w:eastAsia="Arial" w:hAnsi="Arial"/>
                <w:sz w:val="14"/>
                <w:szCs w:val="14"/>
                <w:color w:val="auto"/>
                <w:w w:val="95"/>
              </w:rPr>
              <w:t>(I.R.S. Employer</w:t>
            </w:r>
          </w:p>
        </w:tc>
        <w:tc>
          <w:tcPr>
            <w:tcW w:w="860" w:type="dxa"/>
            <w:vAlign w:val="bottom"/>
          </w:tcPr>
          <w:p>
            <w:pPr>
              <w:spacing w:after="0"/>
              <w:rPr>
                <w:sz w:val="11"/>
                <w:szCs w:val="11"/>
                <w:color w:val="auto"/>
              </w:rPr>
            </w:pPr>
          </w:p>
        </w:tc>
      </w:tr>
      <w:tr>
        <w:trPr>
          <w:trHeight w:val="182"/>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Arial" w:cs="Arial" w:eastAsia="Arial" w:hAnsi="Arial"/>
                <w:sz w:val="14"/>
                <w:szCs w:val="14"/>
                <w:color w:val="auto"/>
                <w:w w:val="95"/>
              </w:rPr>
              <w:t>Incorporation or Organization)</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gridSpan w:val="2"/>
          </w:tcPr>
          <w:p>
            <w:pPr>
              <w:jc w:val="center"/>
              <w:ind w:right="2100"/>
              <w:spacing w:after="0"/>
              <w:rPr>
                <w:sz w:val="20"/>
                <w:szCs w:val="20"/>
                <w:color w:val="auto"/>
              </w:rPr>
            </w:pPr>
            <w:r>
              <w:rPr>
                <w:rFonts w:ascii="Arial" w:cs="Arial" w:eastAsia="Arial" w:hAnsi="Arial"/>
                <w:sz w:val="14"/>
                <w:szCs w:val="14"/>
                <w:color w:val="auto"/>
                <w:w w:val="97"/>
              </w:rPr>
              <w:t>Identification No.)</w:t>
            </w:r>
          </w:p>
        </w:tc>
      </w:tr>
      <w:tr>
        <w:trPr>
          <w:trHeight w:val="461"/>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40" w:type="dxa"/>
            <w:vAlign w:val="bottom"/>
            <w:gridSpan w:val="3"/>
          </w:tcPr>
          <w:p>
            <w:pPr>
              <w:jc w:val="center"/>
              <w:ind w:left="838"/>
              <w:spacing w:after="0"/>
              <w:rPr>
                <w:sz w:val="20"/>
                <w:szCs w:val="20"/>
                <w:color w:val="auto"/>
              </w:rPr>
            </w:pPr>
            <w:r>
              <w:rPr>
                <w:rFonts w:ascii="Arial" w:cs="Arial" w:eastAsia="Arial" w:hAnsi="Arial"/>
                <w:sz w:val="18"/>
                <w:szCs w:val="18"/>
                <w:b w:val="1"/>
                <w:bCs w:val="1"/>
                <w:color w:val="auto"/>
                <w:w w:val="90"/>
              </w:rPr>
              <w:t>390 Interlocken Crescent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ind w:left="1440"/>
              <w:spacing w:after="0"/>
              <w:rPr>
                <w:sz w:val="20"/>
                <w:szCs w:val="20"/>
                <w:color w:val="auto"/>
              </w:rPr>
            </w:pPr>
            <w:r>
              <w:rPr>
                <w:rFonts w:ascii="Arial" w:cs="Arial" w:eastAsia="Arial" w:hAnsi="Arial"/>
                <w:sz w:val="18"/>
                <w:szCs w:val="18"/>
                <w:b w:val="1"/>
                <w:bCs w:val="1"/>
                <w:color w:val="auto"/>
              </w:rPr>
              <w:t>Broomfield, Colorado</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584"/>
              <w:spacing w:after="0"/>
              <w:rPr>
                <w:sz w:val="20"/>
                <w:szCs w:val="20"/>
                <w:color w:val="auto"/>
              </w:rPr>
            </w:pPr>
            <w:r>
              <w:rPr>
                <w:rFonts w:ascii="Arial" w:cs="Arial" w:eastAsia="Arial" w:hAnsi="Arial"/>
                <w:sz w:val="18"/>
                <w:szCs w:val="18"/>
                <w:b w:val="1"/>
                <w:bCs w:val="1"/>
                <w:color w:val="auto"/>
              </w:rPr>
              <w:t>80021</w:t>
            </w:r>
          </w:p>
        </w:tc>
        <w:tc>
          <w:tcPr>
            <w:tcW w:w="860" w:type="dxa"/>
            <w:vAlign w:val="bottom"/>
          </w:tcPr>
          <w:p>
            <w:pPr>
              <w:spacing w:after="0"/>
              <w:rPr>
                <w:sz w:val="20"/>
                <w:szCs w:val="20"/>
                <w:color w:val="auto"/>
              </w:rPr>
            </w:pPr>
          </w:p>
        </w:tc>
      </w:tr>
      <w:tr>
        <w:trPr>
          <w:trHeight w:val="176"/>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Arial" w:cs="Arial" w:eastAsia="Arial" w:hAnsi="Arial"/>
                <w:sz w:val="14"/>
                <w:szCs w:val="14"/>
                <w:color w:val="auto"/>
                <w:w w:val="95"/>
              </w:rPr>
              <w:t>(Address of Principal Executive Offices)</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Pr>
          <w:p>
            <w:pPr>
              <w:jc w:val="center"/>
              <w:ind w:right="1144"/>
              <w:spacing w:after="0"/>
              <w:rPr>
                <w:sz w:val="20"/>
                <w:szCs w:val="20"/>
                <w:color w:val="auto"/>
              </w:rPr>
            </w:pPr>
            <w:r>
              <w:rPr>
                <w:rFonts w:ascii="Arial" w:cs="Arial" w:eastAsia="Arial" w:hAnsi="Arial"/>
                <w:sz w:val="14"/>
                <w:szCs w:val="14"/>
                <w:color w:val="auto"/>
                <w:w w:val="96"/>
              </w:rPr>
              <w:t>(Zip Code)</w:t>
            </w:r>
          </w:p>
        </w:tc>
        <w:tc>
          <w:tcPr>
            <w:tcW w:w="860" w:type="dxa"/>
            <w:vAlign w:val="bottom"/>
          </w:tcPr>
          <w:p>
            <w:pPr>
              <w:spacing w:after="0"/>
              <w:rPr>
                <w:sz w:val="15"/>
                <w:szCs w:val="15"/>
                <w:color w:val="auto"/>
              </w:rPr>
            </w:pPr>
          </w:p>
        </w:tc>
      </w:tr>
      <w:tr>
        <w:trPr>
          <w:trHeight w:val="560"/>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(303) 404-1800</w:t>
            </w: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140" w:type="dxa"/>
            <w:vAlign w:val="bottom"/>
            <w:gridSpan w:val="6"/>
          </w:tcPr>
          <w:p>
            <w:pPr>
              <w:jc w:val="center"/>
              <w:ind w:left="210"/>
              <w:spacing w:after="0"/>
              <w:rPr>
                <w:sz w:val="20"/>
                <w:szCs w:val="20"/>
                <w:color w:val="auto"/>
              </w:rPr>
            </w:pPr>
            <w:r>
              <w:rPr>
                <w:rFonts w:ascii="Arial" w:cs="Arial" w:eastAsia="Arial" w:hAnsi="Arial"/>
                <w:sz w:val="18"/>
                <w:szCs w:val="18"/>
                <w:color w:val="auto"/>
                <w:w w:val="89"/>
              </w:rPr>
              <w:t>(Registrant’s telephone number, including area code)</w:t>
            </w:r>
          </w:p>
        </w:tc>
        <w:tc>
          <w:tcPr>
            <w:tcW w:w="3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19"/>
        </w:trPr>
        <w:tc>
          <w:tcPr>
            <w:tcW w:w="4720" w:type="dxa"/>
            <w:vAlign w:val="bottom"/>
            <w:gridSpan w:val="5"/>
          </w:tcPr>
          <w:p>
            <w:pPr>
              <w:jc w:val="center"/>
              <w:ind w:right="5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1"/>
        </w:trPr>
        <w:tc>
          <w:tcPr>
            <w:tcW w:w="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2"/>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3"/>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gridSpan w:val="3"/>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00" w:type="dxa"/>
            <w:vAlign w:val="bottom"/>
            <w:tcBorders>
              <w:bottom w:val="single" w:sz="8" w:color="auto"/>
              <w:right w:val="single" w:sz="8" w:color="auto"/>
            </w:tcBorders>
            <w:gridSpan w:val="2"/>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3"/>
              </w:rPr>
              <w:t>Trading Symbol</w:t>
            </w:r>
          </w:p>
        </w:tc>
        <w:tc>
          <w:tcPr>
            <w:tcW w:w="460" w:type="dxa"/>
            <w:vAlign w:val="bottom"/>
            <w:tcBorders>
              <w:bottom w:val="single" w:sz="8" w:color="auto"/>
            </w:tcBorders>
          </w:tcPr>
          <w:p>
            <w:pPr>
              <w:spacing w:after="0"/>
              <w:rPr>
                <w:sz w:val="19"/>
                <w:szCs w:val="19"/>
                <w:color w:val="auto"/>
              </w:rPr>
            </w:pPr>
          </w:p>
        </w:tc>
        <w:tc>
          <w:tcPr>
            <w:tcW w:w="3700" w:type="dxa"/>
            <w:vAlign w:val="bottom"/>
            <w:tcBorders>
              <w:bottom w:val="single" w:sz="8" w:color="auto"/>
              <w:right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Arial" w:cs="Arial" w:eastAsia="Arial" w:hAnsi="Arial"/>
                <w:sz w:val="18"/>
                <w:szCs w:val="18"/>
                <w:b w:val="1"/>
                <w:bCs w:val="1"/>
                <w:color w:val="auto"/>
              </w:rPr>
              <w:t>MTN</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gridSpan w:val="2"/>
          </w:tcPr>
          <w:p>
            <w:pPr>
              <w:jc w:val="center"/>
              <w:ind w:right="780"/>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310"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7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20" w:type="dxa"/>
        <w:tblCellMar>
          <w:top w:w="0" w:type="dxa"/>
          <w:left w:w="0" w:type="dxa"/>
          <w:bottom w:w="0" w:type="dxa"/>
          <w:right w:w="0" w:type="dxa"/>
        </w:tblCellMar>
      </w:tblPr>
      <w:tr>
        <w:trPr>
          <w:trHeight w:val="338"/>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4"/>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78"/>
        </w:trPr>
        <w:tc>
          <w:tcPr>
            <w:tcW w:w="2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60" w:type="dxa"/>
            <w:vAlign w:val="bottom"/>
          </w:tcPr>
          <w:p>
            <w:pPr>
              <w:ind w:left="25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60"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4" w:lineRule="exact"/>
        <w:rPr>
          <w:sz w:val="24"/>
          <w:szCs w:val="24"/>
          <w:color w:val="auto"/>
        </w:rPr>
      </w:pPr>
    </w:p>
    <w:p>
      <w:pPr>
        <w:ind w:right="1680"/>
        <w:spacing w:after="0" w:line="32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March 6, 2023, 40,330,446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75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gridSpan w:val="10"/>
          </w:tcPr>
          <w:p>
            <w:pPr>
              <w:jc w:val="center"/>
              <w:ind w:right="2740"/>
              <w:spacing w:after="0"/>
              <w:rPr>
                <w:sz w:val="20"/>
                <w:szCs w:val="20"/>
                <w:color w:val="auto"/>
              </w:rPr>
            </w:pPr>
            <w:r>
              <w:rPr>
                <w:rFonts w:ascii="Arial" w:cs="Arial" w:eastAsia="Arial" w:hAnsi="Arial"/>
                <w:sz w:val="18"/>
                <w:szCs w:val="18"/>
                <w:b w:val="1"/>
                <w:bCs w:val="1"/>
                <w:color w:val="auto"/>
                <w:w w:val="89"/>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0"/>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9880" w:type="dxa"/>
            <w:vAlign w:val="bottom"/>
            <w:gridSpan w:val="17"/>
            <w:shd w:val="clear" w:color="auto" w:fill="CCEEFF"/>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5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9"/>
              </w:rPr>
              <w:t>Page</w:t>
            </w:r>
          </w:p>
        </w:tc>
      </w:tr>
      <w:tr>
        <w:trPr>
          <w:trHeight w:val="250"/>
        </w:trPr>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9880" w:type="dxa"/>
            <w:vAlign w:val="bottom"/>
            <w:gridSpan w:val="17"/>
            <w:shd w:val="clear" w:color="auto" w:fill="CCEEFF"/>
          </w:tcPr>
          <w:p>
            <w:pPr>
              <w:ind w:left="140"/>
              <w:spacing w:after="0"/>
              <w:rPr>
                <w:sz w:val="20"/>
                <w:szCs w:val="20"/>
                <w:color w:val="auto"/>
              </w:rPr>
            </w:pPr>
            <w:r>
              <w:rPr>
                <w:rFonts w:ascii="Arial" w:cs="Arial" w:eastAsia="Arial" w:hAnsi="Arial"/>
                <w:sz w:val="18"/>
                <w:szCs w:val="18"/>
                <w:color w:val="auto"/>
              </w:rPr>
              <w:t>Financial Statements (unaudited).</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820" w:type="dxa"/>
            <w:vAlign w:val="bottom"/>
          </w:tcPr>
          <w:p>
            <w:pPr>
              <w:spacing w:after="0"/>
              <w:rPr>
                <w:sz w:val="16"/>
                <w:szCs w:val="16"/>
                <w:color w:val="auto"/>
              </w:rPr>
            </w:pPr>
          </w:p>
        </w:tc>
        <w:tc>
          <w:tcPr>
            <w:tcW w:w="9880" w:type="dxa"/>
            <w:vAlign w:val="bottom"/>
            <w:gridSpan w:val="17"/>
          </w:tcPr>
          <w:p>
            <w:pPr>
              <w:ind w:left="140"/>
              <w:spacing w:after="0" w:line="189" w:lineRule="exact"/>
              <w:rPr>
                <w:sz w:val="20"/>
                <w:szCs w:val="20"/>
                <w:color w:val="auto"/>
              </w:rPr>
            </w:pPr>
            <w:r>
              <w:rPr>
                <w:rFonts w:ascii="Arial" w:cs="Arial" w:eastAsia="Arial" w:hAnsi="Arial"/>
                <w:sz w:val="18"/>
                <w:szCs w:val="18"/>
                <w:color w:val="0000FF"/>
              </w:rPr>
              <w:t>Consolidated Condensed Balance Sheets as of January 31, 2023, July 31, 2022 and January 31, 2022</w:t>
            </w:r>
          </w:p>
        </w:tc>
        <w:tc>
          <w:tcPr>
            <w:tcW w:w="54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2</w:t>
            </w: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7"/>
            <w:shd w:val="clear" w:color="auto" w:fill="CCEEFF"/>
          </w:tcPr>
          <w:p>
            <w:pPr>
              <w:ind w:left="140"/>
              <w:spacing w:after="0" w:line="189" w:lineRule="exact"/>
              <w:rPr>
                <w:sz w:val="20"/>
                <w:szCs w:val="20"/>
                <w:color w:val="auto"/>
              </w:rPr>
            </w:pPr>
            <w:r>
              <w:rPr>
                <w:rFonts w:ascii="Arial" w:cs="Arial" w:eastAsia="Arial" w:hAnsi="Arial"/>
                <w:sz w:val="18"/>
                <w:szCs w:val="18"/>
                <w:color w:val="0000FF"/>
              </w:rPr>
              <w:t>Consolidated Condensed Statements of Operations for the Three and Six Months Ended January 31, 2023 and 2022</w:t>
            </w:r>
          </w:p>
        </w:tc>
        <w:tc>
          <w:tcPr>
            <w:tcW w:w="5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spacing w:after="0"/>
              <w:rPr>
                <w:sz w:val="16"/>
                <w:szCs w:val="16"/>
                <w:color w:val="auto"/>
              </w:rPr>
            </w:pPr>
          </w:p>
        </w:tc>
        <w:tc>
          <w:tcPr>
            <w:tcW w:w="9880" w:type="dxa"/>
            <w:vAlign w:val="bottom"/>
            <w:gridSpan w:val="17"/>
          </w:tcPr>
          <w:p>
            <w:pPr>
              <w:ind w:left="140"/>
              <w:spacing w:after="0" w:line="189" w:lineRule="exact"/>
              <w:rPr>
                <w:sz w:val="20"/>
                <w:szCs w:val="20"/>
                <w:color w:val="auto"/>
              </w:rPr>
            </w:pPr>
            <w:r>
              <w:rPr>
                <w:rFonts w:ascii="Arial" w:cs="Arial" w:eastAsia="Arial" w:hAnsi="Arial"/>
                <w:sz w:val="18"/>
                <w:szCs w:val="18"/>
                <w:color w:val="0000FF"/>
                <w:w w:val="94"/>
              </w:rPr>
              <w:t>Consolidated Condensed Statements of Comprehensive Income for the Three and Six Months Ended January 31, 2023 and 2022</w:t>
            </w:r>
          </w:p>
        </w:tc>
        <w:tc>
          <w:tcPr>
            <w:tcW w:w="54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4</w:t>
            </w: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7"/>
            <w:shd w:val="clear" w:color="auto" w:fill="CCEEFF"/>
          </w:tcPr>
          <w:p>
            <w:pPr>
              <w:ind w:left="140"/>
              <w:spacing w:after="0" w:line="189" w:lineRule="exact"/>
              <w:rPr>
                <w:sz w:val="20"/>
                <w:szCs w:val="20"/>
                <w:color w:val="auto"/>
              </w:rPr>
            </w:pPr>
            <w:r>
              <w:rPr>
                <w:rFonts w:ascii="Arial" w:cs="Arial" w:eastAsia="Arial" w:hAnsi="Arial"/>
                <w:sz w:val="18"/>
                <w:szCs w:val="18"/>
                <w:color w:val="0000FF"/>
                <w:w w:val="96"/>
              </w:rPr>
              <w:t>Consolidated Condensed Statements of Stockholders’ Equity for the Three and Six Months Ended January 31, 2023 and 2022</w:t>
            </w:r>
          </w:p>
        </w:tc>
        <w:tc>
          <w:tcPr>
            <w:tcW w:w="5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spacing w:after="0"/>
              <w:rPr>
                <w:sz w:val="16"/>
                <w:szCs w:val="16"/>
                <w:color w:val="auto"/>
              </w:rPr>
            </w:pPr>
          </w:p>
        </w:tc>
        <w:tc>
          <w:tcPr>
            <w:tcW w:w="9880" w:type="dxa"/>
            <w:vAlign w:val="bottom"/>
            <w:gridSpan w:val="17"/>
          </w:tcPr>
          <w:p>
            <w:pPr>
              <w:ind w:left="140"/>
              <w:spacing w:after="0" w:line="189" w:lineRule="exact"/>
              <w:rPr>
                <w:sz w:val="20"/>
                <w:szCs w:val="20"/>
                <w:color w:val="auto"/>
              </w:rPr>
            </w:pPr>
            <w:r>
              <w:rPr>
                <w:rFonts w:ascii="Arial" w:cs="Arial" w:eastAsia="Arial" w:hAnsi="Arial"/>
                <w:sz w:val="18"/>
                <w:szCs w:val="18"/>
                <w:color w:val="0000FF"/>
              </w:rPr>
              <w:t>Consolidated Condensed Statements of Cash Flows for the Six Months Ended January 31, 2023 and 2022</w:t>
            </w:r>
          </w:p>
        </w:tc>
        <w:tc>
          <w:tcPr>
            <w:tcW w:w="54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7</w:t>
            </w: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7"/>
            <w:shd w:val="clear" w:color="auto" w:fill="CCEEFF"/>
          </w:tcPr>
          <w:p>
            <w:pPr>
              <w:ind w:left="140"/>
              <w:spacing w:after="0" w:line="189" w:lineRule="exact"/>
              <w:rPr>
                <w:sz w:val="20"/>
                <w:szCs w:val="20"/>
                <w:color w:val="auto"/>
              </w:rPr>
            </w:pPr>
            <w:r>
              <w:rPr>
                <w:rFonts w:ascii="Arial" w:cs="Arial" w:eastAsia="Arial" w:hAnsi="Arial"/>
                <w:sz w:val="18"/>
                <w:szCs w:val="18"/>
                <w:color w:val="0000FF"/>
              </w:rPr>
              <w:t>Notes to Consolidated Condensed Financial Statements</w:t>
            </w:r>
          </w:p>
        </w:tc>
        <w:tc>
          <w:tcPr>
            <w:tcW w:w="5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8</w:t>
            </w: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880" w:type="dxa"/>
            <w:vAlign w:val="bottom"/>
            <w:gridSpan w:val="17"/>
          </w:tcPr>
          <w:p>
            <w:pPr>
              <w:ind w:left="14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23</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140"/>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5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42</w:t>
            </w:r>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9880" w:type="dxa"/>
            <w:vAlign w:val="bottom"/>
            <w:gridSpan w:val="17"/>
          </w:tcPr>
          <w:p>
            <w:pPr>
              <w:ind w:left="140"/>
              <w:spacing w:after="0" w:line="189" w:lineRule="exact"/>
              <w:rPr>
                <w:sz w:val="20"/>
                <w:szCs w:val="20"/>
                <w:color w:val="auto"/>
              </w:rPr>
            </w:pPr>
            <w:r>
              <w:rPr>
                <w:rFonts w:ascii="Arial" w:cs="Arial" w:eastAsia="Arial" w:hAnsi="Arial"/>
                <w:sz w:val="18"/>
                <w:szCs w:val="18"/>
                <w:color w:val="0000FF"/>
              </w:rPr>
              <w:t>Controls and Procedures</w:t>
            </w:r>
          </w:p>
        </w:tc>
        <w:tc>
          <w:tcPr>
            <w:tcW w:w="5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43</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880" w:type="dxa"/>
            <w:vAlign w:val="bottom"/>
            <w:gridSpan w:val="17"/>
          </w:tcPr>
          <w:p>
            <w:pPr>
              <w:ind w:left="140"/>
              <w:spacing w:after="0"/>
              <w:rPr>
                <w:sz w:val="20"/>
                <w:szCs w:val="20"/>
                <w:color w:val="auto"/>
              </w:rPr>
            </w:pPr>
            <w:r>
              <w:rPr>
                <w:rFonts w:ascii="Arial" w:cs="Arial" w:eastAsia="Arial" w:hAnsi="Arial"/>
                <w:sz w:val="18"/>
                <w:szCs w:val="18"/>
                <w:b w:val="1"/>
                <w:bCs w:val="1"/>
                <w:color w:val="auto"/>
              </w:rPr>
              <w:t>OTHER INFORMATION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9880" w:type="dxa"/>
            <w:vAlign w:val="bottom"/>
            <w:gridSpan w:val="17"/>
          </w:tcPr>
          <w:p>
            <w:pPr>
              <w:ind w:left="140"/>
              <w:spacing w:after="0" w:line="189" w:lineRule="exact"/>
              <w:rPr>
                <w:sz w:val="20"/>
                <w:szCs w:val="20"/>
                <w:color w:val="auto"/>
              </w:rPr>
            </w:pPr>
            <w:r>
              <w:rPr>
                <w:rFonts w:ascii="Arial" w:cs="Arial" w:eastAsia="Arial" w:hAnsi="Arial"/>
                <w:sz w:val="18"/>
                <w:szCs w:val="18"/>
                <w:color w:val="0000FF"/>
              </w:rPr>
              <w:t>Legal Proceedings</w:t>
            </w:r>
          </w:p>
        </w:tc>
        <w:tc>
          <w:tcPr>
            <w:tcW w:w="5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43</w:t>
            </w:r>
          </w:p>
        </w:tc>
        <w:tc>
          <w:tcPr>
            <w:tcW w:w="2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9880" w:type="dxa"/>
            <w:vAlign w:val="bottom"/>
            <w:gridSpan w:val="17"/>
            <w:shd w:val="clear" w:color="auto" w:fill="CCEEFF"/>
          </w:tcPr>
          <w:p>
            <w:pPr>
              <w:ind w:left="140"/>
              <w:spacing w:after="0" w:line="189" w:lineRule="exact"/>
              <w:rPr>
                <w:sz w:val="20"/>
                <w:szCs w:val="20"/>
                <w:color w:val="auto"/>
              </w:rPr>
            </w:pPr>
            <w:r>
              <w:rPr>
                <w:rFonts w:ascii="Arial" w:cs="Arial" w:eastAsia="Arial" w:hAnsi="Arial"/>
                <w:sz w:val="18"/>
                <w:szCs w:val="18"/>
                <w:color w:val="0000FF"/>
              </w:rPr>
              <w:t>Risk Factors</w:t>
            </w:r>
          </w:p>
        </w:tc>
        <w:tc>
          <w:tcPr>
            <w:tcW w:w="5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43</w:t>
            </w:r>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880" w:type="dxa"/>
            <w:vAlign w:val="bottom"/>
            <w:gridSpan w:val="17"/>
          </w:tcPr>
          <w:p>
            <w:pPr>
              <w:ind w:left="140"/>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5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43</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140"/>
              <w:spacing w:after="0" w:line="189" w:lineRule="exact"/>
              <w:rPr>
                <w:sz w:val="20"/>
                <w:szCs w:val="20"/>
                <w:color w:val="auto"/>
              </w:rPr>
            </w:pPr>
            <w:r>
              <w:rPr>
                <w:rFonts w:ascii="Arial" w:cs="Arial" w:eastAsia="Arial" w:hAnsi="Arial"/>
                <w:sz w:val="18"/>
                <w:szCs w:val="18"/>
                <w:color w:val="0000FF"/>
              </w:rPr>
              <w:t>Defaults Upon Senior Securities</w:t>
            </w:r>
          </w:p>
        </w:tc>
        <w:tc>
          <w:tcPr>
            <w:tcW w:w="5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43</w:t>
            </w:r>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9880" w:type="dxa"/>
            <w:vAlign w:val="bottom"/>
            <w:gridSpan w:val="17"/>
          </w:tcPr>
          <w:p>
            <w:pPr>
              <w:ind w:left="140"/>
              <w:spacing w:after="0" w:line="189" w:lineRule="exact"/>
              <w:rPr>
                <w:sz w:val="20"/>
                <w:szCs w:val="20"/>
                <w:color w:val="auto"/>
              </w:rPr>
            </w:pPr>
            <w:r>
              <w:rPr>
                <w:rFonts w:ascii="Arial" w:cs="Arial" w:eastAsia="Arial" w:hAnsi="Arial"/>
                <w:sz w:val="18"/>
                <w:szCs w:val="18"/>
                <w:color w:val="0000FF"/>
              </w:rPr>
              <w:t>Mine Safety Disclosures</w:t>
            </w:r>
          </w:p>
        </w:tc>
        <w:tc>
          <w:tcPr>
            <w:tcW w:w="5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43</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5.</w:t>
            </w:r>
          </w:p>
        </w:tc>
        <w:tc>
          <w:tcPr>
            <w:tcW w:w="9880" w:type="dxa"/>
            <w:vAlign w:val="bottom"/>
            <w:gridSpan w:val="17"/>
            <w:shd w:val="clear" w:color="auto" w:fill="CCEEFF"/>
          </w:tcPr>
          <w:p>
            <w:pPr>
              <w:ind w:left="140"/>
              <w:spacing w:after="0" w:line="189" w:lineRule="exact"/>
              <w:rPr>
                <w:sz w:val="20"/>
                <w:szCs w:val="20"/>
                <w:color w:val="auto"/>
              </w:rPr>
            </w:pPr>
            <w:r>
              <w:rPr>
                <w:rFonts w:ascii="Arial" w:cs="Arial" w:eastAsia="Arial" w:hAnsi="Arial"/>
                <w:sz w:val="18"/>
                <w:szCs w:val="18"/>
                <w:color w:val="0000FF"/>
              </w:rPr>
              <w:t>Other Information</w:t>
            </w:r>
          </w:p>
        </w:tc>
        <w:tc>
          <w:tcPr>
            <w:tcW w:w="5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43</w:t>
            </w:r>
          </w:p>
        </w:tc>
        <w:tc>
          <w:tcPr>
            <w:tcW w:w="20" w:type="dxa"/>
            <w:vAlign w:val="bottom"/>
            <w:shd w:val="clear" w:color="auto" w:fill="CCEEFF"/>
          </w:tcPr>
          <w:p>
            <w:pPr>
              <w:spacing w:after="0"/>
              <w:rPr>
                <w:sz w:val="16"/>
                <w:szCs w:val="16"/>
                <w:color w:val="auto"/>
              </w:rPr>
            </w:pP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6.</w:t>
            </w:r>
          </w:p>
        </w:tc>
        <w:tc>
          <w:tcPr>
            <w:tcW w:w="9880" w:type="dxa"/>
            <w:vAlign w:val="bottom"/>
            <w:gridSpan w:val="17"/>
          </w:tcPr>
          <w:p>
            <w:pPr>
              <w:ind w:left="140"/>
              <w:spacing w:after="0" w:line="189" w:lineRule="exact"/>
              <w:rPr>
                <w:sz w:val="20"/>
                <w:szCs w:val="20"/>
                <w:color w:val="auto"/>
              </w:rPr>
            </w:pPr>
            <w:r>
              <w:rPr>
                <w:rFonts w:ascii="Arial" w:cs="Arial" w:eastAsia="Arial" w:hAnsi="Arial"/>
                <w:sz w:val="18"/>
                <w:szCs w:val="18"/>
                <w:color w:val="0000FF"/>
              </w:rPr>
              <w:t>Exhibits</w:t>
            </w:r>
          </w:p>
        </w:tc>
        <w:tc>
          <w:tcPr>
            <w:tcW w:w="5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44</w:t>
            </w:r>
          </w:p>
        </w:tc>
        <w:tc>
          <w:tcPr>
            <w:tcW w:w="20" w:type="dxa"/>
            <w:vAlign w:val="bottom"/>
          </w:tcPr>
          <w:p>
            <w:pPr>
              <w:spacing w:after="0"/>
              <w:rPr>
                <w:sz w:val="16"/>
                <w:szCs w:val="16"/>
                <w:color w:val="auto"/>
              </w:rPr>
            </w:pPr>
          </w:p>
        </w:tc>
      </w:tr>
      <w:tr>
        <w:trPr>
          <w:trHeight w:val="1128"/>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840" w:type="dxa"/>
            <w:vAlign w:val="bottom"/>
            <w:gridSpan w:val="9"/>
          </w:tcPr>
          <w:p>
            <w:pPr>
              <w:jc w:val="right"/>
              <w:ind w:right="174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right"/>
              <w:ind w:right="251"/>
              <w:spacing w:after="0"/>
              <w:rPr>
                <w:sz w:val="20"/>
                <w:szCs w:val="20"/>
                <w:color w:val="auto"/>
              </w:rPr>
            </w:pPr>
            <w:r>
              <w:rPr>
                <w:rFonts w:ascii="Arial" w:cs="Arial" w:eastAsia="Arial" w:hAnsi="Arial"/>
                <w:sz w:val="14"/>
                <w:szCs w:val="14"/>
                <w:b w:val="1"/>
                <w:bCs w:val="1"/>
                <w:color w:val="auto"/>
              </w:rPr>
              <w:t>January 31, 2023</w:t>
            </w:r>
          </w:p>
        </w:tc>
        <w:tc>
          <w:tcPr>
            <w:tcW w:w="320" w:type="dxa"/>
            <w:vAlign w:val="bottom"/>
          </w:tcPr>
          <w:p>
            <w:pPr>
              <w:spacing w:after="0"/>
              <w:rPr>
                <w:sz w:val="16"/>
                <w:szCs w:val="16"/>
                <w:color w:val="auto"/>
              </w:rPr>
            </w:pPr>
          </w:p>
        </w:tc>
        <w:tc>
          <w:tcPr>
            <w:tcW w:w="1440" w:type="dxa"/>
            <w:vAlign w:val="bottom"/>
          </w:tcPr>
          <w:p>
            <w:pPr>
              <w:jc w:val="right"/>
              <w:ind w:right="391"/>
              <w:spacing w:after="0"/>
              <w:rPr>
                <w:sz w:val="20"/>
                <w:szCs w:val="20"/>
                <w:color w:val="auto"/>
              </w:rPr>
            </w:pPr>
            <w:r>
              <w:rPr>
                <w:rFonts w:ascii="Arial" w:cs="Arial" w:eastAsia="Arial" w:hAnsi="Arial"/>
                <w:sz w:val="14"/>
                <w:szCs w:val="14"/>
                <w:b w:val="1"/>
                <w:bCs w:val="1"/>
                <w:color w:val="auto"/>
              </w:rPr>
              <w:t>July 31, 2022</w:t>
            </w:r>
          </w:p>
        </w:tc>
        <w:tc>
          <w:tcPr>
            <w:tcW w:w="260" w:type="dxa"/>
            <w:vAlign w:val="bottom"/>
          </w:tcPr>
          <w:p>
            <w:pPr>
              <w:spacing w:after="0"/>
              <w:rPr>
                <w:sz w:val="16"/>
                <w:szCs w:val="16"/>
                <w:color w:val="auto"/>
              </w:rPr>
            </w:pPr>
          </w:p>
        </w:tc>
        <w:tc>
          <w:tcPr>
            <w:tcW w:w="1440" w:type="dxa"/>
            <w:vAlign w:val="bottom"/>
          </w:tcPr>
          <w:p>
            <w:pPr>
              <w:jc w:val="right"/>
              <w:ind w:right="211"/>
              <w:spacing w:after="0"/>
              <w:rPr>
                <w:sz w:val="20"/>
                <w:szCs w:val="20"/>
                <w:color w:val="auto"/>
              </w:rPr>
            </w:pPr>
            <w:r>
              <w:rPr>
                <w:rFonts w:ascii="Arial" w:cs="Arial" w:eastAsia="Arial" w:hAnsi="Arial"/>
                <w:sz w:val="14"/>
                <w:szCs w:val="14"/>
                <w:b w:val="1"/>
                <w:bCs w:val="1"/>
                <w:color w:val="auto"/>
                <w:w w:val="99"/>
              </w:rPr>
              <w:t>January 31, 2022</w:t>
            </w:r>
          </w:p>
        </w:tc>
      </w:tr>
      <w:tr>
        <w:trPr>
          <w:trHeight w:val="26"/>
        </w:trPr>
        <w:tc>
          <w:tcPr>
            <w:tcW w:w="5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1,295,252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1,107,427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1,407,019</w:t>
            </w:r>
          </w:p>
        </w:tc>
      </w:tr>
      <w:tr>
        <w:trPr>
          <w:trHeight w:val="229"/>
        </w:trPr>
        <w:tc>
          <w:tcPr>
            <w:tcW w:w="59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24,103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18,680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15,643</w:t>
            </w:r>
          </w:p>
        </w:tc>
      </w:tr>
      <w:tr>
        <w:trPr>
          <w:trHeight w:val="229"/>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receivables, net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160,393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383,425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167,088</w:t>
            </w: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122,088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108,723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104,573</w:t>
            </w:r>
          </w:p>
        </w:tc>
      </w:tr>
      <w:tr>
        <w:trPr>
          <w:trHeight w:val="229"/>
        </w:trPr>
        <w:tc>
          <w:tcPr>
            <w:tcW w:w="5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158,295</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173,277</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73,104</w:t>
            </w:r>
          </w:p>
        </w:tc>
      </w:tr>
      <w:tr>
        <w:trPr>
          <w:trHeight w:val="223"/>
        </w:trPr>
        <w:tc>
          <w:tcPr>
            <w:tcW w:w="59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1,760,131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1,791,532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1,767,427</w:t>
            </w:r>
          </w:p>
        </w:tc>
      </w:tr>
      <w:tr>
        <w:trPr>
          <w:trHeight w:val="229"/>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 net (Note 7)</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2,421,395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2,118,052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2,190,332</w:t>
            </w: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rPr>
              <w:t>Real estate held for sale or investment</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90,354</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95,983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95,331</w:t>
            </w:r>
          </w:p>
        </w:tc>
      </w:tr>
      <w:tr>
        <w:trPr>
          <w:trHeight w:val="230"/>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net (Note 7)</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1,723,019</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1,754,928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1,764,106</w:t>
            </w: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310,666</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314,058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318,078</w:t>
            </w:r>
          </w:p>
        </w:tc>
      </w:tr>
      <w:tr>
        <w:trPr>
          <w:trHeight w:val="230"/>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right-of-use assets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200,667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192,070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198,672</w:t>
            </w:r>
          </w:p>
        </w:tc>
      </w:tr>
      <w:tr>
        <w:trPr>
          <w:trHeight w:val="229"/>
        </w:trPr>
        <w:tc>
          <w:tcPr>
            <w:tcW w:w="59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58,730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51,405</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35,796</w:t>
            </w:r>
          </w:p>
        </w:tc>
      </w:tr>
      <w:tr>
        <w:trPr>
          <w:trHeight w:val="248"/>
        </w:trPr>
        <w:tc>
          <w:tcPr>
            <w:tcW w:w="5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6,564,962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6,318,028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6,369,742</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94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 (Note 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1,144,795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942,830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1,067,137</w:t>
            </w: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73,559</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104,275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24,153</w:t>
            </w:r>
          </w:p>
        </w:tc>
      </w:tr>
      <w:tr>
        <w:trPr>
          <w:trHeight w:val="229"/>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Long-term debt due within one year (Note 5)</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69,582</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63,749</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63,746</w:t>
            </w:r>
          </w:p>
        </w:tc>
      </w:tr>
      <w:tr>
        <w:trPr>
          <w:trHeight w:val="223"/>
        </w:trPr>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1,287,936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1,110,854</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1,155,036</w:t>
            </w: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rPr>
              <w:t>Long-term debt, net (Note 5)</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2,789,827</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2,670,300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2,695,589</w:t>
            </w:r>
          </w:p>
        </w:tc>
      </w:tr>
      <w:tr>
        <w:trPr>
          <w:trHeight w:val="230"/>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184,298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174,567</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188,797</w:t>
            </w:r>
          </w:p>
        </w:tc>
      </w:tr>
      <w:tr>
        <w:trPr>
          <w:trHeight w:val="230"/>
        </w:trPr>
        <w:tc>
          <w:tcPr>
            <w:tcW w:w="5940" w:type="dxa"/>
            <w:vAlign w:val="bottom"/>
          </w:tcPr>
          <w:p>
            <w:pPr>
              <w:ind w:left="24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237,478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246,359</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254,209</w:t>
            </w:r>
          </w:p>
        </w:tc>
      </w:tr>
      <w:tr>
        <w:trPr>
          <w:trHeight w:val="230"/>
        </w:trPr>
        <w:tc>
          <w:tcPr>
            <w:tcW w:w="59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Deferred income taxes, net</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288,072</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268,464</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282,427</w:t>
            </w:r>
          </w:p>
        </w:tc>
      </w:tr>
      <w:tr>
        <w:trPr>
          <w:trHeight w:val="223"/>
        </w:trPr>
        <w:tc>
          <w:tcPr>
            <w:tcW w:w="594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4,787,611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4,470,544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4,576,058</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75"/>
        </w:trPr>
        <w:tc>
          <w:tcPr>
            <w:tcW w:w="5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Preferred stock, $0.01 par value, 25,000 shares authorized, no shares issued</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5940" w:type="dxa"/>
            <w:vAlign w:val="bottom"/>
          </w:tcPr>
          <w:p>
            <w:pPr>
              <w:ind w:left="220"/>
              <w:spacing w:after="0" w:line="176" w:lineRule="exact"/>
              <w:rPr>
                <w:sz w:val="20"/>
                <w:szCs w:val="20"/>
                <w:color w:val="auto"/>
              </w:rPr>
            </w:pPr>
            <w:r>
              <w:rPr>
                <w:rFonts w:ascii="Arial" w:cs="Arial" w:eastAsia="Arial" w:hAnsi="Arial"/>
                <w:sz w:val="18"/>
                <w:szCs w:val="18"/>
                <w:color w:val="auto"/>
                <w:w w:val="93"/>
              </w:rPr>
              <w:t>Common stock, $0.01 par value, 100,000 shares authorized, 46,795, 46,744</w:t>
            </w: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8"/>
                <w:szCs w:val="18"/>
                <w:color w:val="auto"/>
              </w:rPr>
              <w:t>and 46,713 shares issued, respectively</w:t>
            </w:r>
          </w:p>
        </w:tc>
        <w:tc>
          <w:tcPr>
            <w:tcW w:w="3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468</w:t>
            </w:r>
          </w:p>
        </w:tc>
        <w:tc>
          <w:tcPr>
            <w:tcW w:w="3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175"/>
        </w:trPr>
        <w:tc>
          <w:tcPr>
            <w:tcW w:w="5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Exchangeable shares, $0.01 par value, 0, 3 and 33 shares issued and</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respectively (Note 4)</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1,112,519</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1,184,577</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1,172,595</w:t>
            </w: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10,923</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w:t>
            </w: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837,573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895,889</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786,473</w:t>
            </w:r>
          </w:p>
        </w:tc>
      </w:tr>
      <w:tr>
        <w:trPr>
          <w:trHeight w:val="229"/>
        </w:trPr>
        <w:tc>
          <w:tcPr>
            <w:tcW w:w="5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1"/>
              </w:rPr>
              <w:t>Treasury stock, at cost, 6,466, 6,466 and 6,161 shares, respectively (Note 11)</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(479,417)</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(479,417)</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r>
      <w:tr>
        <w:trPr>
          <w:trHeight w:val="223"/>
        </w:trPr>
        <w:tc>
          <w:tcPr>
            <w:tcW w:w="5940" w:type="dxa"/>
            <w:vAlign w:val="bottom"/>
          </w:tcPr>
          <w:p>
            <w:pPr>
              <w:ind w:left="480"/>
              <w:spacing w:after="0"/>
              <w:rPr>
                <w:sz w:val="20"/>
                <w:szCs w:val="20"/>
                <w:color w:val="auto"/>
              </w:rPr>
            </w:pPr>
            <w:r>
              <w:rPr>
                <w:rFonts w:ascii="Arial" w:cs="Arial" w:eastAsia="Arial" w:hAnsi="Arial"/>
                <w:sz w:val="18"/>
                <w:szCs w:val="18"/>
                <w:color w:val="auto"/>
              </w:rPr>
              <w:t>Total Vail Resorts, Inc. stockholders’ equity</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1,462,578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1,612,439</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1,565,542</w:t>
            </w:r>
          </w:p>
        </w:tc>
      </w:tr>
      <w:tr>
        <w:trPr>
          <w:trHeight w:val="230"/>
        </w:trPr>
        <w:tc>
          <w:tcPr>
            <w:tcW w:w="5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314,773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235,045</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228,142</w:t>
            </w:r>
          </w:p>
        </w:tc>
      </w:tr>
      <w:tr>
        <w:trPr>
          <w:trHeight w:val="223"/>
        </w:trPr>
        <w:tc>
          <w:tcPr>
            <w:tcW w:w="5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1,777,351</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1,847,484</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1,793,684</w:t>
            </w:r>
          </w:p>
        </w:tc>
      </w:tr>
      <w:tr>
        <w:trPr>
          <w:trHeight w:val="248"/>
        </w:trPr>
        <w:tc>
          <w:tcPr>
            <w:tcW w:w="5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6,564,962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6,318,028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6,369,742</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ind w:left="530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60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Six Months Ended January 31,</w:t>
            </w:r>
          </w:p>
        </w:tc>
      </w:tr>
      <w:tr>
        <w:trPr>
          <w:trHeight w:val="26"/>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Mountain and Lodging services and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901,837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770,300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1,112,223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892,160</w:t>
            </w:r>
          </w:p>
        </w:tc>
      </w:tr>
      <w:tr>
        <w:trPr>
          <w:trHeight w:val="229"/>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Mountain and Lodging retail and dining</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192,182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136,055</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261,130</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189,456</w:t>
            </w: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Resort net revenue</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1,094,019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906,355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1,373,353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1,081,616</w:t>
            </w:r>
          </w:p>
        </w:tc>
      </w:tr>
      <w:tr>
        <w:trPr>
          <w:trHeight w:val="229"/>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7,699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7,812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Total net revenue</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1,101,718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906,535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1,381,165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1,082,111</w:t>
            </w:r>
          </w:p>
        </w:tc>
      </w:tr>
      <w:tr>
        <w:trPr>
          <w:trHeight w:val="188"/>
        </w:trPr>
        <w:tc>
          <w:tcPr>
            <w:tcW w:w="5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Operating expense (exclusive of depreciation and amortization shown</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separately below):</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Mountain and Lodging operating expense</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507,216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364,336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749,502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548,061</w:t>
            </w: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Mountain and Lodging retail and dining cost of products sold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75,431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110,516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77,944</w:t>
            </w: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116,616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91,261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215,415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168,495</w:t>
            </w:r>
          </w:p>
        </w:tc>
      </w:tr>
      <w:tr>
        <w:trPr>
          <w:trHeight w:val="223"/>
        </w:trPr>
        <w:tc>
          <w:tcPr>
            <w:tcW w:w="5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Resort operating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699,263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1,075,433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794,500</w:t>
            </w: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Real Estate operating expense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6,310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7,692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w:t>
            </w:r>
          </w:p>
        </w:tc>
      </w:tr>
      <w:tr>
        <w:trPr>
          <w:trHeight w:val="223"/>
        </w:trPr>
        <w:tc>
          <w:tcPr>
            <w:tcW w:w="5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segment operating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705,573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1,083,125</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797,481</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Other operating (expense) income: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(130,603)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(123,559)</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Gain on sale of real property</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757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757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Change in estimated fair value of contingent consideration (Note 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w:t>
            </w:r>
          </w:p>
        </w:tc>
      </w:tr>
      <w:tr>
        <w:trPr>
          <w:trHeight w:val="230"/>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(Loss) gain on disposal of fixed assets and other,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16,214</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328,033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164,672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159,467</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Mountain equity investment income, net</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2,332</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income and other,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7,108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9,994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Foreign currency gain (loss) on intercompany loans (Note 5)</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2,338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(2,039)</w:t>
            </w: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(37,366)</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(73,672)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(76,911)</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Income before (provision for) benefit from income taxes</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299,151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285,979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97,585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83,605</w:t>
            </w: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(52,049)</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(21,026)</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220,119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233,930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76,559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91,409</w:t>
            </w: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208,679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223,391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71,708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84,059</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amounts (Note 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Basic net income per share attributable to Vail Resorts, Inc.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5.17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net income per share attributable to Vail Resorts,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Pr>
          <w:p>
            <w:pPr>
              <w:spacing w:after="0"/>
              <w:rPr>
                <w:sz w:val="16"/>
                <w:szCs w:val="16"/>
                <w:color w:val="auto"/>
              </w:rPr>
            </w:pPr>
          </w:p>
        </w:tc>
        <w:tc>
          <w:tcPr>
            <w:tcW w:w="252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rPr>
              <w:t>Six Months Ended January 31,</w:t>
            </w:r>
          </w:p>
        </w:tc>
      </w:tr>
      <w:tr>
        <w:trPr>
          <w:trHeight w:val="26"/>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6"/>
        </w:trPr>
        <w:tc>
          <w:tcPr>
            <w:tcW w:w="5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220,119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76,559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91,409</w:t>
            </w: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82,468</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(35,340)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(33,720)</w:t>
            </w:r>
          </w:p>
        </w:tc>
      </w:tr>
      <w:tr>
        <w:trPr>
          <w:trHeight w:val="229"/>
        </w:trPr>
        <w:tc>
          <w:tcPr>
            <w:tcW w:w="55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 of hedging instruments,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5,220</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8,828</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299,800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189,556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46,439</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66,517</w:t>
            </w:r>
          </w:p>
        </w:tc>
      </w:tr>
      <w:tr>
        <w:trPr>
          <w:trHeight w:val="229"/>
        </w:trPr>
        <w:tc>
          <w:tcPr>
            <w:tcW w:w="55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7"/>
              </w:rPr>
              <w:t>Comprehensive (income)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(30,778)</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5,781</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 attributable to Vail Resorts,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269,022</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189,120</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52,220</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66,678</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89"/>
              </w:rPr>
              <w:t>Total Vail</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center"/>
              <w:ind w:right="6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21"/>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41"/>
              <w:spacing w:after="0" w:line="122" w:lineRule="exact"/>
              <w:rPr>
                <w:sz w:val="20"/>
                <w:szCs w:val="20"/>
                <w:color w:val="auto"/>
              </w:rPr>
            </w:pPr>
            <w:r>
              <w:rPr>
                <w:rFonts w:ascii="Arial" w:cs="Arial" w:eastAsia="Arial" w:hAnsi="Arial"/>
                <w:sz w:val="13"/>
                <w:szCs w:val="13"/>
                <w:b w:val="1"/>
                <w:bCs w:val="1"/>
                <w:color w:val="auto"/>
                <w:w w:val="84"/>
              </w:rPr>
              <w:t>Resorts, Inc.</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w w:val="98"/>
              </w:rPr>
              <w:t>Common Stock</w:t>
            </w:r>
          </w:p>
        </w:tc>
        <w:tc>
          <w:tcPr>
            <w:tcW w:w="32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5"/>
              </w:rPr>
              <w:t>Additional Paid</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1"/>
                <w:szCs w:val="11"/>
                <w:color w:val="auto"/>
              </w:rPr>
            </w:pPr>
          </w:p>
        </w:tc>
        <w:tc>
          <w:tcPr>
            <w:tcW w:w="760" w:type="dxa"/>
            <w:vAlign w:val="bottom"/>
          </w:tcPr>
          <w:p>
            <w:pPr>
              <w:jc w:val="right"/>
              <w:ind w:right="141"/>
              <w:spacing w:after="0" w:line="135" w:lineRule="exact"/>
              <w:rPr>
                <w:sz w:val="20"/>
                <w:szCs w:val="20"/>
                <w:color w:val="auto"/>
              </w:rPr>
            </w:pPr>
            <w:r>
              <w:rPr>
                <w:rFonts w:ascii="Arial" w:cs="Arial" w:eastAsia="Arial" w:hAnsi="Arial"/>
                <w:sz w:val="13"/>
                <w:szCs w:val="13"/>
                <w:b w:val="1"/>
                <w:bCs w:val="1"/>
                <w:color w:val="auto"/>
                <w:w w:val="94"/>
              </w:rPr>
              <w:t>Retained</w:t>
            </w: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89"/>
              </w:rPr>
              <w:t>Treasury Stock</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0"/>
              </w:rPr>
              <w:t>Noncontrolling</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2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9"/>
              </w:rPr>
              <w:t>in Capital</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6"/>
              </w:rPr>
              <w:t>Earnings</w:t>
            </w:r>
          </w:p>
        </w:tc>
        <w:tc>
          <w:tcPr>
            <w:tcW w:w="9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5"/>
              </w:rPr>
              <w:t>Equity</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5"/>
              </w:rPr>
              <w:t>Interests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9"/>
        </w:trPr>
        <w:tc>
          <w:tcPr>
            <w:tcW w:w="2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87"/>
              </w:rPr>
              <w:t>Vail Resorts</w:t>
            </w: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4"/>
              </w:rPr>
              <w:t>Exchangeable</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October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1,192,901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44,689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598,796</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1,432,441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233,989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1,666,430</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223,391</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223,391</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10,539</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233,930</w:t>
            </w: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Arial" w:cs="Arial" w:eastAsia="Arial" w:hAnsi="Arial"/>
                <w:sz w:val="16"/>
                <w:szCs w:val="16"/>
                <w:color w:val="auto"/>
                <w:w w:val="96"/>
              </w:rPr>
              <w:t>Foreign currency translation adjustments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(38,754)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(38,754)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(10,103)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(48,857)</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Change in estimated fair value of hedging</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4,483</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4,483</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4,483</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instruments, net of tax</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comprehensive income</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189,120</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189,556</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6,479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6,479</w:t>
            </w:r>
          </w:p>
        </w:tc>
        <w:tc>
          <w:tcPr>
            <w:tcW w:w="0" w:type="dxa"/>
            <w:vAlign w:val="bottom"/>
          </w:tcPr>
          <w:p>
            <w:pPr>
              <w:spacing w:after="0"/>
              <w:rPr>
                <w:sz w:val="1"/>
                <w:szCs w:val="1"/>
                <w:color w:val="auto"/>
              </w:rPr>
            </w:pPr>
          </w:p>
        </w:tc>
      </w:tr>
      <w:tr>
        <w:trPr>
          <w:trHeight w:val="166"/>
        </w:trPr>
        <w:tc>
          <w:tcPr>
            <w:tcW w:w="2940" w:type="dxa"/>
            <w:vAlign w:val="bottom"/>
          </w:tcPr>
          <w:p>
            <w:pPr>
              <w:ind w:left="20"/>
              <w:spacing w:after="0" w:line="166" w:lineRule="exact"/>
              <w:rPr>
                <w:sz w:val="20"/>
                <w:szCs w:val="20"/>
                <w:color w:val="auto"/>
              </w:rPr>
            </w:pPr>
            <w:r>
              <w:rPr>
                <w:rFonts w:ascii="Arial" w:cs="Arial" w:eastAsia="Arial" w:hAnsi="Arial"/>
                <w:sz w:val="16"/>
                <w:szCs w:val="16"/>
                <w:color w:val="auto"/>
                <w:w w:val="90"/>
              </w:rPr>
              <w:t>Issuance of shares under share award plans,</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(26,785)</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(26,784)</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(26,784)</w:t>
            </w:r>
          </w:p>
        </w:tc>
        <w:tc>
          <w:tcPr>
            <w:tcW w:w="0" w:type="dxa"/>
            <w:vAlign w:val="bottom"/>
          </w:tcPr>
          <w:p>
            <w:pPr>
              <w:spacing w:after="0"/>
              <w:rPr>
                <w:sz w:val="1"/>
                <w:szCs w:val="1"/>
                <w:color w:val="auto"/>
              </w:rPr>
            </w:pPr>
          </w:p>
        </w:tc>
      </w:tr>
      <w:tr>
        <w:trPr>
          <w:trHeight w:val="209"/>
        </w:trPr>
        <w:tc>
          <w:tcPr>
            <w:tcW w:w="2940" w:type="dxa"/>
            <w:vAlign w:val="bottom"/>
          </w:tcPr>
          <w:p>
            <w:pPr>
              <w:ind w:left="20"/>
              <w:spacing w:after="0"/>
              <w:rPr>
                <w:sz w:val="20"/>
                <w:szCs w:val="20"/>
                <w:color w:val="auto"/>
              </w:rPr>
            </w:pPr>
            <w:r>
              <w:rPr>
                <w:rFonts w:ascii="Arial" w:cs="Arial" w:eastAsia="Arial" w:hAnsi="Arial"/>
                <w:sz w:val="16"/>
                <w:szCs w:val="16"/>
                <w:color w:val="auto"/>
                <w:w w:val="98"/>
              </w:rPr>
              <w:t>net of shares withheld for employee taxes</w:t>
            </w: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(Note 4)</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(35,714)</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(35,714)</w:t>
            </w:r>
          </w:p>
        </w:tc>
        <w:tc>
          <w:tcPr>
            <w:tcW w:w="0" w:type="dxa"/>
            <w:vAlign w:val="bottom"/>
          </w:tcPr>
          <w:p>
            <w:pPr>
              <w:spacing w:after="0"/>
              <w:rPr>
                <w:sz w:val="1"/>
                <w:szCs w:val="1"/>
                <w:color w:val="auto"/>
              </w:rPr>
            </w:pPr>
          </w:p>
        </w:tc>
      </w:tr>
      <w:tr>
        <w:trPr>
          <w:trHeight w:val="213"/>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4"/>
              </w:rPr>
              <w:t>Distributions to noncontrolling interests, net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(6,283)</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(6,283)</w:t>
            </w: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January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1,172,595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786,473</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1,565,542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228,142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1,793,684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October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1,106,813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(68,908)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705,923</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3"/>
              </w:rPr>
              <w:t>(479,417)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1,264,879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286,839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1,551,718</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208,679</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208,679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220,119</w:t>
            </w: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Arial" w:cs="Arial" w:eastAsia="Arial" w:hAnsi="Arial"/>
                <w:sz w:val="16"/>
                <w:szCs w:val="16"/>
                <w:color w:val="auto"/>
                <w:w w:val="96"/>
              </w:rPr>
              <w:t>Foreign currency translation adjustments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63,130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63,130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19,338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82,468</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Change in estimated fair value of hedging</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(2,787)</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(2,787)</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(2,787)</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instruments, net of tax</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comprehensive income</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269,022</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30,778</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299,800</w:t>
            </w:r>
          </w:p>
        </w:tc>
        <w:tc>
          <w:tcPr>
            <w:tcW w:w="0" w:type="dxa"/>
            <w:vAlign w:val="bottom"/>
          </w:tcPr>
          <w:p>
            <w:pPr>
              <w:spacing w:after="0"/>
              <w:rPr>
                <w:sz w:val="1"/>
                <w:szCs w:val="1"/>
                <w:color w:val="auto"/>
              </w:rPr>
            </w:pPr>
          </w:p>
        </w:tc>
      </w:tr>
      <w:tr>
        <w:trPr>
          <w:trHeight w:val="213"/>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6,844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6,844</w:t>
            </w:r>
          </w:p>
        </w:tc>
        <w:tc>
          <w:tcPr>
            <w:tcW w:w="0" w:type="dxa"/>
            <w:vAlign w:val="bottom"/>
          </w:tcPr>
          <w:p>
            <w:pPr>
              <w:spacing w:after="0"/>
              <w:rPr>
                <w:sz w:val="1"/>
                <w:szCs w:val="1"/>
                <w:color w:val="auto"/>
              </w:rPr>
            </w:pPr>
          </w:p>
        </w:tc>
      </w:tr>
      <w:tr>
        <w:trPr>
          <w:trHeight w:val="166"/>
        </w:trPr>
        <w:tc>
          <w:tcPr>
            <w:tcW w:w="2940" w:type="dxa"/>
            <w:vAlign w:val="bottom"/>
          </w:tcPr>
          <w:p>
            <w:pPr>
              <w:ind w:left="20"/>
              <w:spacing w:after="0" w:line="166" w:lineRule="exact"/>
              <w:rPr>
                <w:sz w:val="20"/>
                <w:szCs w:val="20"/>
                <w:color w:val="auto"/>
              </w:rPr>
            </w:pPr>
            <w:r>
              <w:rPr>
                <w:rFonts w:ascii="Arial" w:cs="Arial" w:eastAsia="Arial" w:hAnsi="Arial"/>
                <w:sz w:val="16"/>
                <w:szCs w:val="16"/>
                <w:color w:val="auto"/>
                <w:w w:val="90"/>
              </w:rPr>
              <w:t>Issuance of shares under share award plans,</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(1,138)</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09"/>
        </w:trPr>
        <w:tc>
          <w:tcPr>
            <w:tcW w:w="2940" w:type="dxa"/>
            <w:vAlign w:val="bottom"/>
          </w:tcPr>
          <w:p>
            <w:pPr>
              <w:ind w:left="20"/>
              <w:spacing w:after="0"/>
              <w:rPr>
                <w:sz w:val="20"/>
                <w:szCs w:val="20"/>
                <w:color w:val="auto"/>
              </w:rPr>
            </w:pPr>
            <w:r>
              <w:rPr>
                <w:rFonts w:ascii="Arial" w:cs="Arial" w:eastAsia="Arial" w:hAnsi="Arial"/>
                <w:sz w:val="16"/>
                <w:szCs w:val="16"/>
                <w:color w:val="auto"/>
                <w:w w:val="98"/>
              </w:rPr>
              <w:t>net of shares withheld for employee taxes</w:t>
            </w: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(Note 4)</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(77,029)</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(77,029)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(77,029)</w:t>
            </w:r>
          </w:p>
        </w:tc>
        <w:tc>
          <w:tcPr>
            <w:tcW w:w="0" w:type="dxa"/>
            <w:vAlign w:val="bottom"/>
          </w:tcPr>
          <w:p>
            <w:pPr>
              <w:spacing w:after="0"/>
              <w:rPr>
                <w:sz w:val="1"/>
                <w:szCs w:val="1"/>
                <w:color w:val="auto"/>
              </w:rPr>
            </w:pPr>
          </w:p>
        </w:tc>
      </w:tr>
      <w:tr>
        <w:trPr>
          <w:trHeight w:val="213"/>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4"/>
              </w:rPr>
              <w:t>Distributions to noncontrolling interests, net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(2,844)</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(2,844)</w:t>
            </w: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January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1,112,519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837,573</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(479,417)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1,462,578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1,777,351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89"/>
              </w:rPr>
              <w:t>Total Vail</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center"/>
              <w:ind w:right="6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21"/>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41"/>
              <w:spacing w:after="0" w:line="122" w:lineRule="exact"/>
              <w:rPr>
                <w:sz w:val="20"/>
                <w:szCs w:val="20"/>
                <w:color w:val="auto"/>
              </w:rPr>
            </w:pPr>
            <w:r>
              <w:rPr>
                <w:rFonts w:ascii="Arial" w:cs="Arial" w:eastAsia="Arial" w:hAnsi="Arial"/>
                <w:sz w:val="13"/>
                <w:szCs w:val="13"/>
                <w:b w:val="1"/>
                <w:bCs w:val="1"/>
                <w:color w:val="auto"/>
                <w:w w:val="84"/>
              </w:rPr>
              <w:t>Resorts, Inc.</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w w:val="98"/>
              </w:rPr>
              <w:t>Common Stock</w:t>
            </w:r>
          </w:p>
        </w:tc>
        <w:tc>
          <w:tcPr>
            <w:tcW w:w="32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5"/>
              </w:rPr>
              <w:t>Additional Paid</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1"/>
                <w:szCs w:val="11"/>
                <w:color w:val="auto"/>
              </w:rPr>
            </w:pPr>
          </w:p>
        </w:tc>
        <w:tc>
          <w:tcPr>
            <w:tcW w:w="760" w:type="dxa"/>
            <w:vAlign w:val="bottom"/>
          </w:tcPr>
          <w:p>
            <w:pPr>
              <w:jc w:val="right"/>
              <w:ind w:right="141"/>
              <w:spacing w:after="0" w:line="135" w:lineRule="exact"/>
              <w:rPr>
                <w:sz w:val="20"/>
                <w:szCs w:val="20"/>
                <w:color w:val="auto"/>
              </w:rPr>
            </w:pPr>
            <w:r>
              <w:rPr>
                <w:rFonts w:ascii="Arial" w:cs="Arial" w:eastAsia="Arial" w:hAnsi="Arial"/>
                <w:sz w:val="13"/>
                <w:szCs w:val="13"/>
                <w:b w:val="1"/>
                <w:bCs w:val="1"/>
                <w:color w:val="auto"/>
                <w:w w:val="94"/>
              </w:rPr>
              <w:t>Retained</w:t>
            </w: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89"/>
              </w:rPr>
              <w:t>Treasury Stock</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0"/>
              </w:rPr>
              <w:t>Noncontrolling</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2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9"/>
              </w:rPr>
              <w:t>in Capital</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6"/>
              </w:rPr>
              <w:t>Earnings</w:t>
            </w:r>
          </w:p>
        </w:tc>
        <w:tc>
          <w:tcPr>
            <w:tcW w:w="9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5"/>
              </w:rPr>
              <w:t>Equity</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5"/>
              </w:rPr>
              <w:t>Interests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9"/>
        </w:trPr>
        <w:tc>
          <w:tcPr>
            <w:tcW w:w="2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87"/>
              </w:rPr>
              <w:t>Vail Resorts</w:t>
            </w: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4"/>
              </w:rPr>
              <w:t>Exchangeable</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July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1,196,993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773,752</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1,594,599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234,469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1,829,068</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84,059</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84,059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91,409</w:t>
            </w:r>
          </w:p>
        </w:tc>
        <w:tc>
          <w:tcPr>
            <w:tcW w:w="0" w:type="dxa"/>
            <w:vAlign w:val="bottom"/>
          </w:tcPr>
          <w:p>
            <w:pPr>
              <w:spacing w:after="0"/>
              <w:rPr>
                <w:sz w:val="1"/>
                <w:szCs w:val="1"/>
                <w:color w:val="auto"/>
              </w:rPr>
            </w:pPr>
          </w:p>
        </w:tc>
      </w:tr>
      <w:tr>
        <w:trPr>
          <w:trHeight w:val="213"/>
        </w:trPr>
        <w:tc>
          <w:tcPr>
            <w:tcW w:w="2960" w:type="dxa"/>
            <w:vAlign w:val="bottom"/>
          </w:tcPr>
          <w:p>
            <w:pPr>
              <w:ind w:left="140"/>
              <w:spacing w:after="0"/>
              <w:rPr>
                <w:sz w:val="20"/>
                <w:szCs w:val="20"/>
                <w:color w:val="auto"/>
              </w:rPr>
            </w:pPr>
            <w:r>
              <w:rPr>
                <w:rFonts w:ascii="Arial" w:cs="Arial" w:eastAsia="Arial" w:hAnsi="Arial"/>
                <w:sz w:val="16"/>
                <w:szCs w:val="16"/>
                <w:color w:val="auto"/>
                <w:w w:val="96"/>
              </w:rPr>
              <w:t>Foreign currency translation adjustments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(26,209)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(26,209)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(7,511)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(33,720)</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Change in estimated fair value of hedging</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8,828</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8,828</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8,828</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instruments, net of tax</w:t>
            </w: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comprehensive income</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66,678</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66,517</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12,904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12,904</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w w:val="91"/>
              </w:rPr>
              <w:t>Issuance of shares under share award plans,</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(37,302)</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(37,301)</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(37,301)</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w w:val="98"/>
              </w:rPr>
              <w:t>net of shares withheld for employee taxes</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(Note 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(71,338)</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(71,338)</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(71,338)</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5"/>
              </w:rPr>
              <w:t>Distributions to noncontrolling interests, net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(6,166)</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(6,166)</w:t>
            </w:r>
          </w:p>
        </w:tc>
        <w:tc>
          <w:tcPr>
            <w:tcW w:w="0" w:type="dxa"/>
            <w:vAlign w:val="bottom"/>
          </w:tcPr>
          <w:p>
            <w:pPr>
              <w:spacing w:after="0"/>
              <w:rPr>
                <w:sz w:val="1"/>
                <w:szCs w:val="1"/>
                <w:color w:val="auto"/>
              </w:rPr>
            </w:pPr>
          </w:p>
        </w:tc>
      </w:tr>
      <w:tr>
        <w:trPr>
          <w:trHeight w:val="234"/>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January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1,172,595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786,473</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1,565,542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228,142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1,793,684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July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1,184,577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895,889</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3"/>
              </w:rPr>
              <w:t>(479,417)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1,612,439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235,045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1,847,484</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71,708</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71,708</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76,559</w:t>
            </w:r>
          </w:p>
        </w:tc>
        <w:tc>
          <w:tcPr>
            <w:tcW w:w="0" w:type="dxa"/>
            <w:vAlign w:val="bottom"/>
          </w:tcPr>
          <w:p>
            <w:pPr>
              <w:spacing w:after="0"/>
              <w:rPr>
                <w:sz w:val="1"/>
                <w:szCs w:val="1"/>
                <w:color w:val="auto"/>
              </w:rPr>
            </w:pPr>
          </w:p>
        </w:tc>
      </w:tr>
      <w:tr>
        <w:trPr>
          <w:trHeight w:val="213"/>
        </w:trPr>
        <w:tc>
          <w:tcPr>
            <w:tcW w:w="2960" w:type="dxa"/>
            <w:vAlign w:val="bottom"/>
          </w:tcPr>
          <w:p>
            <w:pPr>
              <w:ind w:left="140"/>
              <w:spacing w:after="0"/>
              <w:rPr>
                <w:sz w:val="20"/>
                <w:szCs w:val="20"/>
                <w:color w:val="auto"/>
              </w:rPr>
            </w:pPr>
            <w:r>
              <w:rPr>
                <w:rFonts w:ascii="Arial" w:cs="Arial" w:eastAsia="Arial" w:hAnsi="Arial"/>
                <w:sz w:val="16"/>
                <w:szCs w:val="16"/>
                <w:color w:val="auto"/>
                <w:w w:val="96"/>
              </w:rPr>
              <w:t>Foreign currency translation adjustments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(24,708)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(24,708)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(10,632)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(35,340)</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Change in estimated fair value of hedging</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5,220</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5,220</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5,220</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instruments</w:t>
            </w: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comprehensive income</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52,220</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(5,781)</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46,439</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13,189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w w:val="91"/>
              </w:rPr>
              <w:t>Issuance of shares under share award plans,</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(5,181)</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(5,180)</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(5,180)</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w w:val="98"/>
              </w:rPr>
              <w:t>net of shares withheld for employee taxes</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(154,047)</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(154,047)</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(154,047)</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w w:val="94"/>
              </w:rPr>
              <w:t>Cumulative effect of adoption of ASU 2020-</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(80,066)</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24,023</w:t>
            </w:r>
          </w:p>
        </w:tc>
        <w:tc>
          <w:tcPr>
            <w:tcW w:w="20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(56,043)</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(56,043)</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06 (Notes 2 &amp; 5)</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Estimated acquisition date fair value of</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91,524</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91,524</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 (Note 6)</w:t>
            </w: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5"/>
              </w:rPr>
              <w:t>Distributions to noncontrolling interests, net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(6,015)</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(6,015)</w:t>
            </w:r>
          </w:p>
        </w:tc>
        <w:tc>
          <w:tcPr>
            <w:tcW w:w="0" w:type="dxa"/>
            <w:vAlign w:val="bottom"/>
          </w:tcPr>
          <w:p>
            <w:pPr>
              <w:spacing w:after="0"/>
              <w:rPr>
                <w:sz w:val="1"/>
                <w:szCs w:val="1"/>
                <w:color w:val="auto"/>
              </w:rPr>
            </w:pPr>
          </w:p>
        </w:tc>
      </w:tr>
      <w:tr>
        <w:trPr>
          <w:trHeight w:val="235"/>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January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1,112,519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837,573</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(479,417)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1,462,578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1,777,351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Six Months Ended January 31,</w:t>
            </w:r>
          </w:p>
        </w:tc>
      </w:tr>
      <w:tr>
        <w:trPr>
          <w:trHeight w:val="26"/>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76,559</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91,409</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130,603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123,559</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13,189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12,904</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Deferred income taxes, net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19,947</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9,214</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estimated fair value of contingent consideration</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1,736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18,780</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Other non-cash expense (income), net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866</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and liabilities: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Trade receivables, net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226,796</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178,252</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(12,962)</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(23,627)</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96,247</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89,502</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104,996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147,614</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(31,166)</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(7,581)</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assets and liabilities, net</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(21,318)</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(28,095)</w:t>
            </w:r>
          </w:p>
        </w:tc>
      </w:tr>
      <w:tr>
        <w:trPr>
          <w:trHeight w:val="209"/>
        </w:trPr>
        <w:tc>
          <w:tcPr>
            <w:tcW w:w="7840" w:type="dxa"/>
            <w:vAlign w:val="bottom"/>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605,493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611,329</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(206,554)</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(128,854)</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Return of deposit for acquisition of business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114,506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Acquisition of businesses, net of cash acquired</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(38,567)</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(118,099)</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short-term deposits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(86,756)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investing activities, net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11,346</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21,421</w:t>
            </w:r>
          </w:p>
        </w:tc>
      </w:tr>
      <w:tr>
        <w:trPr>
          <w:trHeight w:val="213"/>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(206,025)</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(225,532)</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borrowings under Vail Holdings Credit Agreement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(31,250)</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Repayments of borrowings under Whistler Credit Agreement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(23,145)</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 of EB-5 Development Notes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(51,500)</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Employee taxes paid for share award exercises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(5,181)</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(37,302)</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paid</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(154,047)</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(71,338)</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financing activities, net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(10,899)</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(6,158)</w:t>
            </w:r>
          </w:p>
        </w:tc>
      </w:tr>
      <w:tr>
        <w:trPr>
          <w:trHeight w:val="209"/>
        </w:trPr>
        <w:tc>
          <w:tcPr>
            <w:tcW w:w="78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(201,377)</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(220,693)</w:t>
            </w:r>
          </w:p>
        </w:tc>
      </w:tr>
      <w:tr>
        <w:trPr>
          <w:trHeight w:val="210"/>
        </w:trPr>
        <w:tc>
          <w:tcPr>
            <w:tcW w:w="7840" w:type="dxa"/>
            <w:vAlign w:val="bottom"/>
          </w:tcPr>
          <w:p>
            <w:pPr>
              <w:ind w:left="2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(4,843)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(1,016)</w:t>
            </w:r>
          </w:p>
        </w:tc>
      </w:tr>
      <w:tr>
        <w:trPr>
          <w:trHeight w:val="21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increase in cash, cash equivalents and restricted cash</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193,248</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164,088</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1,126,107</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1,258,574</w:t>
            </w:r>
          </w:p>
        </w:tc>
      </w:tr>
      <w:tr>
        <w:trPr>
          <w:trHeight w:val="210"/>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1,319,355</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1,422,662</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9"/>
        </w:trPr>
        <w:tc>
          <w:tcPr>
            <w:tcW w:w="78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Non-cash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capital expenditures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49,091</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17,388</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 The Company refers to “Resort” as the combination of the Mountain and Lodging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41 destination mountain resorts and regional ski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which operates destination resorts in Grand Teton National Park; a Colorado resort ground transportation company and mountain resort golf courses.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Vail Resorts Development Company, a wholly-owned subsidiary, conducts the operations of the Company’s Real Estate segment, which owns, develops and sells real estate in and around the Company’s resort communities.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The Company’s mountain business and its lodging properties at or around the Company’s mountain resorts are seasonal in nature, and typically experience their peak operating seasons primarily from mid-December through mid-April in North America and Europe. The peak operating season at the Company’s Australian resorts, NPS concessioner properties and golf courses generally occurs from June to early October.</w:t>
      </w:r>
    </w:p>
    <w:p>
      <w:pPr>
        <w:spacing w:after="0" w:line="188"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 </w:t>
      </w:r>
      <w:r>
        <w:rPr>
          <w:rFonts w:ascii="Arial" w:cs="Arial" w:eastAsia="Arial" w:hAnsi="Arial"/>
          <w:sz w:val="17"/>
          <w:szCs w:val="17"/>
          <w:color w:val="auto"/>
        </w:rPr>
        <w:t>In the opinion of the Company, the accompanying Consolidated Condensed Financial Statements reflect</w:t>
      </w:r>
      <w:r>
        <w:rPr>
          <w:rFonts w:ascii="Arial" w:cs="Arial" w:eastAsia="Arial" w:hAnsi="Arial"/>
          <w:sz w:val="17"/>
          <w:szCs w:val="17"/>
          <w:i w:val="1"/>
          <w:iCs w:val="1"/>
          <w:color w:val="auto"/>
        </w:rPr>
        <w:t xml:space="preserve"> </w:t>
      </w:r>
      <w:r>
        <w:rPr>
          <w:rFonts w:ascii="Arial" w:cs="Arial" w:eastAsia="Arial" w:hAnsi="Arial"/>
          <w:sz w:val="17"/>
          <w:szCs w:val="17"/>
          <w:color w:val="auto"/>
        </w:rPr>
        <w:t>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2022.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2022 was derived from audited financial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 assumptions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 The recorded amounts for cash and cash equivalents, restricted cash, trade receivables, other current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payable and accrued liabilities approximate fair value due to their short-term nature. The fair value of amounts outstanding under the Company’s credit agreements and the Employee Housing Bonds (as defined in Note 5, Long-Term Debt) approximate book value due to the variable nature of the interest rate associated with the debt. The recorded amount outstanding under the Company’s NRP Loan (as defined in Note 5, Long-Term Debt), which was assumed by the Company during the six months ended January 31, 2023 approximates fair value as the debt obligation was recorded at estimated fair value in conjunction with the preliminary purchase accounting for the Andermatt-Sedrun acquisition (see Note 6, Acquisitions). The estimated fair values of the 6.25% Notes and the 0.0% Convertible Notes (each as defined in Note 5, Long-Term Debt) are based on quoted market prices (a Level 2 input). The estimated fair value of the EPR Secured Notes (as defined in Note 5, Long-Term Debt) has been estimated using analyses based on current borrowing rates for debt with similar remaining maturities and ratings (a Level 2 input). The carrying values, including any unamortized premium or discount, and estimated fair values of the 6.25% Notes, 0.0% Convertible Notes and EPR Secured Notes as of January 31, 2023 are presented below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3"/>
          </w:tcPr>
          <w:p>
            <w:pPr>
              <w:jc w:val="right"/>
              <w:ind w:right="1095"/>
              <w:spacing w:after="0"/>
              <w:rPr>
                <w:sz w:val="20"/>
                <w:szCs w:val="20"/>
                <w:color w:val="auto"/>
              </w:rPr>
            </w:pPr>
            <w:r>
              <w:rPr>
                <w:rFonts w:ascii="Arial" w:cs="Arial" w:eastAsia="Arial" w:hAnsi="Arial"/>
                <w:sz w:val="14"/>
                <w:szCs w:val="14"/>
                <w:b w:val="1"/>
                <w:bCs w:val="1"/>
                <w:color w:val="auto"/>
              </w:rPr>
              <w:t>January 31, 2023</w:t>
            </w:r>
          </w:p>
        </w:tc>
      </w:tr>
      <w:tr>
        <w:trPr>
          <w:trHeight w:val="25"/>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9"/>
        </w:trPr>
        <w:tc>
          <w:tcPr>
            <w:tcW w:w="7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Estimated Fair Value</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 Notes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604,062</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0.0% Convertible Notes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575,000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547,339</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EPR Secured Notes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133,305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161,156</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2020-04, “Reference Rate Reform (Topic 848): Facilitation of the Effects of Reference Rate Reform on Financial Reporting.” The ASU provides optional transition guidance, for a limited time, to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of ASU 2020-04 were effective as of March 12, 2020. In December 2022, the FASB issued ASU 2022-06, “Reference Rate Reform (Topic 848): Deferral of the Sunset Date of Topic 848,” which extended the effective date of the provisions of ASU 2020-04 to December 31, 2024. The amendments in this update may be applied as of any date from the beginning of an interim period that includes or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is subsequent to March 12, 2020, or prospectively from a date within an interim period that includes or is subsequent to March 12, 2020, up to the date that the financial statements are available to be issued. All other amendments should be applied on a prospective basis.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party to various interest rate swap agreements that hedge the variable interest rate component of underlying cash flows of $400.0 million in principal amount of its Vail Holdings Credit Agreement (as defined in Note 5, Long-Term Debt), which are designated as cash flow hedges. During the six months ended January 31, 2023, the Company entered into an amendment to its Vail Holdings Credit Agreement (the “Fifth Amendment”) to modify the calculation of interest under the Vail Holdings Credit Agreement from being calculated based on LIBOR to being calculated based on SOFR (see Note 5, Long-Term Debt, for additional information). Subsequent to the Fifth Amendment, the interest rate swaps were also amended to transition from a hedge of LIBOR to a hedge of SOFR. The Company elected certain optional expedients provided by Topic 848, which allowed the Company to not apply certain modification accounting requirements or reassess the previous accounting designation of the interest rate swap agreements as cash flow hedges.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FASB issued ASU 2020-06, “Accounting for Convertible Instruments and Contracts in an Entity’s Own Equity” which simplifies the guidance in Accounting Standards Codifications (“ASC”) 470-20, “Debt – Debt with Conversion and Other Options.” The guidance removes certain rules which required separation of the embedded conversion features from the host contract for convertible instruments. The updated guidance requires bifurcation only if the convertible debt feature qualifies as a derivative under ASC 815, “Derivatives and Hedging”, or for convertible debt issued at a substantial premium. The guidance also amends the guidance in ASC 815-40, “Derivatives and Hedging – Contracts in Entity’s Own Equity” for certain contracts in an entity’s own equity that are currently accounted for as derivatives. This standard is effective for fiscal years beginning after December 15, 2021, including interim periods within those fiscal years (the Company’s first quarter of the fiscal year ending July 31, 2023). This standard allows for a modified retrospective or fully retrospective method of transition. The Company adopted ASU 2020-06 on August 1, 2022 using the modified retrospective method, and therefore prior period financial information has not been retrospectively adjusted and continues to be reported under the accounting standards in effect for those periods.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adoption of the standard, the Company reclassified the previously bifurcated equity component of its 0.0% Convertible Notes (as defined in Note 5, Long-Term Debt) to long-term debt, net, as the convertible option on the 0.0% Convertible Notes does not qualify as a derivatives under ASC 815 nor were the 0.0% Convertible Notes issued at a substantial premium. This reclassification was partially offset by an increase to retained earnings for the previously recognized non-cash interest expense, net of tax that had been recorded as a result of amortization of the previously recorded debt discount. The adoption of this new guidance eliminates the recognition of non-cash interest expense to be recognized in future periods due to removal of the debt discount associated with the 0.0% Convertible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impact of adoption of ASU 2020-06 on the Consolidated Condensed Balance Sheet as of adoption date was as follows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jc w:val="center"/>
              <w:ind w:right="236"/>
              <w:spacing w:after="0"/>
              <w:rPr>
                <w:sz w:val="20"/>
                <w:szCs w:val="20"/>
                <w:color w:val="auto"/>
              </w:rPr>
            </w:pPr>
            <w:r>
              <w:rPr>
                <w:rFonts w:ascii="Arial" w:cs="Arial" w:eastAsia="Arial" w:hAnsi="Arial"/>
                <w:sz w:val="14"/>
                <w:szCs w:val="14"/>
                <w:b w:val="1"/>
                <w:bCs w:val="1"/>
                <w:color w:val="auto"/>
                <w:w w:val="91"/>
              </w:rPr>
              <w:t>As of August 1, 2022</w:t>
            </w:r>
          </w:p>
        </w:tc>
        <w:tc>
          <w:tcPr>
            <w:tcW w:w="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w:t>
            </w:r>
          </w:p>
        </w:tc>
        <w:tc>
          <w:tcPr>
            <w:tcW w:w="120" w:type="dxa"/>
            <w:vAlign w:val="bottom"/>
          </w:tcPr>
          <w:p>
            <w:pPr>
              <w:spacing w:after="0"/>
              <w:rPr>
                <w:sz w:val="11"/>
                <w:szCs w:val="11"/>
                <w:color w:val="auto"/>
              </w:rPr>
            </w:pPr>
          </w:p>
        </w:tc>
        <w:tc>
          <w:tcPr>
            <w:tcW w:w="220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w w:val="92"/>
              </w:rPr>
              <w:t>Balances without the Adoption of</w:t>
            </w:r>
          </w:p>
        </w:tc>
        <w:tc>
          <w:tcPr>
            <w:tcW w:w="340" w:type="dxa"/>
            <w:vAlign w:val="bottom"/>
          </w:tcPr>
          <w:p>
            <w:pPr>
              <w:spacing w:after="0"/>
              <w:rPr>
                <w:sz w:val="11"/>
                <w:szCs w:val="11"/>
                <w:color w:val="auto"/>
              </w:rPr>
            </w:pPr>
          </w:p>
        </w:tc>
        <w:tc>
          <w:tcPr>
            <w:tcW w:w="2020" w:type="dxa"/>
            <w:vAlign w:val="bottom"/>
            <w:vMerge w:val="restart"/>
          </w:tcPr>
          <w:p>
            <w:pPr>
              <w:jc w:val="center"/>
              <w:ind w:right="236"/>
              <w:spacing w:after="0"/>
              <w:rPr>
                <w:sz w:val="20"/>
                <w:szCs w:val="20"/>
                <w:color w:val="auto"/>
              </w:rPr>
            </w:pPr>
            <w:r>
              <w:rPr>
                <w:rFonts w:ascii="Arial" w:cs="Arial" w:eastAsia="Arial" w:hAnsi="Arial"/>
                <w:sz w:val="14"/>
                <w:szCs w:val="14"/>
                <w:b w:val="1"/>
                <w:bCs w:val="1"/>
                <w:color w:val="auto"/>
                <w:w w:val="91"/>
              </w:rPr>
              <w:t>Adjustments</w:t>
            </w:r>
          </w:p>
        </w:tc>
        <w:tc>
          <w:tcPr>
            <w:tcW w:w="2360" w:type="dxa"/>
            <w:vAlign w:val="bottom"/>
            <w:gridSpan w:val="2"/>
          </w:tcPr>
          <w:p>
            <w:pPr>
              <w:jc w:val="right"/>
              <w:ind w:right="14"/>
              <w:spacing w:after="0" w:line="129" w:lineRule="exact"/>
              <w:rPr>
                <w:sz w:val="20"/>
                <w:szCs w:val="20"/>
                <w:color w:val="auto"/>
              </w:rPr>
            </w:pPr>
            <w:r>
              <w:rPr>
                <w:rFonts w:ascii="Arial" w:cs="Arial" w:eastAsia="Arial" w:hAnsi="Arial"/>
                <w:sz w:val="14"/>
                <w:szCs w:val="14"/>
                <w:b w:val="1"/>
                <w:bCs w:val="1"/>
                <w:color w:val="auto"/>
                <w:w w:val="96"/>
              </w:rPr>
              <w:t>Balances with the adoption of ASU</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ASU 2020-06</w:t>
            </w:r>
          </w:p>
        </w:tc>
        <w:tc>
          <w:tcPr>
            <w:tcW w:w="3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2020-06</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20"/>
              <w:spacing w:after="0"/>
              <w:rPr>
                <w:sz w:val="20"/>
                <w:szCs w:val="20"/>
                <w:color w:val="auto"/>
              </w:rPr>
            </w:pPr>
            <w:r>
              <w:rPr>
                <w:rFonts w:ascii="Arial" w:cs="Arial" w:eastAsia="Arial" w:hAnsi="Arial"/>
                <w:sz w:val="18"/>
                <w:szCs w:val="18"/>
                <w:color w:val="auto"/>
              </w:rPr>
              <w:t>Long term debt,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2,670,300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center"/>
              <w:ind w:left="1316"/>
              <w:spacing w:after="0"/>
              <w:rPr>
                <w:sz w:val="20"/>
                <w:szCs w:val="20"/>
                <w:color w:val="auto"/>
              </w:rPr>
            </w:pPr>
            <w:r>
              <w:rPr>
                <w:rFonts w:ascii="Arial" w:cs="Arial" w:eastAsia="Arial" w:hAnsi="Arial"/>
                <w:sz w:val="18"/>
                <w:szCs w:val="18"/>
                <w:color w:val="auto"/>
                <w:w w:val="90"/>
              </w:rPr>
              <w:t>74,822</w:t>
            </w:r>
          </w:p>
        </w:tc>
        <w:tc>
          <w:tcPr>
            <w:tcW w:w="540" w:type="dxa"/>
            <w:vAlign w:val="bottom"/>
          </w:tcPr>
          <w:p>
            <w:pPr>
              <w:jc w:val="right"/>
              <w:ind w:right="334"/>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2,745,122</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268,464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center"/>
              <w:ind w:left="1276"/>
              <w:spacing w:after="0"/>
              <w:rPr>
                <w:sz w:val="20"/>
                <w:szCs w:val="20"/>
                <w:color w:val="auto"/>
              </w:rPr>
            </w:pPr>
            <w:r>
              <w:rPr>
                <w:rFonts w:ascii="Arial" w:cs="Arial" w:eastAsia="Arial" w:hAnsi="Arial"/>
                <w:sz w:val="18"/>
                <w:szCs w:val="18"/>
                <w:color w:val="auto"/>
                <w:w w:val="92"/>
              </w:rPr>
              <w:t>(18,779)</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249,685</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1,184,577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center"/>
              <w:ind w:left="1276"/>
              <w:spacing w:after="0"/>
              <w:rPr>
                <w:sz w:val="20"/>
                <w:szCs w:val="20"/>
                <w:color w:val="auto"/>
              </w:rPr>
            </w:pPr>
            <w:r>
              <w:rPr>
                <w:rFonts w:ascii="Arial" w:cs="Arial" w:eastAsia="Arial" w:hAnsi="Arial"/>
                <w:sz w:val="18"/>
                <w:szCs w:val="18"/>
                <w:color w:val="auto"/>
                <w:w w:val="92"/>
              </w:rPr>
              <w:t>(80,066)</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1,104,511</w:t>
            </w:r>
          </w:p>
        </w:tc>
        <w:tc>
          <w:tcPr>
            <w:tcW w:w="0" w:type="dxa"/>
            <w:vAlign w:val="bottom"/>
          </w:tcPr>
          <w:p>
            <w:pPr>
              <w:spacing w:after="0"/>
              <w:rPr>
                <w:sz w:val="1"/>
                <w:szCs w:val="1"/>
                <w:color w:val="auto"/>
              </w:rPr>
            </w:pPr>
          </w:p>
        </w:tc>
      </w:tr>
      <w:tr>
        <w:trPr>
          <w:trHeight w:val="230"/>
        </w:trPr>
        <w:tc>
          <w:tcPr>
            <w:tcW w:w="414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895,889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center"/>
              <w:ind w:left="1316"/>
              <w:spacing w:after="0"/>
              <w:rPr>
                <w:sz w:val="20"/>
                <w:szCs w:val="20"/>
                <w:color w:val="auto"/>
              </w:rPr>
            </w:pPr>
            <w:r>
              <w:rPr>
                <w:rFonts w:ascii="Arial" w:cs="Arial" w:eastAsia="Arial" w:hAnsi="Arial"/>
                <w:sz w:val="18"/>
                <w:szCs w:val="18"/>
                <w:color w:val="auto"/>
                <w:w w:val="90"/>
              </w:rPr>
              <w:t>24,023</w:t>
            </w:r>
          </w:p>
        </w:tc>
        <w:tc>
          <w:tcPr>
            <w:tcW w:w="540" w:type="dxa"/>
            <w:vAlign w:val="bottom"/>
          </w:tcPr>
          <w:p>
            <w:pPr>
              <w:jc w:val="right"/>
              <w:ind w:right="334"/>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919,912</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ASU 2020-06 also prohibits the use of the treasury stock method for convertible instruments for the purposes of calculating diluted earnings per share (“EPS”) and instead requires application of the if-converted method. Under the if-converted method, diluted EPS will generally be calculated assuming that all of the convertible debt instruments were converted solely into shares of common stock at the beginning of the reporting period unless the result would be anti-dilutive. Pursuant to the terms of the 0.0% Convertible Notes, the principal amount of the 0.0% Convertible Notes is required to be paid in cash and only the premium due upon conversion, if any, is permitted to be settled in shares, cash or a combination of shares and cash. Consequently, for the Company the if-converted method would produce a similar result as the treasury stock method, which was utilized for the calculation of diluted EPS prior to the adoption of ASU 2020-06 for the 0.0% Convertible Notes.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 w:name="page12"/>
    <w:bookmarkEnd w:id="11"/>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net revenues disaggregated by segment and major revenue type for the three and six months ended January 31, 2023 and 2022 (in thousands):</w:t>
      </w:r>
    </w:p>
    <w:p>
      <w:pPr>
        <w:spacing w:after="0" w:line="94"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58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Six Months Ended January 31,</w:t>
            </w:r>
          </w:p>
        </w:tc>
      </w:tr>
      <w:tr>
        <w:trPr>
          <w:trHeight w:val="26"/>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26"/>
        </w:trPr>
        <w:tc>
          <w:tcPr>
            <w:tcW w:w="4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Lift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592,603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521,582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652,143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535,911</w:t>
            </w:r>
          </w:p>
        </w:tc>
      </w:tr>
      <w:tr>
        <w:trPr>
          <w:trHeight w:val="229"/>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123,451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132,378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93,545</w:t>
            </w:r>
          </w:p>
        </w:tc>
      </w:tr>
      <w:tr>
        <w:trPr>
          <w:trHeight w:val="229"/>
        </w:trPr>
        <w:tc>
          <w:tcPr>
            <w:tcW w:w="4960" w:type="dxa"/>
            <w:vAlign w:val="bottom"/>
          </w:tcPr>
          <w:p>
            <w:pPr>
              <w:ind w:left="220"/>
              <w:spacing w:after="0"/>
              <w:rPr>
                <w:sz w:val="20"/>
                <w:szCs w:val="20"/>
                <w:color w:val="auto"/>
              </w:rPr>
            </w:pPr>
            <w:r>
              <w:rPr>
                <w:rFonts w:ascii="Arial" w:cs="Arial" w:eastAsia="Arial" w:hAnsi="Arial"/>
                <w:sz w:val="18"/>
                <w:szCs w:val="18"/>
                <w:color w:val="auto"/>
              </w:rPr>
              <w:t>Dining</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85,828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105,270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66,569</w:t>
            </w: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159,932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200,276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155,207</w:t>
            </w:r>
          </w:p>
        </w:tc>
      </w:tr>
      <w:tr>
        <w:trPr>
          <w:trHeight w:val="229"/>
        </w:trPr>
        <w:tc>
          <w:tcPr>
            <w:tcW w:w="4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51,628</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125,092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92,443</w:t>
            </w:r>
          </w:p>
        </w:tc>
      </w:tr>
      <w:tr>
        <w:trPr>
          <w:trHeight w:val="22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1,013,442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834,375</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1,215,159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943,675</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Lodging net revenue:</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Owned hotel rooms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35,067</w:t>
            </w:r>
          </w:p>
        </w:tc>
      </w:tr>
      <w:tr>
        <w:trPr>
          <w:trHeight w:val="229"/>
        </w:trPr>
        <w:tc>
          <w:tcPr>
            <w:tcW w:w="4960" w:type="dxa"/>
            <w:vAlign w:val="bottom"/>
          </w:tcPr>
          <w:p>
            <w:pPr>
              <w:ind w:left="240"/>
              <w:spacing w:after="0"/>
              <w:rPr>
                <w:sz w:val="20"/>
                <w:szCs w:val="20"/>
                <w:color w:val="auto"/>
              </w:rPr>
            </w:pPr>
            <w:r>
              <w:rPr>
                <w:rFonts w:ascii="Arial" w:cs="Arial" w:eastAsia="Arial" w:hAnsi="Arial"/>
                <w:sz w:val="18"/>
                <w:szCs w:val="18"/>
                <w:color w:val="auto"/>
              </w:rPr>
              <w:t>Managed condominium rooms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31,336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44,195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46,209</w:t>
            </w:r>
          </w:p>
        </w:tc>
      </w:tr>
      <w:tr>
        <w:trPr>
          <w:trHeight w:val="229"/>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Dining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30,013</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18,650</w:t>
            </w: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5,888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7,348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7,559</w:t>
            </w:r>
          </w:p>
        </w:tc>
      </w:tr>
      <w:tr>
        <w:trPr>
          <w:trHeight w:val="229"/>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Golf</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r>
      <w:tr>
        <w:trPr>
          <w:trHeight w:val="229"/>
        </w:trPr>
        <w:tc>
          <w:tcPr>
            <w:tcW w:w="4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24,988</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21,736</w:t>
            </w:r>
          </w:p>
        </w:tc>
      </w:tr>
      <w:tr>
        <w:trPr>
          <w:trHeight w:val="223"/>
        </w:trPr>
        <w:tc>
          <w:tcPr>
            <w:tcW w:w="4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134,339</w:t>
            </w:r>
          </w:p>
        </w:tc>
      </w:tr>
      <w:tr>
        <w:trPr>
          <w:trHeight w:val="229"/>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Payroll cost reimbursements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8,667</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r>
      <w:tr>
        <w:trPr>
          <w:trHeight w:val="22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net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158,194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137,941</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Total Resort net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1,094,019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906,355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1,373,353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1,081,616</w:t>
            </w: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7,699</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23"/>
        </w:trPr>
        <w:tc>
          <w:tcPr>
            <w:tcW w:w="4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net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1,101,718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906,535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1,381,165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1,082,111</w:t>
            </w: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revenue balances of a short-term nature were $619.5 million and $511.3 million as of January 31, 2023 and July 31, 2022, respectively. For the three and six months ended January 31, 2023, the Company recognized approximately $220.1 million and $274.6 million, respectively, of revenue that was included in the deferred revenue balance as of July 31, 2022. Deferred revenue balances of a long-term nature, comprised primarily of long-term private club initiation fee revenue, were $113.3 million, $117.2 million and $120.6 million as of January 31, 2023, July 31, 2022 and January 31, 2022, respectively. As of January 31, 2023, the weighted average remaining period over which revenue for unsatisfied performance obligations on long-term private club contracts will be recognized was approximately 15 years. Trade receivables, net were $160.4 million and $383.4 million as of January 31, 2023 and July 31, 2022,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January 31, 2023, $13.0 million of costs to obtain contracts with customers were recorded within other current assets on the Company’s Consolidated Condensed Balance Sheet. The amounts capitalized are subject to amortization generally beginning in the second quarter of fiscal 2023, commensurate with the revenue recognized for related pass products. The Company recorded amortization of $12.3 million for these costs during both the three and six months ended January 31, 2023, which was recorded within Mountain and Lodging operating expenses on the Company’s Consolidated Condensed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Company’s acquisition of Whistler Blackcomb in October 2016, the Company issued consideration in the form of shares of Vail Resorts common stock (the “Vail Shares”), redeemable preferred shares of the Company’s wholly-owned Canadian subsidiary Whistler Blackcomb Holdings Inc. (“Exchangeco”) or cash (or a combination thereof). Whistler Blackcomb shareholders elected to receive 3,327,719 Vail Shares and 418,095 shares of Exchangeco (the “Exchangeco Shares”). The Exchangeco Shares could be redeemed for Vail Shares at any time until October 2023 or until the Company elected to convert any remaining Exchangeco Shares to Vail Shares, which the Company had the ability to do once total Exchangeco Shares outstanding fell below 20,904 shares (or 5% of the total Exchangeco Shares originally issued). In July 2022, the number of outstanding Exchangeco Shares fell below such threshold and on August 25, 2022, the Company elected to redeem all outstanding Exchangeco Shares, effective September 26, 2022. As of January 31, 2023, all Exchangeco Shares have been exchanged for Vail Shares. Both Vail Shares and Exchangeco Shares have a par value of $0.01 per share, and Exchangeco Shares, while they were outstanding, were substantially the economic equivalent of the Vail Shares. The Company’s calculation of weighted-average shares outstanding includes the Exchangeco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three months ended January 31, 2023 and 2022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Three Months Ended January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2023</w:t>
            </w: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bottom w:val="single" w:sz="8" w:color="auto"/>
            </w:tcBorders>
          </w:tcPr>
          <w:p>
            <w:pPr>
              <w:spacing w:after="0"/>
              <w:rPr>
                <w:sz w:val="16"/>
                <w:szCs w:val="16"/>
                <w:color w:val="auto"/>
              </w:rPr>
            </w:pPr>
          </w:p>
        </w:tc>
      </w:tr>
      <w:tr>
        <w:trPr>
          <w:trHeight w:val="196"/>
        </w:trPr>
        <w:tc>
          <w:tcPr>
            <w:tcW w:w="5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Diluted</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208,679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208,679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223,391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223,391</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40,327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40,327</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40,505</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40,505</w:t>
            </w:r>
          </w:p>
        </w:tc>
      </w:tr>
      <w:tr>
        <w:trPr>
          <w:trHeight w:val="230"/>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40,327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40,327</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40,538</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40,538</w:t>
            </w:r>
          </w:p>
        </w:tc>
      </w:tr>
      <w:tr>
        <w:trPr>
          <w:trHeight w:val="23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107</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40,327</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40,434</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40,538</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40,820</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25,000 and zero for the three months ended January 31, 2023 and 2022,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six months ended January 31, 2023 and 2022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rPr>
              <w:t>Six Months Ended January 31,</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2023</w:t>
            </w: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r>
      <w:tr>
        <w:trPr>
          <w:trHeight w:val="196"/>
        </w:trPr>
        <w:tc>
          <w:tcPr>
            <w:tcW w:w="5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Basic</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71,708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71,708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84,059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84,059</w:t>
            </w: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40,312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40,312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40,460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40,460</w:t>
            </w: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40,313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40,313</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40,493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40,493</w:t>
            </w:r>
          </w:p>
        </w:tc>
      </w:tr>
      <w:tr>
        <w:trPr>
          <w:trHeight w:val="22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95</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r>
      <w:tr>
        <w:trPr>
          <w:trHeight w:val="223"/>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40,313</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40,408</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40,493</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40,837</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1.78</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1.77</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2.08</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7"/>
          <w:szCs w:val="17"/>
          <w:color w:val="auto"/>
        </w:rPr>
        <w:t>The number of shares issuable upon the exercise of share-based awards excluded from the calculation of diluted EPS because the effect of their inclusion would have been anti-dilutive totaled approximately 26,000 and 1,000 for the six months ended January 31, 2023 and 2022, respectively.</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2020, the Company completed an offering of $575.0 million in aggregate principal amount of 0.0% Convertible Notes (as defined in Note 5, Long-Term Debt). The Company is required to settle the principal amount of the 0.0% Convertible Notes in cash and has the option to settle the conversion spread in cash or shares. The Company uses the if-converted method to calculate the impact of convertible instruments on diluted EPS when the instruments may be settled in cash or shares. If the conversion value of the 0.0% Convertible Notes exceeds their conversion price, then the Company will calculate its diluted EPS as if all the notes were converted into common stock at the beginning of the period. However, if reflecting the 0.0% Convertible Notes in diluted EPS in this manner is anti-dilutive, or if the conversion value of the notes does not exceed their conversion price for a reporting period, then the shares underlying the notes will not be reflected in the Company’s calculation of diluted EPS. For the three and six months ended January 31, 2023 and 2022, the price of Vail Shares did not exceed the conversion price and therefore there was no impact to diluted EPS during those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and six months ended January 31, 2023, the Company paid cash dividends of $1.91 and $3.82 per share, respectively ($77.0 million and $154.0 million, respectively). During the three and six months ended January 31, 2022, the Company paid cash dividends of $0.88 and $1.76 per share, respectively ($35.7 million and $71.3 million, respectively, including cash dividends paid to Exchangeco shareholders). On March 7, 2023, the Company’s Board of Directors approved a cash dividend of $2.06 per share payable on April 11, 2023 to stockholders of record as of March 27, 2023.</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January 31, 2023, July 31, 2022 and January 31, 2022 is summarized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400" w:type="dxa"/>
            <w:vAlign w:val="bottom"/>
          </w:tcPr>
          <w:p>
            <w:pPr>
              <w:ind w:left="500"/>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16"/>
                <w:szCs w:val="16"/>
                <w:color w:val="auto"/>
              </w:rPr>
            </w:pPr>
          </w:p>
        </w:tc>
        <w:tc>
          <w:tcPr>
            <w:tcW w:w="128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January 31, 2023</w:t>
            </w:r>
          </w:p>
        </w:tc>
        <w:tc>
          <w:tcPr>
            <w:tcW w:w="280" w:type="dxa"/>
            <w:vAlign w:val="bottom"/>
          </w:tcPr>
          <w:p>
            <w:pPr>
              <w:spacing w:after="0"/>
              <w:rPr>
                <w:sz w:val="16"/>
                <w:szCs w:val="16"/>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rPr>
              <w:t>July 31, 2022</w:t>
            </w:r>
          </w:p>
        </w:tc>
        <w:tc>
          <w:tcPr>
            <w:tcW w:w="220" w:type="dxa"/>
            <w:vAlign w:val="bottom"/>
          </w:tcPr>
          <w:p>
            <w:pPr>
              <w:spacing w:after="0"/>
              <w:rPr>
                <w:sz w:val="16"/>
                <w:szCs w:val="16"/>
                <w:color w:val="auto"/>
              </w:rPr>
            </w:pPr>
          </w:p>
        </w:tc>
        <w:tc>
          <w:tcPr>
            <w:tcW w:w="126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January 31, 2022</w:t>
            </w:r>
          </w:p>
        </w:tc>
      </w:tr>
      <w:tr>
        <w:trPr>
          <w:trHeight w:val="26"/>
        </w:trPr>
        <w:tc>
          <w:tcPr>
            <w:tcW w:w="5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Vail Holdings Credit Agreement term loan </w:t>
            </w:r>
            <w:r>
              <w:rPr>
                <w:rFonts w:ascii="Arial" w:cs="Arial" w:eastAsia="Arial" w:hAnsi="Arial"/>
                <w:sz w:val="23"/>
                <w:szCs w:val="23"/>
                <w:color w:val="auto"/>
                <w:vertAlign w:val="superscript"/>
              </w:rPr>
              <w:t>(a)</w:t>
            </w:r>
          </w:p>
        </w:tc>
        <w:tc>
          <w:tcPr>
            <w:tcW w:w="14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2026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1,046,875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1,078,125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1,109,375</w:t>
            </w:r>
          </w:p>
        </w:tc>
      </w:tr>
      <w:tr>
        <w:trPr>
          <w:trHeight w:val="230"/>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Vail Holdings Credit Agreement revolver </w:t>
            </w:r>
            <w:r>
              <w:rPr>
                <w:rFonts w:ascii="Arial" w:cs="Arial" w:eastAsia="Arial" w:hAnsi="Arial"/>
                <w:sz w:val="23"/>
                <w:szCs w:val="23"/>
                <w:color w:val="auto"/>
                <w:vertAlign w:val="superscript"/>
              </w:rPr>
              <w:t>(a)</w:t>
            </w:r>
          </w:p>
        </w:tc>
        <w:tc>
          <w:tcPr>
            <w:tcW w:w="1400" w:type="dxa"/>
            <w:vAlign w:val="bottom"/>
          </w:tcPr>
          <w:p>
            <w:pPr>
              <w:jc w:val="center"/>
              <w:ind w:left="72"/>
              <w:spacing w:after="0"/>
              <w:rPr>
                <w:sz w:val="20"/>
                <w:szCs w:val="20"/>
                <w:color w:val="auto"/>
              </w:rPr>
            </w:pPr>
            <w:r>
              <w:rPr>
                <w:rFonts w:ascii="Arial" w:cs="Arial" w:eastAsia="Arial" w:hAnsi="Arial"/>
                <w:sz w:val="18"/>
                <w:szCs w:val="18"/>
                <w:color w:val="auto"/>
                <w:w w:val="89"/>
              </w:rPr>
              <w:t>2026</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 Notes</w:t>
            </w:r>
          </w:p>
        </w:tc>
        <w:tc>
          <w:tcPr>
            <w:tcW w:w="14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2025</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600,000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30"/>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0.0% Convertible Notes </w:t>
            </w:r>
            <w:r>
              <w:rPr>
                <w:rFonts w:ascii="Arial" w:cs="Arial" w:eastAsia="Arial" w:hAnsi="Arial"/>
                <w:sz w:val="23"/>
                <w:szCs w:val="23"/>
                <w:color w:val="auto"/>
                <w:vertAlign w:val="superscript"/>
              </w:rPr>
              <w:t>(b)</w:t>
            </w:r>
          </w:p>
        </w:tc>
        <w:tc>
          <w:tcPr>
            <w:tcW w:w="1400" w:type="dxa"/>
            <w:vAlign w:val="bottom"/>
          </w:tcPr>
          <w:p>
            <w:pPr>
              <w:jc w:val="center"/>
              <w:ind w:left="72"/>
              <w:spacing w:after="0"/>
              <w:rPr>
                <w:sz w:val="20"/>
                <w:szCs w:val="20"/>
                <w:color w:val="auto"/>
              </w:rPr>
            </w:pPr>
            <w:r>
              <w:rPr>
                <w:rFonts w:ascii="Arial" w:cs="Arial" w:eastAsia="Arial" w:hAnsi="Arial"/>
                <w:sz w:val="18"/>
                <w:szCs w:val="18"/>
                <w:color w:val="auto"/>
                <w:w w:val="89"/>
              </w:rPr>
              <w:t>2026</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575,000</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575,000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575,000</w:t>
            </w:r>
          </w:p>
        </w:tc>
      </w:tr>
      <w:tr>
        <w:trPr>
          <w:trHeight w:val="230"/>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Whistler Credit Agreement revolver </w:t>
            </w:r>
            <w:r>
              <w:rPr>
                <w:rFonts w:ascii="Arial" w:cs="Arial" w:eastAsia="Arial" w:hAnsi="Arial"/>
                <w:sz w:val="23"/>
                <w:szCs w:val="23"/>
                <w:color w:val="auto"/>
                <w:vertAlign w:val="superscript"/>
              </w:rPr>
              <w:t>(c)</w:t>
            </w:r>
          </w:p>
        </w:tc>
        <w:tc>
          <w:tcPr>
            <w:tcW w:w="14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2026</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11,275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11,717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21,243</w:t>
            </w:r>
          </w:p>
        </w:tc>
      </w:tr>
      <w:tr>
        <w:trPr>
          <w:trHeight w:val="229"/>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EPR Secured Notes </w:t>
            </w:r>
            <w:r>
              <w:rPr>
                <w:rFonts w:ascii="Arial" w:cs="Arial" w:eastAsia="Arial" w:hAnsi="Arial"/>
                <w:sz w:val="23"/>
                <w:szCs w:val="23"/>
                <w:color w:val="auto"/>
                <w:vertAlign w:val="superscript"/>
              </w:rPr>
              <w:t>(d)</w:t>
            </w:r>
          </w:p>
        </w:tc>
        <w:tc>
          <w:tcPr>
            <w:tcW w:w="1400" w:type="dxa"/>
            <w:vAlign w:val="bottom"/>
          </w:tcPr>
          <w:p>
            <w:pPr>
              <w:jc w:val="center"/>
              <w:ind w:left="92"/>
              <w:spacing w:after="0"/>
              <w:rPr>
                <w:sz w:val="20"/>
                <w:szCs w:val="20"/>
                <w:color w:val="auto"/>
              </w:rPr>
            </w:pPr>
            <w:r>
              <w:rPr>
                <w:rFonts w:ascii="Arial" w:cs="Arial" w:eastAsia="Arial" w:hAnsi="Arial"/>
                <w:sz w:val="18"/>
                <w:szCs w:val="18"/>
                <w:color w:val="auto"/>
                <w:w w:val="90"/>
              </w:rPr>
              <w:t>2034-2036</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114,162</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114,162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114,162</w:t>
            </w:r>
          </w:p>
        </w:tc>
      </w:tr>
      <w:tr>
        <w:trPr>
          <w:trHeight w:val="230"/>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NRP Loan </w:t>
            </w:r>
            <w:r>
              <w:rPr>
                <w:rFonts w:ascii="Arial" w:cs="Arial" w:eastAsia="Arial" w:hAnsi="Arial"/>
                <w:sz w:val="23"/>
                <w:szCs w:val="23"/>
                <w:color w:val="auto"/>
                <w:vertAlign w:val="superscript"/>
              </w:rPr>
              <w:t>(e)</w:t>
            </w:r>
          </w:p>
        </w:tc>
        <w:tc>
          <w:tcPr>
            <w:tcW w:w="14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2036</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39,967</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1400" w:type="dxa"/>
            <w:vAlign w:val="bottom"/>
          </w:tcPr>
          <w:p>
            <w:pPr>
              <w:jc w:val="center"/>
              <w:ind w:left="92"/>
              <w:spacing w:after="0"/>
              <w:rPr>
                <w:sz w:val="20"/>
                <w:szCs w:val="20"/>
                <w:color w:val="auto"/>
              </w:rPr>
            </w:pPr>
            <w:r>
              <w:rPr>
                <w:rFonts w:ascii="Arial" w:cs="Arial" w:eastAsia="Arial" w:hAnsi="Arial"/>
                <w:sz w:val="18"/>
                <w:szCs w:val="18"/>
                <w:color w:val="auto"/>
                <w:w w:val="90"/>
              </w:rPr>
              <w:t>2027-2039</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52,575</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52,575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52,575</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14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2063</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360,497</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357,607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354,713</w:t>
            </w:r>
          </w:p>
        </w:tc>
      </w:tr>
      <w:tr>
        <w:trPr>
          <w:trHeight w:val="229"/>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Whistler Blackcomb employee housing leases </w:t>
            </w:r>
            <w:r>
              <w:rPr>
                <w:rFonts w:ascii="Arial" w:cs="Arial" w:eastAsia="Arial" w:hAnsi="Arial"/>
                <w:sz w:val="23"/>
                <w:szCs w:val="23"/>
                <w:color w:val="auto"/>
                <w:vertAlign w:val="superscript"/>
              </w:rPr>
              <w:t>(f)</w:t>
            </w:r>
          </w:p>
        </w:tc>
        <w:tc>
          <w:tcPr>
            <w:tcW w:w="1400" w:type="dxa"/>
            <w:vAlign w:val="bottom"/>
          </w:tcPr>
          <w:p>
            <w:pPr>
              <w:jc w:val="center"/>
              <w:ind w:left="72"/>
              <w:spacing w:after="0"/>
              <w:rPr>
                <w:sz w:val="20"/>
                <w:szCs w:val="20"/>
                <w:color w:val="auto"/>
              </w:rPr>
            </w:pPr>
            <w:r>
              <w:rPr>
                <w:rFonts w:ascii="Arial" w:cs="Arial" w:eastAsia="Arial" w:hAnsi="Arial"/>
                <w:sz w:val="18"/>
                <w:szCs w:val="18"/>
                <w:color w:val="auto"/>
                <w:w w:val="89"/>
              </w:rPr>
              <w:t>2042</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29,346</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90"/>
              </w:rPr>
              <w:t>2023-2036</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37,633</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17,860</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17,562</w:t>
            </w: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2,867,330</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2,807,046</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2,844,630</w:t>
            </w:r>
          </w:p>
        </w:tc>
      </w:tr>
      <w:tr>
        <w:trPr>
          <w:trHeight w:val="230"/>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5"/>
              </w:rPr>
              <w:t xml:space="preserve">Less: Unamortized premiums, discounts and debt issuance costs </w:t>
            </w:r>
            <w:r>
              <w:rPr>
                <w:rFonts w:ascii="Arial" w:cs="Arial" w:eastAsia="Arial" w:hAnsi="Arial"/>
                <w:sz w:val="23"/>
                <w:szCs w:val="23"/>
                <w:color w:val="auto"/>
                <w:w w:val="95"/>
                <w:vertAlign w:val="superscript"/>
              </w:rPr>
              <w:t>(b)</w:t>
            </w: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7,921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72,997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85,295</w:t>
            </w:r>
          </w:p>
        </w:tc>
      </w:tr>
      <w:tr>
        <w:trPr>
          <w:trHeight w:val="230"/>
        </w:trPr>
        <w:tc>
          <w:tcPr>
            <w:tcW w:w="52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Less: Current maturities </w:t>
            </w:r>
            <w:r>
              <w:rPr>
                <w:rFonts w:ascii="Arial" w:cs="Arial" w:eastAsia="Arial" w:hAnsi="Arial"/>
                <w:sz w:val="23"/>
                <w:szCs w:val="23"/>
                <w:color w:val="auto"/>
                <w:vertAlign w:val="superscript"/>
              </w:rPr>
              <w:t>(g)</w:t>
            </w:r>
          </w:p>
        </w:tc>
        <w:tc>
          <w:tcPr>
            <w:tcW w:w="1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69,582</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63,749</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63,746</w:t>
            </w:r>
          </w:p>
        </w:tc>
      </w:tr>
      <w:tr>
        <w:trPr>
          <w:trHeight w:val="248"/>
        </w:trPr>
        <w:tc>
          <w:tcPr>
            <w:tcW w:w="5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14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2,789,827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2,670,300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2,695,589</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left="580" w:hanging="329"/>
        <w:spacing w:after="0" w:line="273" w:lineRule="auto"/>
        <w:tabs>
          <w:tab w:leader="none" w:pos="577"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August 31, 2022, Vail Holdings, Inc. (“VHI”) entered into the Fifth Amendment to the Vail Holdings Credit Agreement, which extended the maturity date to September 23, 2026. Additionally, the Fifth Amendment contains customary LIBOR replacement language, including, but not limited to, the use of rates based on the secured overnight financing rate (“SOFR”). SOFR is a broad measure of the cost of borrowing cash in the overnight U.S. Treasury repo market and is administered by the Federal Reserve Bank of New York. The Fifth Amendment modified the calculation of interest under the Vail Holdings Credit Agreement from being calculated based on LIBOR to being calculated based on SOFR. No other material terms of the Vail Holdings Credit Agreement were amended.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jc w:val="both"/>
        <w:ind w:left="329"/>
        <w:spacing w:after="0" w:line="286" w:lineRule="auto"/>
        <w:rPr>
          <w:sz w:val="20"/>
          <w:szCs w:val="20"/>
          <w:color w:val="auto"/>
        </w:rPr>
      </w:pPr>
      <w:r>
        <w:rPr>
          <w:rFonts w:ascii="Arial" w:cs="Arial" w:eastAsia="Arial" w:hAnsi="Arial"/>
          <w:sz w:val="17"/>
          <w:szCs w:val="17"/>
          <w:color w:val="auto"/>
        </w:rPr>
        <w:t>The Company is party to various interest rate swap agreements which hedge the cash flows associated with the SOFR-based variable interest rate component of $400.0 million in principal amount of its Vail Holdings Credit Agreement until September 23, 2024. Subsequent to the Fifth Amendment, these interest rate swaps were amended to transition from a hedge of LIBOR to a hedge of SOFR.</w:t>
      </w:r>
    </w:p>
    <w:p>
      <w:pPr>
        <w:spacing w:after="0" w:line="192" w:lineRule="exact"/>
        <w:rPr>
          <w:sz w:val="20"/>
          <w:szCs w:val="20"/>
          <w:color w:val="auto"/>
        </w:rPr>
      </w:pPr>
    </w:p>
    <w:p>
      <w:pPr>
        <w:jc w:val="both"/>
        <w:ind w:left="329"/>
        <w:spacing w:after="0" w:line="269" w:lineRule="auto"/>
        <w:rPr>
          <w:sz w:val="20"/>
          <w:szCs w:val="20"/>
          <w:color w:val="auto"/>
        </w:rPr>
      </w:pPr>
      <w:r>
        <w:rPr>
          <w:rFonts w:ascii="Arial" w:cs="Arial" w:eastAsia="Arial" w:hAnsi="Arial"/>
          <w:sz w:val="17"/>
          <w:szCs w:val="17"/>
          <w:color w:val="auto"/>
        </w:rPr>
        <w:t>As of January 31, 2023, the Vail Holdings Credit Agreement consists of a $500.0 million revolving credit facility and a term loan facility with $1.0 billion outstanding. The term loan facility is subject to quarterly amortization of principal of approximately $15.6 million, in equal installments, for a total of 5% of principal payable in each year and the final payment of all amounts outstanding, plus accrued and unpaid interest due in September 2026.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SOFR plus a spread of 1.35% as of January 31, 2023 (5.91% as of January 31, 2023).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(0.25% as of January 31, 2023).</w:t>
      </w:r>
    </w:p>
    <w:p>
      <w:pPr>
        <w:spacing w:after="0" w:line="209" w:lineRule="exact"/>
        <w:rPr>
          <w:sz w:val="20"/>
          <w:szCs w:val="20"/>
          <w:color w:val="auto"/>
        </w:rPr>
      </w:pPr>
    </w:p>
    <w:p>
      <w:pPr>
        <w:jc w:val="both"/>
        <w:ind w:left="329" w:hanging="329"/>
        <w:spacing w:after="0" w:line="254" w:lineRule="auto"/>
        <w:tabs>
          <w:tab w:leader="none" w:pos="32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issued $575.0 million in aggregate principal amount of 0.0% Convertible Notes due 2026 (the “0.0% Convertible Notes) under an indenture dated December 18, 2020. Under previous accounting guidance, the Company bifurcated the proceeds of the 0.0% Convertible Notes by estimating the fair value of the 0.0% Convertible Notes at issuance and allocating that portion to long-term debt, net, with the excess being recorded within additional paid-in capital. The Company adopted ASU 2020-06 on August 1, 2022 using the modified retrospective method, and as a result, the Company reclassified the equity component of its 0.0% Convertible Notes to long-term debt, net, and will no longer record non-cash interest expense related to the amortization of the debt discount. Refer to Note 2, Summary of Significant Accounting Policies, for further information on ASU 2020-06. As of January 31, 2023, the conversion price of the 0.0% Convertible Notes, adjusted for cash dividends paid since the issuance date, was $391.99.</w:t>
      </w:r>
    </w:p>
    <w:p>
      <w:pPr>
        <w:spacing w:after="0" w:line="218" w:lineRule="exact"/>
        <w:rPr>
          <w:rFonts w:ascii="Arial" w:cs="Arial" w:eastAsia="Arial" w:hAnsi="Arial"/>
          <w:sz w:val="18"/>
          <w:szCs w:val="18"/>
          <w:color w:val="auto"/>
        </w:rPr>
      </w:pPr>
    </w:p>
    <w:p>
      <w:pPr>
        <w:jc w:val="both"/>
        <w:ind w:left="329" w:hanging="329"/>
        <w:spacing w:after="0" w:line="271" w:lineRule="auto"/>
        <w:tabs>
          <w:tab w:leader="none" w:pos="326" w:val="left"/>
        </w:tabs>
        <w:numPr>
          <w:ilvl w:val="0"/>
          <w:numId w:val="7"/>
        </w:numPr>
        <w:rPr>
          <w:rFonts w:ascii="Arial" w:cs="Arial" w:eastAsia="Arial" w:hAnsi="Arial"/>
          <w:sz w:val="17"/>
          <w:szCs w:val="17"/>
          <w:color w:val="auto"/>
        </w:rPr>
      </w:pPr>
      <w:r>
        <w:rPr>
          <w:rFonts w:ascii="Arial" w:cs="Arial" w:eastAsia="Arial" w:hAnsi="Arial"/>
          <w:sz w:val="17"/>
          <w:szCs w:val="17"/>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As of January 31, 2023, all borrowings under the Whistler Credit Agreement were made in Canadian dollars and by way of the issuance of bankers’ acceptances plus 1.75% (approximately 6.68% as of January 31, 2023). The Whistler Credit Agreement also includes a quarterly unused commitment fee based on the Consolidated Total Leverage Ratio, which as of January 31, 2023 is equal to 0.39% per annum.</w:t>
      </w:r>
    </w:p>
    <w:p>
      <w:pPr>
        <w:spacing w:after="0" w:line="205" w:lineRule="exact"/>
        <w:rPr>
          <w:rFonts w:ascii="Arial" w:cs="Arial" w:eastAsia="Arial" w:hAnsi="Arial"/>
          <w:sz w:val="17"/>
          <w:szCs w:val="17"/>
          <w:color w:val="auto"/>
        </w:rPr>
      </w:pPr>
    </w:p>
    <w:p>
      <w:pPr>
        <w:jc w:val="both"/>
        <w:ind w:left="329" w:hanging="329"/>
        <w:spacing w:after="0" w:line="286" w:lineRule="auto"/>
        <w:tabs>
          <w:tab w:leader="none" w:pos="323"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September 24,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57" w:lineRule="exact"/>
        <w:rPr>
          <w:rFonts w:ascii="Arial" w:cs="Arial" w:eastAsia="Arial" w:hAnsi="Arial"/>
          <w:sz w:val="17"/>
          <w:szCs w:val="17"/>
          <w:color w:val="auto"/>
        </w:rPr>
      </w:pPr>
    </w:p>
    <w:p>
      <w:pPr>
        <w:ind w:left="969" w:hanging="416"/>
        <w:spacing w:after="0" w:line="277" w:lineRule="auto"/>
        <w:tabs>
          <w:tab w:leader="none" w:pos="969"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The Alpine Valley Secured Note. </w:t>
      </w:r>
      <w:r>
        <w:rPr>
          <w:rFonts w:ascii="Arial" w:cs="Arial" w:eastAsia="Arial" w:hAnsi="Arial"/>
          <w:sz w:val="18"/>
          <w:szCs w:val="18"/>
          <w:color w:val="auto"/>
        </w:rPr>
        <w:t>The $4.6 million Alpine Valley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January 31, 2023, interest on this note accrued at a rate of 11.72%.</w:t>
      </w:r>
    </w:p>
    <w:p>
      <w:pPr>
        <w:spacing w:after="0" w:line="62" w:lineRule="exact"/>
        <w:rPr>
          <w:sz w:val="20"/>
          <w:szCs w:val="20"/>
          <w:color w:val="auto"/>
        </w:rPr>
      </w:pPr>
    </w:p>
    <w:p>
      <w:pPr>
        <w:ind w:left="969" w:hanging="440"/>
        <w:spacing w:after="0" w:line="308" w:lineRule="auto"/>
        <w:tabs>
          <w:tab w:leader="none" w:pos="968"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The Boston Mills/Brandywine Secured Note. </w:t>
      </w:r>
      <w:r>
        <w:rPr>
          <w:rFonts w:ascii="Arial" w:cs="Arial" w:eastAsia="Arial" w:hAnsi="Arial"/>
          <w:sz w:val="17"/>
          <w:szCs w:val="17"/>
          <w:color w:val="auto"/>
        </w:rPr>
        <w:t>The $23.3 million Boston Mills/Brandywine Secured Note provides for interest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its maturity on December 1, 2034. As of January 31, 2023, interest on this note accrued at a rate of 11.24%.</w:t>
      </w:r>
    </w:p>
    <w:p>
      <w:pPr>
        <w:spacing w:after="0" w:line="38" w:lineRule="exact"/>
        <w:rPr>
          <w:rFonts w:ascii="Arial" w:cs="Arial" w:eastAsia="Arial" w:hAnsi="Arial"/>
          <w:sz w:val="17"/>
          <w:szCs w:val="17"/>
          <w:color w:val="auto"/>
        </w:rPr>
      </w:pPr>
    </w:p>
    <w:p>
      <w:pPr>
        <w:ind w:left="969" w:right="20" w:hanging="490"/>
        <w:spacing w:after="0" w:line="308" w:lineRule="auto"/>
        <w:tabs>
          <w:tab w:leader="none" w:pos="968"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The Jack Frost/Big Boulder Secured Note. </w:t>
      </w:r>
      <w:r>
        <w:rPr>
          <w:rFonts w:ascii="Arial" w:cs="Arial" w:eastAsia="Arial" w:hAnsi="Arial"/>
          <w:sz w:val="17"/>
          <w:szCs w:val="17"/>
          <w:color w:val="auto"/>
        </w:rPr>
        <w:t>The $14.3 million Jack Frost/Big Boulder Secured Note provides for interest payments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its maturity on December 1, 2034. As of January 31, 2023, interest on this note accrued at a rate of 11.24%.</w:t>
      </w:r>
    </w:p>
    <w:p>
      <w:pPr>
        <w:spacing w:after="0" w:line="38" w:lineRule="exact"/>
        <w:rPr>
          <w:rFonts w:ascii="Arial" w:cs="Arial" w:eastAsia="Arial" w:hAnsi="Arial"/>
          <w:sz w:val="17"/>
          <w:szCs w:val="17"/>
          <w:color w:val="auto"/>
        </w:rPr>
      </w:pPr>
    </w:p>
    <w:p>
      <w:pPr>
        <w:ind w:left="969" w:hanging="415"/>
        <w:spacing w:after="0" w:line="277" w:lineRule="auto"/>
        <w:tabs>
          <w:tab w:leader="none" w:pos="954"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The Mount Snow Secured Note. </w:t>
      </w:r>
      <w:r>
        <w:rPr>
          <w:rFonts w:ascii="Arial" w:cs="Arial" w:eastAsia="Arial" w:hAnsi="Arial"/>
          <w:sz w:val="18"/>
          <w:szCs w:val="18"/>
          <w:color w:val="auto"/>
        </w:rPr>
        <w:t>The $51.1 million Mount Snow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January 31, 2023, interest on this note accrued at a rate of 12.14%.</w:t>
      </w:r>
    </w:p>
    <w:p>
      <w:pPr>
        <w:spacing w:after="0" w:line="200" w:lineRule="exact"/>
        <w:rPr>
          <w:sz w:val="20"/>
          <w:szCs w:val="20"/>
          <w:color w:val="auto"/>
        </w:rPr>
      </w:pPr>
    </w:p>
    <w:p>
      <w:pPr>
        <w:spacing w:after="0" w:line="30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895" w:right="339" w:bottom="1440" w:gutter="0" w:footer="0" w:header="0"/>
        </w:sectPr>
      </w:pPr>
    </w:p>
    <w:bookmarkStart w:id="15" w:name="page16"/>
    <w:bookmarkEnd w:id="15"/>
    <w:p>
      <w:pPr>
        <w:ind w:left="1220" w:right="20" w:hanging="365"/>
        <w:spacing w:after="0" w:line="277" w:lineRule="auto"/>
        <w:tabs>
          <w:tab w:leader="none" w:pos="120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The Hunter Mountain Secured Note. </w:t>
      </w:r>
      <w:r>
        <w:rPr>
          <w:rFonts w:ascii="Arial" w:cs="Arial" w:eastAsia="Arial" w:hAnsi="Arial"/>
          <w:sz w:val="18"/>
          <w:szCs w:val="18"/>
          <w:color w:val="auto"/>
        </w:rPr>
        <w:t>The $21.0 million Hunter Mountain Secured Note provides for interest payments through its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5, 2036. As of January 31, 2023, interest on this note accrued at a rate of 8.88%.</w:t>
      </w:r>
    </w:p>
    <w:p>
      <w:pPr>
        <w:spacing w:after="0" w:line="62" w:lineRule="exact"/>
        <w:rPr>
          <w:sz w:val="20"/>
          <w:szCs w:val="20"/>
          <w:color w:val="auto"/>
        </w:rPr>
      </w:pPr>
    </w:p>
    <w:p>
      <w:pPr>
        <w:jc w:val="both"/>
        <w:ind w:left="580"/>
        <w:spacing w:after="0" w:line="311" w:lineRule="auto"/>
        <w:rPr>
          <w:sz w:val="20"/>
          <w:szCs w:val="20"/>
          <w:color w:val="auto"/>
        </w:rPr>
      </w:pPr>
      <w:r>
        <w:rPr>
          <w:rFonts w:ascii="Arial" w:cs="Arial" w:eastAsia="Arial" w:hAnsi="Arial"/>
          <w:sz w:val="16"/>
          <w:szCs w:val="16"/>
          <w:color w:val="auto"/>
        </w:rPr>
        <w:t>In addition, Peak Resorts is required to maintain a debt service reserve account which amounts are applied to fund interest payments and other amounts due and payable to EPR. As of January 31, 2023, the Company had funded the EPR debt service reserve account in an amount equal to approximately $3.2 million, which was included in other current assets in the Company’s Consolidated Condensed Balance Sheet.</w:t>
      </w:r>
    </w:p>
    <w:p>
      <w:pPr>
        <w:spacing w:after="0" w:line="176" w:lineRule="exact"/>
        <w:rPr>
          <w:sz w:val="20"/>
          <w:szCs w:val="20"/>
          <w:color w:val="auto"/>
        </w:rPr>
      </w:pPr>
    </w:p>
    <w:p>
      <w:pPr>
        <w:jc w:val="both"/>
        <w:ind w:left="580" w:hanging="329"/>
        <w:spacing w:after="0" w:line="219" w:lineRule="exact"/>
        <w:tabs>
          <w:tab w:leader="none" w:pos="577"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August 3, 2022 in conjunction with the acquisition of Andermatt-Sedrun (see Note 6, Acquisitions), the Company assumed the New Regional Policy loan between Andermatt-Sedrun and the Canton of Uri and Canton of Graub</w:t>
      </w:r>
      <w:r>
        <w:rPr>
          <w:rFonts w:ascii="MS PGothic" w:cs="MS PGothic" w:eastAsia="MS PGothic" w:hAnsi="MS PGothic"/>
          <w:sz w:val="17"/>
          <w:szCs w:val="17"/>
          <w:color w:val="auto"/>
        </w:rPr>
        <w:t>✔</w:t>
      </w:r>
      <w:r>
        <w:rPr>
          <w:rFonts w:ascii="Arial" w:cs="Arial" w:eastAsia="Arial" w:hAnsi="Arial"/>
          <w:sz w:val="17"/>
          <w:szCs w:val="17"/>
          <w:color w:val="auto"/>
        </w:rPr>
        <w:t>nden dated June 24, 2016 (the “NRP Loan”), with an initial principal balance of CHF 40.0 million. Amounts outstanding under the NRP Loan bear interest at 0.63% per annum until the maturity date, which is September 30, 2036, with semi-annual required payments of principal amortization and accrued interest. In addition, the NRP Loan agreement includes restrictive covenants requiring certain minimum financial results (as defined in the agreement).</w:t>
      </w:r>
    </w:p>
    <w:p>
      <w:pPr>
        <w:spacing w:after="0" w:line="231" w:lineRule="exact"/>
        <w:rPr>
          <w:rFonts w:ascii="Arial" w:cs="Arial" w:eastAsia="Arial" w:hAnsi="Arial"/>
          <w:sz w:val="17"/>
          <w:szCs w:val="17"/>
          <w:color w:val="auto"/>
        </w:rPr>
      </w:pPr>
    </w:p>
    <w:p>
      <w:pPr>
        <w:jc w:val="both"/>
        <w:ind w:left="580" w:hanging="329"/>
        <w:spacing w:after="0" w:line="273" w:lineRule="auto"/>
        <w:tabs>
          <w:tab w:leader="none" w:pos="571"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During the three and six months ended January 31, 2023, the Company entered into new finance lease agreements for employee housing units at Whistler Blackcomb, resulting in an incremental finance lease liability on the commencement date of $28.6 million, which represents the minimum lease payments of $56.4 million, net of $27.8 million of amounts representing interest, for the initial 20 year term of the lease discounted at the estimated incremental borrowing rate. The Company recorded $28.6 million finance lease right-of-use assets in connection with these leases, which have a value of $28.2 million as of January 31, 2023, net of $0.4 million accumulated amortization, and are included within property, plant and equipment, net in the Company’s Consolidated Condensed Balance Sheet.</w:t>
      </w:r>
    </w:p>
    <w:p>
      <w:pPr>
        <w:spacing w:after="0" w:line="204" w:lineRule="exact"/>
        <w:rPr>
          <w:rFonts w:ascii="Arial" w:cs="Arial" w:eastAsia="Arial" w:hAnsi="Arial"/>
          <w:sz w:val="17"/>
          <w:szCs w:val="17"/>
          <w:color w:val="auto"/>
        </w:rPr>
      </w:pPr>
    </w:p>
    <w:p>
      <w:pPr>
        <w:ind w:left="560" w:hanging="30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maturities represent principal payments due in the next 12 months.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Aggregate maturities of debt outstanding as of January 31, 2023 reflected by fiscal year (August 1 through July 31) are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60" w:type="dxa"/>
            <w:vAlign w:val="bottom"/>
          </w:tcPr>
          <w:p>
            <w:pPr>
              <w:jc w:val="right"/>
              <w:ind w:right="572"/>
              <w:spacing w:after="0"/>
              <w:rPr>
                <w:sz w:val="20"/>
                <w:szCs w:val="20"/>
                <w:color w:val="auto"/>
              </w:rPr>
            </w:pPr>
            <w:r>
              <w:rPr>
                <w:rFonts w:ascii="Arial" w:cs="Arial" w:eastAsia="Arial" w:hAnsi="Arial"/>
                <w:sz w:val="14"/>
                <w:szCs w:val="14"/>
                <w:b w:val="1"/>
                <w:bCs w:val="1"/>
                <w:color w:val="auto"/>
              </w:rPr>
              <w:t>Total</w:t>
            </w:r>
          </w:p>
        </w:tc>
      </w:tr>
      <w:tr>
        <w:trPr>
          <w:trHeight w:val="26"/>
        </w:trPr>
        <w:tc>
          <w:tcPr>
            <w:tcW w:w="62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(February 2023 through July 2023)</w:t>
            </w:r>
          </w:p>
        </w:tc>
        <w:tc>
          <w:tcPr>
            <w:tcW w:w="3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41,163</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2024</w:t>
            </w:r>
          </w:p>
        </w:tc>
        <w:tc>
          <w:tcPr>
            <w:tcW w:w="3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69,711</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669,136</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2026</w:t>
            </w:r>
          </w:p>
        </w:tc>
        <w:tc>
          <w:tcPr>
            <w:tcW w:w="3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643,580</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856,182</w:t>
            </w: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587,558</w:t>
            </w:r>
          </w:p>
        </w:tc>
      </w:tr>
      <w:tr>
        <w:trPr>
          <w:trHeight w:val="248"/>
        </w:trPr>
        <w:tc>
          <w:tcPr>
            <w:tcW w:w="6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3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2,867,330</w:t>
            </w: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interest expense of $38.4 million and $37.4 million for the three months ended January 31, 2023 and 2022, respectively, of which $1.6 million and $1.5 million, respectively, was amortization of deferred financing costs. The Company recorded interest expense of $73.7 million and $76.9 million for the six months ended January 31, 2023 and 2022, respectively, of which $3.2 million and $2.9 million, respectively, was amortization of deferred financing costs. The Company was in compliance with all of its financial and operating covenants required to be maintained under its debt instruments for all periods presented.</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acquisition of Whistler Blackcomb,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$2.3 million and $(3.8) million, respectively, of non-cash foreign currency gains (losses) on the intercompany loan to Whistler Blackcomb for the three and six months ended January 31, 2023 on the Company’s Consolidated Condensed Statements of Operations. The Company recognized approximately $2.9 million and $2.0 million, respectively, of non-cash foreign currency losses on the intercompany loan to Whistler Blackcomb for the three and six months ended January 31, 2022 on the Company’s Consolidated Condensed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Andermatt-Sedrun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3, 2022, through a wholly-owned subsidiary, the Company acquired a 55% controlling interest in Andermatt-Sedrun Sport AG (“Andermatt-Sedrun”) from Andermatt Swiss Alps AG (“ASA”). The consideration paid consisted of an investment of $114.4 million (CHF 110.0 million) into Andermatt-Sedrun for use in capital investments to enhance the guest experience on mountain (which was prepaid to fund the acquisition and was recorded in other current assets on the Company’s Consolidated Condensed Balance Sheet as of July 31, 2022) and $41.3 million (CHF 39.3 million) paid to ASA (which was paid on August 3, 2022, commensurate with closing). As of August 3, 2022 the total fair value of the consideration paid was $155.4 million (CHF 149.3 million).</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Andermatt-Sedrun operates mountain and ski-related assets, including lifts, most of the restaurants and a ski school operation at the ski area. Ski operations are conducted on land owned by ASA as freehold or leasehold properties, land owned by Usern Corporation, land owned by the municipality of Tujetsch and land owned by private property owners. ASA retained a 40% ownership stake, with a group of existing shareholders comprising the remaining 5% ownership stake. ASA and the other noncontrolling economic interests contain certain protective rights pursuant to a shareholder agreement (the “Andermatt Agreement”) and no ability to participate in the day-to-day operations of Andermatt-Sedrun. The Andermatt Agreement provides that no dividend distributions be made by Andermatt-Sedrun until the end of the fiscal year ending July 31, 2026, after which time there shall be annual distributions of 50% of the available cash (as defined in the Andermatt Agreement) for the most recently completed fiscal year. In addition, the distribution rights are non-transferable and transfer of the noncontrolling interests are limited.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00" w:type="dxa"/>
            <w:vAlign w:val="bottom"/>
          </w:tcPr>
          <w:p>
            <w:pPr>
              <w:jc w:val="right"/>
              <w:ind w:right="213"/>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67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4"/>
              </w:rPr>
              <w:t>Estimated Fair Value</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consideration paid by Vail Resorts, Inc.</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155,365</w:t>
            </w:r>
          </w:p>
        </w:tc>
      </w:tr>
      <w:tr>
        <w:trPr>
          <w:trHeight w:val="229"/>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Estimated fair value of noncontrolling interests</w:t>
            </w:r>
          </w:p>
        </w:tc>
        <w:tc>
          <w:tcPr>
            <w:tcW w:w="2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91,524</w:t>
            </w:r>
          </w:p>
        </w:tc>
      </w:tr>
      <w:tr>
        <w:trPr>
          <w:trHeight w:val="248"/>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estimated purchase consideration</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246,889</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Allocation of total estimated purchase consideration:</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9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119,867</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176,805</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9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intangible assets and other assets</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Assumed long-term debt</w:t>
            </w:r>
          </w:p>
        </w:tc>
        <w:tc>
          <w:tcPr>
            <w:tcW w:w="29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(44,130)</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9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(16,879)</w:t>
            </w:r>
          </w:p>
        </w:tc>
      </w:tr>
      <w:tr>
        <w:trPr>
          <w:trHeight w:val="223"/>
        </w:trPr>
        <w:tc>
          <w:tcPr>
            <w:tcW w:w="6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assets acquired</w:t>
            </w: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246,889</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 and other factors, and is not expected to be deductible for income tax purposes. The operating results of Andermatt-Sedrun are reported within the Mountain segment prospectively from the date of acquisition.</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assets acquired and liabilities assumed in the acquisition of Andermatt-Sedrun are preliminary and are based on the information that was available as of the acquisition date.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Seven Springs Mountain Resort, Hidden Valley Resort &amp; Laurel Mountain Ski Area</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31, 2021, the Company, through a wholly-owned subsidiary, acquired Seven Springs Mountain Resort, Hidden Valley Resort and Laurel Mountain Ski Area (together, the “Seven Springs Resorts”) in Pennsylvania from Seven Springs Mountain Resort, Inc. and its affiliates for a cash purchase price of approximately $116.5 million, after adjustments for certain agreed-upon terms, which the Company funded with cash on hand. The acquisition included the mountain operations of the resorts, including base area skier services (food and beverage, retail and rental, lift ticket offices and ski and snowboard school facilities), as well as a hotel, conference center and other related operations.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00" w:type="dxa"/>
            <w:vAlign w:val="bottom"/>
          </w:tcPr>
          <w:p>
            <w:pPr>
              <w:jc w:val="right"/>
              <w:ind w:right="215"/>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64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Estimated Fair Value</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118,415</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Identifiable intangible assets and other assets</w:t>
            </w:r>
          </w:p>
        </w:tc>
        <w:tc>
          <w:tcPr>
            <w:tcW w:w="3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5,335</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r>
      <w:tr>
        <w:trPr>
          <w:trHeight w:val="223"/>
        </w:trPr>
        <w:tc>
          <w:tcPr>
            <w:tcW w:w="6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assets acquired</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116,501</w:t>
            </w: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Identifiable intangible assets acquired in the transaction were primarily related to advanced lodging bookings and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recognized $2.8 million of acquisition related expenses associated with the transaction within Mountain and Lodging operating expense for the year ended July 31, 2022. The operating results of the acquired resorts are reported within the Mountain and Lodging segments prospectively from the date of acquisition.</w:t>
      </w:r>
    </w:p>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00" w:type="dxa"/>
            <w:vAlign w:val="bottom"/>
          </w:tcPr>
          <w:p>
            <w:pPr>
              <w:jc w:val="right"/>
              <w:ind w:right="252"/>
              <w:spacing w:after="0"/>
              <w:rPr>
                <w:sz w:val="20"/>
                <w:szCs w:val="20"/>
                <w:color w:val="auto"/>
              </w:rPr>
            </w:pPr>
            <w:r>
              <w:rPr>
                <w:rFonts w:ascii="Arial" w:cs="Arial" w:eastAsia="Arial" w:hAnsi="Arial"/>
                <w:sz w:val="14"/>
                <w:szCs w:val="14"/>
                <w:b w:val="1"/>
                <w:bCs w:val="1"/>
                <w:color w:val="auto"/>
              </w:rPr>
              <w:t>January 31, 2023</w:t>
            </w:r>
          </w:p>
        </w:tc>
        <w:tc>
          <w:tcPr>
            <w:tcW w:w="320" w:type="dxa"/>
            <w:vAlign w:val="bottom"/>
          </w:tcPr>
          <w:p>
            <w:pPr>
              <w:spacing w:after="0"/>
              <w:rPr>
                <w:sz w:val="16"/>
                <w:szCs w:val="16"/>
                <w:color w:val="auto"/>
              </w:rPr>
            </w:pPr>
          </w:p>
        </w:tc>
        <w:tc>
          <w:tcPr>
            <w:tcW w:w="1440" w:type="dxa"/>
            <w:vAlign w:val="bottom"/>
          </w:tcPr>
          <w:p>
            <w:pPr>
              <w:jc w:val="right"/>
              <w:ind w:right="392"/>
              <w:spacing w:after="0"/>
              <w:rPr>
                <w:sz w:val="20"/>
                <w:szCs w:val="20"/>
                <w:color w:val="auto"/>
              </w:rPr>
            </w:pPr>
            <w:r>
              <w:rPr>
                <w:rFonts w:ascii="Arial" w:cs="Arial" w:eastAsia="Arial" w:hAnsi="Arial"/>
                <w:sz w:val="14"/>
                <w:szCs w:val="14"/>
                <w:b w:val="1"/>
                <w:bCs w:val="1"/>
                <w:color w:val="auto"/>
              </w:rPr>
              <w:t>July 31, 2022</w:t>
            </w:r>
          </w:p>
        </w:tc>
        <w:tc>
          <w:tcPr>
            <w:tcW w:w="260" w:type="dxa"/>
            <w:vAlign w:val="bottom"/>
          </w:tcPr>
          <w:p>
            <w:pPr>
              <w:spacing w:after="0"/>
              <w:rPr>
                <w:sz w:val="16"/>
                <w:szCs w:val="16"/>
                <w:color w:val="auto"/>
              </w:rPr>
            </w:pPr>
          </w:p>
        </w:tc>
        <w:tc>
          <w:tcPr>
            <w:tcW w:w="1440" w:type="dxa"/>
            <w:vAlign w:val="bottom"/>
          </w:tcPr>
          <w:p>
            <w:pPr>
              <w:jc w:val="right"/>
              <w:ind w:right="212"/>
              <w:spacing w:after="0"/>
              <w:rPr>
                <w:sz w:val="20"/>
                <w:szCs w:val="20"/>
                <w:color w:val="auto"/>
              </w:rPr>
            </w:pPr>
            <w:r>
              <w:rPr>
                <w:rFonts w:ascii="Arial" w:cs="Arial" w:eastAsia="Arial" w:hAnsi="Arial"/>
                <w:sz w:val="14"/>
                <w:szCs w:val="14"/>
                <w:b w:val="1"/>
                <w:bCs w:val="1"/>
                <w:color w:val="auto"/>
                <w:w w:val="99"/>
              </w:rPr>
              <w:t>January 31, 2022</w:t>
            </w:r>
          </w:p>
        </w:tc>
      </w:tr>
      <w:tr>
        <w:trPr>
          <w:trHeight w:val="25"/>
        </w:trPr>
        <w:tc>
          <w:tcPr>
            <w:tcW w:w="4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793,271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763,432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767,433</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18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1,635,700</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1,545,571</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1,564,845</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8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1,769,052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1,505,236</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1,504,991</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8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330,257</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307,867</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318,434</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8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141,595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138,058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126,742</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Vehicles</w:t>
            </w:r>
          </w:p>
        </w:tc>
        <w:tc>
          <w:tcPr>
            <w:tcW w:w="18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85,329</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81,927</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82,710</w:t>
            </w:r>
          </w:p>
        </w:tc>
      </w:tr>
      <w:tr>
        <w:trPr>
          <w:trHeight w:val="229"/>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8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135,903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127,282</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114,165</w:t>
            </w:r>
          </w:p>
        </w:tc>
      </w:tr>
      <w:tr>
        <w:trPr>
          <w:trHeight w:val="223"/>
        </w:trPr>
        <w:tc>
          <w:tcPr>
            <w:tcW w:w="4480" w:type="dxa"/>
            <w:vAlign w:val="bottom"/>
          </w:tcPr>
          <w:p>
            <w:pPr>
              <w:ind w:left="220"/>
              <w:spacing w:after="0"/>
              <w:rPr>
                <w:sz w:val="20"/>
                <w:szCs w:val="20"/>
                <w:color w:val="auto"/>
              </w:rPr>
            </w:pPr>
            <w:r>
              <w:rPr>
                <w:rFonts w:ascii="Arial" w:cs="Arial" w:eastAsia="Arial" w:hAnsi="Arial"/>
                <w:sz w:val="18"/>
                <w:szCs w:val="18"/>
                <w:color w:val="auto"/>
              </w:rPr>
              <w:t>Gross property, plant and equipment</w:t>
            </w:r>
          </w:p>
        </w:tc>
        <w:tc>
          <w:tcPr>
            <w:tcW w:w="18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4,891,107</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4,469,373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4,479,320</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8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(2,469,712)</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(2,351,321)</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(2,288,988)</w:t>
            </w:r>
          </w:p>
        </w:tc>
      </w:tr>
      <w:tr>
        <w:trPr>
          <w:trHeight w:val="223"/>
        </w:trPr>
        <w:tc>
          <w:tcPr>
            <w:tcW w:w="4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Property, plant and equipment, net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2,421,395</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2,118,052</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2,190,332</w:t>
            </w:r>
          </w:p>
        </w:tc>
      </w:tr>
      <w:tr>
        <w:trPr>
          <w:trHeight w:val="21"/>
        </w:trPr>
        <w:tc>
          <w:tcPr>
            <w:tcW w:w="4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January 31, 2023</w:t>
            </w:r>
          </w:p>
        </w:tc>
        <w:tc>
          <w:tcPr>
            <w:tcW w:w="340" w:type="dxa"/>
            <w:vAlign w:val="bottom"/>
          </w:tcPr>
          <w:p>
            <w:pPr>
              <w:spacing w:after="0"/>
              <w:rPr>
                <w:sz w:val="16"/>
                <w:szCs w:val="16"/>
                <w:color w:val="auto"/>
              </w:rPr>
            </w:pPr>
          </w:p>
        </w:tc>
        <w:tc>
          <w:tcPr>
            <w:tcW w:w="1400" w:type="dxa"/>
            <w:vAlign w:val="bottom"/>
          </w:tcPr>
          <w:p>
            <w:pPr>
              <w:jc w:val="right"/>
              <w:ind w:right="352"/>
              <w:spacing w:after="0"/>
              <w:rPr>
                <w:sz w:val="20"/>
                <w:szCs w:val="20"/>
                <w:color w:val="auto"/>
              </w:rPr>
            </w:pPr>
            <w:r>
              <w:rPr>
                <w:rFonts w:ascii="Arial" w:cs="Arial" w:eastAsia="Arial" w:hAnsi="Arial"/>
                <w:sz w:val="14"/>
                <w:szCs w:val="14"/>
                <w:b w:val="1"/>
                <w:bCs w:val="1"/>
                <w:color w:val="auto"/>
              </w:rPr>
              <w:t>July 31, 2022</w:t>
            </w:r>
          </w:p>
        </w:tc>
        <w:tc>
          <w:tcPr>
            <w:tcW w:w="280" w:type="dxa"/>
            <w:vAlign w:val="bottom"/>
          </w:tcPr>
          <w:p>
            <w:pPr>
              <w:spacing w:after="0"/>
              <w:rPr>
                <w:sz w:val="16"/>
                <w:szCs w:val="16"/>
                <w:color w:val="auto"/>
              </w:rPr>
            </w:pPr>
          </w:p>
        </w:tc>
        <w:tc>
          <w:tcPr>
            <w:tcW w:w="1440" w:type="dxa"/>
            <w:vAlign w:val="bottom"/>
          </w:tcPr>
          <w:p>
            <w:pPr>
              <w:jc w:val="right"/>
              <w:ind w:right="212"/>
              <w:spacing w:after="0"/>
              <w:rPr>
                <w:sz w:val="20"/>
                <w:szCs w:val="20"/>
                <w:color w:val="auto"/>
              </w:rPr>
            </w:pPr>
            <w:r>
              <w:rPr>
                <w:rFonts w:ascii="Arial" w:cs="Arial" w:eastAsia="Arial" w:hAnsi="Arial"/>
                <w:sz w:val="14"/>
                <w:szCs w:val="14"/>
                <w:b w:val="1"/>
                <w:bCs w:val="1"/>
                <w:color w:val="auto"/>
                <w:w w:val="99"/>
              </w:rPr>
              <w:t>January 31, 2022</w:t>
            </w:r>
          </w:p>
        </w:tc>
      </w:tr>
      <w:tr>
        <w:trPr>
          <w:trHeight w:val="26"/>
        </w:trPr>
        <w:tc>
          <w:tcPr>
            <w:tcW w:w="4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179,221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151,263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137,895</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340" w:type="dxa"/>
            <w:vAlign w:val="bottom"/>
          </w:tcPr>
          <w:p>
            <w:pPr>
              <w:spacing w:after="0"/>
              <w:rPr>
                <w:sz w:val="19"/>
                <w:szCs w:val="19"/>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619,511</w:t>
            </w:r>
          </w:p>
        </w:tc>
        <w:tc>
          <w:tcPr>
            <w:tcW w:w="34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511,306</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611,477</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deferred compensation</w:t>
            </w:r>
          </w:p>
        </w:tc>
        <w:tc>
          <w:tcPr>
            <w:tcW w:w="1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66,275</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64,570</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59,008</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1340" w:type="dxa"/>
            <w:vAlign w:val="bottom"/>
          </w:tcPr>
          <w:p>
            <w:pPr>
              <w:spacing w:after="0"/>
              <w:rPr>
                <w:sz w:val="19"/>
                <w:szCs w:val="19"/>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54,129</w:t>
            </w:r>
          </w:p>
        </w:tc>
        <w:tc>
          <w:tcPr>
            <w:tcW w:w="34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45,202</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46,894</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1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81,612</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37,731</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80,547</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340" w:type="dxa"/>
            <w:vAlign w:val="bottom"/>
          </w:tcPr>
          <w:p>
            <w:pPr>
              <w:spacing w:after="0"/>
              <w:rPr>
                <w:sz w:val="19"/>
                <w:szCs w:val="19"/>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36,667</w:t>
            </w:r>
          </w:p>
        </w:tc>
        <w:tc>
          <w:tcPr>
            <w:tcW w:w="34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34,218</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35,438</w:t>
            </w:r>
          </w:p>
        </w:tc>
      </w:tr>
      <w:tr>
        <w:trPr>
          <w:trHeight w:val="230"/>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107,380</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98,540</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95,878</w:t>
            </w:r>
          </w:p>
        </w:tc>
      </w:tr>
      <w:tr>
        <w:trPr>
          <w:trHeight w:val="223"/>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accounts payable and accrued liabilities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1,144,795</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942,830</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1,067,137</w:t>
            </w:r>
          </w:p>
        </w:tc>
      </w:tr>
      <w:tr>
        <w:trPr>
          <w:trHeight w:val="21"/>
        </w:trPr>
        <w:tc>
          <w:tcPr>
            <w:tcW w:w="4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by segment for the six months ended January 31, 2023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jc w:val="right"/>
              <w:ind w:right="474"/>
              <w:spacing w:after="0"/>
              <w:rPr>
                <w:sz w:val="20"/>
                <w:szCs w:val="20"/>
                <w:color w:val="auto"/>
              </w:rPr>
            </w:pPr>
            <w:r>
              <w:rPr>
                <w:rFonts w:ascii="Arial" w:cs="Arial" w:eastAsia="Arial" w:hAnsi="Arial"/>
                <w:sz w:val="14"/>
                <w:szCs w:val="14"/>
                <w:b w:val="1"/>
                <w:bCs w:val="1"/>
                <w:color w:val="auto"/>
              </w:rPr>
              <w:t>Mountain</w:t>
            </w:r>
          </w:p>
        </w:tc>
        <w:tc>
          <w:tcPr>
            <w:tcW w:w="400" w:type="dxa"/>
            <w:vAlign w:val="bottom"/>
          </w:tcPr>
          <w:p>
            <w:pPr>
              <w:spacing w:after="0"/>
              <w:rPr>
                <w:sz w:val="16"/>
                <w:szCs w:val="16"/>
                <w:color w:val="auto"/>
              </w:rPr>
            </w:pPr>
          </w:p>
        </w:tc>
        <w:tc>
          <w:tcPr>
            <w:tcW w:w="1340" w:type="dxa"/>
            <w:vAlign w:val="bottom"/>
          </w:tcPr>
          <w:p>
            <w:pPr>
              <w:jc w:val="right"/>
              <w:ind w:right="514"/>
              <w:spacing w:after="0"/>
              <w:rPr>
                <w:sz w:val="20"/>
                <w:szCs w:val="20"/>
                <w:color w:val="auto"/>
              </w:rPr>
            </w:pPr>
            <w:r>
              <w:rPr>
                <w:rFonts w:ascii="Arial" w:cs="Arial" w:eastAsia="Arial" w:hAnsi="Arial"/>
                <w:sz w:val="14"/>
                <w:szCs w:val="14"/>
                <w:b w:val="1"/>
                <w:bCs w:val="1"/>
                <w:color w:val="auto"/>
              </w:rPr>
              <w:t>Lodging</w:t>
            </w:r>
          </w:p>
        </w:tc>
        <w:tc>
          <w:tcPr>
            <w:tcW w:w="340" w:type="dxa"/>
            <w:vAlign w:val="bottom"/>
          </w:tcPr>
          <w:p>
            <w:pPr>
              <w:spacing w:after="0"/>
              <w:rPr>
                <w:sz w:val="16"/>
                <w:szCs w:val="16"/>
                <w:color w:val="auto"/>
              </w:rPr>
            </w:pPr>
          </w:p>
        </w:tc>
        <w:tc>
          <w:tcPr>
            <w:tcW w:w="1380" w:type="dxa"/>
            <w:vAlign w:val="bottom"/>
          </w:tcPr>
          <w:p>
            <w:pPr>
              <w:jc w:val="right"/>
              <w:ind w:right="334"/>
              <w:spacing w:after="0"/>
              <w:rPr>
                <w:sz w:val="20"/>
                <w:szCs w:val="20"/>
                <w:color w:val="auto"/>
              </w:rPr>
            </w:pPr>
            <w:r>
              <w:rPr>
                <w:rFonts w:ascii="Arial" w:cs="Arial" w:eastAsia="Arial" w:hAnsi="Arial"/>
                <w:sz w:val="14"/>
                <w:szCs w:val="14"/>
                <w:b w:val="1"/>
                <w:bCs w:val="1"/>
                <w:color w:val="auto"/>
              </w:rPr>
              <w:t>Goodwill, net</w:t>
            </w:r>
          </w:p>
        </w:tc>
      </w:tr>
      <w:tr>
        <w:trPr>
          <w:trHeight w:val="26"/>
        </w:trPr>
        <w:tc>
          <w:tcPr>
            <w:tcW w:w="5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31, 2022</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1,709,922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45,006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1,754,928</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Acquisition (including measurement period adjustments)</w:t>
            </w:r>
          </w:p>
        </w:tc>
        <w:tc>
          <w:tcPr>
            <w:tcW w:w="128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3,800</w:t>
            </w:r>
          </w:p>
        </w:tc>
        <w:tc>
          <w:tcPr>
            <w:tcW w:w="40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3,800</w:t>
            </w:r>
          </w:p>
        </w:tc>
      </w:tr>
      <w:tr>
        <w:trPr>
          <w:trHeight w:val="229"/>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Effects of changes in foreign currency exchange rates</w:t>
            </w:r>
          </w:p>
        </w:tc>
        <w:tc>
          <w:tcPr>
            <w:tcW w:w="1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(35,709)</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(35,709)</w:t>
            </w:r>
          </w:p>
        </w:tc>
      </w:tr>
      <w:tr>
        <w:trPr>
          <w:trHeight w:val="223"/>
        </w:trPr>
        <w:tc>
          <w:tcPr>
            <w:tcW w:w="5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Balance at January 31, 2023</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1,678,013</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45,006</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1,723,019</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utilizes FASB-issued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other current assets, interest rate swaps and Contingent Consideration (defined below) measured at estimated fair value (all other assets and liabilities measured at fair value are immaterial)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4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Estimated Fair Value Measurement as of January 31, 2023</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40" w:type="dxa"/>
            <w:vAlign w:val="bottom"/>
            <w:vMerge w:val="restart"/>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614,439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614,439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111,140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111,140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19,270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19,270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25,200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0" w:type="dxa"/>
            <w:vAlign w:val="bottom"/>
          </w:tcPr>
          <w:p>
            <w:pPr>
              <w:spacing w:after="0"/>
              <w:rPr>
                <w:sz w:val="1"/>
                <w:szCs w:val="1"/>
                <w:color w:val="auto"/>
              </w:rPr>
            </w:pPr>
          </w:p>
        </w:tc>
      </w:tr>
      <w:tr>
        <w:trPr>
          <w:trHeight w:val="373"/>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4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rPr>
              <w:t>Estimated Fair Value Measurement as of July 31, 2022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340" w:type="dxa"/>
            <w:vAlign w:val="bottom"/>
            <w:vMerge w:val="restart"/>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505,901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505,901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9,473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9,473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12,301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12,301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42,400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42,400</w:t>
            </w:r>
          </w:p>
        </w:tc>
        <w:tc>
          <w:tcPr>
            <w:tcW w:w="0" w:type="dxa"/>
            <w:vAlign w:val="bottom"/>
          </w:tcPr>
          <w:p>
            <w:pPr>
              <w:spacing w:after="0"/>
              <w:rPr>
                <w:sz w:val="1"/>
                <w:szCs w:val="1"/>
                <w:color w:val="auto"/>
              </w:rPr>
            </w:pPr>
          </w:p>
        </w:tc>
      </w:tr>
      <w:tr>
        <w:trPr>
          <w:trHeight w:val="373"/>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4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Estimated Fair Value Measurement as of January 31, 2022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340" w:type="dxa"/>
            <w:vAlign w:val="bottom"/>
            <w:vMerge w:val="restart"/>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504,306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504,306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9,564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9,564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1,155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1,155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40,900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equivalents, other current assets and interest rate swaps are measured utilizing quoted market prices or pricing models whereby all significant inputs are either observable or corroborated by observable market data. The estimated fair value of the interest rate swaps are included within other assets on the Company’s Consolidated Condensed Balance Sheet as of January 31, 2023 and July 31, 2022, and included within other long-term liabilities as of January 31,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six months ended January 31, 2023 and 2022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2022 and 2021, respectively</w:t>
            </w:r>
          </w:p>
        </w:tc>
        <w:tc>
          <w:tcPr>
            <w:tcW w:w="26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42,400</w:t>
            </w:r>
          </w:p>
        </w:tc>
        <w:tc>
          <w:tcPr>
            <w:tcW w:w="5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8"/>
              </w:rPr>
              <w:t>29,600</w:t>
            </w:r>
          </w:p>
        </w:tc>
      </w:tr>
      <w:tr>
        <w:trPr>
          <w:trHeight w:val="230"/>
        </w:trPr>
        <w:tc>
          <w:tcPr>
            <w:tcW w:w="6140" w:type="dxa"/>
            <w:vAlign w:val="bottom"/>
          </w:tcPr>
          <w:p>
            <w:pPr>
              <w:ind w:left="220"/>
              <w:spacing w:after="0"/>
              <w:rPr>
                <w:sz w:val="20"/>
                <w:szCs w:val="20"/>
                <w:color w:val="auto"/>
              </w:rPr>
            </w:pPr>
            <w:r>
              <w:rPr>
                <w:rFonts w:ascii="Arial" w:cs="Arial" w:eastAsia="Arial" w:hAnsi="Arial"/>
                <w:sz w:val="18"/>
                <w:szCs w:val="18"/>
                <w:color w:val="auto"/>
              </w:rPr>
              <w:t>Payments</w:t>
            </w:r>
          </w:p>
        </w:tc>
        <w:tc>
          <w:tcPr>
            <w:tcW w:w="2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(18,936)</w:t>
            </w:r>
          </w:p>
        </w:tc>
        <w:tc>
          <w:tcPr>
            <w:tcW w:w="52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w w:val="94"/>
              </w:rPr>
              <w:t>(7,480)</w:t>
            </w:r>
          </w:p>
        </w:tc>
      </w:tr>
      <w:tr>
        <w:trPr>
          <w:trHeight w:val="230"/>
        </w:trPr>
        <w:tc>
          <w:tcPr>
            <w:tcW w:w="6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w:t>
            </w:r>
          </w:p>
        </w:tc>
        <w:tc>
          <w:tcPr>
            <w:tcW w:w="2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1,736</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8"/>
              </w:rPr>
              <w:t>18,780</w:t>
            </w:r>
          </w:p>
        </w:tc>
      </w:tr>
      <w:tr>
        <w:trPr>
          <w:trHeight w:val="22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January 31, 2023 and 2022, respectively</w:t>
            </w:r>
          </w:p>
        </w:tc>
        <w:tc>
          <w:tcPr>
            <w:tcW w:w="2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25,200</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8"/>
              </w:rPr>
              <w:t>40,900</w:t>
            </w: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spacing w:after="0" w:line="288" w:lineRule="auto"/>
        <w:rPr>
          <w:sz w:val="20"/>
          <w:szCs w:val="20"/>
          <w:color w:val="auto"/>
        </w:rPr>
      </w:pPr>
      <w:r>
        <w:rPr>
          <w:rFonts w:ascii="Arial" w:cs="Arial" w:eastAsia="Arial" w:hAnsi="Arial"/>
          <w:sz w:val="16"/>
          <w:szCs w:val="16"/>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11.1%, volatility of 17.0% and future period Park City EBITDA,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of the resort would result in a change in the estimated fair value within the range of approximately $3.5 million to $6.1 million.</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Contingent Consideration is classified as a liability, which is remeasured to fair value at each reporting date until the contingency is resolved. During the six months ended January 31, 2023, the Company made a payment to the landlord for Contingent Consideration of approximately $18.9 million and recorded an increase of approximately $1.7 million. These changes resulted in an estimated fair value of the Contingent Consideration of approximately $25.2 million, which is reflected in other long-term liabilities in the Company’s Consolidated Condensed Balance Sheet.</w:t>
      </w:r>
    </w:p>
    <w:p>
      <w:pPr>
        <w:spacing w:after="0" w:line="1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$1.7 million, $1.8 million and $1.8 million primarily within other long-term liabilities in the accompanying Consolidated Condensed Balance Sheets, as of January 31, 2023, July 31, 2022 and January 31, 2022, respectively, with respect to the estimated present value of future RSRMD capital improvement fees. The Company estimates it will make capital improvement fee payments under this arrangement through the fiscal year ending July 31, 2031.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31, 2023, the Company had various other letters of credit outstanding totaling $83.0 million, consisting of $53.4 million to support the Employee Housing Bonds and $29.6 million primarily for insurance-related deductibles, a wind energy purchase agreement and workers’ compensation. The Company also had surety bonds of $13.1 million as of January 31, 2023, primarily to provide collateral for its U.S. workers compensation self-insurance programs.</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 party to various lawsuits arising in the ordinary course of business. Management believes the Company has adequate insurance coverage and/or has accrued for all loss contingencies for asserted and unasserted matters deemed to be probable and estimable losses. As of January 31, 2023, July 31, 2022 and January 31, 2022, the accruals for the above loss contingencies were not material individually or in the aggregate.</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accompanying Consolidated Condensed Financial Statements as indicators of financial performance or liquidity.</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ind w:right="20"/>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60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Six Months Ended January 31,</w:t>
            </w:r>
          </w:p>
        </w:tc>
      </w:tr>
      <w:tr>
        <w:trPr>
          <w:trHeight w:val="26"/>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Mountain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1,013,442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834,375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1,215,159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943,675</w:t>
            </w:r>
          </w:p>
        </w:tc>
      </w:tr>
      <w:tr>
        <w:trPr>
          <w:trHeight w:val="229"/>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Lodging</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80,577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158,194</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137,941</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Total Resort net revenue</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1,094,019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906,355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1,373,353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1,081,616</w:t>
            </w:r>
          </w:p>
        </w:tc>
      </w:tr>
      <w:tr>
        <w:trPr>
          <w:trHeight w:val="229"/>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7,699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7,812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1,101,718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906,535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1,381,165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1,082,111</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Mountain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614,633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446,700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908,829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668,478</w:t>
            </w: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Lodging</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84,630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62,612</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166,604</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126,022</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Total Resort operating expense</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699,263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509,312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1,075,433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794,500</w:t>
            </w: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6,310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7,692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r>
      <w:tr>
        <w:trPr>
          <w:trHeight w:val="196"/>
        </w:trPr>
        <w:tc>
          <w:tcPr>
            <w:tcW w:w="53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segment operating expense</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705,573</w:t>
            </w:r>
          </w:p>
        </w:tc>
        <w:tc>
          <w:tcPr>
            <w:tcW w:w="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510,823</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1,083,125</w:t>
            </w:r>
          </w:p>
        </w:tc>
        <w:tc>
          <w:tcPr>
            <w:tcW w:w="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797,481</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property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Mountain equity investment income,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2,332</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EBITDA: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Mountain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398,851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388,493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306,718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277,529</w:t>
            </w: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Lodging</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11,919</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Resort</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394,798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397,861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298,308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289,448</w:t>
            </w: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2,146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877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196"/>
        </w:trPr>
        <w:tc>
          <w:tcPr>
            <w:tcW w:w="53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Reported EBITDA</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396,944</w:t>
            </w:r>
          </w:p>
        </w:tc>
        <w:tc>
          <w:tcPr>
            <w:tcW w:w="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397,461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299,185</w:t>
            </w:r>
          </w:p>
        </w:tc>
        <w:tc>
          <w:tcPr>
            <w:tcW w:w="3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287,924</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held for sale or investment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90,354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90,354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95,331</w:t>
            </w:r>
          </w:p>
        </w:tc>
      </w:tr>
      <w:tr>
        <w:trPr>
          <w:trHeight w:val="175"/>
        </w:trPr>
        <w:tc>
          <w:tcPr>
            <w:tcW w:w="5360" w:type="dxa"/>
            <w:vAlign w:val="bottom"/>
          </w:tcPr>
          <w:p>
            <w:pPr>
              <w:ind w:left="20"/>
              <w:spacing w:after="0" w:line="176" w:lineRule="exact"/>
              <w:rPr>
                <w:sz w:val="20"/>
                <w:szCs w:val="20"/>
                <w:color w:val="auto"/>
              </w:rPr>
            </w:pPr>
            <w:r>
              <w:rPr>
                <w:rFonts w:ascii="Arial" w:cs="Arial" w:eastAsia="Arial" w:hAnsi="Arial"/>
                <w:sz w:val="18"/>
                <w:szCs w:val="18"/>
                <w:color w:val="auto"/>
                <w:w w:val="93"/>
              </w:rPr>
              <w:t>Reconciliation from net income attributable to Vail Resorts, Inc. to Total</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Reported EBITDA:</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208,679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223,391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71,708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84,059</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11,440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4,851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7,350</w:t>
            </w:r>
          </w:p>
        </w:tc>
      </w:tr>
      <w:tr>
        <w:trPr>
          <w:trHeight w:val="22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220,119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76,559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91,409</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79,032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21,026</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w:t>
            </w:r>
          </w:p>
        </w:tc>
      </w:tr>
      <w:tr>
        <w:trPr>
          <w:trHeight w:val="22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provision for (benefit from)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299,151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97,585</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83,605</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65,989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62,070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130,603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123,559</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estimated fair value of contingent consideration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Loss (gain) on disposal of fixed assets and other, net</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1,780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1,786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(16,214)</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Foreign currency (gain) loss on intercompany loans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3,797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2,039</w:t>
            </w:r>
          </w:p>
        </w:tc>
      </w:tr>
      <w:tr>
        <w:trPr>
          <w:trHeight w:val="229"/>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38,370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37,366</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73,672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76,911</w:t>
            </w:r>
          </w:p>
        </w:tc>
      </w:tr>
      <w:tr>
        <w:trPr>
          <w:trHeight w:val="223"/>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396,944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397,461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299,185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287,924</w:t>
            </w: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3" w:name="page24"/>
    <w:bookmarkEnd w:id="23"/>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did not repurchase any Vail Shares during the three and six months ended January 31, 2023 or 2022. Since inception of its share repurchase program through January 31, 2023, the Company has repurchased 6,465,708 Vail Shares for approximately $479.4 million. As of January 31, 2023, 1,034,292 Vail Shares remained available to repurchase under the existing share repurchase program. On March 7, 2023, the Company’s Board of Directors approved an increase in the number of shares authorized to be repurchased under the share repurchase program by an additional 2,500,000 Vail Shares. As a result, 3,534,292 Vail Shares are available to repurchase under the share repurchase program, which has no expiration date. Vail Shares purchased pursuant to the repurchase program will be held as treasury shares and may be used for issuance under the Company’s employee share award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January 31, 2023 (“Form 10-Q”) as “we,” “us,” “our” or the “Company.”</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fiscal year ended July 31, 2022 (“Form 10-K”) and the Consolidated Condensed Financial Statements as of January 31, 2023 and 2022 and for the three and six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28, 2022.</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income attributable to Vail Resorts, Inc. to Total Reported EBITDA and Resort Reported EBITDA, and long-term debt, net to Net Debt.</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income,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41 destination mountain resorts and regional ski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destination mountain resorts and regional ski areas (collectively, “Resorts”) typically experience their peak operating season for the Mountain segment from mid-December through mid-April, and our Australian ski areas typically experience their peak operating season from June to early October. Consequently, our first fiscal quarter is a seasonally low period as most of our North American and European ski operations are generally not open for business until our second fiscal quarter, while the activity of our Australian ski areas’ peak season and our North American and European summer operating results are not sufficient to offset the losses incurred during the seasonally low periods at our North American and European Resorts. Revenue of the Mountain segment during the first and fourth fiscal quarters is primarily generated from summer and group related visitation at our North American and European destination mountain resorts, retail/rental operations and peak season Australian ski operations. Our largest source of Mountain segment revenue is the sale of lift tickets (including pass products), which represented approximately 58% and 63% of Mountain segment net revenue for the three months ended January 31, 2023 and 2022, respectively.</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Lift revenue is driven by volume and pricing. Pricing is impacted by absolute pricing, as well as both the demographic and geographic mix of guests, which impacts the price points at which various products are purchased. The demographic mix of guests that visit our North American Resorts is divided into two primary categories: (i) out-of-state and international</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5" w:name="page26"/>
    <w:bookmarkEnd w:id="25"/>
    <w:p>
      <w:pPr>
        <w:jc w:val="both"/>
        <w:spacing w:after="0" w:line="270" w:lineRule="auto"/>
        <w:rPr>
          <w:sz w:val="20"/>
          <w:szCs w:val="20"/>
          <w:color w:val="auto"/>
        </w:rPr>
      </w:pPr>
      <w:r>
        <w:rPr>
          <w:rFonts w:ascii="Arial" w:cs="Arial" w:eastAsia="Arial" w:hAnsi="Arial"/>
          <w:sz w:val="17"/>
          <w:szCs w:val="17"/>
          <w:color w:val="auto"/>
        </w:rPr>
        <w:t>(“Destination”) guests and (ii) in-state and local (“Local”) guests. The geographic mix depends on levels of visitation to our destination mountain resorts versus our regional ski areas. For the three months ended January 31, 2023, Destination guests comprised approximately 54% of our North American destination mountain resort skier visits (excluding complimentary access), while Local guests comprised approximately 46% of our North American destination mountain resort skier visits (excluding complimentary access), which compares to 55% and 45%, respectively, for the three months ended January 31, 2022. Skier visitation at our regional ski areas is largely comprised of Local guests. Destination guests generally purchase our higher-priced lift tickets (including pass products) and utilize more ancillary services such as ski school, dining and retail/rental, as well as lodging at or around our mountain resorts. Additionally, Destination guest visitation is less likely to be impacted by changes in the weather during the current season, but may be more impacted by adverse economic conditions, the global geopolitical climate, travel disruptions or weather conditions in the immediately preceding ski season. Local guests tend to be more value-oriented and weather-sensitive.</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expect to ski a certain number of days during the season, and which is available in three tiers of resort access offerings. Our pass products provide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enter into strategic long-term pass alliance agreements with third-party mountain resorts, which further increase the value proposition of our pass products. For the 2023/2024 ski season, our pass alliances include Telluride Ski Resort in Colorado, Hakuba Valley and Rusutsu Resort in Japan, Resorts of the Canadian Rockies in Canada, Les 3 Vallées in France, Disentis Ski Area and Verbier 4 Vallées in Switzerland, Skirama Dolomiti in Italy and Ski Arlberg in Austria.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Condensed Statements of Operations throughout the ski season on a straight-line basis using the skiable days of the season to date relative to the total estimated skiable days of the season.</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Lift revenue consists of pass product lift revenue (“pass revenue”) and non-pass product lift revenue (“non-pass revenue”). For the three months ended January 31, 2023 and 2022, approximately 70% and 68%, respectively, of our total lift revenue recognized was derived from pass revenue. Pass revenue recognized year to date (excluding Andermatt-Sedrun and legacy passes assumed in the acquisition of the Seven Springs Resorts, both as defined below), which is primarily recognized in our second fiscal quarter, represents approximately 51% and 46%, of our total North American pass product revenue for the 2022/2023 and 2021/2022 North American ski seasons, respectively, with the remaining North American pass revenue almost entirely recognized as lift revenue in our third fiscal quarter ending April 30. The increase in the portion of pass revenue recognized year to date compared to the prior year to date period is primarily the result of challenging early season conditions in the prior year, which resulted in delayed openings for a number of our destination mountain resorts, as well as early openings of certain Resorts for the current 2022/2023 North American ski season. This variability in Resort opening dates drove a pass revenue increase of approximately $40 million for the three months ended January 31, 2023 compared to the three months ended January 31, 2022. This is a timing difference that will largely reverse during our third fiscal quarter.</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spacing w:after="0" w:line="269" w:lineRule="auto"/>
        <w:rPr>
          <w:sz w:val="20"/>
          <w:szCs w:val="20"/>
          <w:color w:val="auto"/>
        </w:rPr>
      </w:pPr>
      <w:r>
        <w:rPr>
          <w:rFonts w:ascii="Arial" w:cs="Arial" w:eastAsia="Arial" w:hAnsi="Arial"/>
          <w:sz w:val="17"/>
          <w:szCs w:val="17"/>
          <w:color w:val="auto"/>
        </w:rPr>
        <w:t>The performance of our lodging properties (including managed condominium rooms) proximate to our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94% of Lodging segment net revenue (excluding Lodging segment revenue associated with the reimbursement of payroll costs) for both the three months ended January 31, 2023 and 2022.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concessioner properties (as their peak operating season generally occurs from mid-May through the end of September); mountain resort golf operations and seasonally lower volume from our other owned and managed properties and businesses.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97" w:lineRule="exact"/>
        <w:rPr>
          <w:sz w:val="20"/>
          <w:szCs w:val="20"/>
          <w:color w:val="auto"/>
        </w:rPr>
      </w:pPr>
    </w:p>
    <w:p>
      <w:pPr>
        <w:jc w:val="both"/>
        <w:ind w:left="66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economies in the countries in which we operate may be impacted by economic challenges associated with rising inflation, increasing interest rates and/or fluctuating commodity prices that could adversely impact our business, including decreased guest spending or visitation or increased costs of operations. Skiing, travel and tourism are discretionary recreational activities that can entail a relatively high cost of participation. As a result, economic downturns may have a pronounced impact on visitation to our Resorts. We cannot predict the ultimate extent of such potential economic challenges, whether in North America or globally.</w:t>
      </w:r>
    </w:p>
    <w:p>
      <w:pPr>
        <w:spacing w:after="0" w:line="214" w:lineRule="exact"/>
        <w:rPr>
          <w:rFonts w:ascii="Arial" w:cs="Arial" w:eastAsia="Arial" w:hAnsi="Arial"/>
          <w:sz w:val="18"/>
          <w:szCs w:val="18"/>
          <w:color w:val="auto"/>
        </w:rPr>
      </w:pPr>
    </w:p>
    <w:p>
      <w:pPr>
        <w:jc w:val="both"/>
        <w:ind w:left="660" w:hanging="328"/>
        <w:spacing w:after="0" w:line="270"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Pass revenue increased approximately $59.6 million, or 16.8%, for the three months ended January 31, 2023 compared to the same period in the prior year, primarily due to delayed destination mountain resort opening dates in the prior year (as discussed above), as well as increased pass product sales for the 2022/2023 North American ski season compared to the 2021/2022 North American ski season. Deferred revenue related to North American pass product sales (excluding assumed deferred revenue associated with the Seven Springs Resorts, as defined below) was approximately $398.0 million as of January 31, 2023 (compared to approximately $425.5 million as of January 31, 2022).</w:t>
      </w:r>
    </w:p>
    <w:p>
      <w:pPr>
        <w:spacing w:after="0" w:line="207" w:lineRule="exact"/>
        <w:rPr>
          <w:rFonts w:ascii="Arial" w:cs="Arial" w:eastAsia="Arial" w:hAnsi="Arial"/>
          <w:sz w:val="17"/>
          <w:szCs w:val="17"/>
          <w:color w:val="auto"/>
        </w:rPr>
      </w:pPr>
    </w:p>
    <w:p>
      <w:pPr>
        <w:jc w:val="both"/>
        <w:ind w:left="660" w:hanging="328"/>
        <w:spacing w:after="0" w:line="289"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Improved conditions at our Colorado, Utah and Tahoe resorts enabled select early resort openings and drove strong early season local visitation, and the easing of travel restrictions in Canada contributed to a strong rebound in Destination visitation at Whistler Blackcomb relative to the prior year period. Visitation at our western U.S. Resorts was negatively impacted by airline travel disruptions during the peak holiday period, as well as severe weather disruptions at our Tahoe resorts. In Tahoe, significant snowstorms continued to impact resort access and hindered our ability to fully open our Resorts throughout the remainder of the quarter. Across our 26 Midwest, Mid-Atlantic and Northeast Resorts (collectively, “Eastern” U.S. Resorts), results for the quarter were negatively impacted by abnormal weather conditions, which significantly reduced operating days, terrain availability and activity offerings across the region which impacted demand and increased operating costs, including snowmaking, grooming and related labor costs. In particular, results at our Eastern U.S. Resorts were significantly below expectations in the post-holiday period, as conditions did not return to normal after the holidays as expected with January having only 50-60% of lifts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jc w:val="both"/>
        <w:ind w:left="328"/>
        <w:spacing w:after="0" w:line="259" w:lineRule="auto"/>
        <w:rPr>
          <w:sz w:val="20"/>
          <w:szCs w:val="20"/>
          <w:color w:val="auto"/>
        </w:rPr>
      </w:pPr>
      <w:r>
        <w:rPr>
          <w:rFonts w:ascii="Arial" w:cs="Arial" w:eastAsia="Arial" w:hAnsi="Arial"/>
          <w:sz w:val="18"/>
          <w:szCs w:val="18"/>
          <w:color w:val="auto"/>
        </w:rPr>
        <w:t>and terrain open during the period. The recent investments we made in our Resorts and our employees helped drive improved staffing levels and employee satisfaction scores, a return to normal operations and strong guest satisfaction scores. Our ancillary businesses, including ski school, dining, and retail/rental, experienced strong growth compared to the prior year period, when staffing shortages constrained capacity of ancillary businesses.</w:t>
      </w:r>
    </w:p>
    <w:p>
      <w:pPr>
        <w:spacing w:after="0" w:line="214" w:lineRule="exact"/>
        <w:rPr>
          <w:sz w:val="20"/>
          <w:szCs w:val="20"/>
          <w:color w:val="auto"/>
        </w:rPr>
      </w:pPr>
    </w:p>
    <w:p>
      <w:pPr>
        <w:jc w:val="both"/>
        <w:ind w:left="328" w:hanging="328"/>
        <w:spacing w:after="0" w:line="271" w:lineRule="auto"/>
        <w:tabs>
          <w:tab w:leader="none" w:pos="3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COVID-19 has led to adverse economic impacts in global and local economies. While we have experienced continued recovery from the COVID-19 pandemic, our operations for the fiscal year ending July 31, 2023 (“Fiscal 2023”) may continue to be negatively impacted by COVID-19. Although conditions have improved, demand may continue to be varied as the recovery progresses. A significant outbreak of any new COVID-19 variants could result in temporary impacts to our staffing levels and may impact our financial results for a period of time which we are currently unable to predict. While we anticipate continued improvements with regard to COVID-19 as compared to the fiscal years ended July 31, 2022 and 2021, we cannot predict the ultimate impact that COVID-19 will have on our results of operations, particularly in the event of any staffing challenges caused by COVID-19, or from any impact to our guest visitation, guest spending or other related trends for the 2022/2023 North American and European ski seasons or the remainder of Fiscal 2023.</w:t>
      </w:r>
    </w:p>
    <w:p>
      <w:pPr>
        <w:spacing w:after="0" w:line="205" w:lineRule="exact"/>
        <w:rPr>
          <w:rFonts w:ascii="Arial" w:cs="Arial" w:eastAsia="Arial" w:hAnsi="Arial"/>
          <w:sz w:val="17"/>
          <w:szCs w:val="17"/>
          <w:color w:val="auto"/>
        </w:rPr>
      </w:pPr>
    </w:p>
    <w:p>
      <w:pPr>
        <w:jc w:val="both"/>
        <w:ind w:left="328" w:hanging="328"/>
        <w:spacing w:after="0" w:line="270" w:lineRule="auto"/>
        <w:tabs>
          <w:tab w:leader="none" w:pos="3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of January 31, 2023, we had $1.3 billion of cash and cash equivalents, as well as $414.6 million available under the revolver component of our Eighth Amended and Restated Credit Agreement, dated as of August 15, 2018 and as amended most recently on August 31, 2022 (the “Vail Holdings Credit Agreement”), which represents the total commitment of $500.0 million less certain letters of credit outstanding of $85.4 million. Additionally, we have a credit facility which supports the liquidity needs of Whistler Blackcomb (the “Whistler Credit Agreement”). As of January 31, 2023, we had C$281.6 million ($211.7 million) available under the revolver component of the Whistler Credit Agreement (which represents the total commitment of C$300.0 million ($225.5 million) less outstanding borrowings of C$15.0 million ($11.3 million) and a letter of credit outstanding of C$3.4 million ($2.5 million). 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spacing w:after="0" w:line="207" w:lineRule="exact"/>
        <w:rPr>
          <w:rFonts w:ascii="Arial" w:cs="Arial" w:eastAsia="Arial" w:hAnsi="Arial"/>
          <w:sz w:val="17"/>
          <w:szCs w:val="17"/>
          <w:color w:val="auto"/>
        </w:rPr>
      </w:pPr>
    </w:p>
    <w:p>
      <w:pPr>
        <w:jc w:val="both"/>
        <w:ind w:left="328" w:hanging="328"/>
        <w:spacing w:after="0" w:line="270" w:lineRule="auto"/>
        <w:tabs>
          <w:tab w:leader="none" w:pos="3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August 3, 2022, through a wholly-owned subsidiary, we acquired a 55% controlling interest in Andermatt-Sedrun Sport AG (“Andermatt-Sedrun”) from Andermatt Swiss Alps AG (“ASA”). Andermatt-Sedrun controls and operates all of Andermatt-Sedrun's mountain and ski-related assets, including lifts, most of the restaurants and a ski school operation at the ski area. The total consideration we paid was comprised of a $114.4 million (CHF 110.0 million) investment into Andermatt-Sedrun for use in capital investments to enhance the guest experience on the mountain and $41.3 million (CHF 39.3 million) paid to ASA. As of August 3, 2022 the total fair value of the consideration paid was $155.4 million (CHF 149.3 million). The proceeds paid to ASA will be fully reinvested into the real estate developments in the base area. ASA retains a 40% ownership stake, with a group of existing shareholders comprising the remaining 5% ownership. We are providing unlimited and unrestricted access to Andermatt-Sedrun on the Epic Pass for the 2022/2023 ski season, as well as providing access on other pass products. We cannot predict the ultimate impact the acquisition of Andermatt-Sedrun will have on our future results from operations.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operating results for the three and six months ended January 31, 2023, compared to the three and six months ended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60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Six Months Ended January 31,</w:t>
            </w:r>
          </w:p>
        </w:tc>
      </w:tr>
      <w:tr>
        <w:trPr>
          <w:trHeight w:val="26"/>
        </w:trPr>
        <w:tc>
          <w:tcPr>
            <w:tcW w:w="5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208,679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223,391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71,708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84,059</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Income before (provision for) benefit from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299,151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285,979</w:t>
            </w:r>
          </w:p>
        </w:tc>
        <w:tc>
          <w:tcPr>
            <w:tcW w:w="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97,585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83,605</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398,851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388,493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306,718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277,529</w:t>
            </w:r>
          </w:p>
        </w:tc>
      </w:tr>
      <w:tr>
        <w:trPr>
          <w:trHeight w:val="22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11,919</w:t>
            </w:r>
          </w:p>
        </w:tc>
      </w:tr>
      <w:tr>
        <w:trPr>
          <w:trHeight w:val="223"/>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Reported EBITDA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394,798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397,861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298,308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289,448</w:t>
            </w:r>
          </w:p>
        </w:tc>
      </w:tr>
      <w:tr>
        <w:trPr>
          <w:trHeight w:val="22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 Estate Reported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2,146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877</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condensed results of operations, including any consolidated financial metrics pertaining thereto, include the operations of Andermatt-Sedrun (acquired August 3, 2022) and Seven Springs Mountain Resort, Hidden Valley Resort and Laurel Mountain Ski Area (together, the “Seven Springs Resorts,” acquired December 31, 2021) prospectively from their respective dates of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2023 compared to the three months ended January 31, 2022</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Mountain segment operating results for the three months ended January 31, 2023 and 2022 are presented by category as follows (in thousands, except effective ticket price (“ETP”)). ETP is calculated as lift revenue divided by total skier visits for each applicable period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80" w:type="dxa"/>
            <w:vAlign w:val="bottom"/>
            <w:gridSpan w:val="3"/>
          </w:tcPr>
          <w:p>
            <w:pPr>
              <w:jc w:val="right"/>
              <w:ind w:right="551"/>
              <w:spacing w:after="0"/>
              <w:rPr>
                <w:sz w:val="20"/>
                <w:szCs w:val="20"/>
                <w:color w:val="auto"/>
              </w:rPr>
            </w:pPr>
            <w:r>
              <w:rPr>
                <w:rFonts w:ascii="Arial" w:cs="Arial" w:eastAsia="Arial" w:hAnsi="Arial"/>
                <w:sz w:val="14"/>
                <w:szCs w:val="14"/>
                <w:b w:val="1"/>
                <w:bCs w:val="1"/>
                <w:color w:val="auto"/>
              </w:rPr>
              <w:t>Three Months Ended January 31,</w:t>
            </w: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3"/>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38"/>
        </w:trPr>
        <w:tc>
          <w:tcPr>
            <w:tcW w:w="6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3"/>
                <w:szCs w:val="3"/>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
        </w:trPr>
        <w:tc>
          <w:tcPr>
            <w:tcW w:w="6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Lift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592,603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521,582</w:t>
            </w:r>
          </w:p>
        </w:tc>
        <w:tc>
          <w:tcPr>
            <w:tcW w:w="1880" w:type="dxa"/>
            <w:vAlign w:val="bottom"/>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123,451</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92,072</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34.1 %</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85,828</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54,049</w:t>
            </w:r>
          </w:p>
        </w:tc>
        <w:tc>
          <w:tcPr>
            <w:tcW w:w="1880" w:type="dxa"/>
            <w:vAlign w:val="bottom"/>
          </w:tcPr>
          <w:p>
            <w:pPr>
              <w:jc w:val="right"/>
              <w:spacing w:after="0"/>
              <w:rPr>
                <w:sz w:val="20"/>
                <w:szCs w:val="20"/>
                <w:color w:val="auto"/>
              </w:rPr>
            </w:pPr>
            <w:r>
              <w:rPr>
                <w:rFonts w:ascii="Arial" w:cs="Arial" w:eastAsia="Arial" w:hAnsi="Arial"/>
                <w:sz w:val="18"/>
                <w:szCs w:val="18"/>
                <w:color w:val="auto"/>
              </w:rPr>
              <w:t>58.8 %</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159,932</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126,831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51,628</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39,841</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1,013,442</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834,375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Mountain operating expense: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277,537</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178,692</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55.3 %</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Retail cost of sales</w:t>
            </w:r>
          </w:p>
        </w:tc>
        <w:tc>
          <w:tcPr>
            <w:tcW w:w="3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48,197</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36,288</w:t>
            </w:r>
          </w:p>
        </w:tc>
        <w:tc>
          <w:tcPr>
            <w:tcW w:w="1880" w:type="dxa"/>
            <w:vAlign w:val="bottom"/>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related fees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43,550</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36,885</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97,365</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77,525</w:t>
            </w:r>
          </w:p>
        </w:tc>
        <w:tc>
          <w:tcPr>
            <w:tcW w:w="1880" w:type="dxa"/>
            <w:vAlign w:val="bottom"/>
          </w:tcPr>
          <w:p>
            <w:pPr>
              <w:jc w:val="right"/>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147,984</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117,310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Total Mountain operating expense</w:t>
            </w:r>
          </w:p>
        </w:tc>
        <w:tc>
          <w:tcPr>
            <w:tcW w:w="3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614,633</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446,700</w:t>
            </w:r>
          </w:p>
        </w:tc>
        <w:tc>
          <w:tcPr>
            <w:tcW w:w="1880" w:type="dxa"/>
            <w:vAlign w:val="bottom"/>
          </w:tcPr>
          <w:p>
            <w:pPr>
              <w:jc w:val="right"/>
              <w:spacing w:after="0"/>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Mountain equity investment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Mountain Reported EBITDA</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398,851</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388,493</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Total skier visits</w:t>
            </w:r>
          </w:p>
        </w:tc>
        <w:tc>
          <w:tcPr>
            <w:tcW w:w="3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8,308</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7,360</w:t>
            </w:r>
          </w:p>
        </w:tc>
        <w:tc>
          <w:tcPr>
            <w:tcW w:w="1880" w:type="dxa"/>
            <w:vAlign w:val="bottom"/>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ETP</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71.33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$5.7 million and $5.4 million of stock-based compensation expense for the three months ended January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jc w:val="both"/>
        <w:spacing w:after="0" w:line="269" w:lineRule="auto"/>
        <w:rPr>
          <w:sz w:val="20"/>
          <w:szCs w:val="20"/>
          <w:color w:val="auto"/>
        </w:rPr>
      </w:pPr>
      <w:r>
        <w:rPr>
          <w:rFonts w:ascii="Arial" w:cs="Arial" w:eastAsia="Arial" w:hAnsi="Arial"/>
          <w:sz w:val="17"/>
          <w:szCs w:val="17"/>
          <w:color w:val="auto"/>
        </w:rPr>
        <w:t>Mountain Reported EBITDA increased $10.4 million, or 2.7%. The increase was attributable to an increase in North American pass revenue, which was impacted by: (i) timing of recognition of pass revenue resulting in a $40 million increase due to delayed openings for a number of our destination mountain resorts in the prior year and early openings of certain Resorts for the current year and (ii) an increase in pass product sales for the 2022/2023 North American ski season compared to the prior year. Additionally, the increase in Mountain Reported EBITDA was due to an overall increase in skier visitation that benefited our ancillary lines of business, which remained disproportionately impacted by COVID-19 restrictions and limitations in the prior year. These increases were partially offset by: (i) increased labor and labor-related benefits and general and administrative expense, primarily as a result of investments in North American employee wages and increased headcount to support more normalized staffing and operations at our Resorts; (ii) increased variable expenses associated with increased revenues; and (iii) increased expenses related to variable weather conditions and inflation. Mountain segment results also include $0.3 million and $2.6 million of acquisition and integration related expenses for the three months ended January 31, 2023 and 2022, respectively.</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Lift revenue increased $71.0 million, or 13.6%, primarily due to an increase in pass revenue, as well as increase in non-pass lift ticket purchases. Pass revenue increased 16.8%, which was primarily driven by the prior year negative impact of delayed Resort openings due to challenging early season conditions for the 2021/2022 North American ski season and early Resort openings for the current 2022/2023 North American ski season, as well as an increase in pass product sales for the 2022/2023 North American ski season. Non-pass revenue increased 6.8%, driven by an increase in non-pass ETP (excluding Andermatt-Sedrun) of 8.4% and an increase in visitation compared to the prior year, as well as incremental revenue from Andermatt-Sedrun of $5.8 million. Total non-pass ETP, including the impact of Andermatt-Sedrun, increased 3.7%.</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Ski school revenue increased $31.4 million, or 34.1%, dining revenue increased $31.8 million, or 58.8%, and retail/rental revenue increased $33.1 million, or 26.1%, each primarily driven by increased skier visitation as well as the greater impact of COVID-19 and related limitations and restrictions in the prior year, including staffing challenges which limited our ability to operate at full capacity.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 mainly consists of other mountain activities revenue, employee housing revenue, guest services revenue, commercial leasing revenue, marketing revenue, private club revenue (which includes both club dues and amortization of initiation fees), municipal services revenue and other recreation activity revenue. Other revenue increased $11.8 million, or 29.6%, primarily driven by staffing challenges in the prior year which impacted the company’s ability to operate ancillary services and other on-mountain activities at full capacity, as well as increased skier visitation which drove additional demand for ancillary services.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Operating expense increased $167.9 million, or 37.6%, which was primarily attributable to investments in employee wages and salaries and increased headcount to support more normalized staffing and operations at our Resorts, as well as increased variable expenses associated with increased revenue, the impact of inflation and incremental expenses associated with Andermatt-Sedrun and the Seven Springs Resorts. Additionally, operating expense includes $0.3 million and $2.6 million of acquisition and integration related expenses for the three months ended January 31, 2023 and 2022, respectively.</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Labor and labor-related benefits increased 55.3%, primarily due to investments in wages and salaries for North American employees and increased headcount to support more normalized staffing and operations at our Resorts, as well as additional labor costs incurred as a result of variable weather conditions, particularly at our Eastern U.S. resorts and incremental expenses from Andermatt-Sedrun and the Seven Springs Resorts of $8.4 million for the comparable period they were not owned in the prior year. Retail cost of sales increased 32.8%, compared to an increase in retail sales of 26.2%, resulting in decreased margins on retail products driven by higher sales of discounted inventory. Resort related fees increased 18.1% primarily as a result of an increase in revenues on which those fees are based. General and administrative expense increased 25.6%, due to an increase in costs across nearly all corporate functions, which were primarily driven by investments in employee wages and salaries. Other expense increased 26.1%, primarily due to increases in variable operating expenses associated with increased revenues, in addition to increased utility costs of $9.3 million associated with higher variable rates and increased snowmaking operations at our Eastern U.S. resorts, as well as an increase in repairs and maintenance expenses of $4.3 million, partially offset by a decrease in acquisition and integration related expenses of $2.3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Six months ended January 31, 2023 compared to the six months ended January 31, 2022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Mountain segment operating results for the six months ended January 31, 2023 and 2022 are presented by category as follows (in thousands, except ETP):</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60" w:type="dxa"/>
            <w:vAlign w:val="bottom"/>
            <w:gridSpan w:val="3"/>
          </w:tcPr>
          <w:p>
            <w:pPr>
              <w:jc w:val="right"/>
              <w:ind w:right="731"/>
              <w:spacing w:after="0"/>
              <w:rPr>
                <w:sz w:val="20"/>
                <w:szCs w:val="20"/>
                <w:color w:val="auto"/>
              </w:rPr>
            </w:pPr>
            <w:r>
              <w:rPr>
                <w:rFonts w:ascii="Arial" w:cs="Arial" w:eastAsia="Arial" w:hAnsi="Arial"/>
                <w:sz w:val="14"/>
                <w:szCs w:val="14"/>
                <w:b w:val="1"/>
                <w:bCs w:val="1"/>
                <w:color w:val="auto"/>
              </w:rPr>
              <w:t>Six Months Ended January 31,</w:t>
            </w:r>
          </w:p>
        </w:tc>
        <w:tc>
          <w:tcPr>
            <w:tcW w:w="1840" w:type="dxa"/>
            <w:vAlign w:val="bottom"/>
          </w:tcPr>
          <w:p>
            <w:pPr>
              <w:jc w:val="center"/>
              <w:ind w:left="13"/>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68"/>
        </w:trPr>
        <w:tc>
          <w:tcPr>
            <w:tcW w:w="586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40" w:type="dxa"/>
            <w:vAlign w:val="bottom"/>
            <w:vMerge w:val="restart"/>
          </w:tcPr>
          <w:p>
            <w:pPr>
              <w:jc w:val="center"/>
              <w:ind w:left="13"/>
              <w:spacing w:after="0" w:line="135"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48"/>
        </w:trPr>
        <w:tc>
          <w:tcPr>
            <w:tcW w:w="5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6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4"/>
                <w:szCs w:val="4"/>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84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Lift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652,143</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535,911</w:t>
            </w:r>
          </w:p>
        </w:tc>
        <w:tc>
          <w:tcPr>
            <w:tcW w:w="1840" w:type="dxa"/>
            <w:vAlign w:val="bottom"/>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132,378</w:t>
            </w: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93,545</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105,270</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66,569</w:t>
            </w:r>
          </w:p>
        </w:tc>
        <w:tc>
          <w:tcPr>
            <w:tcW w:w="1840" w:type="dxa"/>
            <w:vAlign w:val="bottom"/>
          </w:tcPr>
          <w:p>
            <w:pPr>
              <w:jc w:val="right"/>
              <w:spacing w:after="0"/>
              <w:rPr>
                <w:sz w:val="20"/>
                <w:szCs w:val="20"/>
                <w:color w:val="auto"/>
              </w:rPr>
            </w:pPr>
            <w:r>
              <w:rPr>
                <w:rFonts w:ascii="Arial" w:cs="Arial" w:eastAsia="Arial" w:hAnsi="Arial"/>
                <w:sz w:val="18"/>
                <w:szCs w:val="18"/>
                <w:color w:val="auto"/>
              </w:rPr>
              <w:t>58.1 %</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200,276</w:t>
            </w: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155,207</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125,092</w:t>
            </w: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92,443</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35.3 %</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1,215,159</w:t>
            </w: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943,675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Mountain operating expense:</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385,582</w:t>
            </w: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259,119</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Retail cost of sales</w:t>
            </w:r>
          </w:p>
        </w:tc>
        <w:tc>
          <w:tcPr>
            <w:tcW w:w="38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68,938</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50,911</w:t>
            </w:r>
          </w:p>
        </w:tc>
        <w:tc>
          <w:tcPr>
            <w:tcW w:w="1840" w:type="dxa"/>
            <w:vAlign w:val="bottom"/>
          </w:tcPr>
          <w:p>
            <w:pPr>
              <w:jc w:val="right"/>
              <w:spacing w:after="0"/>
              <w:rPr>
                <w:sz w:val="20"/>
                <w:szCs w:val="20"/>
                <w:color w:val="auto"/>
              </w:rPr>
            </w:pPr>
            <w:r>
              <w:rPr>
                <w:rFonts w:ascii="Arial" w:cs="Arial" w:eastAsia="Arial" w:hAnsi="Arial"/>
                <w:sz w:val="18"/>
                <w:szCs w:val="18"/>
                <w:color w:val="auto"/>
              </w:rPr>
              <w:t>35.4 %</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related fees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47,181</w:t>
            </w: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39,993</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180,654</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142,262</w:t>
            </w:r>
          </w:p>
        </w:tc>
        <w:tc>
          <w:tcPr>
            <w:tcW w:w="1840" w:type="dxa"/>
            <w:vAlign w:val="bottom"/>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226,474</w:t>
            </w: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176,193</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Total Mountain operating expense</w:t>
            </w:r>
          </w:p>
        </w:tc>
        <w:tc>
          <w:tcPr>
            <w:tcW w:w="38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908,829</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668,478</w:t>
            </w:r>
          </w:p>
        </w:tc>
        <w:tc>
          <w:tcPr>
            <w:tcW w:w="1840" w:type="dxa"/>
            <w:vAlign w:val="bottom"/>
          </w:tcPr>
          <w:p>
            <w:pPr>
              <w:jc w:val="right"/>
              <w:spacing w:after="0"/>
              <w:rPr>
                <w:sz w:val="20"/>
                <w:szCs w:val="20"/>
                <w:color w:val="auto"/>
              </w:rPr>
            </w:pPr>
            <w:r>
              <w:rPr>
                <w:rFonts w:ascii="Arial" w:cs="Arial" w:eastAsia="Arial" w:hAnsi="Arial"/>
                <w:sz w:val="18"/>
                <w:szCs w:val="18"/>
                <w:color w:val="auto"/>
              </w:rPr>
              <w:t>36.0 %</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Mountain equity investment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388</w:t>
            </w: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Mountain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306,718</w:t>
            </w: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277,529</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Total skier visits</w:t>
            </w:r>
          </w:p>
        </w:tc>
        <w:tc>
          <w:tcPr>
            <w:tcW w:w="38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9,301</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7,576</w:t>
            </w:r>
          </w:p>
        </w:tc>
        <w:tc>
          <w:tcPr>
            <w:tcW w:w="1840" w:type="dxa"/>
            <w:vAlign w:val="bottom"/>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ETP</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70.12</w:t>
            </w:r>
          </w:p>
        </w:tc>
        <w:tc>
          <w:tcPr>
            <w:tcW w:w="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$11.1 million and $10.8 million of stock-based compensation expense for the six months ended January 31, 2023 and 2022, respectively.</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Mountain Reported EBITDA increased $29.2 million, or 10.5%. The increase was primarily driven by our Australian operations, which experienced record visitation and favorable snow conditions in the current year following periodic COVID-19 related closures in the prior year at Perisher, Falls Creek and Hotham. Additionally, the increase was attributable to an increase in North American pass revenue, which was impacted by: (i) timing of recognition of pass revenue resulting in a $40 million increase due to delayed openings for a number of our destination mountain resorts in the prior year and early openings of certain Resorts for the current year and (ii) an increase in pass product sales for the 2022/2023 North American ski season compared to the prior year. Additionally, the increase was due to an overall increase in skier visitation that benefited our ancillary lines of business, which remained disproportionately impacted by COVID-19 restrictions and limitations in the prior year. These increases were partially offset by: (i) increased labor and labor-related benefits and general and administrative expense, primarily as a result of investments in North American employee wages and increased headcount to support more normalized staffing and operations at our Resorts; (ii) increased variable expenses associated with increased revenues; and (iii) increased expenses related to variable weather conditions and inflation. Mountain segment results also include $2.9 million and $3.1 million of acquisition and integration related expenses for the three months ended January 31, 2023 and 2022, respectively.</w:t>
      </w:r>
    </w:p>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our North American Resorts primarily opened for ski season operations during our second fiscal quarter, certain components of Mountain segment net revenue, such as North American lift revenue, ski school revenue, dining revenue, and retail/rental revenue for the six months ended January 31, 2023 and 2022 are materially unchanged as compared to those same components for the three months ended January 31, 2023 and 2022. Accordingly, the primary basis for the changes to these components of our North American Resorts for the six months ended January 31, 2023 as compared to the prior period are discussed above under the section heading “</w:t>
      </w:r>
      <w:r>
        <w:rPr>
          <w:rFonts w:ascii="Arial" w:cs="Arial" w:eastAsia="Arial" w:hAnsi="Arial"/>
          <w:sz w:val="16"/>
          <w:szCs w:val="16"/>
          <w:i w:val="1"/>
          <w:iCs w:val="1"/>
          <w:color w:val="auto"/>
        </w:rPr>
        <w:t>Three months ended January 31, 2023 compared to the three months ended January 31, 2022</w:t>
      </w:r>
      <w:r>
        <w:rPr>
          <w:rFonts w:ascii="Arial" w:cs="Arial" w:eastAsia="Arial" w:hAnsi="Arial"/>
          <w:sz w:val="16"/>
          <w:szCs w:val="16"/>
          <w:color w:val="auto"/>
        </w:rPr>
        <w:t>.” Additionally, with regard to the six months ended January 31, 2023 compared to the six months ended January 31, 2022, lift revenue, ski school revenue, dining revenue and retail/rental revenue all increased at our Australian ski areas, which experienced record visitation and favorable snow conditions in the current year following periodic COVID-19 related closures and restrictions in the prior year. Retail/rental revenue in the current year also benefited from higher sales at our Colorado city store locations, as well as stronger summer visitation at our North American Resorts which drove increased demand at our on-mountain retail locations, particularly at Whistler Blackcomb, which was disproportionately impacted in the prior year due to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jc w:val="both"/>
        <w:ind w:right="20"/>
        <w:spacing w:after="0" w:line="277" w:lineRule="auto"/>
        <w:rPr>
          <w:sz w:val="20"/>
          <w:szCs w:val="20"/>
          <w:color w:val="auto"/>
        </w:rPr>
      </w:pPr>
      <w:r>
        <w:rPr>
          <w:rFonts w:ascii="Arial" w:cs="Arial" w:eastAsia="Arial" w:hAnsi="Arial"/>
          <w:sz w:val="18"/>
          <w:szCs w:val="18"/>
          <w:color w:val="auto"/>
        </w:rPr>
        <w:t>border closures and other COVID-19 related limitations and restrictions, as well as at our Tahoe resorts as a result of disruptions on our operations from forest fires in the prior year.</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revenue mainly consists of summer visitation,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includes Australian resort lodging and transportation revenue. Other revenue increased $32.6 million or 35.3%, primarily driven by an increase in summer and winter visitation at our North American Resorts compared to the prior year, and staffing challenges in the prior year which impacted the company’s ability to operate ancillary services and other on-mountain activities at full capacity, as well as our Australian ski areas, as a result of the greater impact of COVID-19 and related limitations and restrictions in the prior year.</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Operating expense increased $240.4 million or 36.0%, which was primarily attributable to investments in employee wages and salaries and increased headcount to support more normalized staffing and operations at our Resorts, as well as increased variable expenses associated with increased revenue, the impact of inflation and incremental expenses associated with Andermatt-Sedrun and the Seven Springs Resorts. Additionally, operating expense includes $2.9 million and $3.1 million of acquisition and integration related expenses for the six months ended January 31, 2023 and 2022, respectively.</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Labor and labor-related benefits increased 48.8%, primarily due to investments in wages and salaries for North American employees and increased headcount to support more normalized staffing and operations at our Resorts, as well as an increase in Australian operations as a result of periodic closures during the prior year, additional labor costs incurred as a result of variable weather conditions, particularly at our Eastern U.S. resorts, and incremental expenses from Andermatt-Sedrun and the Seven Springs Resorts of $12.7 million for the comparable period they were not owned in the prior year. Retail cost of sales increased 35.4%, compared to an increase in retail sales of 27.9%, resulting in decreased margins on retail products driven by higher sales of discounted inventory. Resort related fees increased 18.0% primarily as a result of an increase in revenues on which those fees are based. General and administrative expense increased 27.0%, due to an increase in costs across nearly all corporate functions, which were primarily driven by investments in employee wages and salaries. Other expense increased 28.5%, primarily due to increases in variable operating expenses associated with increased revenues, in addition to increased utility costs of $11.0 million primarily associated with higher variable rates and increased snowmaking operations at our Eastern U.S. resorts, as well as an increase in repairs and maintenance expense of $7.8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2023 compared to the three months ended January 31, 2022</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Lodging segment operating results for the three months ended January 31, 2023 and 2022 are presented by category as follows (in thousands, except average daily rates (“ADR”) and revenue per available room (“RevPAR”)):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3"/>
          </w:tcPr>
          <w:p>
            <w:pPr>
              <w:jc w:val="right"/>
              <w:ind w:right="551"/>
              <w:spacing w:after="0"/>
              <w:rPr>
                <w:sz w:val="20"/>
                <w:szCs w:val="20"/>
                <w:color w:val="auto"/>
              </w:rPr>
            </w:pPr>
            <w:r>
              <w:rPr>
                <w:rFonts w:ascii="Arial" w:cs="Arial" w:eastAsia="Arial" w:hAnsi="Arial"/>
                <w:sz w:val="14"/>
                <w:szCs w:val="14"/>
                <w:b w:val="1"/>
                <w:bCs w:val="1"/>
                <w:color w:val="auto"/>
              </w:rPr>
              <w:t>Three Months Ended January 31,</w:t>
            </w:r>
          </w:p>
        </w:tc>
        <w:tc>
          <w:tcPr>
            <w:tcW w:w="1880" w:type="dxa"/>
            <w:vAlign w:val="bottom"/>
          </w:tcPr>
          <w:p>
            <w:pPr>
              <w:jc w:val="center"/>
              <w:ind w:left="34"/>
              <w:spacing w:after="0"/>
              <w:rPr>
                <w:sz w:val="20"/>
                <w:szCs w:val="20"/>
                <w:color w:val="auto"/>
              </w:rPr>
            </w:pPr>
            <w:r>
              <w:rPr>
                <w:rFonts w:ascii="Arial" w:cs="Arial" w:eastAsia="Arial" w:hAnsi="Arial"/>
                <w:sz w:val="14"/>
                <w:szCs w:val="14"/>
                <w:b w:val="1"/>
                <w:bCs w:val="1"/>
                <w:color w:val="auto"/>
                <w:w w:val="90"/>
              </w:rPr>
              <w:t>Percentage</w:t>
            </w:r>
          </w:p>
        </w:tc>
      </w:tr>
      <w:tr>
        <w:trPr>
          <w:trHeight w:val="68"/>
        </w:trPr>
        <w:tc>
          <w:tcPr>
            <w:tcW w:w="60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80" w:type="dxa"/>
            <w:vAlign w:val="bottom"/>
          </w:tcPr>
          <w:p>
            <w:pPr>
              <w:jc w:val="center"/>
              <w:ind w:left="34"/>
              <w:spacing w:after="0" w:line="68" w:lineRule="exact"/>
              <w:rPr>
                <w:sz w:val="20"/>
                <w:szCs w:val="20"/>
                <w:color w:val="auto"/>
              </w:rPr>
            </w:pPr>
            <w:r>
              <w:rPr>
                <w:rFonts w:ascii="Arial" w:cs="Arial" w:eastAsia="Arial" w:hAnsi="Arial"/>
                <w:sz w:val="7"/>
                <w:szCs w:val="7"/>
                <w:b w:val="1"/>
                <w:bCs w:val="1"/>
                <w:color w:val="auto"/>
              </w:rPr>
              <w:t>Increase</w:t>
            </w:r>
          </w:p>
        </w:tc>
      </w:tr>
      <w:tr>
        <w:trPr>
          <w:trHeight w:val="197"/>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632"/>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7"/>
                <w:szCs w:val="17"/>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880" w:type="dxa"/>
            <w:vAlign w:val="bottom"/>
          </w:tcPr>
          <w:p>
            <w:pPr>
              <w:jc w:val="center"/>
              <w:ind w:left="34"/>
              <w:spacing w:after="0"/>
              <w:rPr>
                <w:sz w:val="20"/>
                <w:szCs w:val="20"/>
                <w:color w:val="auto"/>
              </w:rPr>
            </w:pPr>
            <w:r>
              <w:rPr>
                <w:rFonts w:ascii="Arial" w:cs="Arial" w:eastAsia="Arial" w:hAnsi="Arial"/>
                <w:sz w:val="14"/>
                <w:szCs w:val="14"/>
                <w:b w:val="1"/>
                <w:bCs w:val="1"/>
                <w:color w:val="auto"/>
                <w:w w:val="89"/>
              </w:rPr>
              <w:t>(Decrease)</w:t>
            </w:r>
          </w:p>
        </w:tc>
      </w:tr>
      <w:tr>
        <w:trPr>
          <w:trHeight w:val="26"/>
        </w:trPr>
        <w:tc>
          <w:tcPr>
            <w:tcW w:w="6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Owned hotel rooms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13,479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13,584</w:t>
            </w:r>
          </w:p>
        </w:tc>
        <w:tc>
          <w:tcPr>
            <w:tcW w:w="18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Managed condominium rooms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31,336</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33,125</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Dining</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13,184</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8,375</w:t>
            </w:r>
          </w:p>
        </w:tc>
        <w:tc>
          <w:tcPr>
            <w:tcW w:w="1880" w:type="dxa"/>
            <w:vAlign w:val="bottom"/>
          </w:tcPr>
          <w:p>
            <w:pPr>
              <w:jc w:val="right"/>
              <w:spacing w:after="0"/>
              <w:rPr>
                <w:sz w:val="20"/>
                <w:szCs w:val="20"/>
                <w:color w:val="auto"/>
              </w:rPr>
            </w:pPr>
            <w:r>
              <w:rPr>
                <w:rFonts w:ascii="Arial" w:cs="Arial" w:eastAsia="Arial" w:hAnsi="Arial"/>
                <w:sz w:val="18"/>
                <w:szCs w:val="18"/>
                <w:color w:val="auto"/>
              </w:rPr>
              <w:t>57.4 %</w:t>
            </w: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5,888</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11,700</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9,269</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26.2 %</w:t>
            </w:r>
          </w:p>
        </w:tc>
      </w:tr>
      <w:tr>
        <w:trPr>
          <w:trHeight w:val="223"/>
        </w:trPr>
        <w:tc>
          <w:tcPr>
            <w:tcW w:w="6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75,587</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29"/>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Payroll cost reimbursements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4,990</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168.1 %</w:t>
            </w: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net revenue</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80,577</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Lodging operating expense:</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39,497</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31.3 %</w:t>
            </w: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19,251</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13,736</w:t>
            </w:r>
          </w:p>
        </w:tc>
        <w:tc>
          <w:tcPr>
            <w:tcW w:w="1880" w:type="dxa"/>
            <w:vAlign w:val="bottom"/>
          </w:tcPr>
          <w:p>
            <w:pPr>
              <w:jc w:val="right"/>
              <w:spacing w:after="0"/>
              <w:rPr>
                <w:sz w:val="20"/>
                <w:szCs w:val="20"/>
                <w:color w:val="auto"/>
              </w:rPr>
            </w:pPr>
            <w:r>
              <w:rPr>
                <w:rFonts w:ascii="Arial" w:cs="Arial" w:eastAsia="Arial" w:hAnsi="Arial"/>
                <w:sz w:val="18"/>
                <w:szCs w:val="18"/>
                <w:color w:val="auto"/>
              </w:rPr>
              <w:t>40.1 %</w:t>
            </w: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20,892</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r>
      <w:tr>
        <w:trPr>
          <w:trHeight w:val="223"/>
        </w:trPr>
        <w:tc>
          <w:tcPr>
            <w:tcW w:w="6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79,640</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60,751</w:t>
            </w:r>
          </w:p>
        </w:tc>
        <w:tc>
          <w:tcPr>
            <w:tcW w:w="1880" w:type="dxa"/>
            <w:vAlign w:val="bottom"/>
          </w:tcPr>
          <w:p>
            <w:pPr>
              <w:jc w:val="right"/>
              <w:spacing w:after="0"/>
              <w:rPr>
                <w:sz w:val="20"/>
                <w:szCs w:val="20"/>
                <w:color w:val="auto"/>
              </w:rPr>
            </w:pPr>
            <w:r>
              <w:rPr>
                <w:rFonts w:ascii="Arial" w:cs="Arial" w:eastAsia="Arial" w:hAnsi="Arial"/>
                <w:sz w:val="18"/>
                <w:szCs w:val="18"/>
                <w:color w:val="auto"/>
              </w:rPr>
              <w:t>31.1 %</w:t>
            </w: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Reimbursed payroll costs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4,990</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168.1 %</w:t>
            </w: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Lodging operating expense</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84,630</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62,612</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35.2 %</w:t>
            </w: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Lodging Reported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Owned hotel statistics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337.16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338.39</w:t>
            </w:r>
          </w:p>
        </w:tc>
        <w:tc>
          <w:tcPr>
            <w:tcW w:w="18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145.48</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Managed condominium statistics: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514.29</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171.81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165.86</w:t>
            </w:r>
          </w:p>
        </w:tc>
        <w:tc>
          <w:tcPr>
            <w:tcW w:w="188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 hotel and managed condominium statistics (combined):</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469.72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463.26</w:t>
            </w:r>
          </w:p>
        </w:tc>
        <w:tc>
          <w:tcPr>
            <w:tcW w:w="18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166.37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165.46</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bl>
    <w:p>
      <w:pPr>
        <w:spacing w:after="0" w:line="67" w:lineRule="exact"/>
        <w:rPr>
          <w:sz w:val="20"/>
          <w:szCs w:val="20"/>
          <w:color w:val="auto"/>
        </w:rPr>
      </w:pPr>
    </w:p>
    <w:p>
      <w:pPr>
        <w:jc w:val="both"/>
        <w:ind w:left="340" w:hanging="8"/>
        <w:spacing w:after="0" w:line="234" w:lineRule="auto"/>
        <w:tabs>
          <w:tab w:leader="none" w:pos="54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Owned hotel ADR and RevPAR for the three months ended January 31, 2023 declined from the prior comparative period primarily due to the inclusion of properties acquired through the Seven Springs Resorts for the full quarter, compared to only being included for one month in the prior quarter, partially offset by price increases at our other lodging properties.</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Lodging Reported EBITDA includes $1.1 million and $1.0 million of stock-based compensation expense for both the three months ended January 31, 2023 and 2022,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Lodging Reported EBITDA decreased $13.4 million, or 143.3%, primarily driven by an increase in labor and labor-related benefits and general and administrative expense, including investments in employee wages and salaries and increased headcount to support more normalized staffing and operations at our lodging properties, and an increase in expenses due to inflation.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Revenue from managed condominium rooms decreased $1.8 million, or 5.4%, primarily due to decreased revenue at our lodging properties proximate to our western U.S. Resorts as a result of a reduction of available rooms in our managed rooms inventory. Dining revenue increased $4.8 million, or 57.4%, primarily due to incremental revenue from the Seven Springs Resorts. Other revenue increased $2.4 million, or 26.2%, primarily due to increases in ancillary revenue associated with the return to more normalized operations.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expense (excluding reimbursed payroll costs) increased 31.1%. Labor and labor-related benefits increased 31.3%, primarily due to investments in employee wages and salaries, and increased headcount to support more normalized staffing and operations at our lodging properties compared to the prior year, as well as incremental costs from the Seven Springs Resorts of $3.2 million for the comparable period they were not owned in the prior year. General and administrative expense increased 40.1% compared to the prior year, due to an increase in costs across nearly all corporate functions, and particularly for our central reservations booking service, which were primarily driven by employee wage and salary investments. Other expense increased 23.4%, primarily due to increases in variable operating expenses associated with increased revenues, as well as incremental costs from the Seven Springs Resorts of $1.9 million for the comparable period they were not owned in the prior year.</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Six months ended January 31, 2023 compared to the six months ended January 31, 2022</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Lodging segment operating results for the six months ended January 31, 2023 and 2022 are presented by category as follows (in thousands, except ADR and RevPAR):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Six Months Ended January 31,</w:t>
            </w:r>
          </w:p>
        </w:tc>
        <w:tc>
          <w:tcPr>
            <w:tcW w:w="1880" w:type="dxa"/>
            <w:vAlign w:val="bottom"/>
          </w:tcPr>
          <w:p>
            <w:pPr>
              <w:jc w:val="center"/>
              <w:ind w:left="34"/>
              <w:spacing w:after="0"/>
              <w:rPr>
                <w:sz w:val="20"/>
                <w:szCs w:val="20"/>
                <w:color w:val="auto"/>
              </w:rPr>
            </w:pPr>
            <w:r>
              <w:rPr>
                <w:rFonts w:ascii="Arial" w:cs="Arial" w:eastAsia="Arial" w:hAnsi="Arial"/>
                <w:sz w:val="14"/>
                <w:szCs w:val="14"/>
                <w:b w:val="1"/>
                <w:bCs w:val="1"/>
                <w:color w:val="auto"/>
                <w:w w:val="90"/>
              </w:rPr>
              <w:t>Percentage</w:t>
            </w:r>
          </w:p>
        </w:tc>
      </w:tr>
      <w:tr>
        <w:trPr>
          <w:trHeight w:val="68"/>
        </w:trPr>
        <w:tc>
          <w:tcPr>
            <w:tcW w:w="6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80" w:type="dxa"/>
            <w:vAlign w:val="bottom"/>
          </w:tcPr>
          <w:p>
            <w:pPr>
              <w:jc w:val="center"/>
              <w:ind w:left="34"/>
              <w:spacing w:after="0" w:line="68" w:lineRule="exact"/>
              <w:rPr>
                <w:sz w:val="20"/>
                <w:szCs w:val="20"/>
                <w:color w:val="auto"/>
              </w:rPr>
            </w:pPr>
            <w:r>
              <w:rPr>
                <w:rFonts w:ascii="Arial" w:cs="Arial" w:eastAsia="Arial" w:hAnsi="Arial"/>
                <w:sz w:val="7"/>
                <w:szCs w:val="7"/>
                <w:b w:val="1"/>
                <w:bCs w:val="1"/>
                <w:color w:val="auto"/>
              </w:rPr>
              <w:t>Increase</w:t>
            </w:r>
          </w:p>
        </w:tc>
      </w:tr>
      <w:tr>
        <w:trPr>
          <w:trHeight w:val="198"/>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32"/>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7"/>
                <w:szCs w:val="17"/>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880" w:type="dxa"/>
            <w:vAlign w:val="bottom"/>
          </w:tcPr>
          <w:p>
            <w:pPr>
              <w:jc w:val="center"/>
              <w:ind w:left="34"/>
              <w:spacing w:after="0"/>
              <w:rPr>
                <w:sz w:val="20"/>
                <w:szCs w:val="20"/>
                <w:color w:val="auto"/>
              </w:rPr>
            </w:pPr>
            <w:r>
              <w:rPr>
                <w:rFonts w:ascii="Arial" w:cs="Arial" w:eastAsia="Arial" w:hAnsi="Arial"/>
                <w:sz w:val="14"/>
                <w:szCs w:val="14"/>
                <w:b w:val="1"/>
                <w:bCs w:val="1"/>
                <w:color w:val="auto"/>
                <w:w w:val="89"/>
              </w:rPr>
              <w:t>(Decrease)</w:t>
            </w:r>
          </w:p>
        </w:tc>
      </w:tr>
      <w:tr>
        <w:trPr>
          <w:trHeight w:val="26"/>
        </w:trPr>
        <w:tc>
          <w:tcPr>
            <w:tcW w:w="6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Owned hotel rooms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37,044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35,067</w:t>
            </w:r>
          </w:p>
        </w:tc>
        <w:tc>
          <w:tcPr>
            <w:tcW w:w="188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44,195</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30,013</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18,650</w:t>
            </w:r>
          </w:p>
        </w:tc>
        <w:tc>
          <w:tcPr>
            <w:tcW w:w="1880" w:type="dxa"/>
            <w:vAlign w:val="bottom"/>
          </w:tcPr>
          <w:p>
            <w:pPr>
              <w:jc w:val="right"/>
              <w:spacing w:after="0"/>
              <w:rPr>
                <w:sz w:val="20"/>
                <w:szCs w:val="20"/>
                <w:color w:val="auto"/>
              </w:rPr>
            </w:pPr>
            <w:r>
              <w:rPr>
                <w:rFonts w:ascii="Arial" w:cs="Arial" w:eastAsia="Arial" w:hAnsi="Arial"/>
                <w:sz w:val="18"/>
                <w:szCs w:val="18"/>
                <w:color w:val="auto"/>
              </w:rPr>
              <w:t>60.9 %</w:t>
            </w: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7,348</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Golf</w:t>
            </w:r>
          </w:p>
        </w:tc>
        <w:tc>
          <w:tcPr>
            <w:tcW w:w="38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5,939</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5,118</w:t>
            </w:r>
          </w:p>
        </w:tc>
        <w:tc>
          <w:tcPr>
            <w:tcW w:w="1880" w:type="dxa"/>
            <w:vAlign w:val="bottom"/>
          </w:tcPr>
          <w:p>
            <w:pPr>
              <w:jc w:val="right"/>
              <w:spacing w:after="0"/>
              <w:rPr>
                <w:sz w:val="20"/>
                <w:szCs w:val="20"/>
                <w:color w:val="auto"/>
              </w:rPr>
            </w:pPr>
            <w:r>
              <w:rPr>
                <w:rFonts w:ascii="Arial" w:cs="Arial" w:eastAsia="Arial" w:hAnsi="Arial"/>
                <w:sz w:val="18"/>
                <w:szCs w:val="18"/>
                <w:color w:val="auto"/>
              </w:rPr>
              <w:t>16.0 %</w:t>
            </w:r>
          </w:p>
        </w:tc>
      </w:tr>
      <w:tr>
        <w:trPr>
          <w:trHeight w:val="230"/>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24,988</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149,527</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134,339</w:t>
            </w:r>
          </w:p>
        </w:tc>
        <w:tc>
          <w:tcPr>
            <w:tcW w:w="188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230"/>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Payroll cost reimbursements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8,667</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140.6 %</w:t>
            </w: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158,194</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137,941</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14.7 %</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operating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76,412</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57,738</w:t>
            </w:r>
          </w:p>
        </w:tc>
        <w:tc>
          <w:tcPr>
            <w:tcW w:w="1880" w:type="dxa"/>
            <w:vAlign w:val="bottom"/>
          </w:tcPr>
          <w:p>
            <w:pPr>
              <w:jc w:val="right"/>
              <w:spacing w:after="0"/>
              <w:rPr>
                <w:sz w:val="20"/>
                <w:szCs w:val="20"/>
                <w:color w:val="auto"/>
              </w:rPr>
            </w:pPr>
            <w:r>
              <w:rPr>
                <w:rFonts w:ascii="Arial" w:cs="Arial" w:eastAsia="Arial" w:hAnsi="Arial"/>
                <w:sz w:val="18"/>
                <w:szCs w:val="18"/>
                <w:color w:val="auto"/>
              </w:rPr>
              <w:t>32.3 %</w:t>
            </w: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34,761</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26,233</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32.5 %</w:t>
            </w:r>
          </w:p>
        </w:tc>
      </w:tr>
      <w:tr>
        <w:trPr>
          <w:trHeight w:val="230"/>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46,764</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38,449</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21.6 %</w:t>
            </w: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157,937</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29.0 %</w:t>
            </w:r>
          </w:p>
        </w:tc>
      </w:tr>
      <w:tr>
        <w:trPr>
          <w:trHeight w:val="230"/>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Reimbursed payroll costs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8,667</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140.6 %</w:t>
            </w: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operating expense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166,604</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126,022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32.2 %</w:t>
            </w: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(8,410)</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11,919</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Owned hotel statistics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297.69</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296.18</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151.19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164.96</w:t>
            </w:r>
          </w:p>
        </w:tc>
        <w:tc>
          <w:tcPr>
            <w:tcW w:w="18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condominium statistics: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405.00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371.67</w:t>
            </w:r>
          </w:p>
        </w:tc>
        <w:tc>
          <w:tcPr>
            <w:tcW w:w="1880" w:type="dxa"/>
            <w:vAlign w:val="bottom"/>
          </w:tcPr>
          <w:p>
            <w:pPr>
              <w:jc w:val="right"/>
              <w:spacing w:after="0"/>
              <w:rPr>
                <w:sz w:val="20"/>
                <w:szCs w:val="20"/>
                <w:color w:val="auto"/>
              </w:rPr>
            </w:pPr>
            <w:r>
              <w:rPr>
                <w:rFonts w:ascii="Arial" w:cs="Arial" w:eastAsia="Arial" w:hAnsi="Arial"/>
                <w:sz w:val="18"/>
                <w:szCs w:val="18"/>
                <w:color w:val="auto"/>
              </w:rPr>
              <w:t>9.0 %</w:t>
            </w: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112.21</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Owned hotel and managed condominium statistics (combined):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365.05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353.76</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121.74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121.13</w:t>
            </w:r>
          </w:p>
        </w:tc>
        <w:tc>
          <w:tcPr>
            <w:tcW w:w="1880" w:type="dxa"/>
            <w:vAlign w:val="bottom"/>
          </w:tcPr>
          <w:p>
            <w:pPr>
              <w:jc w:val="right"/>
              <w:spacing w:after="0"/>
              <w:rPr>
                <w:sz w:val="20"/>
                <w:szCs w:val="20"/>
                <w:color w:val="auto"/>
              </w:rPr>
            </w:pPr>
            <w:r>
              <w:rPr>
                <w:rFonts w:ascii="Arial" w:cs="Arial" w:eastAsia="Arial" w:hAnsi="Arial"/>
                <w:sz w:val="18"/>
                <w:szCs w:val="18"/>
                <w:color w:val="auto"/>
              </w:rPr>
              <w:t>0.5 %</w:t>
            </w:r>
          </w:p>
        </w:tc>
      </w:tr>
    </w:tbl>
    <w:p>
      <w:pPr>
        <w:spacing w:after="0" w:line="66" w:lineRule="exact"/>
        <w:rPr>
          <w:sz w:val="20"/>
          <w:szCs w:val="20"/>
          <w:color w:val="auto"/>
        </w:rPr>
      </w:pPr>
    </w:p>
    <w:p>
      <w:pPr>
        <w:jc w:val="both"/>
        <w:ind w:left="340" w:hanging="8"/>
        <w:spacing w:after="0" w:line="234" w:lineRule="auto"/>
        <w:tabs>
          <w:tab w:leader="none" w:pos="543"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Owned hotel RevPAR for the six months ended January 31, 2023 declined from the prior comparative period primarily due to the inclusion of properties acquired through the Seven Springs Resorts for the full year to date period, compared to only being included for one month in the prior year period, partially offset by price increases at our other lodging properties</w:t>
      </w:r>
      <w:r>
        <w:rPr>
          <w:rFonts w:ascii="Arial" w:cs="Arial" w:eastAsia="Arial" w:hAnsi="Arial"/>
          <w:sz w:val="12"/>
          <w:szCs w:val="12"/>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Lodging Reported EBITDA includes $2.0 million of stock-based compensation expense for both the six months ended January 31, 2023 and 2022.</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Lodging Reported EBITDA decreased $20.3 million, or 170.6%, primarily driven by an increase in labor and labor-related benefits and general and administrative expense, including investments in employee wages and salaries and increased headcount to support more normalized staffing and operations at our lodging properties, and an increase in expenses due to inflation.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both"/>
        <w:spacing w:after="0" w:line="270" w:lineRule="auto"/>
        <w:rPr>
          <w:sz w:val="20"/>
          <w:szCs w:val="20"/>
          <w:color w:val="auto"/>
        </w:rPr>
      </w:pPr>
      <w:r>
        <w:rPr>
          <w:rFonts w:ascii="Arial" w:cs="Arial" w:eastAsia="Arial" w:hAnsi="Arial"/>
          <w:sz w:val="17"/>
          <w:szCs w:val="17"/>
          <w:color w:val="auto"/>
        </w:rPr>
        <w:t>Revenue from owned hotel rooms increased $2.0 million, or 5.6%, primarily due to incremental revenue from the Seven Springs Resorts of $4.2 million for the comparable period they were not owned in the prior year, partially offset by a reduction in revenue from the DoubleTree at Breckenridge hotel, which we sold after the 2021/2022 ski season. Revenue from managed condominium rooms decreased $2.0 million, or 4.4%, primarily due to decreased revenue at our lodging properties proximate to our western U.S. Resorts as a result of a reduction of available rooms in our managed rooms inventory. Dining revenue increased $11.4 million, or 60.9%, primarily due to incremental revenue from the Seven Springs Resorts of $7.2 million for the comparable period they were not owned in the prior year, as well as increases in revenue at our other lodging properties as a result of fewer COVID-19 related limitations and restrictions as compared to the prior year. Other revenue increased $3.3 million, or 15.0%, primarily due to increases in ancillary revenue associated with the return to more normalized operations, as well as incremental revenue from the Seven Springs Resorts of $1.2 million for the comparable period they were not owned in the prior year.</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expense (excluding reimbursed payroll costs) increased 29.0%. Labor and labor-related benefits increased 32.3%, primarily due to investments in employee wages and salaries, and increased headcount to support more normalized staffing and operations at our lodging properties as compared to prior year, as well as incremental costs from the Seven Springs Resorts of $6.8 million for the comparable period they were not owned in the prior year. General and administrative expense increased 32.5% compared to the prior year, due to an increase in costs across nearly all corporate functions, and particularly for our central reservations booking service, which were primarily driven by employee wage and salary investments. Other expense increased 21.6%, primarily related to increases in variable expenses associated with increased revenues, as well as incremental costs from the Seven Springs Resorts of $4.2 million for the comparable period they were not owned in the prior year.</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2023 compared to the three months ended January 31,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January 31, 2023 and 2022 are presented by category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January 31,</w:t>
            </w:r>
          </w:p>
        </w:tc>
        <w:tc>
          <w:tcPr>
            <w:tcW w:w="560" w:type="dxa"/>
            <w:vAlign w:val="bottom"/>
          </w:tcPr>
          <w:p>
            <w:pPr>
              <w:spacing w:after="0"/>
              <w:rPr>
                <w:sz w:val="14"/>
                <w:szCs w:val="14"/>
                <w:color w:val="auto"/>
              </w:rPr>
            </w:pPr>
          </w:p>
        </w:tc>
        <w:tc>
          <w:tcPr>
            <w:tcW w:w="1880" w:type="dxa"/>
            <w:vAlign w:val="bottom"/>
          </w:tcPr>
          <w:p>
            <w:pPr>
              <w:jc w:val="center"/>
              <w:ind w:left="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6"/>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38"/>
        </w:trPr>
        <w:tc>
          <w:tcPr>
            <w:tcW w:w="6020" w:type="dxa"/>
            <w:vAlign w:val="bottom"/>
          </w:tcPr>
          <w:p>
            <w:pPr>
              <w:spacing w:after="0"/>
              <w:rPr>
                <w:sz w:val="3"/>
                <w:szCs w:val="3"/>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3"/>
                <w:szCs w:val="3"/>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3"/>
                <w:szCs w:val="3"/>
                <w:color w:val="auto"/>
              </w:rPr>
            </w:pP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0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880" w:type="dxa"/>
            <w:vAlign w:val="bottom"/>
          </w:tcPr>
          <w:p>
            <w:pPr>
              <w:jc w:val="center"/>
              <w:ind w:left="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
        </w:trPr>
        <w:tc>
          <w:tcPr>
            <w:tcW w:w="6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7,699</w:t>
            </w:r>
          </w:p>
        </w:tc>
        <w:tc>
          <w:tcPr>
            <w:tcW w:w="11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4,177.2 %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Real Estate operating expense:</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5,146</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1,164</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operating expense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6,310</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real property</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Reported EBITDA</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2,146</w:t>
            </w:r>
          </w:p>
        </w:tc>
        <w:tc>
          <w:tcPr>
            <w:tcW w:w="11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January 31, 2023, we closed on the sale of a land parcel in Keystone for $7.5 million, which was recorded within Real Estate net revenue, with a corresponding cost of sale of $5.1 million.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for both the three months ended January 31, 2023 and 2022 was primarily comprised of general and administrative costs, such as labor and labor-related benefits, professional services and allocated corporate overhead costs.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Six months ended January 31, 2023 compared to the six months ended January 31,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six months ended January 31, 2023 and 2022 are presented by category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92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Six Months Ended January 31,</w:t>
            </w:r>
          </w:p>
        </w:tc>
        <w:tc>
          <w:tcPr>
            <w:tcW w:w="620" w:type="dxa"/>
            <w:vAlign w:val="bottom"/>
          </w:tcPr>
          <w:p>
            <w:pPr>
              <w:spacing w:after="0"/>
              <w:rPr>
                <w:sz w:val="14"/>
                <w:szCs w:val="14"/>
                <w:color w:val="auto"/>
              </w:rPr>
            </w:pPr>
          </w:p>
        </w:tc>
        <w:tc>
          <w:tcPr>
            <w:tcW w:w="1840" w:type="dxa"/>
            <w:vAlign w:val="bottom"/>
          </w:tcPr>
          <w:p>
            <w:pPr>
              <w:jc w:val="center"/>
              <w:ind w:left="16"/>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68"/>
        </w:trPr>
        <w:tc>
          <w:tcPr>
            <w:tcW w:w="586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840" w:type="dxa"/>
            <w:vAlign w:val="bottom"/>
            <w:vMerge w:val="restart"/>
          </w:tcPr>
          <w:p>
            <w:pPr>
              <w:jc w:val="center"/>
              <w:ind w:left="16"/>
              <w:spacing w:after="0" w:line="126"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38"/>
        </w:trPr>
        <w:tc>
          <w:tcPr>
            <w:tcW w:w="5860" w:type="dxa"/>
            <w:vAlign w:val="bottom"/>
          </w:tcPr>
          <w:p>
            <w:pPr>
              <w:spacing w:after="0"/>
              <w:rPr>
                <w:sz w:val="3"/>
                <w:szCs w:val="3"/>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700" w:type="dxa"/>
            <w:vAlign w:val="bottom"/>
          </w:tcPr>
          <w:p>
            <w:pPr>
              <w:spacing w:after="0"/>
              <w:rPr>
                <w:sz w:val="3"/>
                <w:szCs w:val="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58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840" w:type="dxa"/>
            <w:vAlign w:val="bottom"/>
          </w:tcPr>
          <w:p>
            <w:pPr>
              <w:jc w:val="center"/>
              <w:ind w:left="16"/>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6"/>
        </w:trPr>
        <w:tc>
          <w:tcPr>
            <w:tcW w:w="5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7,812</w:t>
            </w:r>
          </w:p>
        </w:tc>
        <w:tc>
          <w:tcPr>
            <w:tcW w:w="11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1,478.2 %</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Real Estate operating expense:</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(including sales commission)</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5,146</w:t>
            </w: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2,009.0 %</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2,546</w:t>
            </w: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operating expense</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7,692</w:t>
            </w: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158.0 %</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real property</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757</w:t>
            </w: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Reported EBITDA</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877</w:t>
            </w:r>
          </w:p>
        </w:tc>
        <w:tc>
          <w:tcPr>
            <w:tcW w:w="11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(1,524)</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157.5 %</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January 31, 2023, we closed on the sale of a land parcel in Keystone for $7.5 million, which was recorded within Real Estate net revenue, with a corresponding cost of sale of $5.1 million.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operating expense for both the six months ended January 31, 2023 and 2022 was primarily comprised of general and administrative costs, such as labor and labor-related benefits, professional services and allocated corporate overhead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segment operating results, the following material items contributed to our overall financial results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2023 and 2022 (in thousands):</w:t>
      </w:r>
    </w:p>
    <w:p>
      <w:pPr>
        <w:spacing w:after="0" w:line="135"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w w:val="99"/>
              </w:rPr>
              <w:t>Three Months Ended January 31,</w:t>
            </w:r>
          </w:p>
        </w:tc>
        <w:tc>
          <w:tcPr>
            <w:tcW w:w="15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Increase</w:t>
            </w:r>
          </w:p>
        </w:tc>
        <w:tc>
          <w:tcPr>
            <w:tcW w:w="300" w:type="dxa"/>
            <w:vAlign w:val="bottom"/>
          </w:tcPr>
          <w:p>
            <w:pPr>
              <w:spacing w:after="0"/>
              <w:rPr>
                <w:sz w:val="16"/>
                <w:szCs w:val="16"/>
                <w:color w:val="auto"/>
              </w:rPr>
            </w:pPr>
          </w:p>
        </w:tc>
        <w:tc>
          <w:tcPr>
            <w:tcW w:w="254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Six Months Ended January 31,</w:t>
            </w:r>
          </w:p>
        </w:tc>
        <w:tc>
          <w:tcPr>
            <w:tcW w:w="13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6"/>
        </w:trPr>
        <w:tc>
          <w:tcPr>
            <w:tcW w:w="2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5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(Decrease)</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3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(65,989)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(62,070)</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6.3 %</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(130,603)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(123,559)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6" w:lineRule="exact"/>
              <w:rPr>
                <w:sz w:val="20"/>
                <w:szCs w:val="20"/>
                <w:color w:val="auto"/>
              </w:rPr>
            </w:pPr>
            <w:r>
              <w:rPr>
                <w:rFonts w:ascii="Arial" w:cs="Arial" w:eastAsia="Arial" w:hAnsi="Arial"/>
                <w:sz w:val="18"/>
                <w:szCs w:val="18"/>
                <w:color w:val="auto"/>
                <w:w w:val="96"/>
              </w:rPr>
              <w:t>Change in estimated fair value of</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(1,100)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(16,780)</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(93.4)%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(1,736)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(18,780)</w:t>
            </w:r>
          </w:p>
        </w:tc>
        <w:tc>
          <w:tcPr>
            <w:tcW w:w="1300" w:type="dxa"/>
            <w:vAlign w:val="bottom"/>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gain (loss) on</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loans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2,338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(2,870)</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181.5 %</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(3,797)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(2,039)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6" w:lineRule="exact"/>
              <w:rPr>
                <w:sz w:val="20"/>
                <w:szCs w:val="20"/>
                <w:color w:val="auto"/>
              </w:rPr>
            </w:pPr>
            <w:r>
              <w:rPr>
                <w:rFonts w:ascii="Arial" w:cs="Arial" w:eastAsia="Arial" w:hAnsi="Arial"/>
                <w:sz w:val="18"/>
                <w:szCs w:val="18"/>
                <w:color w:val="auto"/>
              </w:rPr>
              <w:t>(Loss) gain on disposal of fixed</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assets and other,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(1,780)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7,347</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(124.2)%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(1,786)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16,214</w:t>
            </w:r>
          </w:p>
        </w:tc>
        <w:tc>
          <w:tcPr>
            <w:tcW w:w="1300" w:type="dxa"/>
            <w:vAlign w:val="bottom"/>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Investment income and other,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7,108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257</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2,665.8 %</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9,994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756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1,222.0 %</w:t>
            </w: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line="176" w:lineRule="exact"/>
              <w:rPr>
                <w:sz w:val="20"/>
                <w:szCs w:val="20"/>
                <w:color w:val="auto"/>
              </w:rPr>
            </w:pPr>
            <w:r>
              <w:rPr>
                <w:rFonts w:ascii="Arial" w:cs="Arial" w:eastAsia="Arial" w:hAnsi="Arial"/>
                <w:sz w:val="18"/>
                <w:szCs w:val="18"/>
                <w:color w:val="auto"/>
              </w:rPr>
              <w:t>(Provision for) benefit from</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(79,032)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(52,049)</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51.8 %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(21,026)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7,804</w:t>
            </w:r>
          </w:p>
        </w:tc>
        <w:tc>
          <w:tcPr>
            <w:tcW w:w="1300" w:type="dxa"/>
            <w:vAlign w:val="bottom"/>
          </w:tcPr>
          <w:p>
            <w:pPr>
              <w:jc w:val="right"/>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 pts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 pts</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for the three and six months ended January 31, 2023 increased $3.9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$7.0 million, respectively, compared to the same period in the prior year, primarily due to assets acquired in the acquisitions of the Seven Springs Resorts and Andermatt-Sedrun.</w:t>
      </w:r>
    </w:p>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Change in estimated fair value of contingent consideration</w:t>
      </w:r>
      <w:r>
        <w:rPr>
          <w:rFonts w:ascii="Arial" w:cs="Arial" w:eastAsia="Arial" w:hAnsi="Arial"/>
          <w:sz w:val="18"/>
          <w:szCs w:val="18"/>
          <w:color w:val="auto"/>
        </w:rPr>
        <w:t>. Change in estimated fair value of contingent consideration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31, 2023 decreased $15.7 million and $17.0 million, respectively, primarily related to a decrease in the estimated contingent consideration payment related to Park City performance for Fiscal 2023 compared to the fiscal year ended July 31, 2022. Estimates for contingent consideration payments relating to each fiscal year are preliminary as of January 31, as only half of the Park City ski season has elapsed, and therefore adjustments to the estimated liability in future periods could be material once the full season has elapsed.</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Foreign currency gain (loss) on intercompany loans. </w:t>
      </w:r>
      <w:r>
        <w:rPr>
          <w:rFonts w:ascii="Arial" w:cs="Arial" w:eastAsia="Arial" w:hAnsi="Arial"/>
          <w:sz w:val="17"/>
          <w:szCs w:val="17"/>
          <w:color w:val="auto"/>
        </w:rPr>
        <w:t>Foreign currency gain (loss) on intercompany loans for the three months ended January 31, 2023</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$5.2 million as a result of the value of the Canadian dollar increasing relative to the U.S. dollar compared to the same period in the prior year. Foreign currency loss on intercompany loans for the six months ended January 31, 2023 increased $1.8 million as a result of the value of the Canadian dollar decreasing relative to the U.S. dollar compared to the same period in the prior year. This activity is associated with an intercompany loan from Vail Holdings, Inc. to Whistler Blackcomb, which requires foreign currency remeasurement to Canadian dollars, the functional currency for Whistler Blackcomb. As a result, foreign currency fluctuations associated with the loan are recorded within our results of operations.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7" w:name="page38"/>
    <w:bookmarkEnd w:id="37"/>
    <w:p>
      <w:pPr>
        <w:jc w:val="both"/>
        <w:spacing w:after="0" w:line="268" w:lineRule="auto"/>
        <w:rPr>
          <w:sz w:val="20"/>
          <w:szCs w:val="20"/>
          <w:color w:val="auto"/>
        </w:rPr>
      </w:pPr>
      <w:r>
        <w:rPr>
          <w:rFonts w:ascii="Arial" w:cs="Arial" w:eastAsia="Arial" w:hAnsi="Arial"/>
          <w:sz w:val="17"/>
          <w:szCs w:val="17"/>
          <w:i w:val="1"/>
          <w:iCs w:val="1"/>
          <w:color w:val="auto"/>
        </w:rPr>
        <w:t xml:space="preserve">(Loss) gain on disposal of fixed assets and other, net. </w:t>
      </w:r>
      <w:r>
        <w:rPr>
          <w:rFonts w:ascii="Arial" w:cs="Arial" w:eastAsia="Arial" w:hAnsi="Arial"/>
          <w:sz w:val="17"/>
          <w:szCs w:val="17"/>
          <w:color w:val="auto"/>
        </w:rPr>
        <w:t>Gain on disposal of fixed assets and other, net for the three and six months ended January 31, 2022</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$7.9 million from the sale of an administrative building in Avon, CO. Gain on disposal of fixed assets and other, net for the six months ended January 31, 2022 also included proceeds from the NPS related to a partial payment for leasehold surrender interest at GTLC associated with assets that have been fully depreciated by the Company. This payment was made at the request of the NPS.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Investment income and other, net. </w:t>
      </w:r>
      <w:r>
        <w:rPr>
          <w:rFonts w:ascii="Arial" w:cs="Arial" w:eastAsia="Arial" w:hAnsi="Arial"/>
          <w:sz w:val="18"/>
          <w:szCs w:val="18"/>
          <w:color w:val="auto"/>
        </w:rPr>
        <w:t>Investment income and other, net for the three and six months ended January 31, 2023 increased $6.9 million and $9.2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compared to the same period in the prior year, primarily as a result of increased deposits into short-term investments, as well as an increase in earned interest rates.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 xml:space="preserve">(Provision for) benefit from income taxes. </w:t>
      </w:r>
      <w:r>
        <w:rPr>
          <w:rFonts w:ascii="Arial" w:cs="Arial" w:eastAsia="Arial" w:hAnsi="Arial"/>
          <w:sz w:val="18"/>
          <w:szCs w:val="18"/>
          <w:color w:val="auto"/>
        </w:rPr>
        <w:t>At the end of each interim period, the Company estimates the annual effective tax rate and applies that rate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quarterly earnings. The tax expense or benefit related to significant, unusual or extraordinary items that will be separately reported or reported net of their related tax effect are individually computed and recognized in the interim period in which those items occur. In addition, the effects of changes in enacted tax laws or rates or tax status are recognized in the interim period in which the change occurs. The effective tax rate (provision) benefit for the three and six months ended January 31, 2023 was (26.4)% and (21.5)%, respectively, compared to (18.2)% and 9.3%, respectively, for the three and six months ended January 31, 2022.</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the effective tax rates for both the three and six months ended January 31, 2023 compared to the three and six months ended January 31, 2022 was primarily due to an increase in expected full year pre-tax book income in the current period, as well as a reduction in favorable permanent and discrete items, including excess tax benefits from employee share award exercises (which decreased $13.6 million and $17.2 million for the three and six months ended January 31, 2023 as compared to the prior year periods,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net income attributable to Vail Resorts, Inc. to Total Reported EBITDA for the three and six months ended January 31, 2023 and 2022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60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Six Months Ended January 31,</w:t>
            </w:r>
          </w:p>
        </w:tc>
      </w:tr>
      <w:tr>
        <w:trPr>
          <w:trHeight w:val="25"/>
        </w:trPr>
        <w:tc>
          <w:tcPr>
            <w:tcW w:w="5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208,679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71,708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84,059</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11,440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4,851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7,350</w:t>
            </w:r>
          </w:p>
        </w:tc>
      </w:tr>
      <w:tr>
        <w:trPr>
          <w:trHeight w:val="22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220,119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76,559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91,409</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79,032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21,026</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w:t>
            </w:r>
          </w:p>
        </w:tc>
      </w:tr>
      <w:tr>
        <w:trPr>
          <w:trHeight w:val="22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provision for (benefit from) income taxes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299,151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97,585</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83,605</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65,989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62,070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130,603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123,559</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disposal of fixed assets and other,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1,780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1,786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(16,214)</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1,100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1,736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18,780</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Foreign currency (gain) loss on intercompany loans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3,797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2,039</w:t>
            </w:r>
          </w:p>
        </w:tc>
      </w:tr>
      <w:tr>
        <w:trPr>
          <w:trHeight w:val="229"/>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38,370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37,366</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73,672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76,911</w:t>
            </w:r>
          </w:p>
        </w:tc>
      </w:tr>
      <w:tr>
        <w:trPr>
          <w:trHeight w:val="223"/>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396,944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397,461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299,185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287,924</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5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Mountain Reported EBITDA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398,851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388,493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306,718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277,529</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Lodging Reported EBITDA</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11,919</w:t>
            </w:r>
          </w:p>
        </w:tc>
      </w:tr>
      <w:tr>
        <w:trPr>
          <w:trHeight w:val="223"/>
        </w:trPr>
        <w:tc>
          <w:tcPr>
            <w:tcW w:w="5360" w:type="dxa"/>
            <w:vAlign w:val="bottom"/>
          </w:tcPr>
          <w:p>
            <w:pPr>
              <w:ind w:left="220"/>
              <w:spacing w:after="0"/>
              <w:rPr>
                <w:sz w:val="20"/>
                <w:szCs w:val="20"/>
                <w:color w:val="auto"/>
              </w:rPr>
            </w:pPr>
            <w:r>
              <w:rPr>
                <w:rFonts w:ascii="Arial" w:cs="Arial" w:eastAsia="Arial" w:hAnsi="Arial"/>
                <w:sz w:val="18"/>
                <w:szCs w:val="18"/>
                <w:color w:val="auto"/>
              </w:rPr>
              <w:t>Resort Reported EBITDA</w:t>
            </w:r>
          </w:p>
        </w:tc>
        <w:tc>
          <w:tcPr>
            <w:tcW w:w="14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394,798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397,861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298,308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289,448</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Reported EBITDA</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2,146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877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223"/>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396,944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397,461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299,185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287,924</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44"/>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992"/>
              <w:spacing w:after="0"/>
              <w:rPr>
                <w:sz w:val="20"/>
                <w:szCs w:val="20"/>
                <w:color w:val="auto"/>
              </w:rPr>
            </w:pPr>
            <w:r>
              <w:rPr>
                <w:rFonts w:ascii="Arial" w:cs="Arial" w:eastAsia="Arial" w:hAnsi="Arial"/>
                <w:sz w:val="18"/>
                <w:szCs w:val="18"/>
                <w:color w:val="auto"/>
                <w:w w:val="99"/>
              </w:rPr>
              <w:t>37</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following table reconciles long-term debt, net to Net Debt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January 31,</w:t>
            </w:r>
          </w:p>
        </w:tc>
        <w:tc>
          <w:tcPr>
            <w:tcW w:w="116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2,789,827</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2,695,589</w:t>
            </w:r>
          </w:p>
        </w:tc>
      </w:tr>
      <w:tr>
        <w:trPr>
          <w:trHeight w:val="22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due within one year</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69,582</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63,746</w:t>
            </w:r>
          </w:p>
        </w:tc>
      </w:tr>
      <w:tr>
        <w:trPr>
          <w:trHeight w:val="223"/>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2,859,409</w:t>
            </w: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2,759,335</w:t>
            </w:r>
          </w:p>
        </w:tc>
      </w:tr>
      <w:tr>
        <w:trPr>
          <w:trHeight w:val="22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cash and cash equivalents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1,295,252</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1,407,019</w:t>
            </w:r>
          </w:p>
        </w:tc>
      </w:tr>
      <w:tr>
        <w:trPr>
          <w:trHeight w:val="248"/>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1,564,157</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1,352,316</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six months ended January 31, 2023 and 2022 are presented by categories as follows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jc w:val="right"/>
              <w:ind w:right="655"/>
              <w:spacing w:after="0"/>
              <w:rPr>
                <w:sz w:val="20"/>
                <w:szCs w:val="20"/>
                <w:color w:val="auto"/>
              </w:rPr>
            </w:pPr>
            <w:r>
              <w:rPr>
                <w:rFonts w:ascii="Arial" w:cs="Arial" w:eastAsia="Arial" w:hAnsi="Arial"/>
                <w:sz w:val="14"/>
                <w:szCs w:val="14"/>
                <w:b w:val="1"/>
                <w:bCs w:val="1"/>
                <w:color w:val="auto"/>
              </w:rPr>
              <w:t>Six Months Ended January 31,</w:t>
            </w:r>
          </w:p>
        </w:tc>
      </w:tr>
      <w:tr>
        <w:trPr>
          <w:trHeight w:val="25"/>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2"/>
              </w:rPr>
              <w:t>605,493</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9"/>
              </w:rPr>
              <w:t>611,329</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center"/>
              <w:ind w:left="357"/>
              <w:spacing w:after="0"/>
              <w:rPr>
                <w:sz w:val="20"/>
                <w:szCs w:val="20"/>
                <w:color w:val="auto"/>
              </w:rPr>
            </w:pPr>
            <w:r>
              <w:rPr>
                <w:rFonts w:ascii="Arial" w:cs="Arial" w:eastAsia="Arial" w:hAnsi="Arial"/>
                <w:sz w:val="18"/>
                <w:szCs w:val="18"/>
                <w:color w:val="auto"/>
                <w:w w:val="90"/>
              </w:rPr>
              <w:t>(206,025)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415"/>
              <w:spacing w:after="0"/>
              <w:rPr>
                <w:sz w:val="20"/>
                <w:szCs w:val="20"/>
                <w:color w:val="auto"/>
              </w:rPr>
            </w:pPr>
            <w:r>
              <w:rPr>
                <w:rFonts w:ascii="Arial" w:cs="Arial" w:eastAsia="Arial" w:hAnsi="Arial"/>
                <w:sz w:val="18"/>
                <w:szCs w:val="18"/>
                <w:color w:val="auto"/>
                <w:w w:val="90"/>
              </w:rPr>
              <w:t>(225,532)</w:t>
            </w:r>
          </w:p>
        </w:tc>
      </w:tr>
      <w:tr>
        <w:trPr>
          <w:trHeight w:val="229"/>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center"/>
              <w:ind w:left="357"/>
              <w:spacing w:after="0"/>
              <w:rPr>
                <w:sz w:val="20"/>
                <w:szCs w:val="20"/>
                <w:color w:val="auto"/>
              </w:rPr>
            </w:pPr>
            <w:r>
              <w:rPr>
                <w:rFonts w:ascii="Arial" w:cs="Arial" w:eastAsia="Arial" w:hAnsi="Arial"/>
                <w:sz w:val="18"/>
                <w:szCs w:val="18"/>
                <w:color w:val="auto"/>
                <w:w w:val="90"/>
              </w:rPr>
              <w:t>(201,377)</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center"/>
              <w:ind w:left="415"/>
              <w:spacing w:after="0"/>
              <w:rPr>
                <w:sz w:val="20"/>
                <w:szCs w:val="20"/>
                <w:color w:val="auto"/>
              </w:rPr>
            </w:pPr>
            <w:r>
              <w:rPr>
                <w:rFonts w:ascii="Arial" w:cs="Arial" w:eastAsia="Arial" w:hAnsi="Arial"/>
                <w:sz w:val="18"/>
                <w:szCs w:val="18"/>
                <w:color w:val="auto"/>
                <w:w w:val="90"/>
              </w:rPr>
              <w:t>(220,693)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2023 compared to the six months ended January 31, 2022</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generated $605.5 million of cash from operating activities during the six months ended January 31, 2023, a decrease of $5.8 million compared to $611.3 million generated during the six months ended January 31, 2022. The decrease in operating cash flows was primarily a result of decreased Mountain and Lodging segment results (excluding pass product revenue) for the six months ended January 31, 2023 compared to the prior year, an increase in income taxes paid of $12.8 million and an increase in cash interest payments of $8.7 million. These decreases were partially offset by an increase in pass and other product sales and receivable collections of approximately $63.3 million, and a decrease inventory purchases of $10.7 million. Additionally, we generated $7.5 million of proceeds from real estate land parcel sales during the six months ended January 31, 2023.</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used in investing activities for the six months ended January 31, 2023 decreased by $19.5 million primarily due to the prior year acquisition of the Seven Springs Resorts for $118.1 million, as well as the return of a cash deposit of approximately $114.5 million (CHF 110.0 million) made in July 2022 as a result of the consolidation of Andermatt-Sedrun in the current year, which closed on August 3, 2022. The cash deposit was invested into Andermatt-Sedrun, which is consolidated in our consolidated condensed financial statements subsequent to the acquisition being completed. These decreases were partially offset by (i) $86.8 million of short-term investments in bank deposits in the current year, which were invested in deposits with maturity dates of more than three months at the date of purchase and are therefore not reflected as cash equivalents; (ii) an increase in capital expenditures of approximately $77.8 million as compared to the prior year, driven by our significant investment in lift upgrades in calendar year 2022; (iii) $38.6 million of cash paid to Andermatt Swiss Alps AG upon closing the acquisition of Andermatt-Sedrun, net of cash acquired, on August 3, 2022 and (iv) proceeds in the prior year due to payment from the NPS related to a leasehold surrender interest at GTLC associated with assets that had been fully depreciated by the Company, which did not recur in the current year.</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financing activities decreased by $19.3 million during the six months ended January 31, 2023 compared to the six months ended January 31, 2022, primarily due to a decrease in debt repayments, including the prior year repayment associated with the maturity of the EB-5 Development Notes, which were assumed in our acquisition of Peak Resorts, Inc. ($51.5 million) and net payments under the revolver component of our Whistler Credit Agreement ($23.1 million), as well as a decrease in employee taxes paid for share award exercises ($32.1 million), partially offset by an increase in dividends paid of $82.7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$1.3 billion of cash and cash equivalents as of January 31, 2023, compared to $1.4 billion as of January 31, 2022. We currently anticipate that our Mountain and Lodging segment operating results will continue to provide a significant source of future operating cash flows (primarily generated in our second and third fiscal quarters).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9" w:name="page40"/>
    <w:bookmarkEnd w:id="39"/>
    <w:p>
      <w:pPr>
        <w:jc w:val="both"/>
        <w:spacing w:after="0" w:line="271" w:lineRule="auto"/>
        <w:rPr>
          <w:sz w:val="20"/>
          <w:szCs w:val="20"/>
          <w:color w:val="auto"/>
        </w:rPr>
      </w:pPr>
      <w:r>
        <w:rPr>
          <w:rFonts w:ascii="Arial" w:cs="Arial" w:eastAsia="Arial" w:hAnsi="Arial"/>
          <w:sz w:val="17"/>
          <w:szCs w:val="17"/>
          <w:color w:val="auto"/>
        </w:rPr>
        <w:t>In addition to our $1.3 billion of cash and cash equivalents at January 31, 2023, we had $414.6 million available under the revolver component of our Vail Holdings Credit Agreement as of January 31, 2023 (which represents the total commitment of $500.0 million less outstanding letters of credit of $85.4 million). Additionally, we had C$281.6 million ($211.7 million) available under the revolver component of our Whistler Credit Agreement (which represents the total commitment of C$300.0 million ($225.5 million) less outstanding borrowings of C$15.0 million ($11.3 million) and certain outstanding letters of credit of C$3.4 million ($2.5 million).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with any new borrowings currently priced at SOFR plus a spread of 1.35% and Bankers Acceptance Rate plus 1.75%,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currently anticipate we will spend approximately $180 million to $185 million on resort capital expenditures during calendar year 2023, excluding one-time investments related to integration activities, deferred capital associated with the Keystone and Park City projects, $5 million of reimbursable investments associated with insurance recoveries, and $10 million of growth capital investments at Andermatt-Sedrun. Including these one-time items, our total capital plan for calendar year 2023 is expected to be approximately $206 million to $211 million. Included in these estimated capital expenditures are approximately $112 million to $117 million of maintenance capital expenditures (excluding Andermatt-Sedrun), which are necessary to maintain appearance and level of service appropriate to our resort operations. We currently plan to utilize cash on hand, borrowings available under our credit agreements and/or cash flow generated from future operations to provide the cash necessary to complete our capital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 2022, we acquired a majority stake in Andermatt-Sedrun, which was funded with cash on hand. The purchase price was comprised of a $114.4 million (CHF 110.0 million) investment into Andermatt-Sedrun for use in capital investments to enhance the guest experience on the mountain and $41.3 million (CHF 39.3 million) paid to the seller. As of August 3, 2022 the total fair value of the consideration paid was $155.4 million (CHF 149.3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January 31, 2023, principal payments on the majority of our long-term debt ($2.8 billion of the total $2.9 billion debt outstanding as of January 31, 2023) are not due until fiscal year 2025 and beyond. As of January 31, 2023, total long-term debt, net (including long-term debt due within one year) was $2.9 billion, compared to $2.8 billion as of January 31, 2022. Net Debt (defined as long-term debt, net plus long-term debt due within one year less cash and cash equivalents) increased from $1.4 billion as of January 31, 2022 to $1.6 billion as of January 31, 2023.</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31, 2023, the Vail Holdings Credit Agreement provides for (i) a revolving loan facility in an aggregate principal amount of $500.0 million and (ii) a term loan facility of $1.0 billion. We expect that our liquidity needs in the near term will be met by continued use of cash on hand, operating cash flows and borrowings under the Vail Holdings Credit Agreement and the Whistler Credit Agreement.</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debt service requirements can be impacted by changing interest rates as we had approximately $0.7 billion of variable-rate debt outstanding as of January 31, 2023. A 100-basis point change in our borrowing rates would cause our annual interest payments to change by approximately $7.1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respond to liquidity impacts of changes 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t>the business and economic environment by managing our capital expenditures, variable operating expenses, the timing of new real estate development activity and the payment of cash dividends on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7, 2023, the Company’s Board of Directors approved a cash dividend of $2.06 per share payable on April 11, 2023 to stockholders of record as of March 27, 2023. For the six months ended January 31, 2023, we paid cash dividends of $3.82 per share ($154.0 million in the aggregate). We funded the dividend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and 1,500,000 Vail Shares (December 4, 2015), for a total authorization to repurchase up to 7,500,000 Vail Shares. We did not repurchase any Vail Shares during the six months ended January 31, 2023 or 2022. Since inception of this stock repurchase program through January 31, 2023, we have repurchased 6,465,708 Vail Shares at a cost of approximately $479.4 million. As of January 31, 2023, 1,034,292 Vail Shares remained available to repurchase under the existing repurchase authorization. On March 7, 2023, our Board of Directors approved an increase in the number of shares authorized to be repurchased under the share repurchase program by an additional 2,500,000 Vail Shares. As a result, 3,534,292 Vail Shares are available to purchase under the share repurchase program.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w:t>
      </w:r>
      <w:r>
        <w:rPr>
          <w:rFonts w:ascii="MS PGothic" w:cs="MS PGothic" w:eastAsia="MS PGothic" w:hAnsi="MS PGothic"/>
          <w:sz w:val="17"/>
          <w:szCs w:val="17"/>
          <w:color w:val="auto"/>
        </w:rPr>
        <w:t>✔</w:t>
      </w:r>
      <w:r>
        <w:rPr>
          <w:rFonts w:ascii="Arial" w:cs="Arial" w:eastAsia="Arial" w:hAnsi="Arial"/>
          <w:sz w:val="17"/>
          <w:szCs w:val="17"/>
          <w:color w:val="auto"/>
        </w:rPr>
        <w:t>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23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were in compliance with all restrictive financial covenants in our debt instruments as of January 31, 2023.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significant changes to our critical accounting policies and estimates as reported in our Form 10-K for the fiscal year ended July 31, 2022.</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15" w:lineRule="exact"/>
        <w:rPr>
          <w:sz w:val="20"/>
          <w:szCs w:val="20"/>
          <w:color w:val="auto"/>
        </w:rPr>
      </w:pPr>
    </w:p>
    <w:p>
      <w:pPr>
        <w:ind w:left="820" w:hanging="650"/>
        <w:spacing w:after="0" w:line="258" w:lineRule="auto"/>
        <w:tabs>
          <w:tab w:leader="none" w:pos="81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economy generally, and our business and results of operations, including the ultimate amount of refunds that we would be required to refund to our pass product holders for qualifying circumstances under our Epic Coverage program;</w:t>
      </w:r>
    </w:p>
    <w:p>
      <w:pPr>
        <w:spacing w:after="0" w:line="1"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COVID-19 pandemic, and its impact on the travel and leisure industry generally, and our financial condition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jc w:val="both"/>
        <w:ind w:left="820" w:hanging="650"/>
        <w:spacing w:after="0" w:line="250" w:lineRule="auto"/>
        <w:tabs>
          <w:tab w:leader="none" w:pos="81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willingness or ability of our guests to travel due to terrorism, the uncertainty of military conflicts or outbreaks of contagious diseases (such as the ongoing COVID-19 pandemic), and the cost and availability of travel options and changing consumer preferences or willingness to travel;</w:t>
      </w:r>
    </w:p>
    <w:p>
      <w:pPr>
        <w:spacing w:after="0" w:line="1"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travel and airline disruptions, and other adverse impacts on the ability of our guests to travel;</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interruptions or disruptions of our information technology systems, data security or cyberattacks;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may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 or with other recreational and leisure activities;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the 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 including environmental and health and safety laws and regulations;</w:t>
      </w:r>
    </w:p>
    <w:p>
      <w:pPr>
        <w:ind w:left="820" w:hanging="650"/>
        <w:spacing w:after="0" w:line="250" w:lineRule="auto"/>
        <w:tabs>
          <w:tab w:leader="none" w:pos="81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failure to adapt to technological developments or industry trends regarding information technology;</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 loss of key personnel and our ability to maintain adequate staffing, including hiring and retaining a sufficient seasonal workforce;</w:t>
      </w:r>
    </w:p>
    <w:p>
      <w:pPr>
        <w:ind w:left="820" w:hanging="650"/>
        <w:spacing w:after="0" w:line="250" w:lineRule="auto"/>
        <w:tabs>
          <w:tab w:leader="none" w:pos="81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jc w:val="both"/>
        <w:ind w:left="820" w:hanging="650"/>
        <w:spacing w:after="0" w:line="250" w:lineRule="auto"/>
        <w:tabs>
          <w:tab w:leader="none" w:pos="81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 including the Seven Springs Resorts and Andermatt-Sedrun;</w:t>
      </w:r>
    </w:p>
    <w:p>
      <w:pPr>
        <w:spacing w:after="0" w:line="1"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the effects of high or prolonged inflation;</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 and the Swiss franc, as compared to the U.S. dollar;</w:t>
      </w:r>
    </w:p>
    <w:p>
      <w:pPr>
        <w:ind w:left="820" w:hanging="650"/>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tax laws, regulations or interpretations, or adverse determinations by taxing authorities;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jc w:val="both"/>
        <w:ind w:left="820" w:hanging="650"/>
        <w:spacing w:after="0" w:line="255" w:lineRule="auto"/>
        <w:tabs>
          <w:tab w:leader="none" w:pos="81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2"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litigation and legal claims;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judgments and estimates, accounting principles, policies or guidelines; and</w:t>
      </w:r>
    </w:p>
    <w:p>
      <w:pPr>
        <w:spacing w:after="0" w:line="9" w:lineRule="exact"/>
        <w:rPr>
          <w:rFonts w:ascii="Arial" w:cs="Arial" w:eastAsia="Arial" w:hAnsi="Arial"/>
          <w:sz w:val="18"/>
          <w:szCs w:val="18"/>
          <w:i w:val="1"/>
          <w:iCs w:val="1"/>
          <w:color w:val="auto"/>
        </w:rPr>
      </w:pPr>
    </w:p>
    <w:p>
      <w:pPr>
        <w:ind w:left="820" w:hanging="650"/>
        <w:spacing w:after="0" w:line="260" w:lineRule="auto"/>
        <w:tabs>
          <w:tab w:leader="none" w:pos="81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other risks and uncertainties included under Part 1. Item 1A. “Risk Factors” of our Annual Report on Form 10-K for the fiscal year ended July 31, 2022.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market risk is limited primarily to the fluctuating interest rates associated with variable rate indebtedness. As</w:t>
      </w:r>
      <w:r>
        <w:rPr>
          <w:rFonts w:ascii="Arial" w:cs="Arial" w:eastAsia="Arial" w:hAnsi="Arial"/>
          <w:sz w:val="17"/>
          <w:szCs w:val="17"/>
          <w:i w:val="1"/>
          <w:iCs w:val="1"/>
          <w:color w:val="auto"/>
        </w:rPr>
        <w:t xml:space="preserve"> </w:t>
      </w:r>
      <w:r>
        <w:rPr>
          <w:rFonts w:ascii="Arial" w:cs="Arial" w:eastAsia="Arial" w:hAnsi="Arial"/>
          <w:sz w:val="17"/>
          <w:szCs w:val="17"/>
          <w:color w:val="auto"/>
        </w:rPr>
        <w:t>of January 31, 2023, we had approximately $0.7 billion of variable rate indebtedness (after taking into consideration $400.0 million in interest rate swaps which converts variable-rate debt to fixed-rate debt), representing approximately 25% of our total debt outstanding, at an average interest rate during the three and six months ended January 31, 2023 of approximately 5.4% and 4.7%, respectively. Based on variable-rate borrowings outstanding as of January 31, 2023, a 100-basis point (or 1.0%) change in our borrowing rates would result in our annual interest payments changing by approximately $7.1 million. Our market risk exposure fluctuates based on changes in underlying interest rates.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are reported in Canadian dollars, the results of our Australian resorts are reported in Australian dollars and the results of Andermatt-Sedrun are reported in Swiss francs, each of which we then translate to U.S. dollars for inclusion in our Consolidated Condensed Financial Statements. We do not currently enter into hedging arrangements to minimize the impact of foreign currency fluctuations on our operations.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representing losses, and foreign currency loss on intercompany loans recognized in comprehensive income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74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Six Months Ended January 31,</w:t>
            </w:r>
          </w:p>
        </w:tc>
        <w:tc>
          <w:tcPr>
            <w:tcW w:w="660" w:type="dxa"/>
            <w:vAlign w:val="bottom"/>
          </w:tcPr>
          <w:p>
            <w:pPr>
              <w:spacing w:after="0"/>
              <w:rPr>
                <w:sz w:val="16"/>
                <w:szCs w:val="16"/>
                <w:color w:val="auto"/>
              </w:rPr>
            </w:pPr>
          </w:p>
        </w:tc>
      </w:tr>
      <w:tr>
        <w:trPr>
          <w:trHeight w:val="25"/>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9"/>
        </w:trPr>
        <w:tc>
          <w:tcPr>
            <w:tcW w:w="7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(35,340)</w:t>
            </w:r>
          </w:p>
        </w:tc>
        <w:tc>
          <w:tcPr>
            <w:tcW w:w="104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(33,720)</w:t>
            </w:r>
          </w:p>
        </w:tc>
      </w:tr>
      <w:tr>
        <w:trPr>
          <w:trHeight w:val="230"/>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loss on intercompany loans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04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Management of the Company, under the supervision and with participation of the Chief Executive Officer (the “CEO”) and Chief Financial Officer (the “CFO”), evaluated the effectiveness of the Company’s “disclosure controls and procedures” as such term is defined in Rule 13a-15(e) and 15d-15(e) under the Securities Exchange Act of 1934, as amended (the “Act”), as of the end of the period covered by this Quarterly Report on Form 10-Q.</w:t>
      </w:r>
    </w:p>
    <w:p>
      <w:pPr>
        <w:spacing w:after="0" w:line="1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three months ended January 31, 2023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 See Notes to the Consolidated Condensed Financial Statements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we previously disclosed in our Form 10-K, which was filed on September 28, 2022 as of and for the year ended July 31, 2022.</w:t>
      </w:r>
    </w:p>
    <w:p>
      <w:pPr>
        <w:spacing w:after="0" w:line="193" w:lineRule="exact"/>
        <w:rPr>
          <w:sz w:val="20"/>
          <w:szCs w:val="20"/>
          <w:color w:val="auto"/>
        </w:rPr>
      </w:pPr>
    </w:p>
    <w:p>
      <w:pPr>
        <w:ind w:right="4140"/>
        <w:spacing w:after="0" w:line="344"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220" w:type="dxa"/>
            <w:vAlign w:val="bottom"/>
            <w:gridSpan w:val="2"/>
            <w:vMerge w:val="restart"/>
          </w:tcPr>
          <w:p>
            <w:pPr>
              <w:ind w:left="4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7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72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2"/>
              </w:rPr>
              <w:t>Certification of Chief Financial Officer pursuant to Section 302 of the Sarbanes-Oxley Act of 2002.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340" w:hanging="1314"/>
        <w:spacing w:after="0" w:line="246"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0000FF"/>
        </w:rPr>
        <w:t>Certifications of Chief Executive Officer and Chief Financial Officer pursuant to 18 U.S.C. Section 1350 as adopted pursuant to Section 906 of the Sarbanes-Oxley Act of 2002.</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3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as its XBRL tags are embedded within the</w:t>
            </w:r>
          </w:p>
        </w:tc>
      </w:tr>
      <w:tr>
        <w:trPr>
          <w:trHeight w:val="230"/>
        </w:trPr>
        <w:tc>
          <w:tcPr>
            <w:tcW w:w="1000" w:type="dxa"/>
            <w:vAlign w:val="bottom"/>
          </w:tcPr>
          <w:p>
            <w:pPr>
              <w:spacing w:after="0"/>
              <w:rPr>
                <w:sz w:val="20"/>
                <w:szCs w:val="20"/>
                <w:color w:val="auto"/>
              </w:rPr>
            </w:pPr>
          </w:p>
        </w:tc>
        <w:tc>
          <w:tcPr>
            <w:tcW w:w="10200" w:type="dxa"/>
            <w:vAlign w:val="bottom"/>
          </w:tcPr>
          <w:p>
            <w:pPr>
              <w:ind w:left="320"/>
              <w:spacing w:after="0"/>
              <w:rPr>
                <w:sz w:val="20"/>
                <w:szCs w:val="20"/>
                <w:color w:val="auto"/>
              </w:rPr>
            </w:pPr>
            <w:r>
              <w:rPr>
                <w:rFonts w:ascii="Arial" w:cs="Arial" w:eastAsia="Arial" w:hAnsi="Arial"/>
                <w:sz w:val="18"/>
                <w:szCs w:val="18"/>
                <w:color w:val="auto"/>
              </w:rPr>
              <w:t>inline XBRL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Schema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Calculation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Definition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Label Linkbase Document.</w:t>
            </w:r>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left="1340" w:hanging="1314"/>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499"/>
        </w:trPr>
        <w:tc>
          <w:tcPr>
            <w:tcW w:w="3500" w:type="dxa"/>
            <w:vAlign w:val="bottom"/>
          </w:tcPr>
          <w:p>
            <w:pPr>
              <w:spacing w:after="0"/>
              <w:rPr>
                <w:sz w:val="20"/>
                <w:szCs w:val="20"/>
                <w:color w:val="auto"/>
              </w:rPr>
            </w:pPr>
            <w:r>
              <w:rPr>
                <w:rFonts w:ascii="Arial" w:cs="Arial" w:eastAsia="Arial" w:hAnsi="Arial"/>
                <w:sz w:val="18"/>
                <w:szCs w:val="18"/>
                <w:color w:val="auto"/>
              </w:rPr>
              <w:t>Date: March 9, 2023</w:t>
            </w:r>
          </w:p>
        </w:tc>
        <w:tc>
          <w:tcPr>
            <w:tcW w:w="2540" w:type="dxa"/>
            <w:vAlign w:val="bottom"/>
          </w:tcPr>
          <w:p>
            <w:pPr>
              <w:ind w:left="200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Angela A. Korch</w:t>
            </w:r>
          </w:p>
        </w:tc>
      </w:tr>
      <w:tr>
        <w:trPr>
          <w:trHeight w:val="222"/>
        </w:trPr>
        <w:tc>
          <w:tcPr>
            <w:tcW w:w="35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5"/>
              </w:rPr>
              <w:t>Angela A. Korch</w:t>
            </w:r>
          </w:p>
        </w:tc>
      </w:tr>
      <w:tr>
        <w:trPr>
          <w:trHeight w:val="229"/>
        </w:trPr>
        <w:tc>
          <w:tcPr>
            <w:tcW w:w="35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30"/>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99"/>
        </w:trPr>
        <w:tc>
          <w:tcPr>
            <w:tcW w:w="3500" w:type="dxa"/>
            <w:vAlign w:val="bottom"/>
          </w:tcPr>
          <w:p>
            <w:pPr>
              <w:spacing w:after="0"/>
              <w:rPr>
                <w:sz w:val="20"/>
                <w:szCs w:val="20"/>
                <w:color w:val="auto"/>
              </w:rPr>
            </w:pPr>
            <w:r>
              <w:rPr>
                <w:rFonts w:ascii="Arial" w:cs="Arial" w:eastAsia="Arial" w:hAnsi="Arial"/>
                <w:sz w:val="18"/>
                <w:szCs w:val="18"/>
                <w:color w:val="auto"/>
              </w:rPr>
              <w:t>Date: March 9, 2023</w:t>
            </w:r>
          </w:p>
        </w:tc>
        <w:tc>
          <w:tcPr>
            <w:tcW w:w="2540" w:type="dxa"/>
            <w:vAlign w:val="bottom"/>
          </w:tcPr>
          <w:p>
            <w:pPr>
              <w:ind w:left="200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Nathan Gronberg</w:t>
            </w:r>
          </w:p>
        </w:tc>
      </w:tr>
      <w:tr>
        <w:trPr>
          <w:trHeight w:val="222"/>
        </w:trPr>
        <w:tc>
          <w:tcPr>
            <w:tcW w:w="35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Nathan Gronberg</w:t>
            </w:r>
          </w:p>
        </w:tc>
      </w:tr>
      <w:tr>
        <w:trPr>
          <w:trHeight w:val="176"/>
        </w:trPr>
        <w:tc>
          <w:tcPr>
            <w:tcW w:w="35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820" w:type="dxa"/>
            <w:vAlign w:val="bottom"/>
          </w:tcPr>
          <w:p>
            <w:pPr>
              <w:jc w:val="center"/>
              <w:spacing w:after="0" w:line="176" w:lineRule="exact"/>
              <w:rPr>
                <w:sz w:val="20"/>
                <w:szCs w:val="20"/>
                <w:color w:val="auto"/>
              </w:rPr>
            </w:pPr>
            <w:r>
              <w:rPr>
                <w:rFonts w:ascii="Arial" w:cs="Arial" w:eastAsia="Arial" w:hAnsi="Arial"/>
                <w:sz w:val="18"/>
                <w:szCs w:val="18"/>
                <w:color w:val="auto"/>
                <w:w w:val="91"/>
              </w:rPr>
              <w:t>Vice President, Controller and</w:t>
            </w:r>
          </w:p>
        </w:tc>
      </w:tr>
      <w:tr>
        <w:trPr>
          <w:trHeight w:val="230"/>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r>
      <w:tr>
        <w:trPr>
          <w:trHeight w:val="242"/>
        </w:trPr>
        <w:tc>
          <w:tcPr>
            <w:tcW w:w="35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bl>
    <w:p>
      <w:pPr>
        <w:sectPr>
          <w:pgSz w:w="11900" w:h="16838" w:orient="portrait"/>
          <w:cols w:equalWidth="0" w:num="1">
            <w:col w:w="11200"/>
          </w:cols>
          <w:pgMar w:left="320" w:top="121"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Kirsten A. Lynch, certify that:</w:t>
      </w:r>
    </w:p>
    <w:p>
      <w:pPr>
        <w:spacing w:after="0" w:line="387" w:lineRule="exact"/>
        <w:rPr>
          <w:sz w:val="20"/>
          <w:szCs w:val="20"/>
          <w:color w:val="auto"/>
        </w:rPr>
      </w:pPr>
    </w:p>
    <w:p>
      <w:pPr>
        <w:ind w:left="520" w:hanging="17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23" w:lineRule="exact"/>
        <w:rPr>
          <w:rFonts w:ascii="Arial" w:cs="Arial" w:eastAsia="Arial" w:hAnsi="Arial"/>
          <w:sz w:val="18"/>
          <w:szCs w:val="18"/>
          <w:color w:val="auto"/>
        </w:rPr>
      </w:pPr>
    </w:p>
    <w:p>
      <w:pPr>
        <w:jc w:val="both"/>
        <w:ind w:left="520" w:right="40" w:hanging="172"/>
        <w:spacing w:after="0" w:line="224"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Arial" w:cs="Arial" w:eastAsia="Arial" w:hAnsi="Arial"/>
          <w:sz w:val="18"/>
          <w:szCs w:val="18"/>
          <w:color w:val="auto"/>
        </w:rPr>
      </w:pPr>
    </w:p>
    <w:p>
      <w:pPr>
        <w:ind w:left="520" w:right="40" w:hanging="172"/>
        <w:spacing w:after="0" w:line="256"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520" w:right="40" w:hanging="172"/>
        <w:spacing w:after="0" w:line="224"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18"/>
          <w:szCs w:val="18"/>
          <w:color w:val="auto"/>
        </w:rPr>
      </w:pPr>
    </w:p>
    <w:p>
      <w:pPr>
        <w:jc w:val="both"/>
        <w:ind w:left="1200" w:right="40" w:hanging="681"/>
        <w:spacing w:after="0" w:line="224" w:lineRule="auto"/>
        <w:tabs>
          <w:tab w:leader="none" w:pos="1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Arial" w:cs="Arial" w:eastAsia="Arial" w:hAnsi="Arial"/>
          <w:sz w:val="18"/>
          <w:szCs w:val="18"/>
          <w:color w:val="auto"/>
        </w:rPr>
      </w:pPr>
    </w:p>
    <w:p>
      <w:pPr>
        <w:jc w:val="both"/>
        <w:ind w:left="1200" w:right="40" w:hanging="681"/>
        <w:spacing w:after="0" w:line="224" w:lineRule="auto"/>
        <w:tabs>
          <w:tab w:leader="none" w:pos="1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Arial" w:cs="Arial" w:eastAsia="Arial" w:hAnsi="Arial"/>
          <w:sz w:val="18"/>
          <w:szCs w:val="18"/>
          <w:color w:val="auto"/>
        </w:rPr>
      </w:pPr>
    </w:p>
    <w:p>
      <w:pPr>
        <w:ind w:left="1200" w:right="40" w:hanging="681"/>
        <w:spacing w:after="0" w:line="272" w:lineRule="auto"/>
        <w:tabs>
          <w:tab w:leader="none" w:pos="12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200" w:right="40" w:hanging="681"/>
        <w:spacing w:after="0" w:line="224" w:lineRule="auto"/>
        <w:tabs>
          <w:tab w:leader="none" w:pos="1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8"/>
          <w:szCs w:val="18"/>
          <w:color w:val="auto"/>
        </w:rPr>
      </w:pPr>
    </w:p>
    <w:p>
      <w:pPr>
        <w:ind w:left="520" w:right="40" w:hanging="172"/>
        <w:spacing w:after="0" w:line="256"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00" w:right="60" w:hanging="681"/>
        <w:spacing w:after="0" w:line="256" w:lineRule="auto"/>
        <w:tabs>
          <w:tab w:leader="none" w:pos="12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00" w:right="60" w:hanging="681"/>
        <w:spacing w:after="0" w:line="235" w:lineRule="auto"/>
        <w:tabs>
          <w:tab w:leader="none" w:pos="1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9, 2023</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Kirsten A. Lynch</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Angela A. Korch, certify that:</w:t>
      </w:r>
    </w:p>
    <w:p>
      <w:pPr>
        <w:spacing w:after="0" w:line="387" w:lineRule="exact"/>
        <w:rPr>
          <w:sz w:val="20"/>
          <w:szCs w:val="20"/>
          <w:color w:val="auto"/>
        </w:rPr>
      </w:pPr>
    </w:p>
    <w:p>
      <w:pPr>
        <w:ind w:left="520" w:hanging="17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23" w:lineRule="exact"/>
        <w:rPr>
          <w:rFonts w:ascii="Arial" w:cs="Arial" w:eastAsia="Arial" w:hAnsi="Arial"/>
          <w:sz w:val="18"/>
          <w:szCs w:val="18"/>
          <w:color w:val="auto"/>
        </w:rPr>
      </w:pPr>
    </w:p>
    <w:p>
      <w:pPr>
        <w:jc w:val="both"/>
        <w:ind w:left="520" w:right="40" w:hanging="172"/>
        <w:spacing w:after="0" w:line="229"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20" w:right="40" w:hanging="172"/>
        <w:spacing w:after="0" w:line="256"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520" w:right="40" w:hanging="172"/>
        <w:spacing w:after="0" w:line="229"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jc w:val="both"/>
        <w:ind w:left="1200" w:right="40" w:hanging="681"/>
        <w:spacing w:after="0" w:line="229" w:lineRule="auto"/>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200" w:right="40" w:hanging="681"/>
        <w:spacing w:after="0" w:line="229" w:lineRule="auto"/>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200" w:right="40" w:hanging="681"/>
        <w:spacing w:after="0" w:line="272" w:lineRule="auto"/>
        <w:tabs>
          <w:tab w:leader="none" w:pos="12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00" w:right="40" w:hanging="681"/>
        <w:spacing w:after="0" w:line="229" w:lineRule="auto"/>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520" w:right="40" w:hanging="172"/>
        <w:spacing w:after="0" w:line="256"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00" w:right="60" w:hanging="681"/>
        <w:spacing w:after="0" w:line="256" w:lineRule="auto"/>
        <w:tabs>
          <w:tab w:leader="none" w:pos="12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00" w:right="60" w:hanging="681"/>
        <w:spacing w:after="0" w:line="235" w:lineRule="auto"/>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9, 2023</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Angela A. Korch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5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their capacity as an officer of Vail Resorts, Inc. (the “Company”) that the Company's Quarterly Report on Form 10-Q for the quarter ended January 31, 2023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9, 2023</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Kirsten A. Lynch</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9, 2023</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Angela A. Korch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pacing w:after="0" w:line="3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2"/>
    </w:lvl>
    <w:lvl w:ilvl="1">
      <w:lvlJc w:val="left"/>
      <w:lvlText w:val="%2."/>
      <w:numFmt w:val="lowerRoman"/>
      <w:start w:val="1"/>
    </w:lvl>
  </w:abstractNum>
  <w:abstractNum w:abstractNumId="7">
    <w:nsid w:val="7FDCC233"/>
    <w:multiLevelType w:val="hybridMultilevel"/>
    <w:lvl w:ilvl="0">
      <w:lvlJc w:val="left"/>
      <w:lvlText w:val="%1."/>
      <w:numFmt w:val="lowerRoman"/>
      <w:start w:val="2"/>
    </w:lvl>
    <w:lvl w:ilvl="1">
      <w:lvlJc w:val="left"/>
      <w:lvlText w:val="%2."/>
      <w:numFmt w:val="lowerRoman"/>
      <w:start w:val="4"/>
    </w:lvl>
  </w:abstractNum>
  <w:abstractNum w:abstractNumId="8">
    <w:nsid w:val="1BEFD79F"/>
    <w:multiLevelType w:val="hybridMultilevel"/>
    <w:lvl w:ilvl="0">
      <w:lvlJc w:val="left"/>
      <w:lvlText w:val="%1."/>
      <w:numFmt w:val="lowerRoman"/>
      <w:start w:val="5"/>
    </w:lvl>
  </w:abstractNum>
  <w:abstractNum w:abstractNumId="9">
    <w:nsid w:val="41A7C4C9"/>
    <w:multiLevelType w:val="hybridMultilevel"/>
    <w:lvl w:ilvl="0">
      <w:lvlJc w:val="left"/>
      <w:lvlText w:val="(%1)"/>
      <w:numFmt w:val="lowerLetter"/>
      <w:start w:val="5"/>
    </w:lvl>
  </w:abstractNum>
  <w:abstractNum w:abstractNumId="10">
    <w:nsid w:val="6B68079A"/>
    <w:multiLevelType w:val="hybridMultilevel"/>
    <w:lvl w:ilvl="0">
      <w:lvlJc w:val="left"/>
      <w:lvlText w:val="%1."/>
      <w:numFmt w:val="decimal"/>
      <w:start w:val="1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32"/>
    </w:lvl>
  </w:abstractNum>
  <w:abstractNum w:abstractNumId="18">
    <w:nsid w:val="62BBD95A"/>
    <w:multiLevelType w:val="hybridMultilevel"/>
    <w:lvl w:ilvl="0">
      <w:lvlJc w:val="left"/>
      <w:lvlText w:val="%1"/>
      <w:numFmt w:val="decimal"/>
      <w:start w:val="104"/>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2023-03-09T15:20:39Z</dcterms:created>
  <dcterms:modified xsi:type="dcterms:W3CDTF">2023-03-09T15:20:39Z</dcterms:modified>
</cp:coreProperties>
</file>