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October 31, 2018</w:t>
      </w:r>
    </w:p>
    <w:p>
      <w:pPr>
        <w:spacing w:after="0" w:line="266"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1" w:lineRule="exact"/>
        <w:rPr>
          <w:sz w:val="24"/>
          <w:szCs w:val="24"/>
          <w:color w:val="auto"/>
        </w:rPr>
      </w:pPr>
    </w:p>
    <w:p>
      <w:pPr>
        <w:ind w:left="396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2063115</wp:posOffset>
            </wp:positionH>
            <wp:positionV relativeFrom="paragraph">
              <wp:posOffset>83185</wp:posOffset>
            </wp:positionV>
            <wp:extent cx="312991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991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Vail Resorts,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1520" w:type="dxa"/>
        <w:tblCellMar>
          <w:top w:w="0" w:type="dxa"/>
          <w:left w:w="0" w:type="dxa"/>
          <w:bottom w:w="0" w:type="dxa"/>
          <w:right w:w="0" w:type="dxa"/>
        </w:tblCellMar>
      </w:tblPr>
      <w:tr>
        <w:trPr>
          <w:trHeight w:val="234"/>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380" w:type="dxa"/>
            <w:vAlign w:val="bottom"/>
          </w:tcPr>
          <w:p>
            <w:pPr>
              <w:jc w:val="right"/>
              <w:ind w:right="40"/>
              <w:spacing w:after="0"/>
              <w:rPr>
                <w:sz w:val="20"/>
                <w:szCs w:val="20"/>
                <w:color w:val="auto"/>
              </w:rPr>
            </w:pPr>
            <w:r>
              <w:rPr>
                <w:rFonts w:ascii="Arial" w:cs="Arial" w:eastAsia="Arial" w:hAnsi="Arial"/>
                <w:sz w:val="18"/>
                <w:szCs w:val="18"/>
                <w:b w:val="1"/>
                <w:bCs w:val="1"/>
                <w:color w:val="auto"/>
              </w:rPr>
              <w:t>51-0291762</w:t>
            </w:r>
          </w:p>
        </w:tc>
      </w:tr>
      <w:tr>
        <w:trPr>
          <w:trHeight w:val="180"/>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380" w:type="dxa"/>
            <w:vAlign w:val="bottom"/>
          </w:tcPr>
          <w:p>
            <w:pPr>
              <w:jc w:val="center"/>
              <w:ind w:left="418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380" w:type="dxa"/>
            <w:vAlign w:val="bottom"/>
          </w:tcPr>
          <w:p>
            <w:pPr>
              <w:jc w:val="center"/>
              <w:ind w:left="4180"/>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1"/>
              </w:rPr>
              <w:t>390 Interlocken Crescent</w:t>
            </w:r>
          </w:p>
        </w:tc>
        <w:tc>
          <w:tcPr>
            <w:tcW w:w="5380" w:type="dxa"/>
            <w:vAlign w:val="bottom"/>
          </w:tcPr>
          <w:p>
            <w:pPr>
              <w:spacing w:after="0"/>
              <w:rPr>
                <w:sz w:val="24"/>
                <w:szCs w:val="24"/>
                <w:color w:val="auto"/>
              </w:rPr>
            </w:pPr>
          </w:p>
        </w:tc>
      </w:tr>
      <w:tr>
        <w:trPr>
          <w:trHeight w:val="234"/>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0"/>
              </w:rPr>
              <w:t>Broomfield, Colorado</w:t>
            </w:r>
          </w:p>
        </w:tc>
        <w:tc>
          <w:tcPr>
            <w:tcW w:w="5380" w:type="dxa"/>
            <w:vAlign w:val="bottom"/>
          </w:tcPr>
          <w:p>
            <w:pPr>
              <w:jc w:val="right"/>
              <w:ind w:right="260"/>
              <w:spacing w:after="0"/>
              <w:rPr>
                <w:sz w:val="20"/>
                <w:szCs w:val="20"/>
                <w:color w:val="auto"/>
              </w:rPr>
            </w:pPr>
            <w:r>
              <w:rPr>
                <w:rFonts w:ascii="Arial" w:cs="Arial" w:eastAsia="Arial" w:hAnsi="Arial"/>
                <w:sz w:val="18"/>
                <w:szCs w:val="18"/>
                <w:b w:val="1"/>
                <w:bCs w:val="1"/>
                <w:color w:val="auto"/>
              </w:rPr>
              <w:t>80021</w:t>
            </w:r>
          </w:p>
        </w:tc>
      </w:tr>
      <w:tr>
        <w:trPr>
          <w:trHeight w:val="218"/>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380" w:type="dxa"/>
            <w:vAlign w:val="bottom"/>
          </w:tcPr>
          <w:p>
            <w:pPr>
              <w:jc w:val="center"/>
              <w:ind w:left="4180"/>
              <w:spacing w:after="0"/>
              <w:rPr>
                <w:sz w:val="20"/>
                <w:szCs w:val="20"/>
                <w:color w:val="auto"/>
              </w:rPr>
            </w:pPr>
            <w:r>
              <w:rPr>
                <w:rFonts w:ascii="Arial" w:cs="Arial" w:eastAsia="Arial" w:hAnsi="Arial"/>
                <w:sz w:val="14"/>
                <w:szCs w:val="14"/>
                <w:b w:val="1"/>
                <w:bCs w:val="1"/>
                <w:color w:val="auto"/>
                <w:w w:val="98"/>
              </w:rPr>
              <w:t>(Zip Code)</w:t>
            </w:r>
          </w:p>
        </w:tc>
      </w:tr>
      <w:tr>
        <w:trPr>
          <w:trHeight w:val="390"/>
        </w:trPr>
        <w:tc>
          <w:tcPr>
            <w:tcW w:w="2460" w:type="dxa"/>
            <w:vAlign w:val="bottom"/>
          </w:tcPr>
          <w:p>
            <w:pPr>
              <w:spacing w:after="0"/>
              <w:rPr>
                <w:sz w:val="24"/>
                <w:szCs w:val="24"/>
                <w:color w:val="auto"/>
              </w:rPr>
            </w:pPr>
          </w:p>
        </w:tc>
        <w:tc>
          <w:tcPr>
            <w:tcW w:w="5380" w:type="dxa"/>
            <w:vAlign w:val="bottom"/>
          </w:tcPr>
          <w:p>
            <w:pPr>
              <w:jc w:val="right"/>
              <w:ind w:right="3000"/>
              <w:spacing w:after="0"/>
              <w:rPr>
                <w:sz w:val="20"/>
                <w:szCs w:val="20"/>
                <w:color w:val="auto"/>
              </w:rPr>
            </w:pPr>
            <w:r>
              <w:rPr>
                <w:rFonts w:ascii="Arial" w:cs="Arial" w:eastAsia="Arial" w:hAnsi="Arial"/>
                <w:sz w:val="18"/>
                <w:szCs w:val="18"/>
                <w:b w:val="1"/>
                <w:bCs w:val="1"/>
                <w:color w:val="auto"/>
              </w:rPr>
              <w:t>(303) 404-1800</w:t>
            </w:r>
          </w:p>
        </w:tc>
      </w:tr>
      <w:tr>
        <w:trPr>
          <w:trHeight w:val="204"/>
        </w:trPr>
        <w:tc>
          <w:tcPr>
            <w:tcW w:w="2460" w:type="dxa"/>
            <w:vAlign w:val="bottom"/>
          </w:tcPr>
          <w:p>
            <w:pPr>
              <w:spacing w:after="0"/>
              <w:rPr>
                <w:sz w:val="17"/>
                <w:szCs w:val="17"/>
                <w:color w:val="auto"/>
              </w:rPr>
            </w:pPr>
          </w:p>
        </w:tc>
        <w:tc>
          <w:tcPr>
            <w:tcW w:w="5380" w:type="dxa"/>
            <w:vAlign w:val="bottom"/>
          </w:tcPr>
          <w:p>
            <w:pPr>
              <w:jc w:val="right"/>
              <w:ind w:right="1900"/>
              <w:spacing w:after="0"/>
              <w:rPr>
                <w:sz w:val="20"/>
                <w:szCs w:val="20"/>
                <w:color w:val="auto"/>
              </w:rPr>
            </w:pPr>
            <w:r>
              <w:rPr>
                <w:rFonts w:ascii="Arial" w:cs="Arial" w:eastAsia="Arial" w:hAnsi="Arial"/>
                <w:sz w:val="14"/>
                <w:szCs w:val="14"/>
                <w:b w:val="1"/>
                <w:bCs w:val="1"/>
                <w:color w:val="auto"/>
                <w:w w:val="92"/>
              </w:rPr>
              <w:t>(Registrant’s Telephone Number, Including Area Code)</w:t>
            </w:r>
          </w:p>
        </w:tc>
      </w:tr>
    </w:tbl>
    <w:p>
      <w:pPr>
        <w:spacing w:after="0" w:line="11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11"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2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204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2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0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060" w:type="dxa"/>
            <w:vAlign w:val="bottom"/>
          </w:tcPr>
          <w:p>
            <w:pPr>
              <w:ind w:left="262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2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right="190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As of December 3, 2018, 40,349,123 shares of the registrant’s common stock were outstanding.</w:t>
      </w:r>
    </w:p>
    <w:p>
      <w:pPr>
        <w:sectPr>
          <w:pgSz w:w="11900" w:h="16838" w:orient="portrait"/>
          <w:cols w:equalWidth="0" w:num="1">
            <w:col w:w="11420"/>
          </w:cols>
          <w:pgMar w:left="240" w:top="73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PART I</w:t>
            </w:r>
          </w:p>
        </w:tc>
        <w:tc>
          <w:tcPr>
            <w:tcW w:w="9780" w:type="dxa"/>
            <w:vAlign w:val="bottom"/>
            <w:gridSpan w:val="15"/>
            <w:shd w:val="clear" w:color="auto" w:fill="CCEEFF"/>
          </w:tcPr>
          <w:p>
            <w:pPr>
              <w:spacing w:after="0"/>
              <w:rPr>
                <w:sz w:val="20"/>
                <w:szCs w:val="20"/>
                <w:color w:val="auto"/>
              </w:rPr>
            </w:pPr>
            <w:r>
              <w:rPr>
                <w:rFonts w:ascii="Arial" w:cs="Arial" w:eastAsia="Arial" w:hAnsi="Arial"/>
                <w:sz w:val="18"/>
                <w:szCs w:val="18"/>
                <w:b w:val="1"/>
                <w:bCs w:val="1"/>
                <w:color w:val="auto"/>
              </w:rPr>
              <w:t>FINANCIAL INFORMATION</w:t>
            </w:r>
          </w:p>
        </w:tc>
        <w:tc>
          <w:tcPr>
            <w:tcW w:w="680" w:type="dxa"/>
            <w:vAlign w:val="bottom"/>
            <w:tcBorders>
              <w:bottom w:val="single" w:sz="8" w:color="auto"/>
            </w:tcBorders>
            <w:gridSpan w:val="4"/>
            <w:shd w:val="clear" w:color="auto" w:fill="CCEEFF"/>
          </w:tcPr>
          <w:p>
            <w:pPr>
              <w:ind w:left="160"/>
              <w:spacing w:after="0"/>
              <w:rPr>
                <w:sz w:val="20"/>
                <w:szCs w:val="20"/>
                <w:color w:val="auto"/>
              </w:rPr>
            </w:pPr>
            <w:r>
              <w:rPr>
                <w:rFonts w:ascii="Arial" w:cs="Arial" w:eastAsia="Arial" w:hAnsi="Arial"/>
                <w:sz w:val="18"/>
                <w:szCs w:val="18"/>
                <w:color w:val="auto"/>
              </w:rPr>
              <w:t>Page</w:t>
            </w:r>
          </w:p>
        </w:tc>
      </w:tr>
      <w:tr>
        <w:trPr>
          <w:trHeight w:val="324"/>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1.</w:t>
            </w:r>
          </w:p>
        </w:tc>
        <w:tc>
          <w:tcPr>
            <w:tcW w:w="9780" w:type="dxa"/>
            <w:vAlign w:val="bottom"/>
            <w:tcBorders>
              <w:bottom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Financial Statements (unaudited).</w:t>
            </w: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60" w:type="dxa"/>
            <w:vAlign w:val="bottom"/>
          </w:tcPr>
          <w:p>
            <w:pPr>
              <w:spacing w:after="0"/>
              <w:rPr>
                <w:sz w:val="17"/>
                <w:szCs w:val="17"/>
                <w:color w:val="auto"/>
              </w:rPr>
            </w:pPr>
          </w:p>
        </w:tc>
        <w:tc>
          <w:tcPr>
            <w:tcW w:w="9780" w:type="dxa"/>
            <w:vAlign w:val="bottom"/>
            <w:gridSpan w:val="15"/>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Consolidated Condensed Balance Sheets as of October 31, 2018, July 31, 2018 and October 31, 2017</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48"/>
        </w:trPr>
        <w:tc>
          <w:tcPr>
            <w:tcW w:w="96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60" w:type="dxa"/>
            <w:vAlign w:val="bottom"/>
            <w:shd w:val="clear" w:color="auto" w:fill="CCEEFF"/>
          </w:tcPr>
          <w:p>
            <w:pPr>
              <w:spacing w:after="0"/>
              <w:rPr>
                <w:sz w:val="17"/>
                <w:szCs w:val="17"/>
                <w:color w:val="auto"/>
              </w:rPr>
            </w:pPr>
          </w:p>
        </w:tc>
        <w:tc>
          <w:tcPr>
            <w:tcW w:w="9780" w:type="dxa"/>
            <w:vAlign w:val="bottom"/>
            <w:gridSpan w:val="15"/>
            <w:shd w:val="clear" w:color="auto" w:fill="CCEEFF"/>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Consolidated Condensed Statements of Operations for the Three Months Ended October 31, 2018 and 2017</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spacing w:after="0"/>
              <w:rPr>
                <w:sz w:val="17"/>
                <w:szCs w:val="17"/>
                <w:color w:val="auto"/>
              </w:rPr>
            </w:pPr>
          </w:p>
        </w:tc>
        <w:tc>
          <w:tcPr>
            <w:tcW w:w="9780" w:type="dxa"/>
            <w:vAlign w:val="bottom"/>
            <w:gridSpan w:val="15"/>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Consolidated Condensed Statements of Comprehensive Loss for the Three Months Ended October 31, 2018 and 2017</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48"/>
        </w:trPr>
        <w:tc>
          <w:tcPr>
            <w:tcW w:w="96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1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60" w:type="dxa"/>
            <w:vAlign w:val="bottom"/>
            <w:shd w:val="clear" w:color="auto" w:fill="CCEEFF"/>
          </w:tcPr>
          <w:p>
            <w:pPr>
              <w:spacing w:after="0"/>
              <w:rPr>
                <w:sz w:val="21"/>
                <w:szCs w:val="21"/>
                <w:color w:val="auto"/>
              </w:rPr>
            </w:pPr>
          </w:p>
        </w:tc>
        <w:tc>
          <w:tcPr>
            <w:tcW w:w="9780" w:type="dxa"/>
            <w:vAlign w:val="bottom"/>
            <w:gridSpan w:val="15"/>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Condensed Statements of Stockholders’ Equity for the Three Months Ended October 31, 2018 and 2017</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3"/>
        </w:trPr>
        <w:tc>
          <w:tcPr>
            <w:tcW w:w="960" w:type="dxa"/>
            <w:vAlign w:val="bottom"/>
            <w:tcBorders>
              <w:top w:val="single" w:sz="8" w:color="CCEEFF"/>
            </w:tcBorders>
          </w:tcPr>
          <w:p>
            <w:pPr>
              <w:spacing w:after="0"/>
              <w:rPr>
                <w:sz w:val="17"/>
                <w:szCs w:val="17"/>
                <w:color w:val="auto"/>
              </w:rPr>
            </w:pPr>
          </w:p>
        </w:tc>
        <w:tc>
          <w:tcPr>
            <w:tcW w:w="8480" w:type="dxa"/>
            <w:vAlign w:val="bottom"/>
            <w:tcBorders>
              <w:top w:val="single" w:sz="8" w:color="0000EE"/>
            </w:tcBorders>
            <w:gridSpan w:val="14"/>
          </w:tcPr>
          <w:p>
            <w:pPr>
              <w:spacing w:after="0" w:line="202"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Consolidated Condensed Statements of Cash Flows for the Three Months Ended October 31, 2018 and 2017</w:t>
              </w:r>
            </w:hyperlink>
          </w:p>
        </w:tc>
        <w:tc>
          <w:tcPr>
            <w:tcW w:w="130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0000EE"/>
            </w:tcBorders>
          </w:tcPr>
          <w:p>
            <w:pPr>
              <w:jc w:val="right"/>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20" w:type="dxa"/>
            <w:vAlign w:val="bottom"/>
            <w:tcBorders>
              <w:top w:val="single" w:sz="8" w:color="CCEEFF"/>
            </w:tcBorders>
          </w:tcPr>
          <w:p>
            <w:pPr>
              <w:spacing w:after="0"/>
              <w:rPr>
                <w:sz w:val="17"/>
                <w:szCs w:val="17"/>
                <w:color w:val="auto"/>
              </w:rPr>
            </w:pPr>
          </w:p>
        </w:tc>
      </w:tr>
      <w:tr>
        <w:trPr>
          <w:trHeight w:val="48"/>
        </w:trPr>
        <w:tc>
          <w:tcPr>
            <w:tcW w:w="96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60" w:type="dxa"/>
            <w:vAlign w:val="bottom"/>
            <w:shd w:val="clear" w:color="auto" w:fill="CCEEFF"/>
          </w:tcPr>
          <w:p>
            <w:pPr>
              <w:spacing w:after="0"/>
              <w:rPr>
                <w:sz w:val="17"/>
                <w:szCs w:val="17"/>
                <w:color w:val="auto"/>
              </w:rPr>
            </w:pPr>
          </w:p>
        </w:tc>
        <w:tc>
          <w:tcPr>
            <w:tcW w:w="9780" w:type="dxa"/>
            <w:vAlign w:val="bottom"/>
            <w:gridSpan w:val="15"/>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Condensed Financial Statements</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9780" w:type="dxa"/>
            <w:vAlign w:val="bottom"/>
            <w:gridSpan w:val="15"/>
          </w:tcPr>
          <w:p>
            <w:pPr>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r>
      <w:tr>
        <w:trPr>
          <w:trHeight w:val="48"/>
        </w:trPr>
        <w:tc>
          <w:tcPr>
            <w:tcW w:w="96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4360" w:type="dxa"/>
            <w:vAlign w:val="bottom"/>
            <w:gridSpan w:val="9"/>
            <w:shd w:val="clear" w:color="auto" w:fill="CCEEFF"/>
          </w:tcPr>
          <w:p>
            <w:pPr>
              <w:spacing w:after="0" w:line="202"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Quantitative and Qualitative Disclosures About Market Risk</w:t>
              </w:r>
            </w:hyperlink>
          </w:p>
        </w:tc>
        <w:tc>
          <w:tcPr>
            <w:tcW w:w="5420" w:type="dxa"/>
            <w:vAlign w:val="bottom"/>
            <w:gridSpan w:val="6"/>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4360" w:type="dxa"/>
            <w:vAlign w:val="bottom"/>
            <w:gridSpan w:val="9"/>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5420" w:type="dxa"/>
            <w:vAlign w:val="bottom"/>
            <w:gridSpan w:val="6"/>
          </w:tcPr>
          <w:p>
            <w:pPr>
              <w:spacing w:after="0"/>
              <w:rPr>
                <w:sz w:val="17"/>
                <w:szCs w:val="17"/>
                <w:color w:val="auto"/>
              </w:rPr>
            </w:pPr>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r>
      <w:tr>
        <w:trPr>
          <w:trHeight w:val="48"/>
        </w:trPr>
        <w:tc>
          <w:tcPr>
            <w:tcW w:w="96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38"/>
        </w:trPr>
        <w:tc>
          <w:tcPr>
            <w:tcW w:w="9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960" w:type="dxa"/>
            <w:vAlign w:val="bottom"/>
          </w:tcPr>
          <w:p>
            <w:pPr>
              <w:ind w:left="40"/>
              <w:spacing w:after="0"/>
              <w:rPr>
                <w:sz w:val="20"/>
                <w:szCs w:val="20"/>
                <w:color w:val="auto"/>
              </w:rPr>
            </w:pPr>
            <w:r>
              <w:rPr>
                <w:rFonts w:ascii="Arial" w:cs="Arial" w:eastAsia="Arial" w:hAnsi="Arial"/>
                <w:sz w:val="18"/>
                <w:szCs w:val="18"/>
                <w:b w:val="1"/>
                <w:bCs w:val="1"/>
                <w:color w:val="auto"/>
              </w:rPr>
              <w:t>PART II</w:t>
            </w:r>
          </w:p>
        </w:tc>
        <w:tc>
          <w:tcPr>
            <w:tcW w:w="9780" w:type="dxa"/>
            <w:vAlign w:val="bottom"/>
            <w:gridSpan w:val="15"/>
          </w:tcPr>
          <w:p>
            <w:pPr>
              <w:spacing w:after="0"/>
              <w:rPr>
                <w:sz w:val="20"/>
                <w:szCs w:val="20"/>
                <w:color w:val="auto"/>
              </w:rPr>
            </w:pPr>
            <w:r>
              <w:rPr>
                <w:rFonts w:ascii="Arial" w:cs="Arial" w:eastAsia="Arial" w:hAnsi="Arial"/>
                <w:sz w:val="18"/>
                <w:szCs w:val="18"/>
                <w:b w:val="1"/>
                <w:bCs w:val="1"/>
                <w:color w:val="auto"/>
              </w:rPr>
              <w:t>OTHER INFORMATION</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38"/>
        </w:trPr>
        <w:tc>
          <w:tcPr>
            <w:tcW w:w="9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Item 1.</w:t>
            </w:r>
          </w:p>
        </w:tc>
        <w:tc>
          <w:tcPr>
            <w:tcW w:w="9780" w:type="dxa"/>
            <w:vAlign w:val="bottom"/>
            <w:gridSpan w:val="15"/>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r>
      <w:tr>
        <w:trPr>
          <w:trHeight w:val="48"/>
        </w:trPr>
        <w:tc>
          <w:tcPr>
            <w:tcW w:w="96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900" w:type="dxa"/>
            <w:vAlign w:val="bottom"/>
            <w:gridSpan w:val="2"/>
            <w:shd w:val="clear" w:color="auto" w:fill="CCEEFF"/>
          </w:tcPr>
          <w:p>
            <w:pPr>
              <w:spacing w:after="0" w:line="202"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Risk Factors</w:t>
              </w:r>
            </w:hyperlink>
          </w:p>
        </w:tc>
        <w:tc>
          <w:tcPr>
            <w:tcW w:w="8880" w:type="dxa"/>
            <w:vAlign w:val="bottom"/>
            <w:gridSpan w:val="13"/>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9780" w:type="dxa"/>
            <w:vAlign w:val="bottom"/>
            <w:gridSpan w:val="15"/>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r>
      <w:tr>
        <w:trPr>
          <w:trHeight w:val="48"/>
        </w:trPr>
        <w:tc>
          <w:tcPr>
            <w:tcW w:w="96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2320" w:type="dxa"/>
            <w:vAlign w:val="bottom"/>
            <w:gridSpan w:val="6"/>
            <w:shd w:val="clear" w:color="auto" w:fill="CCEEFF"/>
          </w:tcPr>
          <w:p>
            <w:pPr>
              <w:spacing w:after="0" w:line="202"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Defaults Upon Senior Securities</w:t>
              </w:r>
            </w:hyperlink>
          </w:p>
        </w:tc>
        <w:tc>
          <w:tcPr>
            <w:tcW w:w="7460" w:type="dxa"/>
            <w:vAlign w:val="bottom"/>
            <w:gridSpan w:val="9"/>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2320" w:type="dxa"/>
            <w:vAlign w:val="bottom"/>
            <w:gridSpan w:val="6"/>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Mine Safety Disclosures</w:t>
              </w:r>
            </w:hyperlink>
          </w:p>
        </w:tc>
        <w:tc>
          <w:tcPr>
            <w:tcW w:w="7460" w:type="dxa"/>
            <w:vAlign w:val="bottom"/>
            <w:gridSpan w:val="9"/>
          </w:tcPr>
          <w:p>
            <w:pPr>
              <w:spacing w:after="0"/>
              <w:rPr>
                <w:sz w:val="17"/>
                <w:szCs w:val="17"/>
                <w:color w:val="auto"/>
              </w:rPr>
            </w:pPr>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48"/>
        </w:trPr>
        <w:tc>
          <w:tcPr>
            <w:tcW w:w="96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5.</w:t>
            </w:r>
          </w:p>
        </w:tc>
        <w:tc>
          <w:tcPr>
            <w:tcW w:w="9780" w:type="dxa"/>
            <w:vAlign w:val="bottom"/>
            <w:gridSpan w:val="15"/>
            <w:shd w:val="clear" w:color="auto" w:fill="CCEEFF"/>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Item 6.</w:t>
            </w:r>
          </w:p>
        </w:tc>
        <w:tc>
          <w:tcPr>
            <w:tcW w:w="600" w:type="dxa"/>
            <w:vAlign w:val="bottom"/>
          </w:tcPr>
          <w:p>
            <w:pPr>
              <w:spacing w:after="0" w:line="202"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Exhibits</w:t>
              </w:r>
            </w:hyperlink>
          </w:p>
        </w:tc>
        <w:tc>
          <w:tcPr>
            <w:tcW w:w="700" w:type="dxa"/>
            <w:vAlign w:val="bottom"/>
            <w:gridSpan w:val="2"/>
          </w:tcPr>
          <w:p>
            <w:pPr>
              <w:spacing w:after="0"/>
              <w:rPr>
                <w:sz w:val="17"/>
                <w:szCs w:val="17"/>
                <w:color w:val="auto"/>
              </w:rPr>
            </w:pPr>
          </w:p>
        </w:tc>
        <w:tc>
          <w:tcPr>
            <w:tcW w:w="8480" w:type="dxa"/>
            <w:vAlign w:val="bottom"/>
            <w:gridSpan w:val="12"/>
          </w:tcPr>
          <w:p>
            <w:pPr>
              <w:spacing w:after="0"/>
              <w:rPr>
                <w:sz w:val="17"/>
                <w:szCs w:val="17"/>
                <w:color w:val="auto"/>
              </w:rPr>
            </w:pPr>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October 31, 2018</w:t>
            </w: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July 31, 2018</w:t>
            </w: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October 31, 2017</w:t>
            </w: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141,031</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178,145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140,397</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12,005</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6,895</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16,609</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receivables, net</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74,240</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230,829</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84,571</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32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114,984</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85,588</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108,081</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50,752</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37,279</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46,045</w:t>
            </w:r>
          </w:p>
        </w:tc>
      </w:tr>
      <w:tr>
        <w:trPr>
          <w:trHeight w:val="237"/>
        </w:trPr>
        <w:tc>
          <w:tcPr>
            <w:tcW w:w="5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393,012</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538,736</w:t>
            </w: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395,703</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 (Note 7)</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1,825,982</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1,627,219</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1,694,692</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32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101,743</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99,385</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102,697</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net (Note 7)</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1,543,941</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1,475,686</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1,484,335</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307,268</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280,572</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287,093</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43,976</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43,386</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44,096</w:t>
            </w:r>
          </w:p>
        </w:tc>
      </w:tr>
      <w:tr>
        <w:trPr>
          <w:trHeight w:val="237"/>
        </w:trPr>
        <w:tc>
          <w:tcPr>
            <w:tcW w:w="5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4,215,922</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4,064,984</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4,008,616</w:t>
            </w:r>
          </w:p>
        </w:tc>
      </w:tr>
      <w:tr>
        <w:trPr>
          <w:trHeight w:val="67"/>
        </w:trPr>
        <w:tc>
          <w:tcPr>
            <w:tcW w:w="59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31"/>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accrued liabilities (Note 7)</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703,633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504,533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630,467</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32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38,303</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50,632</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40,707</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due within one year (Note 5)</w:t>
            </w:r>
          </w:p>
        </w:tc>
        <w:tc>
          <w:tcPr>
            <w:tcW w:w="3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48,482</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38,455</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38,422</w:t>
            </w:r>
          </w:p>
        </w:tc>
      </w:tr>
      <w:tr>
        <w:trPr>
          <w:trHeight w:val="237"/>
        </w:trPr>
        <w:tc>
          <w:tcPr>
            <w:tcW w:w="5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790,418</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593,620</w:t>
            </w: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709,596</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 (Note 5)</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1,486,968</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1,234,277</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1,262,325</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Other long-term liabilities (Note 7)</w:t>
            </w:r>
          </w:p>
        </w:tc>
        <w:tc>
          <w:tcPr>
            <w:tcW w:w="32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273,566</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291,506</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290,420</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3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115,169</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133,918</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136,863</w:t>
            </w:r>
          </w:p>
        </w:tc>
      </w:tr>
      <w:tr>
        <w:trPr>
          <w:trHeight w:val="237"/>
        </w:trPr>
        <w:tc>
          <w:tcPr>
            <w:tcW w:w="5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2,666,121</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2,253,321</w:t>
            </w: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2,399,204</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9)</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Preferred stock, $0.01 par value, 25,000 shares authorized, no shares issued</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7"/>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and outstanding</w:t>
            </w:r>
          </w:p>
        </w:tc>
        <w:tc>
          <w:tcPr>
            <w:tcW w:w="3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tcPr>
          <w:p>
            <w:pPr>
              <w:ind w:left="280"/>
              <w:spacing w:after="0"/>
              <w:rPr>
                <w:sz w:val="20"/>
                <w:szCs w:val="20"/>
                <w:color w:val="auto"/>
              </w:rPr>
            </w:pPr>
            <w:r>
              <w:rPr>
                <w:rFonts w:ascii="Arial" w:cs="Arial" w:eastAsia="Arial" w:hAnsi="Arial"/>
                <w:sz w:val="18"/>
                <w:szCs w:val="18"/>
                <w:color w:val="auto"/>
                <w:w w:val="93"/>
              </w:rPr>
              <w:t>Common stock, $0.01 par value, 100,000 shares authorized, 46,097, 46,021</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5980" w:type="dxa"/>
            <w:vAlign w:val="bottom"/>
          </w:tcPr>
          <w:p>
            <w:pPr>
              <w:ind w:left="280"/>
              <w:spacing w:after="0"/>
              <w:rPr>
                <w:sz w:val="20"/>
                <w:szCs w:val="20"/>
                <w:color w:val="auto"/>
              </w:rPr>
            </w:pPr>
            <w:r>
              <w:rPr>
                <w:rFonts w:ascii="Arial" w:cs="Arial" w:eastAsia="Arial" w:hAnsi="Arial"/>
                <w:sz w:val="18"/>
                <w:szCs w:val="18"/>
                <w:color w:val="auto"/>
              </w:rPr>
              <w:t>and 45,842 shares issued, respectively</w:t>
            </w:r>
          </w:p>
        </w:tc>
        <w:tc>
          <w:tcPr>
            <w:tcW w:w="320" w:type="dxa"/>
            <w:vAlign w:val="bottom"/>
          </w:tcPr>
          <w:p>
            <w:pPr>
              <w:spacing w:after="0"/>
              <w:rPr>
                <w:sz w:val="20"/>
                <w:szCs w:val="20"/>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461</w:t>
            </w:r>
          </w:p>
        </w:tc>
        <w:tc>
          <w:tcPr>
            <w:tcW w:w="360" w:type="dxa"/>
            <w:vAlign w:val="bottom"/>
          </w:tcPr>
          <w:p>
            <w:pPr>
              <w:spacing w:after="0"/>
              <w:rPr>
                <w:sz w:val="20"/>
                <w:szCs w:val="20"/>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460</w:t>
            </w:r>
          </w:p>
        </w:tc>
        <w:tc>
          <w:tcPr>
            <w:tcW w:w="280" w:type="dxa"/>
            <w:vAlign w:val="bottom"/>
          </w:tcPr>
          <w:p>
            <w:pPr>
              <w:spacing w:after="0"/>
              <w:rPr>
                <w:sz w:val="20"/>
                <w:szCs w:val="20"/>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458</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Exchangeable shares, $0.01 par value, 57, 58 and 61 shares issued and</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7"/>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 respectively (Note 4)</w:t>
            </w:r>
          </w:p>
        </w:tc>
        <w:tc>
          <w:tcPr>
            <w:tcW w:w="3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1,130,855</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1,137,467</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1,157,547</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(20,596)</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(2,227)</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10,591</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551,863</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726,722</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479,997</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0"/>
              </w:rPr>
              <w:t>Treasury stock, at cost, 5,750, 5,552, and 5,436 shares, respectively (Note 11)</w:t>
            </w:r>
          </w:p>
        </w:tc>
        <w:tc>
          <w:tcPr>
            <w:tcW w:w="3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(322,989)</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(272,989)</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(247,189)</w:t>
            </w:r>
          </w:p>
        </w:tc>
      </w:tr>
      <w:tr>
        <w:trPr>
          <w:trHeight w:val="237"/>
        </w:trPr>
        <w:tc>
          <w:tcPr>
            <w:tcW w:w="5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Vail Resorts, Inc. stockholders’ equity</w:t>
            </w:r>
          </w:p>
        </w:tc>
        <w:tc>
          <w:tcPr>
            <w:tcW w:w="3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1,339,595</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1,589,434</w:t>
            </w: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1,401,405</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210,206</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222,229</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208,007</w:t>
            </w:r>
          </w:p>
        </w:tc>
      </w:tr>
      <w:tr>
        <w:trPr>
          <w:trHeight w:val="237"/>
        </w:trPr>
        <w:tc>
          <w:tcPr>
            <w:tcW w:w="5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1,549,801</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1,811,663</w:t>
            </w: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1,609,412</w:t>
            </w:r>
          </w:p>
        </w:tc>
      </w:tr>
      <w:tr>
        <w:trPr>
          <w:trHeight w:val="27"/>
        </w:trPr>
        <w:tc>
          <w:tcPr>
            <w:tcW w:w="5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5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4,215,922</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4,064,984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4,008,616</w:t>
            </w:r>
          </w:p>
        </w:tc>
      </w:tr>
      <w:tr>
        <w:trPr>
          <w:trHeight w:val="20"/>
        </w:trPr>
        <w:tc>
          <w:tcPr>
            <w:tcW w:w="5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80"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360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4"/>
                <w:szCs w:val="14"/>
                <w:b w:val="1"/>
                <w:bCs w:val="1"/>
                <w:color w:val="auto"/>
              </w:rPr>
              <w:t>Three Months Ended October 31,</w:t>
            </w:r>
          </w:p>
        </w:tc>
        <w:tc>
          <w:tcPr>
            <w:tcW w:w="840" w:type="dxa"/>
            <w:vAlign w:val="bottom"/>
            <w:tcBorders>
              <w:bottom w:val="single" w:sz="8" w:color="auto"/>
            </w:tcBorders>
          </w:tcPr>
          <w:p>
            <w:pPr>
              <w:spacing w:after="0"/>
              <w:rPr>
                <w:sz w:val="16"/>
                <w:szCs w:val="16"/>
                <w:color w:val="auto"/>
              </w:rPr>
            </w:pPr>
          </w:p>
        </w:tc>
      </w:tr>
      <w:tr>
        <w:trPr>
          <w:trHeight w:val="264"/>
        </w:trPr>
        <w:tc>
          <w:tcPr>
            <w:tcW w:w="69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2017</w:t>
            </w:r>
          </w:p>
        </w:tc>
        <w:tc>
          <w:tcPr>
            <w:tcW w:w="840" w:type="dxa"/>
            <w:vAlign w:val="bottom"/>
            <w:tcBorders>
              <w:bottom w:val="single" w:sz="8" w:color="auto"/>
            </w:tcBorders>
          </w:tcPr>
          <w:p>
            <w:pPr>
              <w:spacing w:after="0"/>
              <w:rPr>
                <w:sz w:val="22"/>
                <w:szCs w:val="2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1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Mountain and Lodging services and other</w:t>
            </w:r>
          </w:p>
        </w:tc>
        <w:tc>
          <w:tcPr>
            <w:tcW w:w="1320" w:type="dxa"/>
            <w:vAlign w:val="bottom"/>
          </w:tcPr>
          <w:p>
            <w:pPr>
              <w:jc w:val="right"/>
              <w:ind w:right="1115"/>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144,022</w:t>
            </w:r>
          </w:p>
        </w:tc>
        <w:tc>
          <w:tcPr>
            <w:tcW w:w="1380" w:type="dxa"/>
            <w:vAlign w:val="bottom"/>
          </w:tcPr>
          <w:p>
            <w:pPr>
              <w:jc w:val="right"/>
              <w:ind w:right="1113"/>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143,348</w:t>
            </w:r>
          </w:p>
        </w:tc>
      </w:tr>
      <w:tr>
        <w:trPr>
          <w:trHeight w:val="27"/>
        </w:trPr>
        <w:tc>
          <w:tcPr>
            <w:tcW w:w="6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Mountain and Lodging retail and dining</w:t>
            </w:r>
          </w:p>
        </w:tc>
        <w:tc>
          <w:tcPr>
            <w:tcW w:w="1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75,884</w:t>
            </w:r>
          </w:p>
        </w:tc>
        <w:tc>
          <w:tcPr>
            <w:tcW w:w="1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76,866</w:t>
            </w:r>
          </w:p>
        </w:tc>
      </w:tr>
      <w:tr>
        <w:trPr>
          <w:trHeight w:val="237"/>
        </w:trPr>
        <w:tc>
          <w:tcPr>
            <w:tcW w:w="6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Resort net revenue</w:t>
            </w:r>
          </w:p>
        </w:tc>
        <w:tc>
          <w:tcPr>
            <w:tcW w:w="1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219,906</w:t>
            </w:r>
          </w:p>
        </w:tc>
        <w:tc>
          <w:tcPr>
            <w:tcW w:w="1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220,214</w:t>
            </w:r>
          </w:p>
        </w:tc>
      </w:tr>
      <w:tr>
        <w:trPr>
          <w:trHeight w:val="27"/>
        </w:trPr>
        <w:tc>
          <w:tcPr>
            <w:tcW w:w="6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w:t>
            </w:r>
          </w:p>
        </w:tc>
        <w:tc>
          <w:tcPr>
            <w:tcW w:w="1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w:t>
            </w:r>
          </w:p>
        </w:tc>
        <w:tc>
          <w:tcPr>
            <w:tcW w:w="1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w:t>
            </w:r>
          </w:p>
        </w:tc>
      </w:tr>
      <w:tr>
        <w:trPr>
          <w:trHeight w:val="237"/>
        </w:trPr>
        <w:tc>
          <w:tcPr>
            <w:tcW w:w="6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net revenue</w:t>
            </w:r>
          </w:p>
        </w:tc>
        <w:tc>
          <w:tcPr>
            <w:tcW w:w="1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220,004</w:t>
            </w:r>
          </w:p>
        </w:tc>
        <w:tc>
          <w:tcPr>
            <w:tcW w:w="1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220,850</w:t>
            </w:r>
          </w:p>
        </w:tc>
      </w:tr>
      <w:tr>
        <w:trPr>
          <w:trHeight w:val="27"/>
        </w:trPr>
        <w:tc>
          <w:tcPr>
            <w:tcW w:w="6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Operating expense (exclusive of depreciation and amortization shown separately below):</w:t>
            </w:r>
          </w:p>
        </w:tc>
        <w:tc>
          <w:tcPr>
            <w:tcW w:w="1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Mountain and Lodging operating expense</w:t>
            </w:r>
          </w:p>
        </w:tc>
        <w:tc>
          <w:tcPr>
            <w:tcW w:w="132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194,112</w:t>
            </w:r>
          </w:p>
        </w:tc>
        <w:tc>
          <w:tcPr>
            <w:tcW w:w="1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181,276</w:t>
            </w:r>
          </w:p>
        </w:tc>
      </w:tr>
      <w:tr>
        <w:trPr>
          <w:trHeight w:val="27"/>
        </w:trPr>
        <w:tc>
          <w:tcPr>
            <w:tcW w:w="6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Mountain and Lodging retail and dining cost of products sold</w:t>
            </w:r>
          </w:p>
        </w:tc>
        <w:tc>
          <w:tcPr>
            <w:tcW w:w="1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34,876</w:t>
            </w:r>
          </w:p>
        </w:tc>
        <w:tc>
          <w:tcPr>
            <w:tcW w:w="1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35,679</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32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64,379</w:t>
            </w:r>
          </w:p>
        </w:tc>
        <w:tc>
          <w:tcPr>
            <w:tcW w:w="1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57,863</w:t>
            </w:r>
          </w:p>
        </w:tc>
      </w:tr>
      <w:tr>
        <w:trPr>
          <w:trHeight w:val="27"/>
        </w:trPr>
        <w:tc>
          <w:tcPr>
            <w:tcW w:w="6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Resort operating expense</w:t>
            </w:r>
          </w:p>
        </w:tc>
        <w:tc>
          <w:tcPr>
            <w:tcW w:w="1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293,367</w:t>
            </w:r>
          </w:p>
        </w:tc>
        <w:tc>
          <w:tcPr>
            <w:tcW w:w="1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274,818</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Real Estate</w:t>
            </w:r>
          </w:p>
        </w:tc>
        <w:tc>
          <w:tcPr>
            <w:tcW w:w="132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1,370</w:t>
            </w:r>
          </w:p>
        </w:tc>
        <w:tc>
          <w:tcPr>
            <w:tcW w:w="1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1,691</w:t>
            </w:r>
          </w:p>
        </w:tc>
      </w:tr>
      <w:tr>
        <w:trPr>
          <w:trHeight w:val="27"/>
        </w:trPr>
        <w:tc>
          <w:tcPr>
            <w:tcW w:w="6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segment operating expense</w:t>
            </w:r>
          </w:p>
        </w:tc>
        <w:tc>
          <w:tcPr>
            <w:tcW w:w="1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294,737</w:t>
            </w:r>
          </w:p>
        </w:tc>
        <w:tc>
          <w:tcPr>
            <w:tcW w:w="1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276,509</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 operating (expense) income:</w:t>
            </w:r>
          </w:p>
        </w:tc>
        <w:tc>
          <w:tcPr>
            <w:tcW w:w="1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(51,043)</w:t>
            </w:r>
          </w:p>
        </w:tc>
        <w:tc>
          <w:tcPr>
            <w:tcW w:w="1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(48,624)</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Change in estimated fair value of contingent consideration (Note 8)</w:t>
            </w:r>
          </w:p>
        </w:tc>
        <w:tc>
          <w:tcPr>
            <w:tcW w:w="1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(1,200)</w:t>
            </w:r>
          </w:p>
        </w:tc>
        <w:tc>
          <w:tcPr>
            <w:tcW w:w="1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gain on disposal of fixed assets and other, net</w:t>
            </w:r>
          </w:p>
        </w:tc>
        <w:tc>
          <w:tcPr>
            <w:tcW w:w="1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w:t>
            </w:r>
          </w:p>
        </w:tc>
        <w:tc>
          <w:tcPr>
            <w:tcW w:w="1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r>
      <w:tr>
        <w:trPr>
          <w:trHeight w:val="237"/>
        </w:trPr>
        <w:tc>
          <w:tcPr>
            <w:tcW w:w="6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Loss from operations</w:t>
            </w:r>
          </w:p>
        </w:tc>
        <w:tc>
          <w:tcPr>
            <w:tcW w:w="1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(127,595)</w:t>
            </w:r>
          </w:p>
        </w:tc>
        <w:tc>
          <w:tcPr>
            <w:tcW w:w="1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(103,716)</w:t>
            </w:r>
          </w:p>
        </w:tc>
      </w:tr>
      <w:tr>
        <w:trPr>
          <w:trHeight w:val="27"/>
        </w:trPr>
        <w:tc>
          <w:tcPr>
            <w:tcW w:w="6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Mountain equity investment income, net</w:t>
            </w:r>
          </w:p>
        </w:tc>
        <w:tc>
          <w:tcPr>
            <w:tcW w:w="1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950</w:t>
            </w:r>
          </w:p>
        </w:tc>
        <w:tc>
          <w:tcPr>
            <w:tcW w:w="1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Investment income and other, net</w:t>
            </w:r>
          </w:p>
        </w:tc>
        <w:tc>
          <w:tcPr>
            <w:tcW w:w="132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463</w:t>
            </w:r>
          </w:p>
        </w:tc>
        <w:tc>
          <w:tcPr>
            <w:tcW w:w="1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383</w:t>
            </w:r>
          </w:p>
        </w:tc>
      </w:tr>
      <w:tr>
        <w:trPr>
          <w:trHeight w:val="27"/>
        </w:trPr>
        <w:tc>
          <w:tcPr>
            <w:tcW w:w="6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loss on intercompany loans (Note 5)</w:t>
            </w:r>
          </w:p>
        </w:tc>
        <w:tc>
          <w:tcPr>
            <w:tcW w:w="1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(2,311)</w:t>
            </w:r>
          </w:p>
        </w:tc>
        <w:tc>
          <w:tcPr>
            <w:tcW w:w="1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(7,346)</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1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(18,638)</w:t>
            </w:r>
          </w:p>
        </w:tc>
        <w:tc>
          <w:tcPr>
            <w:tcW w:w="1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(15,174)</w:t>
            </w:r>
          </w:p>
        </w:tc>
      </w:tr>
      <w:tr>
        <w:trPr>
          <w:trHeight w:val="27"/>
        </w:trPr>
        <w:tc>
          <w:tcPr>
            <w:tcW w:w="6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benefit from income taxes</w:t>
            </w:r>
          </w:p>
        </w:tc>
        <w:tc>
          <w:tcPr>
            <w:tcW w:w="1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(147,131)</w:t>
            </w:r>
          </w:p>
        </w:tc>
        <w:tc>
          <w:tcPr>
            <w:tcW w:w="1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(125,331)</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Benefit from income taxes</w:t>
            </w:r>
          </w:p>
        </w:tc>
        <w:tc>
          <w:tcPr>
            <w:tcW w:w="132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36,405</w:t>
            </w:r>
          </w:p>
        </w:tc>
        <w:tc>
          <w:tcPr>
            <w:tcW w:w="1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93,404</w:t>
            </w:r>
          </w:p>
        </w:tc>
      </w:tr>
      <w:tr>
        <w:trPr>
          <w:trHeight w:val="27"/>
        </w:trPr>
        <w:tc>
          <w:tcPr>
            <w:tcW w:w="6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(110,726)</w:t>
            </w:r>
          </w:p>
        </w:tc>
        <w:tc>
          <w:tcPr>
            <w:tcW w:w="1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(31,927)</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Net loss attributable to noncontrolling interests</w:t>
            </w:r>
          </w:p>
        </w:tc>
        <w:tc>
          <w:tcPr>
            <w:tcW w:w="132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2,931</w:t>
            </w:r>
          </w:p>
        </w:tc>
        <w:tc>
          <w:tcPr>
            <w:tcW w:w="1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3,542</w:t>
            </w:r>
          </w:p>
        </w:tc>
      </w:tr>
      <w:tr>
        <w:trPr>
          <w:trHeight w:val="27"/>
        </w:trPr>
        <w:tc>
          <w:tcPr>
            <w:tcW w:w="6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Vail Resorts, Inc.</w:t>
            </w:r>
          </w:p>
        </w:tc>
        <w:tc>
          <w:tcPr>
            <w:tcW w:w="1320" w:type="dxa"/>
            <w:vAlign w:val="bottom"/>
            <w:tcBorders>
              <w:bottom w:val="single" w:sz="8" w:color="CCEEFF"/>
            </w:tcBorders>
            <w:shd w:val="clear" w:color="auto" w:fill="CCEEFF"/>
          </w:tcPr>
          <w:p>
            <w:pPr>
              <w:jc w:val="right"/>
              <w:ind w:right="1115"/>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(107,795)</w:t>
            </w:r>
          </w:p>
        </w:tc>
        <w:tc>
          <w:tcPr>
            <w:tcW w:w="1380" w:type="dxa"/>
            <w:vAlign w:val="bottom"/>
            <w:tcBorders>
              <w:bottom w:val="single" w:sz="8" w:color="CCEEFF"/>
            </w:tcBorders>
            <w:shd w:val="clear" w:color="auto" w:fill="CCEEFF"/>
          </w:tcPr>
          <w:p>
            <w:pPr>
              <w:jc w:val="right"/>
              <w:ind w:right="1113"/>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(28,385)</w:t>
            </w:r>
          </w:p>
        </w:tc>
      </w:tr>
      <w:tr>
        <w:trPr>
          <w:trHeight w:val="20"/>
        </w:trPr>
        <w:tc>
          <w:tcPr>
            <w:tcW w:w="69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980" w:type="dxa"/>
            <w:vAlign w:val="bottom"/>
          </w:tcPr>
          <w:p>
            <w:pPr>
              <w:ind w:left="40"/>
              <w:spacing w:after="0"/>
              <w:rPr>
                <w:sz w:val="20"/>
                <w:szCs w:val="20"/>
                <w:color w:val="auto"/>
              </w:rPr>
            </w:pPr>
            <w:r>
              <w:rPr>
                <w:rFonts w:ascii="Arial" w:cs="Arial" w:eastAsia="Arial" w:hAnsi="Arial"/>
                <w:sz w:val="18"/>
                <w:szCs w:val="18"/>
                <w:color w:val="auto"/>
              </w:rPr>
              <w:t>Per share amounts (Note 4):</w:t>
            </w:r>
          </w:p>
        </w:tc>
        <w:tc>
          <w:tcPr>
            <w:tcW w:w="1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7"/>
        </w:trPr>
        <w:tc>
          <w:tcPr>
            <w:tcW w:w="6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 net loss per share attributable to Vail Resorts, Inc.</w:t>
            </w:r>
          </w:p>
        </w:tc>
        <w:tc>
          <w:tcPr>
            <w:tcW w:w="1320" w:type="dxa"/>
            <w:vAlign w:val="bottom"/>
            <w:tcBorders>
              <w:bottom w:val="single" w:sz="8" w:color="CCEEFF"/>
            </w:tcBorders>
            <w:shd w:val="clear" w:color="auto" w:fill="CCEEFF"/>
          </w:tcPr>
          <w:p>
            <w:pPr>
              <w:jc w:val="right"/>
              <w:ind w:right="1115"/>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c>
          <w:tcPr>
            <w:tcW w:w="1380" w:type="dxa"/>
            <w:vAlign w:val="bottom"/>
            <w:tcBorders>
              <w:bottom w:val="single" w:sz="8" w:color="CCEEFF"/>
            </w:tcBorders>
            <w:shd w:val="clear" w:color="auto" w:fill="CCEEFF"/>
          </w:tcPr>
          <w:p>
            <w:pPr>
              <w:jc w:val="right"/>
              <w:ind w:right="1113"/>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(0.71)</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Diluted net loss per share attributable to Vail Resorts, Inc.</w:t>
            </w:r>
          </w:p>
        </w:tc>
        <w:tc>
          <w:tcPr>
            <w:tcW w:w="1320" w:type="dxa"/>
            <w:vAlign w:val="bottom"/>
          </w:tcPr>
          <w:p>
            <w:pPr>
              <w:jc w:val="right"/>
              <w:ind w:right="1115"/>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(2.66)</w:t>
            </w:r>
          </w:p>
        </w:tc>
        <w:tc>
          <w:tcPr>
            <w:tcW w:w="1380" w:type="dxa"/>
            <w:vAlign w:val="bottom"/>
          </w:tcPr>
          <w:p>
            <w:pPr>
              <w:jc w:val="right"/>
              <w:ind w:right="1113"/>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(0.71)</w:t>
            </w:r>
          </w:p>
        </w:tc>
      </w:tr>
      <w:tr>
        <w:trPr>
          <w:trHeight w:val="27"/>
        </w:trPr>
        <w:tc>
          <w:tcPr>
            <w:tcW w:w="6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6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dividends declared per share</w:t>
            </w:r>
          </w:p>
        </w:tc>
        <w:tc>
          <w:tcPr>
            <w:tcW w:w="1320" w:type="dxa"/>
            <w:vAlign w:val="bottom"/>
            <w:shd w:val="clear" w:color="auto" w:fill="CCEEFF"/>
          </w:tcPr>
          <w:p>
            <w:pPr>
              <w:jc w:val="right"/>
              <w:ind w:right="1115"/>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1.47</w:t>
            </w:r>
          </w:p>
        </w:tc>
        <w:tc>
          <w:tcPr>
            <w:tcW w:w="1380" w:type="dxa"/>
            <w:vAlign w:val="bottom"/>
            <w:shd w:val="clear" w:color="auto" w:fill="CCEEFF"/>
          </w:tcPr>
          <w:p>
            <w:pPr>
              <w:jc w:val="right"/>
              <w:ind w:right="1113"/>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1.053</w:t>
            </w:r>
          </w:p>
        </w:tc>
      </w:tr>
      <w:tr>
        <w:trPr>
          <w:trHeight w:val="27"/>
        </w:trPr>
        <w:tc>
          <w:tcPr>
            <w:tcW w:w="69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5"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13335</wp:posOffset>
            </wp:positionV>
            <wp:extent cx="25298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8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2017</w:t>
            </w: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60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(110,726)</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(31,927)</w:t>
            </w: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 net of tax</w:t>
            </w:r>
          </w:p>
        </w:tc>
        <w:tc>
          <w:tcPr>
            <w:tcW w:w="26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(22,636)</w:t>
            </w:r>
          </w:p>
        </w:tc>
        <w:tc>
          <w:tcPr>
            <w:tcW w:w="5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(45,405)</w:t>
            </w:r>
          </w:p>
        </w:tc>
      </w:tr>
      <w:tr>
        <w:trPr>
          <w:trHeight w:val="27"/>
        </w:trPr>
        <w:tc>
          <w:tcPr>
            <w:tcW w:w="60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26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(133,362)</w:t>
            </w:r>
          </w:p>
        </w:tc>
        <w:tc>
          <w:tcPr>
            <w:tcW w:w="5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(77,332)</w:t>
            </w: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Comprehensive loss attributable to noncontrolling interests</w:t>
            </w:r>
          </w:p>
        </w:tc>
        <w:tc>
          <w:tcPr>
            <w:tcW w:w="260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7,198</w:t>
            </w:r>
          </w:p>
        </w:tc>
        <w:tc>
          <w:tcPr>
            <w:tcW w:w="5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15,143</w:t>
            </w:r>
          </w:p>
        </w:tc>
      </w:tr>
      <w:tr>
        <w:trPr>
          <w:trHeight w:val="27"/>
        </w:trPr>
        <w:tc>
          <w:tcPr>
            <w:tcW w:w="60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attributable to Vail Resorts, Inc.</w:t>
            </w:r>
          </w:p>
        </w:tc>
        <w:tc>
          <w:tcPr>
            <w:tcW w:w="260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(126,164)</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(62,189)</w:t>
            </w:r>
          </w:p>
        </w:tc>
      </w:tr>
      <w:tr>
        <w:trPr>
          <w:trHeight w:val="20"/>
        </w:trPr>
        <w:tc>
          <w:tcPr>
            <w:tcW w:w="6000" w:type="dxa"/>
            <w:vAlign w:val="bottom"/>
            <w:tcBorders>
              <w:top w:val="single" w:sz="8" w:color="auto"/>
              <w:bottom w:val="single" w:sz="8" w:color="auto"/>
            </w:tcBorders>
          </w:tcPr>
          <w:p>
            <w:pPr>
              <w:spacing w:after="0" w:line="20" w:lineRule="exact"/>
              <w:rPr>
                <w:sz w:val="1"/>
                <w:szCs w:val="1"/>
                <w:color w:val="auto"/>
              </w:rPr>
            </w:pPr>
          </w:p>
        </w:tc>
        <w:tc>
          <w:tcPr>
            <w:tcW w:w="26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2"/>
              <w:spacing w:after="0"/>
              <w:rPr>
                <w:sz w:val="20"/>
                <w:szCs w:val="20"/>
                <w:color w:val="auto"/>
              </w:rPr>
            </w:pPr>
            <w:r>
              <w:rPr>
                <w:rFonts w:ascii="Arial" w:cs="Arial" w:eastAsia="Arial" w:hAnsi="Arial"/>
                <w:sz w:val="13"/>
                <w:szCs w:val="13"/>
                <w:b w:val="1"/>
                <w:bCs w:val="1"/>
                <w:color w:val="auto"/>
                <w:w w:val="89"/>
              </w:rPr>
              <w:t>Total Vail</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35"/>
        </w:trPr>
        <w:tc>
          <w:tcPr>
            <w:tcW w:w="3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w w:val="90"/>
              </w:rPr>
              <w:t>Accumulated Other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22"/>
              <w:spacing w:after="0" w:line="135" w:lineRule="exact"/>
              <w:rPr>
                <w:sz w:val="20"/>
                <w:szCs w:val="20"/>
                <w:color w:val="auto"/>
              </w:rPr>
            </w:pPr>
            <w:r>
              <w:rPr>
                <w:rFonts w:ascii="Arial" w:cs="Arial" w:eastAsia="Arial" w:hAnsi="Arial"/>
                <w:sz w:val="13"/>
                <w:szCs w:val="13"/>
                <w:b w:val="1"/>
                <w:bCs w:val="1"/>
                <w:color w:val="auto"/>
                <w:w w:val="84"/>
              </w:rPr>
              <w:t>Resorts, Inc.</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3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2"/>
              </w:rPr>
              <w:t>Additional Paid</w:t>
            </w:r>
          </w:p>
        </w:tc>
        <w:tc>
          <w:tcPr>
            <w:tcW w:w="140" w:type="dxa"/>
            <w:vAlign w:val="bottom"/>
          </w:tcPr>
          <w:p>
            <w:pPr>
              <w:spacing w:after="0"/>
              <w:rPr>
                <w:sz w:val="11"/>
                <w:szCs w:val="11"/>
                <w:color w:val="auto"/>
              </w:rPr>
            </w:pPr>
          </w:p>
        </w:tc>
        <w:tc>
          <w:tcPr>
            <w:tcW w:w="1020" w:type="dxa"/>
            <w:vAlign w:val="bottom"/>
          </w:tcPr>
          <w:p>
            <w:pPr>
              <w:jc w:val="right"/>
              <w:ind w:right="81"/>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780" w:type="dxa"/>
            <w:vAlign w:val="bottom"/>
          </w:tcPr>
          <w:p>
            <w:pPr>
              <w:jc w:val="right"/>
              <w:ind w:right="61"/>
              <w:spacing w:after="0" w:line="135" w:lineRule="exact"/>
              <w:rPr>
                <w:sz w:val="20"/>
                <w:szCs w:val="20"/>
                <w:color w:val="auto"/>
              </w:rPr>
            </w:pPr>
            <w:r>
              <w:rPr>
                <w:rFonts w:ascii="Arial" w:cs="Arial" w:eastAsia="Arial" w:hAnsi="Arial"/>
                <w:sz w:val="13"/>
                <w:szCs w:val="13"/>
                <w:b w:val="1"/>
                <w:bCs w:val="1"/>
                <w:color w:val="auto"/>
              </w:rPr>
              <w:t>Retained</w:t>
            </w:r>
          </w:p>
        </w:tc>
        <w:tc>
          <w:tcPr>
            <w:tcW w:w="800" w:type="dxa"/>
            <w:vAlign w:val="bottom"/>
          </w:tcPr>
          <w:p>
            <w:pPr>
              <w:jc w:val="right"/>
              <w:ind w:right="81"/>
              <w:spacing w:after="0" w:line="135" w:lineRule="exact"/>
              <w:rPr>
                <w:sz w:val="20"/>
                <w:szCs w:val="20"/>
                <w:color w:val="auto"/>
              </w:rPr>
            </w:pPr>
            <w:r>
              <w:rPr>
                <w:rFonts w:ascii="Arial" w:cs="Arial" w:eastAsia="Arial" w:hAnsi="Arial"/>
                <w:sz w:val="13"/>
                <w:szCs w:val="13"/>
                <w:b w:val="1"/>
                <w:bCs w:val="1"/>
                <w:color w:val="auto"/>
              </w:rPr>
              <w:t>Treasury</w:t>
            </w:r>
          </w:p>
        </w:tc>
        <w:tc>
          <w:tcPr>
            <w:tcW w:w="120" w:type="dxa"/>
            <w:vAlign w:val="bottom"/>
          </w:tcPr>
          <w:p>
            <w:pPr>
              <w:spacing w:after="0"/>
              <w:rPr>
                <w:sz w:val="11"/>
                <w:szCs w:val="11"/>
                <w:color w:val="auto"/>
              </w:rPr>
            </w:pPr>
          </w:p>
        </w:tc>
        <w:tc>
          <w:tcPr>
            <w:tcW w:w="880" w:type="dxa"/>
            <w:vAlign w:val="bottom"/>
          </w:tcPr>
          <w:p>
            <w:pPr>
              <w:jc w:val="center"/>
              <w:ind w:right="22"/>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9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r>
      <w:tr>
        <w:trPr>
          <w:trHeight w:val="174"/>
        </w:trPr>
        <w:tc>
          <w:tcPr>
            <w:tcW w:w="3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w w:val="88"/>
              </w:rPr>
              <w:t>Common Stock</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rPr>
              <w:t>in Capital</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w w:val="92"/>
              </w:rPr>
              <w:t>(Loss) Income</w:t>
            </w: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b w:val="1"/>
                <w:bCs w:val="1"/>
                <w:color w:val="auto"/>
              </w:rPr>
              <w:t>Earnings</w:t>
            </w: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13"/>
                <w:szCs w:val="13"/>
                <w:b w:val="1"/>
                <w:bCs w:val="1"/>
                <w:color w:val="auto"/>
              </w:rPr>
              <w:t>Stock</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2"/>
              <w:spacing w:after="0"/>
              <w:rPr>
                <w:sz w:val="20"/>
                <w:szCs w:val="20"/>
                <w:color w:val="auto"/>
              </w:rPr>
            </w:pPr>
            <w:r>
              <w:rPr>
                <w:rFonts w:ascii="Arial" w:cs="Arial" w:eastAsia="Arial" w:hAnsi="Arial"/>
                <w:sz w:val="13"/>
                <w:szCs w:val="13"/>
                <w:b w:val="1"/>
                <w:bCs w:val="1"/>
                <w:color w:val="auto"/>
                <w:w w:val="95"/>
              </w:rPr>
              <w:t>Equity</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w w:val="92"/>
              </w:rPr>
              <w:t>Interests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Equity</w:t>
            </w:r>
          </w:p>
        </w:tc>
      </w:tr>
      <w:tr>
        <w:trPr>
          <w:trHeight w:val="144"/>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21"/>
              <w:spacing w:after="0" w:line="144" w:lineRule="exact"/>
              <w:rPr>
                <w:sz w:val="20"/>
                <w:szCs w:val="20"/>
                <w:color w:val="auto"/>
              </w:rPr>
            </w:pPr>
            <w:r>
              <w:rPr>
                <w:rFonts w:ascii="Arial" w:cs="Arial" w:eastAsia="Arial" w:hAnsi="Arial"/>
                <w:sz w:val="13"/>
                <w:szCs w:val="13"/>
                <w:b w:val="1"/>
                <w:bCs w:val="1"/>
                <w:color w:val="auto"/>
              </w:rPr>
              <w:t>Vail</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4"/>
        </w:trPr>
        <w:tc>
          <w:tcPr>
            <w:tcW w:w="3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w w:val="86"/>
              </w:rPr>
              <w:t>Resorts</w:t>
            </w: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86"/>
              </w:rPr>
              <w:t>Exchangeable</w:t>
            </w: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237"/>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July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454</w:t>
            </w: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4"/>
              </w:rPr>
              <w:t>$ 1,222,510</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44,395</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$ 550,985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$(247,189)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1,571,156</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227,803</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$ 1,798,959</w:t>
            </w:r>
          </w:p>
        </w:tc>
      </w:tr>
      <w:tr>
        <w:trPr>
          <w:trHeight w:val="237"/>
        </w:trPr>
        <w:tc>
          <w:tcPr>
            <w:tcW w:w="3400" w:type="dxa"/>
            <w:vAlign w:val="bottom"/>
          </w:tcPr>
          <w:p>
            <w:pPr>
              <w:ind w:left="40"/>
              <w:spacing w:after="0"/>
              <w:rPr>
                <w:sz w:val="20"/>
                <w:szCs w:val="20"/>
                <w:color w:val="auto"/>
              </w:rPr>
            </w:pPr>
            <w:r>
              <w:rPr>
                <w:rFonts w:ascii="Arial" w:cs="Arial" w:eastAsia="Arial" w:hAnsi="Arial"/>
                <w:sz w:val="16"/>
                <w:szCs w:val="16"/>
                <w:color w:val="auto"/>
              </w:rPr>
              <w:t>Comprehensive loss:</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3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(28,385)</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(28,385)</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(31,927)</w:t>
            </w:r>
          </w:p>
        </w:tc>
      </w:tr>
      <w:tr>
        <w:trPr>
          <w:trHeight w:val="220"/>
        </w:trPr>
        <w:tc>
          <w:tcPr>
            <w:tcW w:w="3400" w:type="dxa"/>
            <w:vAlign w:val="bottom"/>
          </w:tcPr>
          <w:p>
            <w:pPr>
              <w:ind w:left="180"/>
              <w:spacing w:after="0"/>
              <w:rPr>
                <w:sz w:val="20"/>
                <w:szCs w:val="20"/>
                <w:color w:val="auto"/>
              </w:rPr>
            </w:pPr>
            <w:r>
              <w:rPr>
                <w:rFonts w:ascii="Arial" w:cs="Arial" w:eastAsia="Arial" w:hAnsi="Arial"/>
                <w:sz w:val="16"/>
                <w:szCs w:val="16"/>
                <w:color w:val="auto"/>
                <w:w w:val="94"/>
              </w:rPr>
              <w:t>Foreign currency translation adjustments, net of</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3400" w:type="dxa"/>
            <w:vAlign w:val="bottom"/>
          </w:tcPr>
          <w:p>
            <w:pPr>
              <w:ind w:left="180"/>
              <w:spacing w:after="0"/>
              <w:rPr>
                <w:sz w:val="20"/>
                <w:szCs w:val="20"/>
                <w:color w:val="auto"/>
              </w:rPr>
            </w:pPr>
            <w:r>
              <w:rPr>
                <w:rFonts w:ascii="Arial" w:cs="Arial" w:eastAsia="Arial" w:hAnsi="Arial"/>
                <w:sz w:val="16"/>
                <w:szCs w:val="16"/>
                <w:color w:val="auto"/>
              </w:rPr>
              <w:t>tax</w:t>
            </w:r>
          </w:p>
        </w:tc>
        <w:tc>
          <w:tcPr>
            <w:tcW w:w="16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(33,804)</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(33,804)</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(11,601)</w:t>
            </w:r>
          </w:p>
        </w:tc>
        <w:tc>
          <w:tcPr>
            <w:tcW w:w="900" w:type="dxa"/>
            <w:vAlign w:val="bottom"/>
          </w:tcPr>
          <w:p>
            <w:pPr>
              <w:jc w:val="right"/>
              <w:spacing w:after="0"/>
              <w:rPr>
                <w:sz w:val="20"/>
                <w:szCs w:val="20"/>
                <w:color w:val="auto"/>
              </w:rPr>
            </w:pPr>
            <w:r>
              <w:rPr>
                <w:rFonts w:ascii="Arial" w:cs="Arial" w:eastAsia="Arial" w:hAnsi="Arial"/>
                <w:sz w:val="16"/>
                <w:szCs w:val="16"/>
                <w:color w:val="auto"/>
              </w:rPr>
              <w:t>(45,405)</w:t>
            </w:r>
          </w:p>
        </w:tc>
      </w:tr>
      <w:tr>
        <w:trPr>
          <w:trHeight w:val="33"/>
        </w:trPr>
        <w:tc>
          <w:tcPr>
            <w:tcW w:w="34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(62,189)</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(15,143)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(77,332)</w:t>
            </w:r>
          </w:p>
        </w:tc>
      </w:tr>
      <w:tr>
        <w:trPr>
          <w:trHeight w:val="217"/>
        </w:trPr>
        <w:tc>
          <w:tcPr>
            <w:tcW w:w="340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4,521</w:t>
            </w:r>
          </w:p>
        </w:tc>
        <w:tc>
          <w:tcPr>
            <w:tcW w:w="140" w:type="dxa"/>
            <w:vAlign w:val="bottom"/>
          </w:tcPr>
          <w:p>
            <w:pPr>
              <w:spacing w:after="0"/>
              <w:rPr>
                <w:sz w:val="18"/>
                <w:szCs w:val="18"/>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4,521</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4,521</w:t>
            </w: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Measurement period adjustment</w:t>
            </w: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(1,776)</w:t>
            </w:r>
          </w:p>
        </w:tc>
      </w:tr>
      <w:tr>
        <w:trPr>
          <w:trHeight w:val="220"/>
        </w:trPr>
        <w:tc>
          <w:tcPr>
            <w:tcW w:w="3400" w:type="dxa"/>
            <w:vAlign w:val="bottom"/>
          </w:tcPr>
          <w:p>
            <w:pPr>
              <w:ind w:left="40"/>
              <w:spacing w:after="0"/>
              <w:rPr>
                <w:sz w:val="20"/>
                <w:szCs w:val="20"/>
                <w:color w:val="auto"/>
              </w:rPr>
            </w:pPr>
            <w:r>
              <w:rPr>
                <w:rFonts w:ascii="Arial" w:cs="Arial" w:eastAsia="Arial" w:hAnsi="Arial"/>
                <w:sz w:val="16"/>
                <w:szCs w:val="16"/>
                <w:color w:val="auto"/>
                <w:w w:val="91"/>
              </w:rPr>
              <w:t>Issuance of shares under share award plans, net of</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3400" w:type="dxa"/>
            <w:vAlign w:val="bottom"/>
          </w:tcPr>
          <w:p>
            <w:pPr>
              <w:ind w:left="40"/>
              <w:spacing w:after="0"/>
              <w:rPr>
                <w:sz w:val="20"/>
                <w:szCs w:val="20"/>
                <w:color w:val="auto"/>
              </w:rPr>
            </w:pPr>
            <w:r>
              <w:rPr>
                <w:rFonts w:ascii="Arial" w:cs="Arial" w:eastAsia="Arial" w:hAnsi="Arial"/>
                <w:sz w:val="16"/>
                <w:szCs w:val="16"/>
                <w:color w:val="auto"/>
              </w:rPr>
              <w:t>shares withheld for employee taxes</w:t>
            </w:r>
          </w:p>
        </w:tc>
        <w:tc>
          <w:tcPr>
            <w:tcW w:w="16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56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(69,484)</w:t>
            </w:r>
          </w:p>
        </w:tc>
        <w:tc>
          <w:tcPr>
            <w:tcW w:w="140" w:type="dxa"/>
            <w:vAlign w:val="bottom"/>
          </w:tcPr>
          <w:p>
            <w:pPr>
              <w:spacing w:after="0"/>
              <w:rPr>
                <w:sz w:val="17"/>
                <w:szCs w:val="17"/>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(69,480)</w:t>
            </w:r>
          </w:p>
        </w:tc>
        <w:tc>
          <w:tcPr>
            <w:tcW w:w="18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(69,480)</w:t>
            </w: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(Note 4)</w:t>
            </w: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(42,603)</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(42,603)</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(42,603)</w:t>
            </w:r>
          </w:p>
        </w:tc>
      </w:tr>
      <w:tr>
        <w:trPr>
          <w:trHeight w:val="224"/>
        </w:trPr>
        <w:tc>
          <w:tcPr>
            <w:tcW w:w="3400" w:type="dxa"/>
            <w:vAlign w:val="bottom"/>
          </w:tcPr>
          <w:p>
            <w:pPr>
              <w:ind w:left="40"/>
              <w:spacing w:after="0"/>
              <w:rPr>
                <w:sz w:val="20"/>
                <w:szCs w:val="20"/>
                <w:color w:val="auto"/>
              </w:rPr>
            </w:pPr>
            <w:r>
              <w:rPr>
                <w:rFonts w:ascii="Arial" w:cs="Arial" w:eastAsia="Arial" w:hAnsi="Arial"/>
                <w:sz w:val="16"/>
                <w:szCs w:val="16"/>
                <w:color w:val="auto"/>
              </w:rPr>
              <w:t>Distributions to noncontrolling interests, net</w:t>
            </w:r>
          </w:p>
        </w:tc>
        <w:tc>
          <w:tcPr>
            <w:tcW w:w="16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(2,877)</w:t>
            </w:r>
          </w:p>
        </w:tc>
        <w:tc>
          <w:tcPr>
            <w:tcW w:w="900" w:type="dxa"/>
            <w:vAlign w:val="bottom"/>
          </w:tcPr>
          <w:p>
            <w:pPr>
              <w:jc w:val="right"/>
              <w:spacing w:after="0"/>
              <w:rPr>
                <w:sz w:val="20"/>
                <w:szCs w:val="20"/>
                <w:color w:val="auto"/>
              </w:rPr>
            </w:pPr>
            <w:r>
              <w:rPr>
                <w:rFonts w:ascii="Arial" w:cs="Arial" w:eastAsia="Arial" w:hAnsi="Arial"/>
                <w:sz w:val="16"/>
                <w:szCs w:val="16"/>
                <w:color w:val="auto"/>
              </w:rPr>
              <w:t>(2,877)</w:t>
            </w:r>
          </w:p>
        </w:tc>
      </w:tr>
      <w:tr>
        <w:trPr>
          <w:trHeight w:val="33"/>
        </w:trPr>
        <w:tc>
          <w:tcPr>
            <w:tcW w:w="3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October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458</w:t>
            </w: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4"/>
              </w:rPr>
              <w:t>$ 1,157,547</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10,591</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$ 479,997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$(247,189)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1,401,405</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208,007</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$ 1,609,412</w:t>
            </w:r>
          </w:p>
        </w:tc>
      </w:tr>
      <w:tr>
        <w:trPr>
          <w:trHeight w:val="20"/>
        </w:trPr>
        <w:tc>
          <w:tcPr>
            <w:tcW w:w="3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318"/>
        </w:trPr>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7"/>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July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460</w:t>
            </w: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4"/>
              </w:rPr>
              <w:t>$ 1,137,467</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(2,227)</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$ 726,722</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$(272,989)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1,589,434</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222,229</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$ 1,811,663</w:t>
            </w:r>
          </w:p>
        </w:tc>
      </w:tr>
      <w:tr>
        <w:trPr>
          <w:trHeight w:val="237"/>
        </w:trPr>
        <w:tc>
          <w:tcPr>
            <w:tcW w:w="3400" w:type="dxa"/>
            <w:vAlign w:val="bottom"/>
          </w:tcPr>
          <w:p>
            <w:pPr>
              <w:ind w:left="40"/>
              <w:spacing w:after="0"/>
              <w:rPr>
                <w:sz w:val="20"/>
                <w:szCs w:val="20"/>
                <w:color w:val="auto"/>
              </w:rPr>
            </w:pPr>
            <w:r>
              <w:rPr>
                <w:rFonts w:ascii="Arial" w:cs="Arial" w:eastAsia="Arial" w:hAnsi="Arial"/>
                <w:sz w:val="16"/>
                <w:szCs w:val="16"/>
                <w:color w:val="auto"/>
              </w:rPr>
              <w:t>Comprehensive loss:</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3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(107,795)</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(107,795)</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(110,726)</w:t>
            </w:r>
          </w:p>
        </w:tc>
      </w:tr>
      <w:tr>
        <w:trPr>
          <w:trHeight w:val="220"/>
        </w:trPr>
        <w:tc>
          <w:tcPr>
            <w:tcW w:w="3400" w:type="dxa"/>
            <w:vAlign w:val="bottom"/>
          </w:tcPr>
          <w:p>
            <w:pPr>
              <w:ind w:left="180"/>
              <w:spacing w:after="0"/>
              <w:rPr>
                <w:sz w:val="20"/>
                <w:szCs w:val="20"/>
                <w:color w:val="auto"/>
              </w:rPr>
            </w:pPr>
            <w:r>
              <w:rPr>
                <w:rFonts w:ascii="Arial" w:cs="Arial" w:eastAsia="Arial" w:hAnsi="Arial"/>
                <w:sz w:val="16"/>
                <w:szCs w:val="16"/>
                <w:color w:val="auto"/>
                <w:w w:val="94"/>
              </w:rPr>
              <w:t>Foreign currency translation adjustments, net of</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3400" w:type="dxa"/>
            <w:vAlign w:val="bottom"/>
          </w:tcPr>
          <w:p>
            <w:pPr>
              <w:ind w:left="180"/>
              <w:spacing w:after="0"/>
              <w:rPr>
                <w:sz w:val="20"/>
                <w:szCs w:val="20"/>
                <w:color w:val="auto"/>
              </w:rPr>
            </w:pPr>
            <w:r>
              <w:rPr>
                <w:rFonts w:ascii="Arial" w:cs="Arial" w:eastAsia="Arial" w:hAnsi="Arial"/>
                <w:sz w:val="16"/>
                <w:szCs w:val="16"/>
                <w:color w:val="auto"/>
              </w:rPr>
              <w:t>tax</w:t>
            </w:r>
          </w:p>
        </w:tc>
        <w:tc>
          <w:tcPr>
            <w:tcW w:w="16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(18,369)</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(18,369)</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(4,267)</w:t>
            </w:r>
          </w:p>
        </w:tc>
        <w:tc>
          <w:tcPr>
            <w:tcW w:w="900" w:type="dxa"/>
            <w:vAlign w:val="bottom"/>
          </w:tcPr>
          <w:p>
            <w:pPr>
              <w:jc w:val="right"/>
              <w:spacing w:after="0"/>
              <w:rPr>
                <w:sz w:val="20"/>
                <w:szCs w:val="20"/>
                <w:color w:val="auto"/>
              </w:rPr>
            </w:pPr>
            <w:r>
              <w:rPr>
                <w:rFonts w:ascii="Arial" w:cs="Arial" w:eastAsia="Arial" w:hAnsi="Arial"/>
                <w:sz w:val="16"/>
                <w:szCs w:val="16"/>
                <w:color w:val="auto"/>
              </w:rPr>
              <w:t>(22,636)</w:t>
            </w:r>
          </w:p>
        </w:tc>
      </w:tr>
      <w:tr>
        <w:trPr>
          <w:trHeight w:val="33"/>
        </w:trPr>
        <w:tc>
          <w:tcPr>
            <w:tcW w:w="34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(126,164)</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(7,198)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(133,362)</w:t>
            </w:r>
          </w:p>
        </w:tc>
      </w:tr>
      <w:tr>
        <w:trPr>
          <w:trHeight w:val="217"/>
        </w:trPr>
        <w:tc>
          <w:tcPr>
            <w:tcW w:w="340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4,753</w:t>
            </w:r>
          </w:p>
        </w:tc>
        <w:tc>
          <w:tcPr>
            <w:tcW w:w="140" w:type="dxa"/>
            <w:vAlign w:val="bottom"/>
          </w:tcPr>
          <w:p>
            <w:pPr>
              <w:spacing w:after="0"/>
              <w:rPr>
                <w:sz w:val="18"/>
                <w:szCs w:val="18"/>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4,753</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4,753</w:t>
            </w: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34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Cumulative effect for adoption of revenue standard</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2 &amp; 3)</w:t>
            </w:r>
          </w:p>
        </w:tc>
        <w:tc>
          <w:tcPr>
            <w:tcW w:w="1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(7,517)</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(7,517)</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(7,517)</w:t>
            </w:r>
          </w:p>
        </w:tc>
      </w:tr>
      <w:tr>
        <w:trPr>
          <w:trHeight w:val="220"/>
        </w:trPr>
        <w:tc>
          <w:tcPr>
            <w:tcW w:w="3400" w:type="dxa"/>
            <w:vAlign w:val="bottom"/>
          </w:tcPr>
          <w:p>
            <w:pPr>
              <w:ind w:left="40"/>
              <w:spacing w:after="0"/>
              <w:rPr>
                <w:sz w:val="20"/>
                <w:szCs w:val="20"/>
                <w:color w:val="auto"/>
              </w:rPr>
            </w:pPr>
            <w:r>
              <w:rPr>
                <w:rFonts w:ascii="Arial" w:cs="Arial" w:eastAsia="Arial" w:hAnsi="Arial"/>
                <w:sz w:val="16"/>
                <w:szCs w:val="16"/>
                <w:color w:val="auto"/>
                <w:w w:val="91"/>
              </w:rPr>
              <w:t>Issuance of shares under share award plans, net of</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3400" w:type="dxa"/>
            <w:vAlign w:val="bottom"/>
          </w:tcPr>
          <w:p>
            <w:pPr>
              <w:ind w:left="40"/>
              <w:spacing w:after="0"/>
              <w:rPr>
                <w:sz w:val="20"/>
                <w:szCs w:val="20"/>
                <w:color w:val="auto"/>
              </w:rPr>
            </w:pPr>
            <w:r>
              <w:rPr>
                <w:rFonts w:ascii="Arial" w:cs="Arial" w:eastAsia="Arial" w:hAnsi="Arial"/>
                <w:sz w:val="16"/>
                <w:szCs w:val="16"/>
                <w:color w:val="auto"/>
              </w:rPr>
              <w:t>shares withheld for employee taxes</w:t>
            </w:r>
          </w:p>
        </w:tc>
        <w:tc>
          <w:tcPr>
            <w:tcW w:w="16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56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(11,365)</w:t>
            </w:r>
          </w:p>
        </w:tc>
        <w:tc>
          <w:tcPr>
            <w:tcW w:w="140" w:type="dxa"/>
            <w:vAlign w:val="bottom"/>
          </w:tcPr>
          <w:p>
            <w:pPr>
              <w:spacing w:after="0"/>
              <w:rPr>
                <w:sz w:val="17"/>
                <w:szCs w:val="17"/>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(11,364)</w:t>
            </w:r>
          </w:p>
        </w:tc>
        <w:tc>
          <w:tcPr>
            <w:tcW w:w="18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(11,364)</w:t>
            </w: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 (Note 11)</w:t>
            </w: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r>
      <w:tr>
        <w:trPr>
          <w:trHeight w:val="224"/>
        </w:trPr>
        <w:tc>
          <w:tcPr>
            <w:tcW w:w="3400" w:type="dxa"/>
            <w:vAlign w:val="bottom"/>
          </w:tcPr>
          <w:p>
            <w:pPr>
              <w:ind w:left="40"/>
              <w:spacing w:after="0"/>
              <w:rPr>
                <w:sz w:val="20"/>
                <w:szCs w:val="20"/>
                <w:color w:val="auto"/>
              </w:rPr>
            </w:pPr>
            <w:r>
              <w:rPr>
                <w:rFonts w:ascii="Arial" w:cs="Arial" w:eastAsia="Arial" w:hAnsi="Arial"/>
                <w:sz w:val="16"/>
                <w:szCs w:val="16"/>
                <w:color w:val="auto"/>
              </w:rPr>
              <w:t>Dividends (Note 4)</w:t>
            </w:r>
          </w:p>
        </w:tc>
        <w:tc>
          <w:tcPr>
            <w:tcW w:w="16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(59,547)</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(59,547)</w:t>
            </w:r>
          </w:p>
        </w:tc>
        <w:tc>
          <w:tcPr>
            <w:tcW w:w="18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(59,547)</w:t>
            </w: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2"/>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 interests, net</w:t>
            </w:r>
          </w:p>
        </w:tc>
        <w:tc>
          <w:tcPr>
            <w:tcW w:w="1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(4,825)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(4,825)</w:t>
            </w:r>
          </w:p>
        </w:tc>
      </w:tr>
      <w:tr>
        <w:trPr>
          <w:trHeight w:val="217"/>
        </w:trPr>
        <w:tc>
          <w:tcPr>
            <w:tcW w:w="34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Balance, October 31, 2018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461</w:t>
            </w:r>
          </w:p>
        </w:tc>
        <w:tc>
          <w:tcPr>
            <w:tcW w:w="56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9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4"/>
              </w:rPr>
              <w:t>$ 1,130,855</w:t>
            </w: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(20,596)</w:t>
            </w:r>
          </w:p>
        </w:tc>
        <w:tc>
          <w:tcPr>
            <w:tcW w:w="7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2"/>
              </w:rPr>
              <w:t>$ 551,863</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5"/>
              </w:rPr>
              <w:t>$(322,989)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1,339,595</w:t>
            </w: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210,206</w:t>
            </w: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2"/>
              </w:rPr>
              <w:t>$ 1,549,801</w:t>
            </w:r>
          </w:p>
        </w:tc>
      </w:tr>
      <w:tr>
        <w:trPr>
          <w:trHeight w:val="33"/>
        </w:trPr>
        <w:tc>
          <w:tcPr>
            <w:tcW w:w="3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consolidated condensed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Three Months Ended October 31,</w:t>
            </w:r>
          </w:p>
        </w:tc>
      </w:tr>
      <w:tr>
        <w:trPr>
          <w:trHeight w:val="264"/>
        </w:trPr>
        <w:tc>
          <w:tcPr>
            <w:tcW w:w="77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2017</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Net loss</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(110,726)</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(31,927)</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420" w:type="dxa"/>
            <w:vAlign w:val="bottom"/>
          </w:tcPr>
          <w:p>
            <w:pPr>
              <w:spacing w:after="0"/>
              <w:rPr>
                <w:sz w:val="20"/>
                <w:szCs w:val="20"/>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51,043</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48,624</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4,753</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4,521</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Deferred income taxes, net</w:t>
            </w:r>
          </w:p>
        </w:tc>
        <w:tc>
          <w:tcPr>
            <w:tcW w:w="4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(31,823)</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(41,600)</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fair value of contingent consideration</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1,200</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Other non-cash expense, net</w:t>
            </w:r>
          </w:p>
        </w:tc>
        <w:tc>
          <w:tcPr>
            <w:tcW w:w="420" w:type="dxa"/>
            <w:vAlign w:val="bottom"/>
          </w:tcPr>
          <w:p>
            <w:pPr>
              <w:spacing w:after="0"/>
              <w:rPr>
                <w:sz w:val="20"/>
                <w:szCs w:val="20"/>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80</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4,885</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assets and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Trade receivables, net</w:t>
            </w:r>
          </w:p>
        </w:tc>
        <w:tc>
          <w:tcPr>
            <w:tcW w:w="420" w:type="dxa"/>
            <w:vAlign w:val="bottom"/>
          </w:tcPr>
          <w:p>
            <w:pPr>
              <w:spacing w:after="0"/>
              <w:rPr>
                <w:sz w:val="20"/>
                <w:szCs w:val="20"/>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157,759</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101,642</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Inventories, net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(26,011)</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(23,208)</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4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(14,599)</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(7,543)</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revenue</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167,727</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167,752</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Income taxes payable - excess tax benefit from share award exercises</w:t>
            </w:r>
          </w:p>
        </w:tc>
        <w:tc>
          <w:tcPr>
            <w:tcW w:w="4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(4,582)</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(51,804)</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payable - other</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(7,421)</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(5,603)</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Other assets and liabilities, net</w:t>
            </w:r>
          </w:p>
        </w:tc>
        <w:tc>
          <w:tcPr>
            <w:tcW w:w="4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(10,319)</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(10,332)</w:t>
            </w:r>
          </w:p>
        </w:tc>
      </w:tr>
      <w:tr>
        <w:trPr>
          <w:trHeight w:val="33"/>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177,081</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155,407</w:t>
            </w:r>
          </w:p>
        </w:tc>
      </w:tr>
      <w:tr>
        <w:trPr>
          <w:trHeight w:val="224"/>
        </w:trPr>
        <w:tc>
          <w:tcPr>
            <w:tcW w:w="778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7"/>
        </w:trPr>
        <w:tc>
          <w:tcPr>
            <w:tcW w:w="7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(47,881)</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(37,449)</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Acquisition of businesses, net of cash acquired</w:t>
            </w:r>
          </w:p>
        </w:tc>
        <w:tc>
          <w:tcPr>
            <w:tcW w:w="4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(292,878)</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(1,356)</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investing activities, net</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96</w:t>
            </w:r>
          </w:p>
        </w:tc>
        <w:tc>
          <w:tcPr>
            <w:tcW w:w="5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5,153</w:t>
            </w:r>
          </w:p>
        </w:tc>
      </w:tr>
      <w:tr>
        <w:trPr>
          <w:trHeight w:val="231"/>
        </w:trPr>
        <w:tc>
          <w:tcPr>
            <w:tcW w:w="778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Net cash used in investing activities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(340,663)</w:t>
            </w:r>
          </w:p>
        </w:tc>
        <w:tc>
          <w:tcPr>
            <w:tcW w:w="5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(33,652)</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Proceeds from borrowings under Vail Holdings Credit Agreement</w:t>
            </w:r>
          </w:p>
        </w:tc>
        <w:tc>
          <w:tcPr>
            <w:tcW w:w="420" w:type="dxa"/>
            <w:vAlign w:val="bottom"/>
          </w:tcPr>
          <w:p>
            <w:pPr>
              <w:spacing w:after="0"/>
              <w:rPr>
                <w:sz w:val="20"/>
                <w:szCs w:val="20"/>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335,625</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95,000</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borrowings under Whistler Credit Agreement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7,667</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11,920</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Repayments of borrowings under Vail Holdings Credit Agreement</w:t>
            </w:r>
          </w:p>
        </w:tc>
        <w:tc>
          <w:tcPr>
            <w:tcW w:w="4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(80,000)</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(59,375)</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Repayments of borrowings under Whistler Credit Agreement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(17,081)</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Employee taxes paid for share award exercises</w:t>
            </w:r>
          </w:p>
        </w:tc>
        <w:tc>
          <w:tcPr>
            <w:tcW w:w="4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(11,364)</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(69,480)</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Dividends paid</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(59,547)</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(42,603)</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Repurchases of common stock</w:t>
            </w:r>
          </w:p>
        </w:tc>
        <w:tc>
          <w:tcPr>
            <w:tcW w:w="4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(50,000)</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financing activities, net</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(6,486)</w:t>
            </w:r>
          </w:p>
        </w:tc>
        <w:tc>
          <w:tcPr>
            <w:tcW w:w="5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(6,989)</w:t>
            </w:r>
          </w:p>
        </w:tc>
      </w:tr>
      <w:tr>
        <w:trPr>
          <w:trHeight w:val="231"/>
        </w:trPr>
        <w:tc>
          <w:tcPr>
            <w:tcW w:w="778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Net cash provided by (used in) financing activities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135,895</w:t>
            </w:r>
          </w:p>
        </w:tc>
        <w:tc>
          <w:tcPr>
            <w:tcW w:w="5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(88,608)</w:t>
            </w:r>
          </w:p>
        </w:tc>
      </w:tr>
      <w:tr>
        <w:trPr>
          <w:trHeight w:val="33"/>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(4,317)</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(3,803)</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4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(32,004)</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29,344</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Beginning of period</w:t>
            </w:r>
          </w:p>
        </w:tc>
        <w:tc>
          <w:tcPr>
            <w:tcW w:w="420" w:type="dxa"/>
            <w:vAlign w:val="bottom"/>
          </w:tcPr>
          <w:p>
            <w:pPr>
              <w:spacing w:after="0"/>
              <w:rPr>
                <w:sz w:val="20"/>
                <w:szCs w:val="20"/>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185,040</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127,662</w:t>
            </w:r>
          </w:p>
        </w:tc>
      </w:tr>
      <w:tr>
        <w:trPr>
          <w:trHeight w:val="33"/>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End of period</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153,036</w:t>
            </w:r>
          </w:p>
        </w:tc>
        <w:tc>
          <w:tcPr>
            <w:tcW w:w="5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157,006</w:t>
            </w:r>
          </w:p>
        </w:tc>
      </w:tr>
      <w:tr>
        <w:trPr>
          <w:trHeight w:val="20"/>
        </w:trPr>
        <w:tc>
          <w:tcPr>
            <w:tcW w:w="7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7780" w:type="dxa"/>
            <w:vAlign w:val="bottom"/>
          </w:tcPr>
          <w:p>
            <w:pPr>
              <w:ind w:left="40"/>
              <w:spacing w:after="0"/>
              <w:rPr>
                <w:sz w:val="20"/>
                <w:szCs w:val="20"/>
                <w:color w:val="auto"/>
              </w:rPr>
            </w:pPr>
            <w:r>
              <w:rPr>
                <w:rFonts w:ascii="Arial" w:cs="Arial" w:eastAsia="Arial" w:hAnsi="Arial"/>
                <w:sz w:val="16"/>
                <w:szCs w:val="16"/>
                <w:color w:val="auto"/>
              </w:rPr>
              <w:t>Non-cash investing activities:</w:t>
            </w: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7"/>
        </w:trPr>
        <w:tc>
          <w:tcPr>
            <w:tcW w:w="7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capital expenditures</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33,051</w:t>
            </w:r>
          </w:p>
        </w:tc>
        <w:tc>
          <w:tcPr>
            <w:tcW w:w="5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25,314</w:t>
            </w:r>
          </w:p>
        </w:tc>
      </w:tr>
      <w:tr>
        <w:trPr>
          <w:trHeight w:val="206"/>
        </w:trPr>
        <w:tc>
          <w:tcPr>
            <w:tcW w:w="9540" w:type="dxa"/>
            <w:vAlign w:val="bottom"/>
            <w:gridSpan w:val="3"/>
          </w:tcPr>
          <w:p>
            <w:pPr>
              <w:ind w:left="2160"/>
              <w:spacing w:after="0"/>
              <w:rPr>
                <w:sz w:val="20"/>
                <w:szCs w:val="20"/>
                <w:color w:val="auto"/>
              </w:rPr>
            </w:pPr>
            <w:r>
              <w:rPr>
                <w:rFonts w:ascii="Arial" w:cs="Arial" w:eastAsia="Arial" w:hAnsi="Arial"/>
                <w:sz w:val="16"/>
                <w:szCs w:val="16"/>
                <w:color w:val="auto"/>
                <w:w w:val="93"/>
              </w:rPr>
              <w:t>The accompanying Notes are an integral part of these unaudited consolidated condensed financial statements.</w:t>
            </w:r>
          </w:p>
        </w:tc>
        <w:tc>
          <w:tcPr>
            <w:tcW w:w="500" w:type="dxa"/>
            <w:vAlign w:val="bottom"/>
          </w:tcPr>
          <w:p>
            <w:pPr>
              <w:spacing w:after="0"/>
              <w:rPr>
                <w:sz w:val="17"/>
                <w:szCs w:val="17"/>
                <w:color w:val="auto"/>
              </w:rPr>
            </w:pPr>
          </w:p>
        </w:tc>
        <w:tc>
          <w:tcPr>
            <w:tcW w:w="1380" w:type="dxa"/>
            <w:vAlign w:val="bottom"/>
          </w:tcPr>
          <w:p>
            <w:pPr>
              <w:spacing w:after="0"/>
              <w:rPr>
                <w:sz w:val="17"/>
                <w:szCs w:val="17"/>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Vail Resorts, Inc. (“Vail Resorts”) is organized as a holding company and operates through various subsidiaries. Vail Resorts and its subsidiaries (collectively, the “Company”) operate in three business segments: Mountain, Lodging and Real Estate. The Company refers to “Resort” as the combination of the Mountain and Lodging segments.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the Mountain segment, the Company operates the following fifteen world-class mountain resort properties and three urban ski areas: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3"/>
          </w:tcPr>
          <w:p>
            <w:pPr>
              <w:ind w:left="40"/>
              <w:spacing w:after="0"/>
              <w:rPr>
                <w:sz w:val="20"/>
                <w:szCs w:val="20"/>
                <w:color w:val="auto"/>
              </w:rPr>
            </w:pPr>
            <w:r>
              <w:rPr>
                <w:rFonts w:ascii="Arial" w:cs="Arial" w:eastAsia="Arial" w:hAnsi="Arial"/>
                <w:sz w:val="18"/>
                <w:szCs w:val="18"/>
                <w:b w:val="1"/>
                <w:bCs w:val="1"/>
                <w:color w:val="auto"/>
              </w:rPr>
              <w:t>Mountain Resorts:</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Vail Mountain Resort (“Vail Mountain”)</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Breckenridge Ski Resort (“Breckenridge”)</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Keystone Resort (“Keystone”)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4.</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Beaver Creek Resort (“Beaver Creek”)</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Crested Butte Mountain Resort (“Crested Butte”)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6.</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Heavenly Mountain Resort (“Heavenly”)</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Lake Tahoe area of Nevada and California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Northstar Resort (“Northstar”)</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8.</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Kirkwood Mountain Resort (“Kirkwood”)</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Mount Sunapee Mountain Resort (“Mount Sunapee”)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New Hampshire</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10.</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Park City Resort (“Park City”)</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Utah</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Stowe Mountain Resort (“Stowe”)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Vermont</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12.</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Okemo Mountain Resort (“Okemo”)</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Vermont</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Stevens Pass Mountain Resort (“Stevens Pass”)</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Washington</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14.</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Whistler Blackcomb Resort (“Whistler Blackcomb”)</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British Columbia, Canada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Perisher Ski Resort (“Perisher”)</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New South Wales, Australia</w:t>
            </w:r>
          </w:p>
        </w:tc>
      </w:tr>
      <w:tr>
        <w:trPr>
          <w:trHeight w:val="243"/>
        </w:trPr>
        <w:tc>
          <w:tcPr>
            <w:tcW w:w="7320" w:type="dxa"/>
            <w:vAlign w:val="bottom"/>
            <w:gridSpan w:val="3"/>
          </w:tcPr>
          <w:p>
            <w:pPr>
              <w:ind w:left="40"/>
              <w:spacing w:after="0"/>
              <w:rPr>
                <w:sz w:val="20"/>
                <w:szCs w:val="20"/>
                <w:color w:val="auto"/>
              </w:rPr>
            </w:pPr>
            <w:r>
              <w:rPr>
                <w:rFonts w:ascii="Arial" w:cs="Arial" w:eastAsia="Arial" w:hAnsi="Arial"/>
                <w:sz w:val="18"/>
                <w:szCs w:val="18"/>
                <w:b w:val="1"/>
                <w:bCs w:val="1"/>
                <w:color w:val="auto"/>
              </w:rPr>
              <w:t>Urban Ski Areas:</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Afton Alps Ski Area (“Afton Alps”)</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Minnesota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Mount Brighton Ski Area (“Mt. Brighton”)</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Michigan</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43"/>
        </w:trPr>
        <w:tc>
          <w:tcPr>
            <w:tcW w:w="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6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Wilmot Mountain (“Wilmot”)</w:t>
            </w:r>
          </w:p>
        </w:tc>
        <w:tc>
          <w:tcPr>
            <w:tcW w:w="41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Wisconsin</w:t>
            </w:r>
          </w:p>
        </w:tc>
      </w:tr>
      <w:tr>
        <w:trPr>
          <w:trHeight w:val="27"/>
        </w:trPr>
        <w:tc>
          <w:tcPr>
            <w:tcW w:w="460" w:type="dxa"/>
            <w:vAlign w:val="bottom"/>
            <w:shd w:val="clear" w:color="auto" w:fill="CCEEFF"/>
          </w:tcPr>
          <w:p>
            <w:pPr>
              <w:spacing w:after="0"/>
              <w:rPr>
                <w:sz w:val="2"/>
                <w:szCs w:val="2"/>
                <w:color w:val="auto"/>
              </w:rPr>
            </w:pPr>
          </w:p>
        </w:tc>
        <w:tc>
          <w:tcPr>
            <w:tcW w:w="6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Additionally, the Mountain segment includes ancillary services, primarily including ski school, dining and retail/rental operations, and for Perisher, including lodging and transportation operations. Several of the resorts located in the United States (“U.S.”) operate primarily on federal land under the terms of Special Use Permits granted by the U.S. Department of Agriculture Forest Service. The operations of Whistler Blackcomb are conducted on land owned by the government of the Province of British Columbia, Canada within the traditional territory of the Squamish and Lil’wat Nations. The operations of Perisher are conducted pursuant to a long-term lease and license on land owned by the government of New South Wales, Australia. Okemo, Mount Sunapee and Stowe operate on land we lease from the respective states in which the resorts are located and on land owned by the Company.</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Lodging segment, the Company owns and/or manages a collection of luxury hotels and condominiums under its RockResorts brand, as well as other strategic lodging properties and a large number of condominiums located in proximity to the Company’s North American mountain resorts, National Park Service (“NPS”) concessionaire properties including the Grand Teton Lodge Company (“GTLC”), which operates destination resorts in Grand Teton National Park, a Colorado resort ground transportation company, and mountain resort golf courses.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Development Company (“VRDC”), a wholly-owned subsidiary, conducts the operations of the Company’s Real Estate segment, which owns, develops and sells real estate in and around the Company’s resort communities.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mountain business and its lodging properties at or around the Company’s mountain resorts are seasonal in nature with peak operating seasons primarily from mid-November through mid-April in North America. The Company’s operating season at Perisher, its NPS concessionaire properties and its golf courses generally occur from June to early October.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8" w:name="page9"/>
    <w:bookmarkEnd w:id="8"/>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Consolidated Condensed Financial Statements— </w:t>
      </w:r>
      <w:r>
        <w:rPr>
          <w:rFonts w:ascii="Arial" w:cs="Arial" w:eastAsia="Arial" w:hAnsi="Arial"/>
          <w:sz w:val="17"/>
          <w:szCs w:val="17"/>
          <w:color w:val="auto"/>
        </w:rPr>
        <w:t>In the opinion of the Company, the accompanying Consolidated Condensed Financial Statements reflect all</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particularly given the significant seasonality to the Company’s operating cycle. The accompanying Consolidated Condensed Financial Statements should be read in conjunction with the audited Consolidated Financial Statements included in the Company’s Annual Report on Form 10-K for the fiscal year ended July 31, 2018. Certain information and footnote disclosures, including significant accounting policies, normally included in fiscal year financial statements prepared in accordance with accounting principles generally accepted in the U.S. (“GAAP”) have been condensed or omitted. The Consolidated Condensed Balance Sheet as of July 31, 2018 was derived from audited financial statements.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Use of Estimates</w:t>
      </w:r>
      <w:r>
        <w:rPr>
          <w:rFonts w:ascii="Arial" w:cs="Arial" w:eastAsia="Arial" w:hAnsi="Arial"/>
          <w:sz w:val="18"/>
          <w:szCs w:val="18"/>
          <w:color w:val="auto"/>
        </w:rPr>
        <w:t>— The preparation of financial statements in conformity with GAAP requires management to make estimates and assumptions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Revenue Recognition</w:t>
      </w:r>
      <w:r>
        <w:rPr>
          <w:rFonts w:ascii="Arial" w:cs="Arial" w:eastAsia="Arial" w:hAnsi="Arial"/>
          <w:sz w:val="17"/>
          <w:szCs w:val="17"/>
          <w:color w:val="auto"/>
        </w:rPr>
        <w:t>— The Company recognizes revenues from contracts with customers when or as control of goods or services promised in the contracts is</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transferred in an amount that reflects consideration to which it expects to be entitled to in exchange for those goods or services. The Company determines the appropriate revenue recognition for contracts with customers by analyzing the type, terms and conditions of contracts or arrangements with customers. Certain contracts with customers contain multiple performance obligations in which case revenue is allocated to each distinct and separate performance obligation based on its relative standalone selling price. See Note 3, Revenues, for more information.</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Fair Value Instruments— </w:t>
      </w:r>
      <w:r>
        <w:rPr>
          <w:rFonts w:ascii="Arial" w:cs="Arial" w:eastAsia="Arial" w:hAnsi="Arial"/>
          <w:sz w:val="18"/>
          <w:szCs w:val="18"/>
          <w:color w:val="auto"/>
        </w:rPr>
        <w:t>The recorded amounts for cash and cash equivalents, receivables, other current assets, and accounts payable and accrued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 fair value due to their short-term nature. The fair value of amounts outstanding under the Vail Holdings Credit Agreement revolver and term loan, Whistler Credit Agreement revolver and the Employee Housing Bonds (all as defined in Note 5, Long-Term Debt) approximate book value due to the variable nature of the interest rate, which is a market rate, associated with the 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Standards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“Revenue from Contracts with Customers (Topic 606),” which supersedes the revenue recognition requirements in Topic 605. This ASU is based on the principle that revenue is recognized to depict the transfer of goods or services to customers in an amount that reflects the consideration to which the company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Subsequent to the issuance of ASU 2014-09, the FASB issued several amendments, which did not change the core principle of the guidance and were intended to clarify and improve understanding of certain topics included within the revenue standard. On August 1, 2018, the Company adopted this standard using the modified retrospective transition method for contracts which were not completed as of August 1, 2018. In accordance with this transition method, results for reporting periods beginning after August 1, 2018 are presented under Topic 606, while prior period amounts were not adjusted and continue to be reported in accordance with our historic accounting under Topic 605. On August 1, 2018, as a result of adopting the standard, the Company recorded an approximate $7.5 million reduction of retained earnings with a corresponding increase in accounts payable and accrued liabilities, which was primarily associated with the measurement of the loyalty reward programs under the new standard at an estimated fair value of underlying products or services expected to be delivered to satisfy the Company’s obligations associated with such loyalty programs. The application of this standard had an immaterial impact on total net revenue and net loss attributable to Vail Resorts, Inc. for the three months ended October 31, 2018.</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In accordance with the new revenue recognition standard disclosure requirements, the impact of adoption of Topic 606 on the Consolidated Condensed Balance Sheet as of October 31, 2018 was as follows (in thousands):</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As of October 31, 2018</w:t>
            </w: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w:t>
            </w:r>
          </w:p>
        </w:tc>
        <w:tc>
          <w:tcPr>
            <w:tcW w:w="236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4"/>
              </w:rPr>
              <w:t>Balances Without Adoption of Topic</w:t>
            </w:r>
          </w:p>
        </w:tc>
        <w:tc>
          <w:tcPr>
            <w:tcW w:w="340" w:type="dxa"/>
            <w:vAlign w:val="bottom"/>
          </w:tcPr>
          <w:p>
            <w:pPr>
              <w:spacing w:after="0"/>
              <w:rPr>
                <w:sz w:val="13"/>
                <w:szCs w:val="13"/>
                <w:color w:val="auto"/>
              </w:rPr>
            </w:pPr>
          </w:p>
        </w:tc>
        <w:tc>
          <w:tcPr>
            <w:tcW w:w="2060" w:type="dxa"/>
            <w:vAlign w:val="bottom"/>
            <w:vMerge w:val="restart"/>
          </w:tcPr>
          <w:p>
            <w:pPr>
              <w:jc w:val="right"/>
              <w:ind w:right="699"/>
              <w:spacing w:after="0"/>
              <w:rPr>
                <w:sz w:val="20"/>
                <w:szCs w:val="20"/>
                <w:color w:val="auto"/>
              </w:rPr>
            </w:pPr>
            <w:r>
              <w:rPr>
                <w:rFonts w:ascii="Arial" w:cs="Arial" w:eastAsia="Arial" w:hAnsi="Arial"/>
                <w:sz w:val="14"/>
                <w:szCs w:val="14"/>
                <w:b w:val="1"/>
                <w:bCs w:val="1"/>
                <w:color w:val="auto"/>
              </w:rPr>
              <w:t>Adjustments</w:t>
            </w:r>
          </w:p>
        </w:tc>
        <w:tc>
          <w:tcPr>
            <w:tcW w:w="400" w:type="dxa"/>
            <w:vAlign w:val="bottom"/>
          </w:tcPr>
          <w:p>
            <w:pPr>
              <w:spacing w:after="0"/>
              <w:rPr>
                <w:sz w:val="13"/>
                <w:szCs w:val="13"/>
                <w:color w:val="auto"/>
              </w:rPr>
            </w:pPr>
          </w:p>
        </w:tc>
        <w:tc>
          <w:tcPr>
            <w:tcW w:w="2000" w:type="dxa"/>
            <w:vAlign w:val="bottom"/>
          </w:tcPr>
          <w:p>
            <w:pPr>
              <w:jc w:val="right"/>
              <w:ind w:right="719"/>
              <w:spacing w:after="0" w:line="153" w:lineRule="exact"/>
              <w:rPr>
                <w:sz w:val="20"/>
                <w:szCs w:val="20"/>
                <w:color w:val="auto"/>
              </w:rPr>
            </w:pPr>
            <w:r>
              <w:rPr>
                <w:rFonts w:ascii="Arial" w:cs="Arial" w:eastAsia="Arial" w:hAnsi="Arial"/>
                <w:sz w:val="14"/>
                <w:szCs w:val="14"/>
                <w:b w:val="1"/>
                <w:bCs w:val="1"/>
                <w:color w:val="auto"/>
              </w:rPr>
              <w:t>As Reported</w:t>
            </w:r>
          </w:p>
        </w:tc>
        <w:tc>
          <w:tcPr>
            <w:tcW w:w="0" w:type="dxa"/>
            <w:vAlign w:val="bottom"/>
          </w:tcPr>
          <w:p>
            <w:pPr>
              <w:spacing w:after="0"/>
              <w:rPr>
                <w:sz w:val="1"/>
                <w:szCs w:val="1"/>
                <w:color w:val="auto"/>
              </w:rPr>
            </w:pPr>
          </w:p>
        </w:tc>
      </w:tr>
      <w:tr>
        <w:trPr>
          <w:trHeight w:val="192"/>
        </w:trPr>
        <w:tc>
          <w:tcPr>
            <w:tcW w:w="42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976"/>
              <w:spacing w:after="0"/>
              <w:rPr>
                <w:sz w:val="20"/>
                <w:szCs w:val="20"/>
                <w:color w:val="auto"/>
              </w:rPr>
            </w:pPr>
            <w:r>
              <w:rPr>
                <w:rFonts w:ascii="Arial" w:cs="Arial" w:eastAsia="Arial" w:hAnsi="Arial"/>
                <w:sz w:val="14"/>
                <w:szCs w:val="14"/>
                <w:b w:val="1"/>
                <w:bCs w:val="1"/>
                <w:color w:val="auto"/>
              </w:rPr>
              <w:t>606</w:t>
            </w:r>
          </w:p>
        </w:tc>
        <w:tc>
          <w:tcPr>
            <w:tcW w:w="3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(Under Topic 606)</w:t>
            </w: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600" w:type="dxa"/>
            <w:vAlign w:val="bottom"/>
          </w:tcPr>
          <w:p>
            <w:pPr>
              <w:jc w:val="right"/>
              <w:ind w:right="396"/>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696,116</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19"/>
              <w:spacing w:after="0"/>
              <w:rPr>
                <w:sz w:val="20"/>
                <w:szCs w:val="20"/>
                <w:color w:val="auto"/>
              </w:rPr>
            </w:pPr>
            <w:r>
              <w:rPr>
                <w:rFonts w:ascii="Arial" w:cs="Arial" w:eastAsia="Arial" w:hAnsi="Arial"/>
                <w:sz w:val="18"/>
                <w:szCs w:val="18"/>
                <w:color w:val="auto"/>
              </w:rPr>
              <w:t>7,517</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9"/>
              <w:spacing w:after="0"/>
              <w:rPr>
                <w:sz w:val="20"/>
                <w:szCs w:val="20"/>
                <w:color w:val="auto"/>
              </w:rPr>
            </w:pPr>
            <w:r>
              <w:rPr>
                <w:rFonts w:ascii="Arial" w:cs="Arial" w:eastAsia="Arial" w:hAnsi="Arial"/>
                <w:sz w:val="18"/>
                <w:szCs w:val="18"/>
                <w:color w:val="auto"/>
              </w:rPr>
              <w:t>703,633</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600" w:type="dxa"/>
            <w:vAlign w:val="bottom"/>
          </w:tcPr>
          <w:p>
            <w:pPr>
              <w:jc w:val="right"/>
              <w:ind w:right="396"/>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559,380</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(7,517)</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9"/>
              <w:spacing w:after="0"/>
              <w:rPr>
                <w:sz w:val="20"/>
                <w:szCs w:val="20"/>
                <w:color w:val="auto"/>
              </w:rPr>
            </w:pPr>
            <w:r>
              <w:rPr>
                <w:rFonts w:ascii="Arial" w:cs="Arial" w:eastAsia="Arial" w:hAnsi="Arial"/>
                <w:sz w:val="18"/>
                <w:szCs w:val="18"/>
                <w:color w:val="auto"/>
              </w:rPr>
              <w:t>551,863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2016, the FASB issued ASU No. 2016-15, “Statement of Cash Flows (Topic 230): Classification of Certain Cash Receipts and Cash Payments.” This standard provides guidance for eight targeted changes with respect to how cash receipts and cash payments are classified in the statements of cash flows, with the objective of reducing diversity in practice. The Company adopted this accounting standard on August 1, 2018, which did not have an impact on its consolidated condensed financial statements.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November 2016, the FASB issued ASU No. 2016-18, “Restricted Cash,” which requires that a statement of cash flows present the change during a period for the total of cash, cash equivalents and restricted cash. Historically, under previous guidance, changes in restricted cash have been included within operating, investing or financing activities, which were eliminated under the new standard. The Company adopted this standard as of August 1, 2018, which required retrospective application to all periods presented. As a result, cash provided by operating activities during the three months ended October 31, 2017 increased by $6.7 million under the new guidance as compared to what was reported under the previously required guidance. Additionally, due to the inclusion of restricted cash in the beginning and end of period balances, cash, cash equivalents and restricted cash as of October 31, 2017 and July 31, 2017 increased $16.6 million and $10.3 million, respectively, as compared to what was reported under the previously required guidance.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Being Evaluated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authoritative guidance listed below is currently being evaluated for its impact to Company policies upon adoption as well as any significant implementation matters yet to be addressed.</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February 2016, the FASB issued ASU No. 2016-02, “Leases (Topic 842),” which supersedes “Leases (Topic 840).” The standard requires lessees to recognize the assets and liabilities arising from all leases, including those classified as operating leases under previous accounting guidance, on the balance sheet and disclose key information about leasing arrangements. The standard also allows for an accounting policy election not to recognize on the balance sheet lease assets and liabilities for leases with a term of 12 months or less. Under the new guidance, lessees will be required to recognize a lease liability and a right-of-use asset on their balance sheets, while lessor accounting will be largely unchanged. The standard will be effective for fiscal years beginning after December 15, 2018, including interim periods within those years (the Company’s first quarter of fiscal 2020), and must be applied using a modified retrospective transition approach to leases existing at, or entered into after, the beginning of the earliest comparative period presented in the financial statements, with early adoption permitted. The Company is currently evaluating the impacts the adoption of this accounting standard will have on the Company’s financial position or results of operations and cash flows and related disclosures. Additionally, the Company is evaluating the impacts of the standard beyond accounting, including system, data and process changes required to comply with the standard and has selected an information system application that will centralize the Company’s lease information and be utilized for accounting under the new standard.</w:t>
      </w:r>
    </w:p>
    <w:p>
      <w:pPr>
        <w:spacing w:after="0" w:line="179"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provides information about the Company’s composition of revenue recognized from contracts with customers and other revenues, the performance obligations under those contracts, and the significant judgments made in accounting for those contracts:</w:t>
      </w:r>
    </w:p>
    <w:p>
      <w:pPr>
        <w:spacing w:after="0" w:line="89" w:lineRule="exact"/>
        <w:rPr>
          <w:sz w:val="20"/>
          <w:szCs w:val="20"/>
          <w:color w:val="auto"/>
        </w:rPr>
      </w:pPr>
    </w:p>
    <w:p>
      <w:pPr>
        <w:jc w:val="both"/>
        <w:ind w:left="660" w:hanging="328"/>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Mountain revenue is derived from a wide variety of sources, including, among other things: lift revenue, which includes sales of lift tickets and season passes; ski school revenue, which includes the revenue derived from ski school operations; dining revenue, which includes both casual and fine dining on-mountain operations; retail sales and equipment rentals; and other on-mountain revenue, which includes private ski club revenue (which includes both club dues and amortization of initiation fees), marketing and internet advertising revenue, municipal services and lodging and transportation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0" w:name="page11"/>
    <w:bookmarkEnd w:id="10"/>
    <w:p>
      <w:pPr>
        <w:jc w:val="both"/>
        <w:ind w:left="660"/>
        <w:spacing w:after="0" w:line="319" w:lineRule="auto"/>
        <w:rPr>
          <w:sz w:val="20"/>
          <w:szCs w:val="20"/>
          <w:color w:val="auto"/>
        </w:rPr>
      </w:pPr>
      <w:r>
        <w:rPr>
          <w:rFonts w:ascii="Arial" w:cs="Arial" w:eastAsia="Arial" w:hAnsi="Arial"/>
          <w:sz w:val="17"/>
          <w:szCs w:val="17"/>
          <w:color w:val="auto"/>
        </w:rPr>
        <w:t>operations at Perisher. Revenue is recognized over time as performance obligations are satisfied as control of the good or service (e.g. access to ski areas, provision of ski school services, etc.) is transferred to the customer, except for our retail sales and dining operations revenues which are recognized at a point in time when performance obligations are satisfied by transferring control of the underlying goods to the customer. The Company records deferred revenue primarily related to the sale of season passes. Deferred revenue is recognized throughout the ski season as the Company’s performance obligations are satisfied as control of the service (e.g. access to ski areas throughout the ski season) is transferred to the customer. Transfer of control is based on an estimated number of season pass holder visits relative to total expected visits. Total expected visits is estimated based on historical data. The Company believes this estimate provides a faithful depiction of its customers’ season pass usage. When sufficient historical data to determine usage patterns is not available, deferred revenue is recognized on a straight-line basis throughout the ski season. The Company also includes other sources of revenue, mostly related to commercial leasing, and employee housing leasing arrangements within other mountain revenue.</w:t>
      </w:r>
    </w:p>
    <w:p>
      <w:pPr>
        <w:spacing w:after="0" w:line="157" w:lineRule="exact"/>
        <w:rPr>
          <w:sz w:val="20"/>
          <w:szCs w:val="20"/>
          <w:color w:val="auto"/>
        </w:rPr>
      </w:pPr>
    </w:p>
    <w:p>
      <w:pPr>
        <w:jc w:val="both"/>
        <w:ind w:left="660" w:hanging="328"/>
        <w:spacing w:after="0" w:line="271"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Lodging revenue is derived from a wide variety of sources, including, among other things: revenue from owned hotel rooms and managed hotel rooms; revenue from hotel dining operations; transportation revenue which relates to the Company’s Colorado resort ground transportation operations; and other lodging revenue which includes property management services, managed properties other costs reimbursements, private golf club revenue (which includes both club dues and amortization of initiation fees), and golf course fees. Lodging revenue also includes managed hotel property payroll cost reimbursements, related to payroll costs at managed properties where the Company is the employer which are reimbursed by the owner with no added margin, therefore, these revenues and corresponding expenses have no net effect on the Company’s operating income or net income. Other than revenue from dining operations, lodging revenue is mostly recognized over time as performance obligations are satisfied as control of the service (e.g. nightly hotel room access) is transferred to the customer.</w:t>
      </w:r>
    </w:p>
    <w:p>
      <w:pPr>
        <w:spacing w:after="0" w:line="17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Real estate revenue primarily relates to the sale of land parcels. Real estate revenue is generally recognized at a point in time when performance obligations have been satisfied, which is usually upon closing of the sales transaction and in an amount that reflects the consideration to which the Company expects to be entitled.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certain contracts that have an original term length of one year or less, the Company uses the practical expedient applicable to such contracts and does not consider the time value of money. For contracts with an expected term in excess of one year, the Company has considered the provisions of Topic 606 in determining whether contracts contain a financing component.</w:t>
      </w:r>
    </w:p>
    <w:p>
      <w:pPr>
        <w:spacing w:after="0" w:line="1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presents revenues in the accompanying consolidated condensed statements of operations, net of taxes, when collected from its customers that are remitted or payable to government taxing authorities, except when products are inclusive of taxes where applicable.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1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Disaggregation of Revenues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revenues disaggregated by segment and major revenue type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 October 31,</w:t>
            </w:r>
          </w:p>
        </w:tc>
        <w:tc>
          <w:tcPr>
            <w:tcW w:w="1440" w:type="dxa"/>
            <w:vAlign w:val="bottom"/>
            <w:tcBorders>
              <w:bottom w:val="single" w:sz="8" w:color="auto"/>
            </w:tcBorders>
          </w:tcPr>
          <w:p>
            <w:pPr>
              <w:spacing w:after="0"/>
              <w:rPr>
                <w:sz w:val="16"/>
                <w:szCs w:val="16"/>
                <w:color w:val="auto"/>
              </w:rPr>
            </w:pPr>
          </w:p>
        </w:tc>
      </w:tr>
      <w:tr>
        <w:trPr>
          <w:trHeight w:val="250"/>
        </w:trPr>
        <w:tc>
          <w:tcPr>
            <w:tcW w:w="64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972"/>
              <w:spacing w:after="0"/>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031"/>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net revenue:</w:t>
            </w:r>
          </w:p>
        </w:tc>
        <w:tc>
          <w:tcPr>
            <w:tcW w:w="6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Lift</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24,685</w:t>
            </w:r>
          </w:p>
        </w:tc>
        <w:tc>
          <w:tcPr>
            <w:tcW w:w="112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25,468</w:t>
            </w:r>
          </w:p>
        </w:tc>
      </w:tr>
      <w:tr>
        <w:trPr>
          <w:trHeight w:val="27"/>
        </w:trPr>
        <w:tc>
          <w:tcPr>
            <w:tcW w:w="6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Ski School</w:t>
            </w:r>
          </w:p>
        </w:tc>
        <w:tc>
          <w:tcPr>
            <w:tcW w:w="6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4,272</w:t>
            </w:r>
          </w:p>
        </w:tc>
        <w:tc>
          <w:tcPr>
            <w:tcW w:w="1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4,438</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Dining</w:t>
            </w:r>
          </w:p>
        </w:tc>
        <w:tc>
          <w:tcPr>
            <w:tcW w:w="6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18,292</w:t>
            </w:r>
          </w:p>
        </w:tc>
        <w:tc>
          <w:tcPr>
            <w:tcW w:w="11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18,302</w:t>
            </w:r>
          </w:p>
        </w:tc>
      </w:tr>
      <w:tr>
        <w:trPr>
          <w:trHeight w:val="27"/>
        </w:trPr>
        <w:tc>
          <w:tcPr>
            <w:tcW w:w="6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Retail/Rental</w:t>
            </w:r>
          </w:p>
        </w:tc>
        <w:tc>
          <w:tcPr>
            <w:tcW w:w="6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43,342</w:t>
            </w:r>
          </w:p>
        </w:tc>
        <w:tc>
          <w:tcPr>
            <w:tcW w:w="1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45,407</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54,415</w:t>
            </w:r>
          </w:p>
        </w:tc>
        <w:tc>
          <w:tcPr>
            <w:tcW w:w="11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54,510</w:t>
            </w:r>
          </w:p>
        </w:tc>
      </w:tr>
      <w:tr>
        <w:trPr>
          <w:trHeight w:val="27"/>
        </w:trPr>
        <w:tc>
          <w:tcPr>
            <w:tcW w:w="6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145,006</w:t>
            </w:r>
          </w:p>
        </w:tc>
        <w:tc>
          <w:tcPr>
            <w:tcW w:w="112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148,125</w:t>
            </w:r>
          </w:p>
        </w:tc>
      </w:tr>
      <w:tr>
        <w:trPr>
          <w:trHeight w:val="237"/>
        </w:trPr>
        <w:tc>
          <w:tcPr>
            <w:tcW w:w="6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Lodging net revenue:</w:t>
            </w:r>
          </w:p>
        </w:tc>
        <w:tc>
          <w:tcPr>
            <w:tcW w:w="6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Owned hotel rooms</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19,599</w:t>
            </w:r>
          </w:p>
        </w:tc>
        <w:tc>
          <w:tcPr>
            <w:tcW w:w="112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19,635</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Managed condominium rooms</w:t>
            </w:r>
          </w:p>
        </w:tc>
        <w:tc>
          <w:tcPr>
            <w:tcW w:w="6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11,118</w:t>
            </w:r>
          </w:p>
        </w:tc>
        <w:tc>
          <w:tcPr>
            <w:tcW w:w="11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10,171</w:t>
            </w:r>
          </w:p>
        </w:tc>
      </w:tr>
      <w:tr>
        <w:trPr>
          <w:trHeight w:val="27"/>
        </w:trPr>
        <w:tc>
          <w:tcPr>
            <w:tcW w:w="6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Dining</w:t>
            </w:r>
          </w:p>
        </w:tc>
        <w:tc>
          <w:tcPr>
            <w:tcW w:w="6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16,129</w:t>
            </w:r>
          </w:p>
        </w:tc>
        <w:tc>
          <w:tcPr>
            <w:tcW w:w="1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15,880</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6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2,474</w:t>
            </w:r>
          </w:p>
        </w:tc>
        <w:tc>
          <w:tcPr>
            <w:tcW w:w="11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2,553</w:t>
            </w:r>
          </w:p>
        </w:tc>
      </w:tr>
      <w:tr>
        <w:trPr>
          <w:trHeight w:val="27"/>
        </w:trPr>
        <w:tc>
          <w:tcPr>
            <w:tcW w:w="6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Golf</w:t>
            </w:r>
          </w:p>
        </w:tc>
        <w:tc>
          <w:tcPr>
            <w:tcW w:w="6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9,150</w:t>
            </w:r>
          </w:p>
        </w:tc>
        <w:tc>
          <w:tcPr>
            <w:tcW w:w="1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8,426</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12,777</w:t>
            </w:r>
          </w:p>
        </w:tc>
        <w:tc>
          <w:tcPr>
            <w:tcW w:w="11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12,115</w:t>
            </w:r>
          </w:p>
        </w:tc>
      </w:tr>
      <w:tr>
        <w:trPr>
          <w:trHeight w:val="27"/>
        </w:trPr>
        <w:tc>
          <w:tcPr>
            <w:tcW w:w="6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71,247</w:t>
            </w:r>
          </w:p>
        </w:tc>
        <w:tc>
          <w:tcPr>
            <w:tcW w:w="1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68,780</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Payroll cost reimbursements</w:t>
            </w:r>
          </w:p>
        </w:tc>
        <w:tc>
          <w:tcPr>
            <w:tcW w:w="6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3,653</w:t>
            </w:r>
          </w:p>
        </w:tc>
        <w:tc>
          <w:tcPr>
            <w:tcW w:w="11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3,309</w:t>
            </w:r>
          </w:p>
        </w:tc>
      </w:tr>
      <w:tr>
        <w:trPr>
          <w:trHeight w:val="27"/>
        </w:trPr>
        <w:tc>
          <w:tcPr>
            <w:tcW w:w="6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Lodging net revenue</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74,900</w:t>
            </w:r>
          </w:p>
        </w:tc>
        <w:tc>
          <w:tcPr>
            <w:tcW w:w="112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72,089</w:t>
            </w:r>
          </w:p>
        </w:tc>
      </w:tr>
      <w:tr>
        <w:trPr>
          <w:trHeight w:val="237"/>
        </w:trPr>
        <w:tc>
          <w:tcPr>
            <w:tcW w:w="6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Resort net revenue</w:t>
            </w: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219,906</w:t>
            </w:r>
          </w:p>
        </w:tc>
        <w:tc>
          <w:tcPr>
            <w:tcW w:w="112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220,214</w:t>
            </w:r>
          </w:p>
        </w:tc>
      </w:tr>
      <w:tr>
        <w:trPr>
          <w:trHeight w:val="27"/>
        </w:trPr>
        <w:tc>
          <w:tcPr>
            <w:tcW w:w="6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net revenue</w:t>
            </w:r>
          </w:p>
        </w:tc>
        <w:tc>
          <w:tcPr>
            <w:tcW w:w="6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w:t>
            </w:r>
          </w:p>
        </w:tc>
      </w:tr>
      <w:tr>
        <w:trPr>
          <w:trHeight w:val="237"/>
        </w:trPr>
        <w:tc>
          <w:tcPr>
            <w:tcW w:w="64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net revenue</w:t>
            </w: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220,004</w:t>
            </w:r>
          </w:p>
        </w:tc>
        <w:tc>
          <w:tcPr>
            <w:tcW w:w="112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220,850</w:t>
            </w:r>
          </w:p>
        </w:tc>
      </w:tr>
      <w:tr>
        <w:trPr>
          <w:trHeight w:val="27"/>
        </w:trPr>
        <w:tc>
          <w:tcPr>
            <w:tcW w:w="6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Multiple Performance Obligations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Several of the Company’s contracts with customers include multiple performance obligations, primarily related to bundled services such as ski school packages, lodging packages and events (e.g. weddings and conferences). For such contracts, revenue is allocated to each distinct and separate performance obligation based on its relative standalone selling price. The standalone selling prices are generally based on observable prices charged to customers or estimated based on historical experience and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Contract liabilities are recorded as deferred revenues when payments are received or due in advance of the Company’s performance, including amounts which may be refundable. The deferred revenue balance is primarily related to accounts receivable or cash payments received in advance of satisfying our performance obligations related to sales of season passes prior to the start of the ski season, private club initiation fees and other related advance purchase products, including advance purchase lift tickets, multiple-day lift tickets, ski school lessons, equipment rentals and lodging advance deposits. Due to the seasonality of the Company’s operations, its largest deferred revenue balances occur during the season pass selling window, which generally begins in the fourth quarter of its fiscal year and ends in the first quarter of the subsequent fiscal year. Deferred revenue balances were $450.3 million and $282.1 million as of October 31, 2018, and July 31, 2018, respectively (see Note 7, Supplementary Balance Sheet Information). For the three months ended October 31, 2018, the Company recognized approximately $26.5 million of revenue that was included in the deferred revenue balance as of July 31, 2018.</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Contract assets are recorded as trade receivables when the right to consideration is unconditional. Trade receivable balances were $74.2 million and $230.8 million as of October 31, 2018 and July 31, 2018, respectively. Payments from customers are based on billing terms established in the contracts with customers, which vary by the type of customer, the location and the products or services offered. The term between invoicing and when payment is due is not significant. For certain products or services and customer types, contracts require payment before the products are delivered or services are provided to the customer. Impairment losses related to contract assets are recognized through the Company’s allowance for doubtful accounts analysis. Contract asset write-offs are evaluated on an individual basis.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Costs to Obtain Contracts with Customers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expects that credit card fees and sales commissions paid in order to obtain season ski pass products contracts are recoverable. Accordingly, the Company recognizes these amounts as assets when they are paid prior to the start of the ski season. Deferred credit card fees and sales commissions are amortized commensurate with the recognition of season ski pass revenue. As of October 31, 2018, $8.7 million of costs to obtain contracts with customers were recorded within other current assets on the Company’s Consolidated Condensed Balance Sheet. The amounts capitalized will be subject to amortization beginning in the second quarter of fiscal 2019, commensurate with the revenue recognized for skier visits, and will be recorded within Mountain and Lodging operating expenses on the Company’s Consolidated Condensed Statement of Operations.</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Utilizing the practical expedient provided for under Topic 606, the Company has elected to expense credit card fees and sales commissions as incurred, as the amortization period is generally one year or less for the time between customer purchase and utilization. These fees are related to obtaining contracts with customers for all non-season ski pass products and services and are recorded within Mountain and Lodging operating expenses on the Company’s Consolidated Condensed Statements of Operations.</w:t>
      </w:r>
    </w:p>
    <w:p>
      <w:pPr>
        <w:spacing w:after="0" w:line="18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Basic earnings per share (“EPS”) excludes dilution and is computed by dividing net loss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Company’s acquisition of Whistler Blackcomb in October 2016, the Company issued consideration in the form of shares of Vail Resorts common stock (the “Vail Shares”) and shares of the Company’s wholly-owned Canadian subsidiary (“Exchangeco”). Whistler Blackcomb shareholders elected to receive 3,327,719 Vail Shares and 418,095 shares of Exchangeco (the “Exchangeco Shares”). Both Vail Shares and Exchangeco Shares have a par value of $0.01 per share, and Exchangeco Shares, while outstanding, are substantially the economic equivalent of Vail Shares and are exchangeable, at any time prior to the seventh anniversary of the closing of the acquisition, into Vail Shares. The Company’s calculation of weighted-average shares outstanding includes the Exchangeco Shares.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basic and diluted EPS for the three months ended October 31, 2018 and 2017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4"/>
                <w:szCs w:val="14"/>
                <w:b w:val="1"/>
                <w:bCs w:val="1"/>
                <w:color w:val="auto"/>
                <w:w w:val="99"/>
              </w:rPr>
              <w:t>Three Months Ended October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2018</w:t>
            </w:r>
          </w:p>
        </w:tc>
        <w:tc>
          <w:tcPr>
            <w:tcW w:w="11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2017</w:t>
            </w:r>
          </w:p>
        </w:tc>
        <w:tc>
          <w:tcPr>
            <w:tcW w:w="1080" w:type="dxa"/>
            <w:vAlign w:val="bottom"/>
            <w:tcBorders>
              <w:bottom w:val="single" w:sz="8" w:color="auto"/>
            </w:tcBorders>
          </w:tcPr>
          <w:p>
            <w:pPr>
              <w:spacing w:after="0"/>
              <w:rPr>
                <w:sz w:val="22"/>
                <w:szCs w:val="22"/>
                <w:color w:val="auto"/>
              </w:rPr>
            </w:pPr>
          </w:p>
        </w:tc>
      </w:tr>
      <w:tr>
        <w:trPr>
          <w:trHeight w:val="264"/>
        </w:trPr>
        <w:tc>
          <w:tcPr>
            <w:tcW w:w="56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Basic</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Diluted</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Basic</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Diluted</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loss attributable to Vail Resorts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(107,795)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(107,795)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(28,385)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(28,385)</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Weighted-average Vail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40,447</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40,447</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40,147</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40,147</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Weighted-average Exchangeco Shares outstanding</w:t>
            </w:r>
          </w:p>
        </w:tc>
        <w:tc>
          <w:tcPr>
            <w:tcW w:w="32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21"/>
                <w:szCs w:val="21"/>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64</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Weighted-average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40,505</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40,505</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40,211</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40,211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shares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40,505</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40,505</w:t>
            </w: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40,211</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40,211</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loss per share attributable to Vail Resorts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(2.66)</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(0.71)</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(0.71)</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computes the effect of dilutive securities using the treasury stock method and average market prices during the period. The number of shares issuable upon the exercise of share based awards excluded from the calculation of diluted EPS because the effect of their inclusion would have been anti-dilutive totaled approximately 1.0 million and 1.3 million for the three months ended October 31, 2018 and 2017,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0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paid cash dividends of $1.47 and $1.053 per share ($59.5 million and $42.6 million in the aggregate) during the three months ended October 31, 2018 and 2017, respectively. On December 5, 2018, the Company’s Board of Directors declared a quarterly cash dividend of $1.47 per share, for Vail Shares, payable on January 10, 2019 to stockholders of record as of December 27, 2018. Additionally, a Canadian dollar equivalent dividend on the Exchangeco Shares will be payable on January 10, 2019 to the shareholders of record on December 27, 2018.</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net as of October 31, 2018, July 31, 2018 and October 31, 2017 is summarized as follows (in thousands):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2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Maturity</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6"/>
              </w:rPr>
              <w:t>October 31, 2018</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July 31, 2018</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8"/>
              </w:rPr>
              <w:t>October 31, 2017</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Vail Holdings Credit Agreement term loan (a)</w:t>
            </w:r>
          </w:p>
        </w:tc>
        <w:tc>
          <w:tcPr>
            <w:tcW w:w="2000" w:type="dxa"/>
            <w:vAlign w:val="bottom"/>
            <w:tcBorders>
              <w:bottom w:val="single" w:sz="8" w:color="CCEEFF"/>
            </w:tcBorders>
            <w:shd w:val="clear" w:color="auto" w:fill="CCEEFF"/>
          </w:tcPr>
          <w:p>
            <w:pPr>
              <w:jc w:val="center"/>
              <w:ind w:left="553"/>
              <w:spacing w:after="0"/>
              <w:rPr>
                <w:sz w:val="20"/>
                <w:szCs w:val="20"/>
                <w:color w:val="auto"/>
              </w:rPr>
            </w:pPr>
            <w:r>
              <w:rPr>
                <w:rFonts w:ascii="Arial" w:cs="Arial" w:eastAsia="Arial" w:hAnsi="Arial"/>
                <w:sz w:val="18"/>
                <w:szCs w:val="18"/>
                <w:color w:val="auto"/>
                <w:w w:val="89"/>
              </w:rPr>
              <w:t>2023</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950,000</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684,375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712,500</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Vail Holdings Credit Agreement revolver (a)</w:t>
            </w:r>
          </w:p>
        </w:tc>
        <w:tc>
          <w:tcPr>
            <w:tcW w:w="2000" w:type="dxa"/>
            <w:vAlign w:val="bottom"/>
          </w:tcPr>
          <w:p>
            <w:pPr>
              <w:jc w:val="center"/>
              <w:ind w:left="553"/>
              <w:spacing w:after="0"/>
              <w:rPr>
                <w:sz w:val="20"/>
                <w:szCs w:val="20"/>
                <w:color w:val="auto"/>
              </w:rPr>
            </w:pPr>
            <w:r>
              <w:rPr>
                <w:rFonts w:ascii="Arial" w:cs="Arial" w:eastAsia="Arial" w:hAnsi="Arial"/>
                <w:sz w:val="18"/>
                <w:szCs w:val="18"/>
                <w:color w:val="auto"/>
                <w:w w:val="89"/>
              </w:rPr>
              <w:t>2023</w:t>
            </w:r>
          </w:p>
        </w:tc>
        <w:tc>
          <w:tcPr>
            <w:tcW w:w="4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120,000</w:t>
            </w:r>
          </w:p>
        </w:tc>
        <w:tc>
          <w:tcPr>
            <w:tcW w:w="3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130,000</w:t>
            </w:r>
          </w:p>
        </w:tc>
        <w:tc>
          <w:tcPr>
            <w:tcW w:w="3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95,000</w:t>
            </w:r>
          </w:p>
        </w:tc>
      </w:tr>
      <w:tr>
        <w:trPr>
          <w:trHeight w:val="27"/>
        </w:trPr>
        <w:tc>
          <w:tcPr>
            <w:tcW w:w="4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Whistler Credit Agreement revolver (b)</w:t>
            </w:r>
          </w:p>
        </w:tc>
        <w:tc>
          <w:tcPr>
            <w:tcW w:w="2000" w:type="dxa"/>
            <w:vAlign w:val="bottom"/>
            <w:tcBorders>
              <w:bottom w:val="single" w:sz="8" w:color="CCEEFF"/>
            </w:tcBorders>
            <w:shd w:val="clear" w:color="auto" w:fill="CCEEFF"/>
          </w:tcPr>
          <w:p>
            <w:pPr>
              <w:jc w:val="center"/>
              <w:ind w:left="553"/>
              <w:spacing w:after="0"/>
              <w:rPr>
                <w:sz w:val="20"/>
                <w:szCs w:val="20"/>
                <w:color w:val="auto"/>
              </w:rPr>
            </w:pPr>
            <w:r>
              <w:rPr>
                <w:rFonts w:ascii="Arial" w:cs="Arial" w:eastAsia="Arial" w:hAnsi="Arial"/>
                <w:sz w:val="18"/>
                <w:szCs w:val="18"/>
                <w:color w:val="auto"/>
                <w:w w:val="89"/>
              </w:rPr>
              <w:t>2022</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72,170</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65,353</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104,625</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Employee housing bonds</w:t>
            </w:r>
          </w:p>
        </w:tc>
        <w:tc>
          <w:tcPr>
            <w:tcW w:w="2000" w:type="dxa"/>
            <w:vAlign w:val="bottom"/>
          </w:tcPr>
          <w:p>
            <w:pPr>
              <w:jc w:val="center"/>
              <w:ind w:left="573"/>
              <w:spacing w:after="0"/>
              <w:rPr>
                <w:sz w:val="20"/>
                <w:szCs w:val="20"/>
                <w:color w:val="auto"/>
              </w:rPr>
            </w:pPr>
            <w:r>
              <w:rPr>
                <w:rFonts w:ascii="Arial" w:cs="Arial" w:eastAsia="Arial" w:hAnsi="Arial"/>
                <w:sz w:val="18"/>
                <w:szCs w:val="18"/>
                <w:color w:val="auto"/>
                <w:w w:val="90"/>
              </w:rPr>
              <w:t>2027-2039</w:t>
            </w:r>
          </w:p>
        </w:tc>
        <w:tc>
          <w:tcPr>
            <w:tcW w:w="4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52,575</w:t>
            </w:r>
          </w:p>
        </w:tc>
        <w:tc>
          <w:tcPr>
            <w:tcW w:w="3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52,575</w:t>
            </w:r>
          </w:p>
        </w:tc>
        <w:tc>
          <w:tcPr>
            <w:tcW w:w="3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52,575</w:t>
            </w:r>
          </w:p>
        </w:tc>
      </w:tr>
      <w:tr>
        <w:trPr>
          <w:trHeight w:val="27"/>
        </w:trPr>
        <w:tc>
          <w:tcPr>
            <w:tcW w:w="4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Canyons obligation</w:t>
            </w:r>
          </w:p>
        </w:tc>
        <w:tc>
          <w:tcPr>
            <w:tcW w:w="2000" w:type="dxa"/>
            <w:vAlign w:val="bottom"/>
            <w:tcBorders>
              <w:bottom w:val="single" w:sz="8" w:color="CCEEFF"/>
            </w:tcBorders>
            <w:shd w:val="clear" w:color="auto" w:fill="CCEEFF"/>
          </w:tcPr>
          <w:p>
            <w:pPr>
              <w:jc w:val="center"/>
              <w:ind w:left="553"/>
              <w:spacing w:after="0"/>
              <w:rPr>
                <w:sz w:val="20"/>
                <w:szCs w:val="20"/>
                <w:color w:val="auto"/>
              </w:rPr>
            </w:pPr>
            <w:r>
              <w:rPr>
                <w:rFonts w:ascii="Arial" w:cs="Arial" w:eastAsia="Arial" w:hAnsi="Arial"/>
                <w:sz w:val="18"/>
                <w:szCs w:val="18"/>
                <w:color w:val="auto"/>
                <w:w w:val="89"/>
              </w:rPr>
              <w:t>2063</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335,947</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334,509</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330,217</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Other</w:t>
            </w:r>
          </w:p>
        </w:tc>
        <w:tc>
          <w:tcPr>
            <w:tcW w:w="2000" w:type="dxa"/>
            <w:vAlign w:val="bottom"/>
          </w:tcPr>
          <w:p>
            <w:pPr>
              <w:jc w:val="center"/>
              <w:ind w:left="573"/>
              <w:spacing w:after="0"/>
              <w:rPr>
                <w:sz w:val="20"/>
                <w:szCs w:val="20"/>
                <w:color w:val="auto"/>
              </w:rPr>
            </w:pPr>
            <w:r>
              <w:rPr>
                <w:rFonts w:ascii="Arial" w:cs="Arial" w:eastAsia="Arial" w:hAnsi="Arial"/>
                <w:sz w:val="18"/>
                <w:szCs w:val="18"/>
                <w:color w:val="auto"/>
                <w:w w:val="90"/>
              </w:rPr>
              <w:t>2024-2028</w:t>
            </w:r>
          </w:p>
        </w:tc>
        <w:tc>
          <w:tcPr>
            <w:tcW w:w="4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8,821</w:t>
            </w:r>
          </w:p>
        </w:tc>
        <w:tc>
          <w:tcPr>
            <w:tcW w:w="3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9,270</w:t>
            </w:r>
          </w:p>
        </w:tc>
        <w:tc>
          <w:tcPr>
            <w:tcW w:w="3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9,743</w:t>
            </w:r>
          </w:p>
        </w:tc>
      </w:tr>
      <w:tr>
        <w:trPr>
          <w:trHeight w:val="27"/>
        </w:trPr>
        <w:tc>
          <w:tcPr>
            <w:tcW w:w="4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debt</w:t>
            </w:r>
          </w:p>
        </w:tc>
        <w:tc>
          <w:tcPr>
            <w:tcW w:w="2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1,539,513</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1,276,082</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1,304,660</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Less: Unamortized debt issuance costs</w:t>
            </w:r>
          </w:p>
        </w:tc>
        <w:tc>
          <w:tcPr>
            <w:tcW w:w="2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4,063</w:t>
            </w:r>
          </w:p>
        </w:tc>
        <w:tc>
          <w:tcPr>
            <w:tcW w:w="3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3,350</w:t>
            </w:r>
          </w:p>
        </w:tc>
        <w:tc>
          <w:tcPr>
            <w:tcW w:w="3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3,913</w:t>
            </w:r>
          </w:p>
        </w:tc>
      </w:tr>
      <w:tr>
        <w:trPr>
          <w:trHeight w:val="27"/>
        </w:trPr>
        <w:tc>
          <w:tcPr>
            <w:tcW w:w="4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maturities (c)</w:t>
            </w:r>
          </w:p>
        </w:tc>
        <w:tc>
          <w:tcPr>
            <w:tcW w:w="20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48,482</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38,455</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38,422</w:t>
            </w:r>
          </w:p>
        </w:tc>
      </w:tr>
      <w:tr>
        <w:trPr>
          <w:trHeight w:val="237"/>
        </w:trPr>
        <w:tc>
          <w:tcPr>
            <w:tcW w:w="428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Long-term debt, net</w:t>
            </w:r>
          </w:p>
        </w:tc>
        <w:tc>
          <w:tcPr>
            <w:tcW w:w="20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1,486,968</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1,234,277</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1,262,325</w:t>
            </w:r>
          </w:p>
        </w:tc>
      </w:tr>
      <w:tr>
        <w:trPr>
          <w:trHeight w:val="27"/>
        </w:trPr>
        <w:tc>
          <w:tcPr>
            <w:tcW w:w="4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left="540" w:hanging="316"/>
        <w:spacing w:after="0" w:line="284"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August 15, 2018, in order to fund the Stevens Pass and Triple Peaks acquisitions (see Note 6, Acquisitions), the Company’s wholly owned subsidiary, Vail Holdings, Inc. (“VHI”), entered into the Eighth Amended and Restated Credit Agreement (the “Vail Holdings Credit Agreement”), with Bank of America, N.A., as administrative agent, and other lenders named therein, through which these lenders agreed to provide an additional $265.6 million in incremental term loans and agreed, on behalf of all lenders, to extend the maturity date for the outstanding term loans and revolver facility under the Vail Holdings Credit Agreement to August 15, 2023. The Vail Holdings Credit Agreement consists of a $400.0 million revolving credit facility and a $950.0 million term loan facility. VHI’s obligations under the Vail Holdings Credit Agreement are guaranteed by the Company and certain of its subsidiaries and are collateralized by a pledge of all the capital stock of VHI and substantially all of its subsidiaries (with certain additional exceptions for the pledge of the capital stock of foreign subsidiaries). In addition, pursuant to the terms of the Vail Holdings Credit Agreement, VHI has the ability to increase availability (under the revolver or in the form of term loans) to an aggregate principal amount not to exceed the greater of (i) $1.2 billion and (ii) the product of 2.75 and the trailing twelve-month Adjusted EBITDA, as defined in the Vail Holdings Credit Agreement. The term loan facility is subject to quarterly amortization of principal of approximately $11.9 million, which will begin on January 31, 2019, in equal installments, with five percent payable in each year and the final payment of all amounts outstanding, plus accrued and unpaid interest due in August 2023. The proceeds of the loans made under the Vail Holdings Credit Agreement may be used to fund the Company’s working capital needs, capital expenditures, acquisitions, investments and other general corporate purposes, including the issuance of letters of credit. Borrowings under the Vail Holdings Credit Agreement, including the term loan facility, bear interest annually at LIBOR plus 1.25% as of October 31, 2018 (3.55% as of October 31, 2018). Interest rate margins may fluctuate based upon the ratio of the Company’s Net Funded Debt to Adjusted EBITDA on a trailing four-quarter basis. The Vail Holdings Credit Agreement also includes a quarterly unused commitment fee, which is equal to a percentage determined by the Net Funded Debt to Adjusted EBITDA ratio, as each such term is defined in the Vail Holdings Credit Agreement, multiplied by the daily amount by which the Vail Holdings Credit Agreement commitment exceeds the total of outstanding loans and outstanding letters of credit (0.25% as of October 31, 2018). The unused amounts are accessible to the extent that the Net Funded Debt to Adjusted EBITDA ratio does not exceed the maximum ratio allowed at quarter-ends and the ratio of Adjusted EBITDA to interest on Funded Debt (as defined in the Vail Holdings Credit Agreement) does not fall below the minimum ratio allowed at quarter-ends. The Vail Holdings Credit Agreement provides for affirmative and negative covenants that restrict, among other things, the Company’s ability to incur indebtedness, dispose of assets, make capital expenditures, make distributions and make investments. In addition, the Vail Holdings Credit Agreement includes the following restrictive financial covenants: Net Funded Debt to Adjusted EBITDA ratio and Adjusted EBITDA to interest on Funded Debt ratio.</w:t>
      </w:r>
    </w:p>
    <w:p>
      <w:pPr>
        <w:spacing w:after="0" w:line="230" w:lineRule="exact"/>
        <w:rPr>
          <w:rFonts w:ascii="Arial" w:cs="Arial" w:eastAsia="Arial" w:hAnsi="Arial"/>
          <w:sz w:val="16"/>
          <w:szCs w:val="16"/>
          <w:color w:val="auto"/>
        </w:rPr>
      </w:pPr>
    </w:p>
    <w:p>
      <w:pPr>
        <w:ind w:left="540" w:right="20" w:hanging="316"/>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Whistler Mountain Resort Limited Partnership (“Whistler LP”) and Blackcomb Skiing Enterprises Limited Partnership (“Blackcomb LP”), together “The WB Partnerships,” are party to a credit agreement, dated as of November 12, 2013 (as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4" w:name="page15"/>
    <w:bookmarkEnd w:id="14"/>
    <w:p>
      <w:pPr>
        <w:jc w:val="both"/>
        <w:ind w:left="540"/>
        <w:spacing w:after="0" w:line="336" w:lineRule="auto"/>
        <w:rPr>
          <w:sz w:val="20"/>
          <w:szCs w:val="20"/>
          <w:color w:val="auto"/>
        </w:rPr>
      </w:pPr>
      <w:r>
        <w:rPr>
          <w:rFonts w:ascii="Arial" w:cs="Arial" w:eastAsia="Arial" w:hAnsi="Arial"/>
          <w:sz w:val="16"/>
          <w:szCs w:val="16"/>
          <w:color w:val="auto"/>
        </w:rPr>
        <w:t>amended, the “Whistler Credit Agreement”), by and among Whistler LP, Blackcomb LP, certain subsidiaries of Whistler LP and Blackcomb LP party thereto as guarantors (the “Whistler Subsidiary Guarantors”), the financial institutions party thereto as lenders and The Toronto-Dominion Bank, as administrative agent. The Whistler Credit Agreement consists of a C$300.0 million revolving credit facility which matures on November 12, 2022. The WB Partnerships’ obligations under the Whistler Credit Agreement are guaranteed by the Whistler Subsidiary Guarantors and are collateralized by a pledge of the capital stock of the Whistler Subsidiary Guarantors and a pledge of substantially all of the assets of Whistler LP, Blackcomb LP and the Whistler Subsidiary Guarantors. In addition, pursuant to the terms of the Whistler Credit Agreement, the WB Partnerships have the ability to increase the commitment amount by up to C$75.0 million subject to lender approval. Borrowings under the Whistler Credit Agreement are available in Canadian or U.S. dollars and bear interest annually, subject to an applicable margin based on the WB Partnerships’ Consolidated Total Leverage Ratio (as defined in the Whistler Credit Agreement), with pricing as of October 31, 2018, in the case of borrowings (i) in Canadian dollars, at the WB Partnerships’ option, either (a) at the Canadian Prime Rate plus 0.75% per annum or (b) by way of the issuance of bankers’ acceptances plus 1.75% per annum; and (ii) in U.S. dollars, at the WB Partnerships option, either at (a) the U.S. Base Rate plus 0.75% per annum or (b) Bankers Acceptance Rate plus 1.75% per annum. As of October 31, 2018, all borrowings under the Whistler Credit Agreement were made in Canadian dollars and by way of the issuance of bankers’ acceptances plus 1.75% (approximately 3.87%). The Whistler Credit Agreement also includes a quarterly unused commitment fee based on the Consolidated Total Leverage Ratio, which as of October 31, 2018 is equal to 0.3937% per annum. The Whistler Credit Agreement provides for affirmative and negative covenants that restrict, among other things, the WB Partnerships’ ability to incur indebtedness and liens, dispose of assets, make capital expenditures, make distributions and make investments. In addition, the Whistler Credit Agreement includes the restrictive financial covenants (leverage ratios and interest coverage ratios) customary for facilities of this type.</w:t>
      </w:r>
    </w:p>
    <w:p>
      <w:pPr>
        <w:spacing w:after="0" w:line="1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  Current maturities represent principal payments due in the next 12 months.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Aggregate maturities of debt outstanding as of October 31, 2018 reflected by fiscal year (August 1 through July 31) are as follows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658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(November 2018 through July 2019)</w:t>
            </w:r>
          </w:p>
        </w:tc>
        <w:tc>
          <w:tcPr>
            <w:tcW w:w="3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36,131</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2020</w:t>
            </w:r>
          </w:p>
        </w:tc>
        <w:tc>
          <w:tcPr>
            <w:tcW w:w="37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48,516</w:t>
            </w:r>
          </w:p>
        </w:tc>
      </w:tr>
      <w:tr>
        <w:trPr>
          <w:trHeight w:val="27"/>
        </w:trPr>
        <w:tc>
          <w:tcPr>
            <w:tcW w:w="65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7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48,580</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2022</w:t>
            </w:r>
          </w:p>
        </w:tc>
        <w:tc>
          <w:tcPr>
            <w:tcW w:w="37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48,648</w:t>
            </w:r>
          </w:p>
        </w:tc>
      </w:tr>
      <w:tr>
        <w:trPr>
          <w:trHeight w:val="27"/>
        </w:trPr>
        <w:tc>
          <w:tcPr>
            <w:tcW w:w="65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7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120,889</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7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1,236,749</w:t>
            </w:r>
          </w:p>
        </w:tc>
      </w:tr>
      <w:tr>
        <w:trPr>
          <w:trHeight w:val="27"/>
        </w:trPr>
        <w:tc>
          <w:tcPr>
            <w:tcW w:w="658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debt</w:t>
            </w:r>
          </w:p>
        </w:tc>
        <w:tc>
          <w:tcPr>
            <w:tcW w:w="3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1,539,513</w:t>
            </w:r>
          </w:p>
        </w:tc>
      </w:tr>
      <w:tr>
        <w:trPr>
          <w:trHeight w:val="20"/>
        </w:trPr>
        <w:tc>
          <w:tcPr>
            <w:tcW w:w="6580" w:type="dxa"/>
            <w:vAlign w:val="bottom"/>
            <w:tcBorders>
              <w:top w:val="single" w:sz="8" w:color="auto"/>
              <w:bottom w:val="single" w:sz="8" w:color="auto"/>
            </w:tcBorders>
          </w:tcPr>
          <w:p>
            <w:pPr>
              <w:spacing w:after="0" w:line="20" w:lineRule="exact"/>
              <w:rPr>
                <w:sz w:val="1"/>
                <w:szCs w:val="1"/>
                <w:color w:val="auto"/>
              </w:rPr>
            </w:pPr>
          </w:p>
        </w:tc>
        <w:tc>
          <w:tcPr>
            <w:tcW w:w="37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gross interest expense of $18.6 million and $15.2 million for the three months ended October 31, 2018 and 2017, respectively, of which $0.3 million was amortization of deferred financing costs in both periods. The Company was in compliance with all of its financial and operating covenants required to be maintained under its debt instruments for all periods presented.</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acquisition of Whistler Blackcomb in October 2016, VHI funded a portion of the purchase price through an intercompany loan to Whistler Blackcomb of $210.0 million, which was effective as of November 1, 2016, and requires foreign currency remeasurement to Canadian dollars, the functional currency for Whistler Blackcomb. As a result, foreign currency fluctuations associated with the loan are recorded within the Company’s results of operations. The Company recognized approximately $2.3 million and $7.3 million, respectively, of non-cash foreign currency losses on the intercompany loan to Whistler Blackcomb for the three months ended October 31, 2018 and 2017 on the Company’s Consolidated Condensed Statements of Operations.</w:t>
      </w:r>
    </w:p>
    <w:p>
      <w:pPr>
        <w:spacing w:after="0" w:line="15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Stevens Pass Resort</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15, 2018, the Company, through a wholly-owned subsidiary, acquired Stevens Pass Resort in the State of Washington from Ski Resort Holdings, LLC, an affiliate of Oz Real Estate (“Ski Resort Holdings”), for total cash consideration of $64.0 million, after adjustments for certain agreed-upon terms. The Company borrowed $70.0 million on August 15, 2018 under its Vail Holdings Credit Agreement term loan (see Note 5, Long-Term Debt) to fund the transaction and associated acquisition related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11"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expenses. The acquisition included the mountain operations of the resorts, including base area skier services (food and beverage, retail and rental, lift ticket offices and ski and snowboard school facilities).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preliminary purchase price allocation to estimated fair values of the identifiable assets acquired and liabilities assumed at the date the transaction was effective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540" w:type="dxa"/>
            <w:vAlign w:val="bottom"/>
          </w:tcPr>
          <w:p>
            <w:pPr>
              <w:jc w:val="right"/>
              <w:ind w:right="254"/>
              <w:spacing w:after="0"/>
              <w:rPr>
                <w:sz w:val="20"/>
                <w:szCs w:val="20"/>
                <w:color w:val="auto"/>
              </w:rPr>
            </w:pPr>
            <w:r>
              <w:rPr>
                <w:rFonts w:ascii="Arial" w:cs="Arial" w:eastAsia="Arial" w:hAnsi="Arial"/>
                <w:sz w:val="14"/>
                <w:szCs w:val="14"/>
                <w:b w:val="1"/>
                <w:bCs w:val="1"/>
                <w:color w:val="auto"/>
              </w:rPr>
              <w:t>Acquisition Date</w:t>
            </w:r>
          </w:p>
        </w:tc>
      </w:tr>
      <w:tr>
        <w:trPr>
          <w:trHeight w:val="192"/>
        </w:trPr>
        <w:tc>
          <w:tcPr>
            <w:tcW w:w="598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Estimated Fair Value</w:t>
            </w: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752</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9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34,865</w:t>
            </w:r>
          </w:p>
        </w:tc>
      </w:tr>
      <w:tr>
        <w:trPr>
          <w:trHeight w:val="27"/>
        </w:trPr>
        <w:tc>
          <w:tcPr>
            <w:tcW w:w="59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9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28,878</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Identifiable intangible assets</w:t>
            </w:r>
          </w:p>
        </w:tc>
        <w:tc>
          <w:tcPr>
            <w:tcW w:w="39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2,680</w:t>
            </w:r>
          </w:p>
        </w:tc>
      </w:tr>
      <w:tr>
        <w:trPr>
          <w:trHeight w:val="27"/>
        </w:trPr>
        <w:tc>
          <w:tcPr>
            <w:tcW w:w="59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39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886</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9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(4,026)</w:t>
            </w:r>
          </w:p>
        </w:tc>
      </w:tr>
      <w:tr>
        <w:trPr>
          <w:trHeight w:val="27"/>
        </w:trPr>
        <w:tc>
          <w:tcPr>
            <w:tcW w:w="598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assets acquired</w:t>
            </w:r>
          </w:p>
        </w:tc>
        <w:tc>
          <w:tcPr>
            <w:tcW w:w="3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64,035</w:t>
            </w:r>
          </w:p>
        </w:tc>
      </w:tr>
      <w:tr>
        <w:trPr>
          <w:trHeight w:val="20"/>
        </w:trPr>
        <w:tc>
          <w:tcPr>
            <w:tcW w:w="5980" w:type="dxa"/>
            <w:vAlign w:val="bottom"/>
            <w:tcBorders>
              <w:top w:val="single" w:sz="8" w:color="auto"/>
              <w:bottom w:val="single" w:sz="8" w:color="auto"/>
            </w:tcBorders>
          </w:tcPr>
          <w:p>
            <w:pPr>
              <w:spacing w:after="0" w:line="20" w:lineRule="exact"/>
              <w:rPr>
                <w:sz w:val="1"/>
                <w:szCs w:val="1"/>
                <w:color w:val="auto"/>
              </w:rPr>
            </w:pPr>
          </w:p>
        </w:tc>
        <w:tc>
          <w:tcPr>
            <w:tcW w:w="39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excess of the purchase price over the aggregate estimated fair values of assets acquired and liabilities assumed was recorded as goodwill. The goodwill recognized is attributable primarily to expected synergies, the assembled workforce of Stevens Pass and other factors, and is expected to be deductible for income tax purposes. The Company recognized $1.2 million of acquisition related expenses associated with the transaction within Mountain and Lodging operating expense in its Consolidated Condensed Statement of Operations for the three months ended October 31, 2018. The operating results of Stevens Pass are reported within the Mountain segment prospectively from the date of acquisition.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Okemo Mountain Resort, Crested Butte Resort and Mount Sunapee Resort</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27, 2018, the Company, through a wholly-owned subsidiary, acquired Triple Peaks, LLC (“Triple Peaks”), the parent company of Okemo Mountain Resort in Vermont, Crested Butte Mountain Resort in Colorado, and Mount Sunapee Resort in New Hampshire, for a cash purchase price of approximately $74.4 million, after adjustments for certain agreed-upon terms. In addition, contemporaneous with the closing of the transaction, Triple Peaks paid $155.0 million to pay the remaining obligations of the leases that all three resorts had with Ski Resort Holdings, with funds provided by the Company. Accordingly, the total purchase price, including the repayment of lease obligations, was $229.4 million, for which the Company utilized cash on hand and borrowed $195.6 million under the Vail Holdings Credit Agreement term loan (see Note 5, Long-Term Debt) to fund the transaction and associated acquisition related expenses. The Company obtained a new Special Use Permit from the U.S. Forest Service for Crested Butte, and assumed the state land leases for Okemo and Mount Sunapee. The acquisition included the mountain operations of the resorts, including base area skier services (food and beverage, retail and rental, lift ticket offices and ski and snowboard school facilities).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preliminary purchase price allocation to estimated fair values of the identifiable assets acquired and liabilities assumed at the date the transaction was effective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540" w:type="dxa"/>
            <w:vAlign w:val="bottom"/>
          </w:tcPr>
          <w:p>
            <w:pPr>
              <w:jc w:val="right"/>
              <w:ind w:right="254"/>
              <w:spacing w:after="0"/>
              <w:rPr>
                <w:sz w:val="20"/>
                <w:szCs w:val="20"/>
                <w:color w:val="auto"/>
              </w:rPr>
            </w:pPr>
            <w:r>
              <w:rPr>
                <w:rFonts w:ascii="Arial" w:cs="Arial" w:eastAsia="Arial" w:hAnsi="Arial"/>
                <w:sz w:val="14"/>
                <w:szCs w:val="14"/>
                <w:b w:val="1"/>
                <w:bCs w:val="1"/>
                <w:color w:val="auto"/>
              </w:rPr>
              <w:t>Acquisition Date</w:t>
            </w:r>
          </w:p>
        </w:tc>
      </w:tr>
      <w:tr>
        <w:trPr>
          <w:trHeight w:val="192"/>
        </w:trPr>
        <w:tc>
          <w:tcPr>
            <w:tcW w:w="598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Estimated Fair Value</w:t>
            </w: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5,225</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9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159,799</w:t>
            </w:r>
          </w:p>
        </w:tc>
      </w:tr>
      <w:tr>
        <w:trPr>
          <w:trHeight w:val="27"/>
        </w:trPr>
        <w:tc>
          <w:tcPr>
            <w:tcW w:w="59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9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52,392</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Identifiable intangible assets</w:t>
            </w:r>
          </w:p>
        </w:tc>
        <w:tc>
          <w:tcPr>
            <w:tcW w:w="39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27,661</w:t>
            </w:r>
          </w:p>
        </w:tc>
      </w:tr>
      <w:tr>
        <w:trPr>
          <w:trHeight w:val="27"/>
        </w:trPr>
        <w:tc>
          <w:tcPr>
            <w:tcW w:w="59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39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3,522</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9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(19,238)</w:t>
            </w:r>
          </w:p>
        </w:tc>
      </w:tr>
      <w:tr>
        <w:trPr>
          <w:trHeight w:val="27"/>
        </w:trPr>
        <w:tc>
          <w:tcPr>
            <w:tcW w:w="598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assets acquired</w:t>
            </w:r>
          </w:p>
        </w:tc>
        <w:tc>
          <w:tcPr>
            <w:tcW w:w="3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229,361</w:t>
            </w:r>
          </w:p>
        </w:tc>
      </w:tr>
      <w:tr>
        <w:trPr>
          <w:trHeight w:val="20"/>
        </w:trPr>
        <w:tc>
          <w:tcPr>
            <w:tcW w:w="5980" w:type="dxa"/>
            <w:vAlign w:val="bottom"/>
            <w:tcBorders>
              <w:top w:val="single" w:sz="8" w:color="auto"/>
              <w:bottom w:val="single" w:sz="8" w:color="auto"/>
            </w:tcBorders>
          </w:tcPr>
          <w:p>
            <w:pPr>
              <w:spacing w:after="0" w:line="20" w:lineRule="exact"/>
              <w:rPr>
                <w:sz w:val="1"/>
                <w:szCs w:val="1"/>
                <w:color w:val="auto"/>
              </w:rPr>
            </w:pPr>
          </w:p>
        </w:tc>
        <w:tc>
          <w:tcPr>
            <w:tcW w:w="39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Identifiable intangible assets acquired in the transaction were primarily related to property management contracts and trade names. The excess of the purchase price over the aggregate estimated fair values of assets acquired and liabilities assumed was recorded as goodwill. The goodwill recognized is attributable primarily to expected synergies, the assembled workforce of the resorts and other factors, and is expected to be deductible for income tax purposes. The Company recognized $2.8 million of acquisition related expenses associated with the transaction within Mountain and Lodging operating expense in its Consolidated Condensed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6" w:name="page17"/>
    <w:bookmarkEnd w:id="16"/>
    <w:p>
      <w:pPr>
        <w:jc w:val="both"/>
        <w:ind w:right="20"/>
        <w:spacing w:after="0" w:line="277" w:lineRule="auto"/>
        <w:rPr>
          <w:sz w:val="20"/>
          <w:szCs w:val="20"/>
          <w:color w:val="auto"/>
        </w:rPr>
      </w:pPr>
      <w:r>
        <w:rPr>
          <w:rFonts w:ascii="Arial" w:cs="Arial" w:eastAsia="Arial" w:hAnsi="Arial"/>
          <w:sz w:val="18"/>
          <w:szCs w:val="18"/>
          <w:color w:val="auto"/>
        </w:rPr>
        <w:t>Statement of Operations for the three months ended October 31, 2018. The operating results of Triple Peaks are reported within the Mountain and Lodging segments prospectively from the date of acquisition.</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estimated fair values of assets acquired and liabilities assumed in the acquisitions of Stevens Pass and Triple Peaks are preliminary and are based on the information that was available as of the respective acquisition dates. The Company believes that this information provides a reasonable basis for estimating the fair values of assets acquired and liabilities assumed; however, the Company is obtaining additional information necessary to finalize those estimated fair values. Therefore, the preliminary measurements of estimated fair values reflected are subject to change. The Company expects to finalize the valuation and complete the purchase consideration allocation no later than one year from the acquisition date.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presents the unaudited pro forma consolidated financial information of the Company as if the acquisitions of Stevens Pass and Triple Peaks were completed on August 1, 2017, the beginning of the fiscal year preceding the fiscal year in which the acquisitions occurred. The following unaudited pro forma financial information includes adjustments for (i) depreciation on acquired property, plant and equipment; (ii) amortization of intangible assets recorded at the date of the transactions; (iii) lease expenses incurred by the prior owners which the Company will not be subject to; (iv) transaction and business integration related costs; and (v) interest expense associated with financing the transactions. This unaudited pro forma financial information is presented for informational purposes only and does not purport to be indicative of the results of future operations or the results that would have occurred had the transaction taken place on August 1, 2017 (in thousands, except per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3"/>
          </w:tcPr>
          <w:p>
            <w:pPr>
              <w:jc w:val="right"/>
              <w:ind w:right="914"/>
              <w:spacing w:after="0"/>
              <w:rPr>
                <w:sz w:val="20"/>
                <w:szCs w:val="20"/>
                <w:color w:val="auto"/>
              </w:rPr>
            </w:pPr>
            <w:r>
              <w:rPr>
                <w:rFonts w:ascii="Arial" w:cs="Arial" w:eastAsia="Arial" w:hAnsi="Arial"/>
                <w:sz w:val="14"/>
                <w:szCs w:val="14"/>
                <w:b w:val="1"/>
                <w:bCs w:val="1"/>
                <w:color w:val="auto"/>
              </w:rPr>
              <w:t>Three Months Ended October 31,</w:t>
            </w:r>
          </w:p>
        </w:tc>
      </w:tr>
      <w:tr>
        <w:trPr>
          <w:trHeight w:val="250"/>
        </w:trPr>
        <w:tc>
          <w:tcPr>
            <w:tcW w:w="73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2017</w:t>
            </w: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revenue</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227,529</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235,238</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Pro forma net loss attributable to Vail Resorts, Inc.</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(108,620)</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(35,721)</w:t>
            </w:r>
          </w:p>
        </w:tc>
      </w:tr>
      <w:tr>
        <w:trPr>
          <w:trHeight w:val="27"/>
        </w:trPr>
        <w:tc>
          <w:tcPr>
            <w:tcW w:w="7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basic net loss per share attributable to Vail Resorts, Inc.</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(0.89)</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Pro forma diluted net loss per share attributable to Vail Resorts, Inc.</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(2.68)</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(0.89)</w:t>
            </w:r>
          </w:p>
        </w:tc>
      </w:tr>
      <w:tr>
        <w:trPr>
          <w:trHeight w:val="27"/>
        </w:trPr>
        <w:tc>
          <w:tcPr>
            <w:tcW w:w="7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Supplementary Balance Sheet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property, plant and equipment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9"/>
              </w:rPr>
              <w:t>October 31, 2018</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July 31, 2018</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8"/>
              </w:rPr>
              <w:t>October 31, 2017</w:t>
            </w: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611,155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552,271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550,627</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1,271,375</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1,193,528</w:t>
            </w:r>
          </w:p>
        </w:tc>
        <w:tc>
          <w:tcPr>
            <w:tcW w:w="2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1,186,731</w:t>
            </w:r>
          </w:p>
        </w:tc>
      </w:tr>
      <w:tr>
        <w:trPr>
          <w:trHeight w:val="27"/>
        </w:trPr>
        <w:tc>
          <w:tcPr>
            <w:tcW w:w="6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1,054,610</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1,007,250</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985,639</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295,128</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283,694</w:t>
            </w:r>
          </w:p>
        </w:tc>
        <w:tc>
          <w:tcPr>
            <w:tcW w:w="2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284,815</w:t>
            </w:r>
          </w:p>
        </w:tc>
      </w:tr>
      <w:tr>
        <w:trPr>
          <w:trHeight w:val="27"/>
        </w:trPr>
        <w:tc>
          <w:tcPr>
            <w:tcW w:w="6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113,901</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113,699</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111,440</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Vehicles</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63,346</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60,697</w:t>
            </w:r>
          </w:p>
        </w:tc>
        <w:tc>
          <w:tcPr>
            <w:tcW w:w="2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59,600</w:t>
            </w:r>
          </w:p>
        </w:tc>
      </w:tr>
      <w:tr>
        <w:trPr>
          <w:trHeight w:val="27"/>
        </w:trPr>
        <w:tc>
          <w:tcPr>
            <w:tcW w:w="6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106,378</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59,579</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77,512</w:t>
            </w:r>
          </w:p>
        </w:tc>
      </w:tr>
      <w:tr>
        <w:trPr>
          <w:trHeight w:val="237"/>
        </w:trPr>
        <w:tc>
          <w:tcPr>
            <w:tcW w:w="62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Gross property, plant and equipment</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3,515,893</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3,270,718</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3,256,364</w:t>
            </w:r>
          </w:p>
        </w:tc>
      </w:tr>
      <w:tr>
        <w:trPr>
          <w:trHeight w:val="27"/>
        </w:trPr>
        <w:tc>
          <w:tcPr>
            <w:tcW w:w="6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(1,689,911)</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(1,643,499)</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(1,561,672)</w:t>
            </w:r>
          </w:p>
        </w:tc>
      </w:tr>
      <w:tr>
        <w:trPr>
          <w:trHeight w:val="237"/>
        </w:trPr>
        <w:tc>
          <w:tcPr>
            <w:tcW w:w="62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1,825,982</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1,627,219</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1,694,692</w:t>
            </w:r>
          </w:p>
        </w:tc>
      </w:tr>
      <w:tr>
        <w:trPr>
          <w:trHeight w:val="27"/>
        </w:trPr>
        <w:tc>
          <w:tcPr>
            <w:tcW w:w="6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6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413"/>
        </w:trPr>
        <w:tc>
          <w:tcPr>
            <w:tcW w:w="6240" w:type="dxa"/>
            <w:vAlign w:val="bottom"/>
          </w:tcPr>
          <w:p>
            <w:pPr>
              <w:spacing w:after="0"/>
              <w:rPr>
                <w:sz w:val="20"/>
                <w:szCs w:val="20"/>
                <w:color w:val="auto"/>
              </w:rPr>
            </w:pPr>
            <w:r>
              <w:rPr>
                <w:rFonts w:ascii="Arial" w:cs="Arial" w:eastAsia="Arial" w:hAnsi="Arial"/>
                <w:sz w:val="18"/>
                <w:szCs w:val="18"/>
                <w:color w:val="auto"/>
                <w:w w:val="94"/>
              </w:rPr>
              <w:t>The composition of accounts payable and accrued liabilities follows (in thousands):</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9"/>
        </w:trPr>
        <w:tc>
          <w:tcPr>
            <w:tcW w:w="6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9"/>
              </w:rPr>
              <w:t>October 31, 2018</w:t>
            </w: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July 31, 2018</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8"/>
              </w:rPr>
              <w:t>October 31, 2017</w:t>
            </w: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payables</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118,648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80,793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103,540</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450,300</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282,103</w:t>
            </w:r>
          </w:p>
        </w:tc>
        <w:tc>
          <w:tcPr>
            <w:tcW w:w="2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407,848</w:t>
            </w:r>
          </w:p>
        </w:tc>
      </w:tr>
      <w:tr>
        <w:trPr>
          <w:trHeight w:val="27"/>
        </w:trPr>
        <w:tc>
          <w:tcPr>
            <w:tcW w:w="6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salaries, wages and deferred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20,961</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40,034</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19,699</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Accrued benefits</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30,712</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33,963</w:t>
            </w:r>
          </w:p>
        </w:tc>
        <w:tc>
          <w:tcPr>
            <w:tcW w:w="2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30,317</w:t>
            </w:r>
          </w:p>
        </w:tc>
      </w:tr>
      <w:tr>
        <w:trPr>
          <w:trHeight w:val="27"/>
        </w:trPr>
        <w:tc>
          <w:tcPr>
            <w:tcW w:w="6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Deposits</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34,479</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26,646</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21,017</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48,533</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40,994</w:t>
            </w:r>
          </w:p>
        </w:tc>
        <w:tc>
          <w:tcPr>
            <w:tcW w:w="2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48,046</w:t>
            </w:r>
          </w:p>
        </w:tc>
      </w:tr>
      <w:tr>
        <w:trPr>
          <w:trHeight w:val="27"/>
        </w:trPr>
        <w:tc>
          <w:tcPr>
            <w:tcW w:w="6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6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accounts payable and accrued liabilities</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703,633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504,533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630,467</w:t>
            </w:r>
          </w:p>
        </w:tc>
      </w:tr>
      <w:tr>
        <w:trPr>
          <w:trHeight w:val="20"/>
        </w:trPr>
        <w:tc>
          <w:tcPr>
            <w:tcW w:w="6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6240" w:type="dxa"/>
            <w:vAlign w:val="bottom"/>
          </w:tcPr>
          <w:p>
            <w:pPr>
              <w:ind w:left="5620"/>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composition of other long-term liabilities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9"/>
              </w:rPr>
              <w:t>October 31, 2018</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July 31, 2018</w:t>
            </w: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8"/>
              </w:rPr>
              <w:t>October 31, 2017</w:t>
            </w: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club deferred initiation fee revenue</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112,669</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114,319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117,151</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Unfavorable lease obligation, net</w:t>
            </w:r>
          </w:p>
        </w:tc>
        <w:tc>
          <w:tcPr>
            <w:tcW w:w="1820" w:type="dxa"/>
            <w:vAlign w:val="bottom"/>
          </w:tcPr>
          <w:p>
            <w:pPr>
              <w:spacing w:after="0"/>
              <w:rPr>
                <w:sz w:val="21"/>
                <w:szCs w:val="21"/>
                <w:color w:val="auto"/>
              </w:rPr>
            </w:pP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21,100</w:t>
            </w:r>
          </w:p>
        </w:tc>
        <w:tc>
          <w:tcPr>
            <w:tcW w:w="3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21,839</w:t>
            </w:r>
          </w:p>
        </w:tc>
        <w:tc>
          <w:tcPr>
            <w:tcW w:w="2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23,922</w:t>
            </w:r>
          </w:p>
        </w:tc>
      </w:tr>
      <w:tr>
        <w:trPr>
          <w:trHeight w:val="27"/>
        </w:trPr>
        <w:tc>
          <w:tcPr>
            <w:tcW w:w="4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8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139,797</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155,348</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149,347</w:t>
            </w:r>
          </w:p>
        </w:tc>
      </w:tr>
      <w:tr>
        <w:trPr>
          <w:trHeight w:val="237"/>
        </w:trPr>
        <w:tc>
          <w:tcPr>
            <w:tcW w:w="47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other long-term liabilities</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273,566</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291,506</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290,420</w:t>
            </w:r>
          </w:p>
        </w:tc>
      </w:tr>
      <w:tr>
        <w:trPr>
          <w:trHeight w:val="27"/>
        </w:trPr>
        <w:tc>
          <w:tcPr>
            <w:tcW w:w="47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changes in the net carrying amount of goodwill allocated between the Company’s segments for the three months ended October 31, 2018 are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Mountain</w:t>
            </w:r>
          </w:p>
        </w:tc>
        <w:tc>
          <w:tcPr>
            <w:tcW w:w="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Lodging</w:t>
            </w:r>
          </w:p>
        </w:tc>
        <w:tc>
          <w:tcPr>
            <w:tcW w:w="4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Goodwill, net</w:t>
            </w: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July 31, 2018</w:t>
            </w:r>
          </w:p>
        </w:tc>
        <w:tc>
          <w:tcPr>
            <w:tcW w:w="10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1,407,787</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67,899</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1,475,686</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108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81,270</w:t>
            </w:r>
          </w:p>
        </w:tc>
        <w:tc>
          <w:tcPr>
            <w:tcW w:w="4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81,270</w:t>
            </w:r>
          </w:p>
        </w:tc>
      </w:tr>
      <w:tr>
        <w:trPr>
          <w:trHeight w:val="27"/>
        </w:trPr>
        <w:tc>
          <w:tcPr>
            <w:tcW w:w="4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5"/>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Effects of changes in foreign currency exchange rates</w:t>
            </w:r>
          </w:p>
        </w:tc>
        <w:tc>
          <w:tcPr>
            <w:tcW w:w="10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(13,015)</w:t>
            </w:r>
          </w:p>
        </w:tc>
        <w:tc>
          <w:tcPr>
            <w:tcW w:w="4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(13,015)</w:t>
            </w:r>
          </w:p>
        </w:tc>
      </w:tr>
      <w:tr>
        <w:trPr>
          <w:trHeight w:val="237"/>
        </w:trPr>
        <w:tc>
          <w:tcPr>
            <w:tcW w:w="46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Balance at October 31, 2018</w:t>
            </w:r>
          </w:p>
        </w:tc>
        <w:tc>
          <w:tcPr>
            <w:tcW w:w="10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1,476,042</w:t>
            </w:r>
          </w:p>
        </w:tc>
        <w:tc>
          <w:tcPr>
            <w:tcW w:w="4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67,899</w:t>
            </w:r>
          </w:p>
        </w:tc>
        <w:tc>
          <w:tcPr>
            <w:tcW w:w="4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1,543,941</w:t>
            </w:r>
          </w:p>
        </w:tc>
      </w:tr>
      <w:tr>
        <w:trPr>
          <w:trHeight w:val="27"/>
        </w:trPr>
        <w:tc>
          <w:tcPr>
            <w:tcW w:w="4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4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FASB 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that reflect unadjusted quoted prices in active markets that are accessible to the Company for identical assets or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 Inputs include quoted prices for similar assets and liabilities in active and inactive markets or that are observable for the asset or liability either directly or indirectly;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which are supported by little or no market activity.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0" w:right="2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The table below summarizes the Company’s cash equivalents and Contingent Consideration measured at estimated fair value (all other assets and liabilities measured at fair value are immaterial)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480" w:type="dxa"/>
            <w:vAlign w:val="bottom"/>
            <w:tcBorders>
              <w:bottom w:val="single" w:sz="8" w:color="auto"/>
            </w:tcBorders>
            <w:gridSpan w:val="6"/>
          </w:tcPr>
          <w:p>
            <w:pPr>
              <w:jc w:val="center"/>
              <w:ind w:left="616"/>
              <w:spacing w:after="0"/>
              <w:rPr>
                <w:sz w:val="20"/>
                <w:szCs w:val="20"/>
                <w:color w:val="auto"/>
              </w:rPr>
            </w:pPr>
            <w:r>
              <w:rPr>
                <w:rFonts w:ascii="Arial" w:cs="Arial" w:eastAsia="Arial" w:hAnsi="Arial"/>
                <w:sz w:val="14"/>
                <w:szCs w:val="14"/>
                <w:b w:val="1"/>
                <w:bCs w:val="1"/>
                <w:color w:val="auto"/>
                <w:w w:val="93"/>
              </w:rPr>
              <w:t>Estimated Fair Value Measurement as of October 31, 2018</w:t>
            </w:r>
          </w:p>
        </w:tc>
        <w:tc>
          <w:tcPr>
            <w:tcW w:w="100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3</w:t>
            </w: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Money Market</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3,026</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3,026</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Paper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2,401</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2,401</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10,836</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10,836</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23,033</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23,033</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gridSpan w:val="6"/>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527"/>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6"/>
          </w:tcPr>
          <w:p>
            <w:pPr>
              <w:jc w:val="center"/>
              <w:ind w:left="616"/>
              <w:spacing w:after="0"/>
              <w:rPr>
                <w:sz w:val="20"/>
                <w:szCs w:val="20"/>
                <w:color w:val="auto"/>
              </w:rPr>
            </w:pPr>
            <w:r>
              <w:rPr>
                <w:rFonts w:ascii="Arial" w:cs="Arial" w:eastAsia="Arial" w:hAnsi="Arial"/>
                <w:sz w:val="14"/>
                <w:szCs w:val="14"/>
                <w:b w:val="1"/>
                <w:bCs w:val="1"/>
                <w:color w:val="auto"/>
                <w:w w:val="93"/>
              </w:rPr>
              <w:t>Estimated Fair Value Measurement as of July 31, 2018</w:t>
            </w:r>
          </w:p>
        </w:tc>
        <w:tc>
          <w:tcPr>
            <w:tcW w:w="100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3</w:t>
            </w: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Money Market</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3,021</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3,021</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Paper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2,401</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2,401</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11,249</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11,249</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21,900</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21,900</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gridSpan w:val="6"/>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527"/>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6"/>
          </w:tcPr>
          <w:p>
            <w:pPr>
              <w:jc w:val="center"/>
              <w:ind w:left="616"/>
              <w:spacing w:after="0"/>
              <w:rPr>
                <w:sz w:val="20"/>
                <w:szCs w:val="20"/>
                <w:color w:val="auto"/>
              </w:rPr>
            </w:pPr>
            <w:r>
              <w:rPr>
                <w:rFonts w:ascii="Arial" w:cs="Arial" w:eastAsia="Arial" w:hAnsi="Arial"/>
                <w:sz w:val="14"/>
                <w:szCs w:val="14"/>
                <w:b w:val="1"/>
                <w:bCs w:val="1"/>
                <w:color w:val="auto"/>
                <w:w w:val="93"/>
              </w:rPr>
              <w:t>Estimated Fair Value Measurement as of October 31, 2017</w:t>
            </w:r>
          </w:p>
        </w:tc>
        <w:tc>
          <w:tcPr>
            <w:tcW w:w="100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3</w:t>
            </w: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Money Market</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3,010</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3,010</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Paper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2,401</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2,401</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2,406</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2,406</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23,754</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23,754</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cash equivalents are measured utilizing quoted market prices or pricing models whereby all significant inputs are either observable or corroborated by observable market data.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Contingent Consideration during the three months ended October 31, 2018 and 2017 were as follows (in thousands):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8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31, 2018 and 2017, respectively</w:t>
            </w:r>
          </w:p>
        </w:tc>
        <w:tc>
          <w:tcPr>
            <w:tcW w:w="250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21,900</w:t>
            </w:r>
          </w:p>
        </w:tc>
        <w:tc>
          <w:tcPr>
            <w:tcW w:w="72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27,400</w:t>
            </w:r>
          </w:p>
        </w:tc>
      </w:tr>
      <w:tr>
        <w:trPr>
          <w:trHeight w:val="243"/>
        </w:trPr>
        <w:tc>
          <w:tcPr>
            <w:tcW w:w="5840" w:type="dxa"/>
            <w:vAlign w:val="bottom"/>
          </w:tcPr>
          <w:p>
            <w:pPr>
              <w:ind w:left="280"/>
              <w:spacing w:after="0"/>
              <w:rPr>
                <w:sz w:val="20"/>
                <w:szCs w:val="20"/>
                <w:color w:val="auto"/>
              </w:rPr>
            </w:pPr>
            <w:r>
              <w:rPr>
                <w:rFonts w:ascii="Arial" w:cs="Arial" w:eastAsia="Arial" w:hAnsi="Arial"/>
                <w:sz w:val="18"/>
                <w:szCs w:val="18"/>
                <w:color w:val="auto"/>
              </w:rPr>
              <w:t>Payments</w:t>
            </w:r>
          </w:p>
        </w:tc>
        <w:tc>
          <w:tcPr>
            <w:tcW w:w="25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7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(3,646)</w:t>
            </w:r>
          </w:p>
        </w:tc>
      </w:tr>
      <w:tr>
        <w:trPr>
          <w:trHeight w:val="27"/>
        </w:trPr>
        <w:tc>
          <w:tcPr>
            <w:tcW w:w="58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5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estimated fair value</w:t>
            </w:r>
          </w:p>
        </w:tc>
        <w:tc>
          <w:tcPr>
            <w:tcW w:w="25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1,200</w:t>
            </w:r>
          </w:p>
        </w:tc>
        <w:tc>
          <w:tcPr>
            <w:tcW w:w="7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October 31, 2018 and 2017, respectively</w:t>
            </w:r>
          </w:p>
        </w:tc>
        <w:tc>
          <w:tcPr>
            <w:tcW w:w="25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23,033</w:t>
            </w:r>
          </w:p>
        </w:tc>
        <w:tc>
          <w:tcPr>
            <w:tcW w:w="7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23,754</w:t>
            </w:r>
          </w:p>
        </w:tc>
      </w:tr>
      <w:tr>
        <w:trPr>
          <w:trHeight w:val="27"/>
        </w:trPr>
        <w:tc>
          <w:tcPr>
            <w:tcW w:w="58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lease for Park City provides for participating contingent payments (the “Contingent Consideration”) to the landlord of 42% of the amount by which EBITDA for the Park City resort operations, as calculated under the lease, exceeds approximately $35 million, as established at the transaction date, with such threshold amount subsequently increased annually by an inflation linked index and a 10% adjustment for any capital improvements or investments made under the lease by the Company. The estimated fair value of Contingent Consideration includes the future period resort operations of Park City in the calculation of EBITDA on which participating contingent payments are made, which is determined on the basis of estimated subsequent year performance, escalated by an assumed growth factor. The Company estimated the fair value of the Contingent Consideration payments using an option pricing valuation model. Key assumptions included a discount rate of 11.3%, volatility of 17.5% and future period Park City EBITDA and capital expenditures, which are unobservable inputs and thus are considered Level 3 inputs. The Company prepared a sensitivity analysis to evaluate the effect that changes on certain key assumptions would have on the estimated fair value of the Contingent Consideration. A change in the discount rate of 100 basis points or a 5% change in estimated subsequent</w:t>
      </w:r>
    </w:p>
    <w:p>
      <w:pPr>
        <w:sectPr>
          <w:pgSz w:w="11900" w:h="16838" w:orient="portrait"/>
          <w:cols w:equalWidth="0" w:num="1">
            <w:col w:w="11420"/>
          </w:cols>
          <w:pgMar w:left="240" w:top="584" w:right="239" w:bottom="1440"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584"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color w:val="auto"/>
        </w:rPr>
        <w:t>year performance would result in a change in the estimated fair value within the range of approximately $4.0 million to $5.6 million.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Contingent Consideration is classified as a liability, which is remeasured to fair value at each reporting date until the contingency is resolved. During the three months ended October 31, 2018, the Company made a payment to the landlord for Contingent Consideration of approximately $0.1 million and recorded an increase of approximately $1.2 million primarily related to the estimated Contingent Consideration payment for the fiscal year ending July 31, 2019. These changes resulted in an estimated fair value of the Contingent Consideration of approximately $23.0 million, which is reflected in other long-term liabilities in the Consolidated Condensed Balance Sheet.</w:t>
      </w:r>
    </w:p>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Metropolitan Districts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credit-enhances $6.3 million of bonds issued by Holland Creek Metropolitan District (“HCMD”) through a $6.4 million letter of credit issued under the Vail Holdings Credit Agreement. HCMD’s bonds were issued and used to build infrastructure associated with the Company’s Red Sky Ranch residential development. The Company has agreed to pay capital improvement fees to the Red Sky Ranch Metropolitan District (“RSRMD”) until RSRMD’s revenue streams from property taxes are sufficient to meet debt service requirements under HCMD’s bonds. The Company has recorded a liability of $2.0 million primarily within other long-term liabilities in the accompanying Consolidated Condensed Balance Sheets, as of October 31, 2018, July 31, 2018 and October 31, 2017, respectively, with respect to the estimated present value of future RSRMD capital improvement fees. The Company estimates it will make capital improvement fee payments under this arrangement through the fiscal year ending July 31, 2031.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Guarantees/Indemnifications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October 31, 2018, the Company had various letters of credit outstanding totaling $68.3 million, consisting of $53.4 million to support the Employee Housing Bonds, $9.9 million primarily for workers’ compensation and insurance-related deductibles, and $5.0 million related to the Stevens Pass acquisition. The Company also had surety bonds of $10.4 million as of October 31, 2018, primarily to provide collateral for its U.S. workers compensation self-insurance programs.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Unless otherwise noted, the Company has not recorded any significant liabilities for the letters of credit, indemnities and other guarantees noted above in the accompanying Consolidated Condensed Financial Statements, either because the Company has recorded on its Consolidated Condensed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the Company has entered into strategic long-term season pass alliance agreements with third-party mountain resorts in which the Company has committed to pay minimum revenue guarantees over the remaining terms of these agreements.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Self-Insurance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7, Supplementary Balance Sheet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a party to various lawsuits arising in the ordinary course of business. Management believes the Company has adequate insurance coverage and/or has accrued for all loss contingencies for asserted and unasserted matters deemed to be probable losses and estimable. As of October 31, 2018, July 31, 2018 and October 31, 2017, the accruals for the above loss contingencies were not material individually or in the aggregate.</w:t>
      </w:r>
    </w:p>
    <w:p>
      <w:pPr>
        <w:spacing w:after="0" w:line="16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concessionaire properties, condominium management, Colorado resort ground transportation operations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reports its segment results using Reported EBITDA (defined as segment net revenue less segment operating expenses, plus or minus segment equity investment income or loss, and for the Real Estate segment, plus gain or loss on sale of real property). The Company reports segment results in a manner consistent with management’s internal reporting of operating results to the chief operating decision maker (Chief Executive Officer) for purposes of evaluating segment performance.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Items excluded from Reported EBITDA are significant components in understanding and assessing financial performance. Reported EBITDA should not be considered in isolation or as an alternative to, or substitute for, net income, net change in cash and cash equivalents or other financial statement data presented in the consolidated condensed financial statements as indicators of financial performance or liquidity.</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utilizes Reported EBITDA in evaluating the performance of the Company and in allocating resources to its segments. Mountain Reported EBITDA consists of Mountain net revenue less Mountain operating expense plus or minus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allocated between segments, or used to evaluate performance, except as shown in the table below.</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0" w:right="239" w:bottom="1440" w:gutter="0" w:footer="0" w:header="0"/>
        </w:sectPr>
      </w:pPr>
    </w:p>
    <w:bookmarkStart w:id="21" w:name="page22"/>
    <w:bookmarkEnd w:id="21"/>
    <w:p>
      <w:pPr>
        <w:spacing w:after="0" w:line="277" w:lineRule="auto"/>
        <w:rPr>
          <w:sz w:val="20"/>
          <w:szCs w:val="20"/>
          <w:color w:val="auto"/>
        </w:rPr>
      </w:pPr>
      <w:r>
        <w:rPr>
          <w:rFonts w:ascii="Arial" w:cs="Arial" w:eastAsia="Arial" w:hAnsi="Arial"/>
          <w:sz w:val="18"/>
          <w:szCs w:val="18"/>
          <w:color w:val="auto"/>
        </w:rPr>
        <w:t>The following table presents financial information by reportable segment, which is used by management in evaluating performance and allocating resources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60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b w:val="1"/>
                <w:bCs w:val="1"/>
                <w:color w:val="auto"/>
              </w:rPr>
              <w:t>Three Months Ended October 31,</w:t>
            </w:r>
          </w:p>
        </w:tc>
        <w:tc>
          <w:tcPr>
            <w:tcW w:w="840" w:type="dxa"/>
            <w:vAlign w:val="bottom"/>
            <w:tcBorders>
              <w:bottom w:val="single" w:sz="8" w:color="auto"/>
            </w:tcBorders>
          </w:tcPr>
          <w:p>
            <w:pPr>
              <w:spacing w:after="0"/>
              <w:rPr>
                <w:sz w:val="16"/>
                <w:szCs w:val="16"/>
                <w:color w:val="auto"/>
              </w:rPr>
            </w:pPr>
          </w:p>
        </w:tc>
      </w:tr>
      <w:tr>
        <w:trPr>
          <w:trHeight w:val="264"/>
        </w:trPr>
        <w:tc>
          <w:tcPr>
            <w:tcW w:w="506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2017</w:t>
            </w:r>
          </w:p>
        </w:tc>
        <w:tc>
          <w:tcPr>
            <w:tcW w:w="840" w:type="dxa"/>
            <w:vAlign w:val="bottom"/>
            <w:tcBorders>
              <w:bottom w:val="single" w:sz="8" w:color="auto"/>
            </w:tcBorders>
          </w:tcPr>
          <w:p>
            <w:pPr>
              <w:spacing w:after="0"/>
              <w:rPr>
                <w:sz w:val="22"/>
                <w:szCs w:val="2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19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Lift</w:t>
            </w:r>
          </w:p>
        </w:tc>
        <w:tc>
          <w:tcPr>
            <w:tcW w:w="3240" w:type="dxa"/>
            <w:vAlign w:val="bottom"/>
            <w:gridSpan w:val="2"/>
          </w:tcPr>
          <w:p>
            <w:pPr>
              <w:jc w:val="right"/>
              <w:ind w:right="1128"/>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24,685</w:t>
            </w:r>
          </w:p>
        </w:tc>
        <w:tc>
          <w:tcPr>
            <w:tcW w:w="1380" w:type="dxa"/>
            <w:vAlign w:val="bottom"/>
          </w:tcPr>
          <w:p>
            <w:pPr>
              <w:jc w:val="right"/>
              <w:ind w:right="11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25,468</w:t>
            </w:r>
          </w:p>
        </w:tc>
      </w:tr>
      <w:tr>
        <w:trPr>
          <w:trHeight w:val="27"/>
        </w:trPr>
        <w:tc>
          <w:tcPr>
            <w:tcW w:w="50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Ski school</w:t>
            </w:r>
          </w:p>
        </w:tc>
        <w:tc>
          <w:tcPr>
            <w:tcW w:w="19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4,272</w:t>
            </w:r>
          </w:p>
        </w:tc>
        <w:tc>
          <w:tcPr>
            <w:tcW w:w="1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4,438</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Dining</w:t>
            </w:r>
          </w:p>
        </w:tc>
        <w:tc>
          <w:tcPr>
            <w:tcW w:w="19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18,292</w:t>
            </w:r>
          </w:p>
        </w:tc>
        <w:tc>
          <w:tcPr>
            <w:tcW w:w="1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18,302</w:t>
            </w:r>
          </w:p>
        </w:tc>
      </w:tr>
      <w:tr>
        <w:trPr>
          <w:trHeight w:val="27"/>
        </w:trPr>
        <w:tc>
          <w:tcPr>
            <w:tcW w:w="50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Retail/rental</w:t>
            </w:r>
          </w:p>
        </w:tc>
        <w:tc>
          <w:tcPr>
            <w:tcW w:w="19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43,342</w:t>
            </w:r>
          </w:p>
        </w:tc>
        <w:tc>
          <w:tcPr>
            <w:tcW w:w="1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45,407</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Other</w:t>
            </w:r>
          </w:p>
        </w:tc>
        <w:tc>
          <w:tcPr>
            <w:tcW w:w="19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54,415</w:t>
            </w:r>
          </w:p>
        </w:tc>
        <w:tc>
          <w:tcPr>
            <w:tcW w:w="1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54,510</w:t>
            </w:r>
          </w:p>
        </w:tc>
      </w:tr>
      <w:tr>
        <w:trPr>
          <w:trHeight w:val="27"/>
        </w:trPr>
        <w:tc>
          <w:tcPr>
            <w:tcW w:w="50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19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145,006</w:t>
            </w:r>
          </w:p>
        </w:tc>
        <w:tc>
          <w:tcPr>
            <w:tcW w:w="1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148,125</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Lodging</w:t>
            </w:r>
          </w:p>
        </w:tc>
        <w:tc>
          <w:tcPr>
            <w:tcW w:w="19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74,900</w:t>
            </w:r>
          </w:p>
        </w:tc>
        <w:tc>
          <w:tcPr>
            <w:tcW w:w="1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72,089</w:t>
            </w:r>
          </w:p>
        </w:tc>
      </w:tr>
      <w:tr>
        <w:trPr>
          <w:trHeight w:val="27"/>
        </w:trPr>
        <w:tc>
          <w:tcPr>
            <w:tcW w:w="50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Resort net revenue</w:t>
            </w:r>
          </w:p>
        </w:tc>
        <w:tc>
          <w:tcPr>
            <w:tcW w:w="19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219,906</w:t>
            </w:r>
          </w:p>
        </w:tc>
        <w:tc>
          <w:tcPr>
            <w:tcW w:w="1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220,214</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Real Estate</w:t>
            </w:r>
          </w:p>
        </w:tc>
        <w:tc>
          <w:tcPr>
            <w:tcW w:w="19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98</w:t>
            </w:r>
          </w:p>
        </w:tc>
        <w:tc>
          <w:tcPr>
            <w:tcW w:w="1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636</w:t>
            </w:r>
          </w:p>
        </w:tc>
      </w:tr>
      <w:tr>
        <w:trPr>
          <w:trHeight w:val="27"/>
        </w:trPr>
        <w:tc>
          <w:tcPr>
            <w:tcW w:w="50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w:t>
            </w:r>
          </w:p>
        </w:tc>
        <w:tc>
          <w:tcPr>
            <w:tcW w:w="3240" w:type="dxa"/>
            <w:vAlign w:val="bottom"/>
            <w:tcBorders>
              <w:bottom w:val="single" w:sz="8" w:color="CCEEFF"/>
            </w:tcBorders>
            <w:gridSpan w:val="2"/>
            <w:shd w:val="clear" w:color="auto" w:fill="CCEEFF"/>
          </w:tcPr>
          <w:p>
            <w:pPr>
              <w:jc w:val="right"/>
              <w:ind w:right="112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220,004</w:t>
            </w:r>
          </w:p>
        </w:tc>
        <w:tc>
          <w:tcPr>
            <w:tcW w:w="1380" w:type="dxa"/>
            <w:vAlign w:val="bottom"/>
            <w:tcBorders>
              <w:bottom w:val="single" w:sz="8" w:color="CCEEFF"/>
            </w:tcBorders>
            <w:shd w:val="clear" w:color="auto" w:fill="CCEEFF"/>
          </w:tcPr>
          <w:p>
            <w:pPr>
              <w:jc w:val="right"/>
              <w:ind w:right="111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220,850</w:t>
            </w:r>
          </w:p>
        </w:tc>
      </w:tr>
      <w:tr>
        <w:trPr>
          <w:trHeight w:val="20"/>
        </w:trPr>
        <w:tc>
          <w:tcPr>
            <w:tcW w:w="50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060" w:type="dxa"/>
            <w:vAlign w:val="bottom"/>
          </w:tcPr>
          <w:p>
            <w:pPr>
              <w:ind w:left="40"/>
              <w:spacing w:after="0"/>
              <w:rPr>
                <w:sz w:val="20"/>
                <w:szCs w:val="20"/>
                <w:color w:val="auto"/>
              </w:rPr>
            </w:pPr>
            <w:r>
              <w:rPr>
                <w:rFonts w:ascii="Arial" w:cs="Arial" w:eastAsia="Arial" w:hAnsi="Arial"/>
                <w:sz w:val="18"/>
                <w:szCs w:val="18"/>
                <w:color w:val="auto"/>
              </w:rPr>
              <w:t>Segment operating expense:</w:t>
            </w:r>
          </w:p>
        </w:tc>
        <w:tc>
          <w:tcPr>
            <w:tcW w:w="19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7"/>
        </w:trPr>
        <w:tc>
          <w:tcPr>
            <w:tcW w:w="50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Mountain</w:t>
            </w:r>
          </w:p>
        </w:tc>
        <w:tc>
          <w:tcPr>
            <w:tcW w:w="3240" w:type="dxa"/>
            <w:vAlign w:val="bottom"/>
            <w:tcBorders>
              <w:bottom w:val="single" w:sz="8" w:color="CCEEFF"/>
            </w:tcBorders>
            <w:gridSpan w:val="2"/>
            <w:shd w:val="clear" w:color="auto" w:fill="CCEEFF"/>
          </w:tcPr>
          <w:p>
            <w:pPr>
              <w:jc w:val="right"/>
              <w:ind w:right="112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222,363</w:t>
            </w:r>
          </w:p>
        </w:tc>
        <w:tc>
          <w:tcPr>
            <w:tcW w:w="1380" w:type="dxa"/>
            <w:vAlign w:val="bottom"/>
            <w:tcBorders>
              <w:bottom w:val="single" w:sz="8" w:color="CCEEFF"/>
            </w:tcBorders>
            <w:shd w:val="clear" w:color="auto" w:fill="CCEEFF"/>
          </w:tcPr>
          <w:p>
            <w:pPr>
              <w:jc w:val="right"/>
              <w:ind w:right="111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207,084</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Lodging</w:t>
            </w:r>
          </w:p>
        </w:tc>
        <w:tc>
          <w:tcPr>
            <w:tcW w:w="19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71,004</w:t>
            </w:r>
          </w:p>
        </w:tc>
        <w:tc>
          <w:tcPr>
            <w:tcW w:w="1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67,734</w:t>
            </w:r>
          </w:p>
        </w:tc>
      </w:tr>
      <w:tr>
        <w:trPr>
          <w:trHeight w:val="27"/>
        </w:trPr>
        <w:tc>
          <w:tcPr>
            <w:tcW w:w="50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w:t>
            </w:r>
          </w:p>
        </w:tc>
        <w:tc>
          <w:tcPr>
            <w:tcW w:w="19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293,367</w:t>
            </w:r>
          </w:p>
        </w:tc>
        <w:tc>
          <w:tcPr>
            <w:tcW w:w="1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274,818</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Real Estate, net</w:t>
            </w:r>
          </w:p>
        </w:tc>
        <w:tc>
          <w:tcPr>
            <w:tcW w:w="19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1,370</w:t>
            </w:r>
          </w:p>
        </w:tc>
        <w:tc>
          <w:tcPr>
            <w:tcW w:w="1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1,691</w:t>
            </w:r>
          </w:p>
        </w:tc>
      </w:tr>
      <w:tr>
        <w:trPr>
          <w:trHeight w:val="27"/>
        </w:trPr>
        <w:tc>
          <w:tcPr>
            <w:tcW w:w="50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operating expense</w:t>
            </w:r>
          </w:p>
        </w:tc>
        <w:tc>
          <w:tcPr>
            <w:tcW w:w="3240" w:type="dxa"/>
            <w:vAlign w:val="bottom"/>
            <w:tcBorders>
              <w:bottom w:val="single" w:sz="8" w:color="CCEEFF"/>
            </w:tcBorders>
            <w:gridSpan w:val="2"/>
            <w:shd w:val="clear" w:color="auto" w:fill="CCEEFF"/>
          </w:tcPr>
          <w:p>
            <w:pPr>
              <w:jc w:val="right"/>
              <w:ind w:right="112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294,737</w:t>
            </w:r>
          </w:p>
        </w:tc>
        <w:tc>
          <w:tcPr>
            <w:tcW w:w="1380" w:type="dxa"/>
            <w:vAlign w:val="bottom"/>
            <w:tcBorders>
              <w:bottom w:val="single" w:sz="8" w:color="CCEEFF"/>
            </w:tcBorders>
            <w:shd w:val="clear" w:color="auto" w:fill="CCEEFF"/>
          </w:tcPr>
          <w:p>
            <w:pPr>
              <w:jc w:val="right"/>
              <w:ind w:right="111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276,509</w:t>
            </w:r>
          </w:p>
        </w:tc>
      </w:tr>
      <w:tr>
        <w:trPr>
          <w:trHeight w:val="20"/>
        </w:trPr>
        <w:tc>
          <w:tcPr>
            <w:tcW w:w="50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060" w:type="dxa"/>
            <w:vAlign w:val="bottom"/>
          </w:tcPr>
          <w:p>
            <w:pPr>
              <w:ind w:left="40"/>
              <w:spacing w:after="0"/>
              <w:rPr>
                <w:sz w:val="20"/>
                <w:szCs w:val="20"/>
                <w:color w:val="auto"/>
              </w:rPr>
            </w:pPr>
            <w:r>
              <w:rPr>
                <w:rFonts w:ascii="Arial" w:cs="Arial" w:eastAsia="Arial" w:hAnsi="Arial"/>
                <w:sz w:val="18"/>
                <w:szCs w:val="18"/>
                <w:color w:val="auto"/>
              </w:rPr>
              <w:t>Mountain equity investment income, net</w:t>
            </w:r>
          </w:p>
        </w:tc>
        <w:tc>
          <w:tcPr>
            <w:tcW w:w="3240" w:type="dxa"/>
            <w:vAlign w:val="bottom"/>
            <w:gridSpan w:val="2"/>
          </w:tcPr>
          <w:p>
            <w:pPr>
              <w:jc w:val="right"/>
              <w:ind w:right="1128"/>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950</w:t>
            </w:r>
          </w:p>
        </w:tc>
        <w:tc>
          <w:tcPr>
            <w:tcW w:w="1380" w:type="dxa"/>
            <w:vAlign w:val="bottom"/>
          </w:tcPr>
          <w:p>
            <w:pPr>
              <w:jc w:val="right"/>
              <w:ind w:right="11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522</w:t>
            </w:r>
          </w:p>
        </w:tc>
      </w:tr>
      <w:tr>
        <w:trPr>
          <w:trHeight w:val="27"/>
        </w:trPr>
        <w:tc>
          <w:tcPr>
            <w:tcW w:w="50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EBITDA:</w:t>
            </w:r>
          </w:p>
        </w:tc>
        <w:tc>
          <w:tcPr>
            <w:tcW w:w="19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Mountain</w:t>
            </w:r>
          </w:p>
        </w:tc>
        <w:tc>
          <w:tcPr>
            <w:tcW w:w="3240" w:type="dxa"/>
            <w:vAlign w:val="bottom"/>
            <w:gridSpan w:val="2"/>
          </w:tcPr>
          <w:p>
            <w:pPr>
              <w:jc w:val="right"/>
              <w:ind w:right="1128"/>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(76,407)</w:t>
            </w:r>
          </w:p>
        </w:tc>
        <w:tc>
          <w:tcPr>
            <w:tcW w:w="1380" w:type="dxa"/>
            <w:vAlign w:val="bottom"/>
          </w:tcPr>
          <w:p>
            <w:pPr>
              <w:jc w:val="right"/>
              <w:ind w:right="111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(58,437)</w:t>
            </w:r>
          </w:p>
        </w:tc>
      </w:tr>
      <w:tr>
        <w:trPr>
          <w:trHeight w:val="27"/>
        </w:trPr>
        <w:tc>
          <w:tcPr>
            <w:tcW w:w="50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Lodging</w:t>
            </w:r>
          </w:p>
        </w:tc>
        <w:tc>
          <w:tcPr>
            <w:tcW w:w="19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3,896</w:t>
            </w:r>
          </w:p>
        </w:tc>
        <w:tc>
          <w:tcPr>
            <w:tcW w:w="1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4,355</w:t>
            </w:r>
          </w:p>
        </w:tc>
      </w:tr>
      <w:tr>
        <w:trPr>
          <w:trHeight w:val="237"/>
        </w:trPr>
        <w:tc>
          <w:tcPr>
            <w:tcW w:w="5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Resort</w:t>
            </w:r>
          </w:p>
        </w:tc>
        <w:tc>
          <w:tcPr>
            <w:tcW w:w="19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(72,511)</w:t>
            </w:r>
          </w:p>
        </w:tc>
        <w:tc>
          <w:tcPr>
            <w:tcW w:w="1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(54,082)</w:t>
            </w:r>
          </w:p>
        </w:tc>
      </w:tr>
      <w:tr>
        <w:trPr>
          <w:trHeight w:val="27"/>
        </w:trPr>
        <w:tc>
          <w:tcPr>
            <w:tcW w:w="50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w:t>
            </w:r>
          </w:p>
        </w:tc>
        <w:tc>
          <w:tcPr>
            <w:tcW w:w="19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(1,272)</w:t>
            </w:r>
          </w:p>
        </w:tc>
        <w:tc>
          <w:tcPr>
            <w:tcW w:w="1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r>
      <w:tr>
        <w:trPr>
          <w:trHeight w:val="237"/>
        </w:trPr>
        <w:tc>
          <w:tcPr>
            <w:tcW w:w="5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Reported EBITDA</w:t>
            </w:r>
          </w:p>
        </w:tc>
        <w:tc>
          <w:tcPr>
            <w:tcW w:w="3240" w:type="dxa"/>
            <w:vAlign w:val="bottom"/>
            <w:tcBorders>
              <w:top w:val="single" w:sz="8" w:color="auto"/>
            </w:tcBorders>
            <w:gridSpan w:val="2"/>
          </w:tcPr>
          <w:p>
            <w:pPr>
              <w:jc w:val="right"/>
              <w:ind w:right="1128"/>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(73,783)</w:t>
            </w:r>
          </w:p>
        </w:tc>
        <w:tc>
          <w:tcPr>
            <w:tcW w:w="1380" w:type="dxa"/>
            <w:vAlign w:val="bottom"/>
            <w:tcBorders>
              <w:top w:val="single" w:sz="8" w:color="auto"/>
            </w:tcBorders>
          </w:tcPr>
          <w:p>
            <w:pPr>
              <w:jc w:val="right"/>
              <w:ind w:right="1112"/>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(55,137)</w:t>
            </w:r>
          </w:p>
        </w:tc>
      </w:tr>
      <w:tr>
        <w:trPr>
          <w:trHeight w:val="67"/>
        </w:trPr>
        <w:tc>
          <w:tcPr>
            <w:tcW w:w="506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r>
      <w:tr>
        <w:trPr>
          <w:trHeight w:val="231"/>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3240" w:type="dxa"/>
            <w:vAlign w:val="bottom"/>
            <w:tcBorders>
              <w:bottom w:val="single" w:sz="8" w:color="CCEEFF"/>
            </w:tcBorders>
            <w:gridSpan w:val="2"/>
            <w:shd w:val="clear" w:color="auto" w:fill="CCEEFF"/>
          </w:tcPr>
          <w:p>
            <w:pPr>
              <w:jc w:val="right"/>
              <w:ind w:right="112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101,743</w:t>
            </w:r>
          </w:p>
        </w:tc>
        <w:tc>
          <w:tcPr>
            <w:tcW w:w="1380" w:type="dxa"/>
            <w:vAlign w:val="bottom"/>
            <w:tcBorders>
              <w:bottom w:val="single" w:sz="8" w:color="CCEEFF"/>
            </w:tcBorders>
            <w:shd w:val="clear" w:color="auto" w:fill="CCEEFF"/>
          </w:tcPr>
          <w:p>
            <w:pPr>
              <w:jc w:val="right"/>
              <w:ind w:right="111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102,697</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Reconciliation to net loss attributable to Vail Resorts, Inc.:</w:t>
            </w:r>
          </w:p>
        </w:tc>
        <w:tc>
          <w:tcPr>
            <w:tcW w:w="19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Reported EBITDA</w:t>
            </w:r>
          </w:p>
        </w:tc>
        <w:tc>
          <w:tcPr>
            <w:tcW w:w="3240" w:type="dxa"/>
            <w:vAlign w:val="bottom"/>
            <w:tcBorders>
              <w:bottom w:val="single" w:sz="8" w:color="CCEEFF"/>
            </w:tcBorders>
            <w:gridSpan w:val="2"/>
            <w:shd w:val="clear" w:color="auto" w:fill="CCEEFF"/>
          </w:tcPr>
          <w:p>
            <w:pPr>
              <w:jc w:val="right"/>
              <w:ind w:right="112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(73,783)</w:t>
            </w:r>
          </w:p>
        </w:tc>
        <w:tc>
          <w:tcPr>
            <w:tcW w:w="1380" w:type="dxa"/>
            <w:vAlign w:val="bottom"/>
            <w:tcBorders>
              <w:bottom w:val="single" w:sz="8" w:color="CCEEFF"/>
            </w:tcBorders>
            <w:shd w:val="clear" w:color="auto" w:fill="CCEEFF"/>
          </w:tcPr>
          <w:p>
            <w:pPr>
              <w:jc w:val="right"/>
              <w:ind w:right="111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(55,137)</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9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(51,043)</w:t>
            </w:r>
          </w:p>
        </w:tc>
        <w:tc>
          <w:tcPr>
            <w:tcW w:w="1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(48,624)</w:t>
            </w:r>
          </w:p>
        </w:tc>
      </w:tr>
      <w:tr>
        <w:trPr>
          <w:trHeight w:val="27"/>
        </w:trPr>
        <w:tc>
          <w:tcPr>
            <w:tcW w:w="50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estimated fair value of contingent consideration</w:t>
            </w:r>
          </w:p>
        </w:tc>
        <w:tc>
          <w:tcPr>
            <w:tcW w:w="19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c>
          <w:tcPr>
            <w:tcW w:w="1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(Loss) gain on disposal of fixed assets and other, net</w:t>
            </w:r>
          </w:p>
        </w:tc>
        <w:tc>
          <w:tcPr>
            <w:tcW w:w="19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(619)</w:t>
            </w:r>
          </w:p>
        </w:tc>
        <w:tc>
          <w:tcPr>
            <w:tcW w:w="1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567</w:t>
            </w:r>
          </w:p>
        </w:tc>
      </w:tr>
      <w:tr>
        <w:trPr>
          <w:trHeight w:val="27"/>
        </w:trPr>
        <w:tc>
          <w:tcPr>
            <w:tcW w:w="50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income and other, net</w:t>
            </w:r>
          </w:p>
        </w:tc>
        <w:tc>
          <w:tcPr>
            <w:tcW w:w="19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463</w:t>
            </w:r>
          </w:p>
        </w:tc>
        <w:tc>
          <w:tcPr>
            <w:tcW w:w="1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Foreign currency loss on intercompany loans</w:t>
            </w:r>
          </w:p>
        </w:tc>
        <w:tc>
          <w:tcPr>
            <w:tcW w:w="19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(2,311)</w:t>
            </w:r>
          </w:p>
        </w:tc>
        <w:tc>
          <w:tcPr>
            <w:tcW w:w="1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(7,346)</w:t>
            </w:r>
          </w:p>
        </w:tc>
      </w:tr>
      <w:tr>
        <w:trPr>
          <w:trHeight w:val="27"/>
        </w:trPr>
        <w:tc>
          <w:tcPr>
            <w:tcW w:w="50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19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(18,638)</w:t>
            </w:r>
          </w:p>
        </w:tc>
        <w:tc>
          <w:tcPr>
            <w:tcW w:w="1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(15,174)</w:t>
            </w:r>
          </w:p>
        </w:tc>
      </w:tr>
      <w:tr>
        <w:trPr>
          <w:trHeight w:val="237"/>
        </w:trPr>
        <w:tc>
          <w:tcPr>
            <w:tcW w:w="5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Loss before benefit from income taxes</w:t>
            </w:r>
          </w:p>
        </w:tc>
        <w:tc>
          <w:tcPr>
            <w:tcW w:w="19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(147,131)</w:t>
            </w:r>
          </w:p>
        </w:tc>
        <w:tc>
          <w:tcPr>
            <w:tcW w:w="1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(125,331)</w:t>
            </w:r>
          </w:p>
        </w:tc>
      </w:tr>
      <w:tr>
        <w:trPr>
          <w:trHeight w:val="27"/>
        </w:trPr>
        <w:tc>
          <w:tcPr>
            <w:tcW w:w="50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 from income taxes</w:t>
            </w:r>
          </w:p>
        </w:tc>
        <w:tc>
          <w:tcPr>
            <w:tcW w:w="19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36,405</w:t>
            </w:r>
          </w:p>
        </w:tc>
        <w:tc>
          <w:tcPr>
            <w:tcW w:w="1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93,404</w:t>
            </w:r>
          </w:p>
        </w:tc>
      </w:tr>
      <w:tr>
        <w:trPr>
          <w:trHeight w:val="237"/>
        </w:trPr>
        <w:tc>
          <w:tcPr>
            <w:tcW w:w="5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loss</w:t>
            </w:r>
          </w:p>
        </w:tc>
        <w:tc>
          <w:tcPr>
            <w:tcW w:w="19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(110,726)</w:t>
            </w:r>
          </w:p>
        </w:tc>
        <w:tc>
          <w:tcPr>
            <w:tcW w:w="1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(31,927)</w:t>
            </w:r>
          </w:p>
        </w:tc>
      </w:tr>
      <w:tr>
        <w:trPr>
          <w:trHeight w:val="27"/>
        </w:trPr>
        <w:tc>
          <w:tcPr>
            <w:tcW w:w="50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attributable to noncontrolling interests</w:t>
            </w:r>
          </w:p>
        </w:tc>
        <w:tc>
          <w:tcPr>
            <w:tcW w:w="19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2,931</w:t>
            </w:r>
          </w:p>
        </w:tc>
        <w:tc>
          <w:tcPr>
            <w:tcW w:w="1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3,542</w:t>
            </w:r>
          </w:p>
        </w:tc>
      </w:tr>
      <w:tr>
        <w:trPr>
          <w:trHeight w:val="237"/>
        </w:trPr>
        <w:tc>
          <w:tcPr>
            <w:tcW w:w="5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loss attributable to Vail Resorts, Inc.</w:t>
            </w:r>
          </w:p>
        </w:tc>
        <w:tc>
          <w:tcPr>
            <w:tcW w:w="3240" w:type="dxa"/>
            <w:vAlign w:val="bottom"/>
            <w:tcBorders>
              <w:top w:val="single" w:sz="8" w:color="auto"/>
            </w:tcBorders>
            <w:gridSpan w:val="2"/>
          </w:tcPr>
          <w:p>
            <w:pPr>
              <w:jc w:val="right"/>
              <w:ind w:right="1128"/>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(107,795)</w:t>
            </w:r>
          </w:p>
        </w:tc>
        <w:tc>
          <w:tcPr>
            <w:tcW w:w="1380" w:type="dxa"/>
            <w:vAlign w:val="bottom"/>
            <w:tcBorders>
              <w:top w:val="single" w:sz="8" w:color="auto"/>
            </w:tcBorders>
          </w:tcPr>
          <w:p>
            <w:pPr>
              <w:jc w:val="right"/>
              <w:ind w:right="1112"/>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(28,385)</w:t>
            </w:r>
          </w:p>
        </w:tc>
      </w:tr>
      <w:tr>
        <w:trPr>
          <w:trHeight w:val="27"/>
        </w:trPr>
        <w:tc>
          <w:tcPr>
            <w:tcW w:w="50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656"/>
        </w:trPr>
        <w:tc>
          <w:tcPr>
            <w:tcW w:w="5060" w:type="dxa"/>
            <w:vAlign w:val="bottom"/>
          </w:tcPr>
          <w:p>
            <w:pPr>
              <w:spacing w:after="0"/>
              <w:rPr>
                <w:sz w:val="24"/>
                <w:szCs w:val="24"/>
                <w:color w:val="auto"/>
              </w:rPr>
            </w:pPr>
          </w:p>
        </w:tc>
        <w:tc>
          <w:tcPr>
            <w:tcW w:w="1920" w:type="dxa"/>
            <w:vAlign w:val="bottom"/>
          </w:tcPr>
          <w:p>
            <w:pPr>
              <w:jc w:val="right"/>
              <w:ind w:right="1091"/>
              <w:spacing w:after="0"/>
              <w:rPr>
                <w:sz w:val="20"/>
                <w:szCs w:val="20"/>
                <w:color w:val="auto"/>
              </w:rPr>
            </w:pPr>
            <w:r>
              <w:rPr>
                <w:rFonts w:ascii="Arial" w:cs="Arial" w:eastAsia="Arial" w:hAnsi="Arial"/>
                <w:sz w:val="18"/>
                <w:szCs w:val="18"/>
                <w:color w:val="auto"/>
              </w:rPr>
              <w:t>21</w:t>
            </w: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22" w:name="page23"/>
    <w:bookmarkEnd w:id="22"/>
    <w:p>
      <w:pPr>
        <w:ind w:left="440" w:hanging="432"/>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March 9, 2006, the Company’s Board of Directors approved a share repurchase program, authorizing the Company to repurchase up to 3,000,000 Vail Shares. On July 16, 2008, the Company’s Board of Directors increased the authorization by an additional 3,000,000 Vail Shares, and on December 4, 2015, the Company’s Board of Directors increased the authorization by an additional 1,500,000 Vail Shares for a total authorization to repurchase up to 7,500,000 Vail Shares. The Company repurchased 197,896 Vail Shares (at a total cost of approximately $50.0 million) during the three months ended October 31, 2018. The Company did not repurchase any Vail Shares during the three months ended October 31, 2017. Since inception of its share repurchase program through October 31, 2018, the Company has repurchased 5,749,612 Vail Shares for approximately $323.0 million. As of October 31, 2018, 1,750,388 Vail Shares remained available to repurchase under the existing share repurchase program, which has no expiration date. Vail Shares purchased pursuant to the repurchase program will be held as treasury shares and may be used for the issuance of Vail Shares under the Company’s employee share award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Inc., together with its subsidiaries, is referred to throughout this Quarterly Report on Form 10-Q for the period ended October 31, 2018 (“Form 10-Q”) as “we,” “us,” “our” or the “Company.”</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should be read in conjunction with our Annual Report on Form 10-K for the fiscal year ended July 31, 2018 (“Form 10-K”) and the Consolidated Condensed Financial Statements as of October 31, 2018 and 2017 and for the three months then ended,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See “Forward-Looking Statements” below. These risks include, but are not limited to, those discussed in our filings with the Securities and Exchange Commission (“SEC”), including the risks described in Item 1A “Risk Factors” of Part I of our Form 10-K, which was filed on September 28, 2018.</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MD&amp;A includes discussion of financial performance within each of our three segments. We have chosen to specifically include Reported EBITDA (defined as segment net revenue less segment operating expense, plus or minus segment equity investment income or loss and for the Real Estate segment, plus gain or loss on sale of real property) and Net Debt (defined as long-term debt, net plus long-term debt due within one year less cash and cash equivalents), in the following discussion because we consider these measurements to be significant indications of our financial performance and available capital resources. Resort Reported EBITDA, Total Reported EBITDA and Net Debt are not measures of financial performance or liquidity under generally accepted accounting principles (“GAAP”). We utilize segment Reported EBITDA in evaluating our performance and in allocating resources to our segments. We also believe that Net Debt is an important measurement as it is an indicator of our ability to obtain additional capital resources for our future cash needs. Refer to the end of the Results of Operations section for a reconciliation of Reported EBITDA to net loss attributable to Vail Resorts, Inc. and Net Debt to long-term debt, net.</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Items excluded from Reported EBITDA and Net Debt are significant components in understanding and assessing financial performance or liquidity. Reported EBITDA and Net Debt should not be considered in isolation or as an alternative to, or substitute for, net income (loss), net change in cash and cash equivalents or other financial statement data presented in the Consolidated Condensed Financial Statements as indicators of financial performance or liquidity.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 segment profit or loss required to be disclosed in accordance with GAAP, may not be comparable to other similarly titled measures of other companies.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operations are grouped into three integrated and interdependent segments: Mountain, Lodging and Real Estate. We refer to “Resort” as the combination of the Mountain and Lodging segments.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Mountain segment is comprised of the operations of the following fifteen mountain resort properties and three urban ski areas: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3"/>
          </w:tcPr>
          <w:p>
            <w:pPr>
              <w:ind w:left="40"/>
              <w:spacing w:after="0"/>
              <w:rPr>
                <w:sz w:val="20"/>
                <w:szCs w:val="20"/>
                <w:color w:val="auto"/>
              </w:rPr>
            </w:pPr>
            <w:r>
              <w:rPr>
                <w:rFonts w:ascii="Arial" w:cs="Arial" w:eastAsia="Arial" w:hAnsi="Arial"/>
                <w:sz w:val="18"/>
                <w:szCs w:val="18"/>
                <w:b w:val="1"/>
                <w:bCs w:val="1"/>
                <w:color w:val="auto"/>
              </w:rPr>
              <w:t>Mountain Resorts:</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Vail Mountain Resort (“Vail Mountain”)</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Breckenridge Ski Resort (“Breckenridge”)</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Keystone Resort (“Keystone”)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4.</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Beaver Creek Resort (“Beaver Creek”)</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Crested Butte Mountain Resort (“Crested Butte”)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6.</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Heavenly Mountain Resort (“Heavenly”)</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Lake Tahoe area of Nevada and California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Northstar Resort (“Northstar”)</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8.</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Kirkwood Mountain Resort (“Kirkwood”)</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Mount Sunapee Mountain Resort (“Mount Sunapee”)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New Hampshire</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10.</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Park City Resort (“Park City”)</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Utah</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Stowe Mountain Resort (“Stowe”)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Vermont</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12.</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Okemo Mountain Resort (“Okemo”)</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Vermont</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Stevens Pass Mountain Resort (“Stevens Pass”)</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Washington</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14.</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Whistler Blackcomb Resort (“Whistler Blackcomb”)</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British Columbia, Canada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Perisher Ski Resort (“Perisher”)</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New South Wales, Australia</w:t>
            </w:r>
          </w:p>
        </w:tc>
      </w:tr>
      <w:tr>
        <w:trPr>
          <w:trHeight w:val="243"/>
        </w:trPr>
        <w:tc>
          <w:tcPr>
            <w:tcW w:w="7320" w:type="dxa"/>
            <w:vAlign w:val="bottom"/>
            <w:gridSpan w:val="3"/>
          </w:tcPr>
          <w:p>
            <w:pPr>
              <w:ind w:left="40"/>
              <w:spacing w:after="0"/>
              <w:rPr>
                <w:sz w:val="20"/>
                <w:szCs w:val="20"/>
                <w:color w:val="auto"/>
              </w:rPr>
            </w:pPr>
            <w:r>
              <w:rPr>
                <w:rFonts w:ascii="Arial" w:cs="Arial" w:eastAsia="Arial" w:hAnsi="Arial"/>
                <w:sz w:val="18"/>
                <w:szCs w:val="18"/>
                <w:b w:val="1"/>
                <w:bCs w:val="1"/>
                <w:color w:val="auto"/>
              </w:rPr>
              <w:t>Urban Ski Areas:</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Afton Alps Ski Area (“Afton Alps”)</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Minnesota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Mount Brighton Ski Area (“Mt. Brighton”)</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Michigan</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43"/>
        </w:trPr>
        <w:tc>
          <w:tcPr>
            <w:tcW w:w="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6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Wilmot Mountain (“Wilmot”)</w:t>
            </w:r>
          </w:p>
        </w:tc>
        <w:tc>
          <w:tcPr>
            <w:tcW w:w="41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Wisconsin</w:t>
            </w:r>
          </w:p>
        </w:tc>
      </w:tr>
      <w:tr>
        <w:trPr>
          <w:trHeight w:val="27"/>
        </w:trPr>
        <w:tc>
          <w:tcPr>
            <w:tcW w:w="460" w:type="dxa"/>
            <w:vAlign w:val="bottom"/>
            <w:shd w:val="clear" w:color="auto" w:fill="CCEEFF"/>
          </w:tcPr>
          <w:p>
            <w:pPr>
              <w:spacing w:after="0"/>
              <w:rPr>
                <w:sz w:val="2"/>
                <w:szCs w:val="2"/>
                <w:color w:val="auto"/>
              </w:rPr>
            </w:pPr>
          </w:p>
        </w:tc>
        <w:tc>
          <w:tcPr>
            <w:tcW w:w="6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Additionally, we operate ancillary services, primarily including ski school, dining and retail/rental operations, and for Perisher, including lodging and transportation operations. Mountain segment revenue is seasonal, with the majority of revenue earned from our North American mountain resorts and ski areas occurring in our second and third fiscal quarters and the majority of revenue earned from Perisher occurring in our first and fourth fiscal quarters. Our North American mountain resorts are typically open for business from mid-November through mid-April, which is the peak operating season for the Mountain segment, and Perisher is typically open for business from June to early October. Consequently, our first fiscal quarter is a seasonally low period as our North American ski operations are generally not open for business until our second fiscal quarter, while the activity of Perisher’s peak season and our North American summer operating results are not sufficient to offset the losses incurred during the seasonally low periods at our North American mountain resorts and ski areas. Revenue of the Mountain segment during the first fiscal quarter is primarily generated from summer and group related visitation at our North American mountain resorts, retail/rental operations and winter season Perisher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Operations within the Lodging segment include: (i) ownership/management of a group of luxury hotels through the RockResorts brand proximate to our Colorado and Utah mountain resorts; (ii) ownership/management of non-RockResorts branded hotels and condominiums proximate to our North American mountain resorts; (iii) National Park Service (“NPS”) concessionaire properties including the Grand Teton Lodge Company (“GTLC”); (iv) a Colorado resort ground transportation company; and (v) mountain resort golf courses.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Revenue of the lodging segment during our first fiscal quarter is generated primarily by the operations of our NPS concessionaire properties (as their peak operating season generally occurs during the months of June to October), as well as golf operations and seasonally low operations from our other owned and managed properties and businesses. Lodging properties (including managed condominium rooms) at or around our mountain resorts, and our Colorado resort ground transportation company, are closely aligned with the performance of the Mountain segment and generally experience similar seasonal trends.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as such the revenue and corresponding expense do not affect our Lodging Reported EBITDA, which we use to evaluate Lodging segment performance.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Additionally,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Risks and Uncertainties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Together with those risk factors we have identified in our Form 10-K, we have identified the following important factors (as well as risks and uncertainties associated with such factors) that could impact our future financial performance or condition:</w:t>
      </w:r>
    </w:p>
    <w:p>
      <w:pPr>
        <w:spacing w:after="0" w:line="170" w:lineRule="exact"/>
        <w:rPr>
          <w:sz w:val="20"/>
          <w:szCs w:val="20"/>
          <w:color w:val="auto"/>
        </w:rPr>
      </w:pPr>
    </w:p>
    <w:p>
      <w:pPr>
        <w:jc w:val="both"/>
        <w:ind w:left="640" w:hanging="321"/>
        <w:spacing w:after="0" w:line="269"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timing and amount of snowfall can have an impact on Mountain and Lodging revenue, particularly in regards to skier visits and the duration and frequency of guest visitation. To help mitigate this impact, we sell a variety of pass products prior to the beginning of the ski season resulting in a more stabilized stream of lift revenue. Additionally, our pass products provide a compelling value proposition to our guests, which in turn create a guest commitment predominately prior to the start of the ski season. Through December 2, 2018, North American ski season pass sales increased approximately 21% in units and 13% in sales dollars as compared to the prior year period ended December 3, 2017, including all military pass sales and pass sales from Stevens Pass and Triple Peaks in both periods and adjusted to eliminate the impact of foreign currency by applying an exchange rate of $0.77 between the Canadian dollar and U.S. dollar to the current period and prior period for Whistler Blackcomb pass sales. Growth in our total season pass sales dollars was lower than our unit growth, given the inclusion of the new Military Epic Pass, which is available at a substantial discount to our Epic Pass. The average price increase on all non-military passes was approximately 3.3%. Excluding sales of military passes to new purchasers who were not pass holders last year, season pass sales increased approximately 8% in units and 10% in sales dollars over the comparable prior year period. We cannot predict the ultimate impact that season pass sales will have on total lift revenue or effective ticket price for the 2018/2019 North American ski season.</w:t>
      </w:r>
    </w:p>
    <w:p>
      <w:pPr>
        <w:spacing w:after="0" w:line="179" w:lineRule="exact"/>
        <w:rPr>
          <w:rFonts w:ascii="Arial" w:cs="Arial" w:eastAsia="Arial" w:hAnsi="Arial"/>
          <w:sz w:val="17"/>
          <w:szCs w:val="17"/>
          <w:color w:val="auto"/>
        </w:rPr>
      </w:pPr>
    </w:p>
    <w:p>
      <w:pPr>
        <w:jc w:val="both"/>
        <w:ind w:left="640" w:hanging="321"/>
        <w:spacing w:after="0" w:line="255"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Key North American economic indicators have remained steady into 2018, including strong consumer confidence and declines in the unemployment rate. However, the growth in the North American economy may be impacted by economic challenges in North America or declining or slowing growth in economies outside of North America, accompanied by devaluation of currencies, rising inflation, trade tariffs and lower commodity prices. Given these economic uncertainties, we cannot predict what the impact of the overall North American or global economy will be on overall travel and leisure spending or more specifically, on our guest visitation, guest spending or other related trends for the upcoming 2018/2019 North American ski season.</w:t>
      </w:r>
    </w:p>
    <w:p>
      <w:pPr>
        <w:spacing w:after="0" w:line="193" w:lineRule="exact"/>
        <w:rPr>
          <w:rFonts w:ascii="Arial" w:cs="Arial" w:eastAsia="Arial" w:hAnsi="Arial"/>
          <w:sz w:val="18"/>
          <w:szCs w:val="18"/>
          <w:color w:val="auto"/>
        </w:rPr>
      </w:pPr>
    </w:p>
    <w:p>
      <w:pPr>
        <w:jc w:val="both"/>
        <w:ind w:left="640" w:hanging="321"/>
        <w:spacing w:after="0" w:line="273"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As of October 31, 2018, we had $206.0 million available under the revolver component of our Eighth Amended and Restated Credit Agreement, dated as of August 15, 2018 (the “Vail Holdings Credit Agreement”), which represents the total commitment of $400.0 million less outstanding borrowings of $120.0 million and certain letters of credit outstanding of $74.0 million. Additionally, we have a credit facility which supports the liquidity needs of Whistler Blackcomb (the “Whistler Credit Agreement”). As of October 31, 2018 we had C$204.1 million ($155.1 million) available under the revolver component of the Whistler Credit Agreement (which represents the total commitment of C$300.0 million ($227.9 million) less outstanding borrowings of C$95.0 million ($72.1 million) and a letter of credit outstanding of C$0.9 million ($0.7 million)).</w:t>
      </w:r>
    </w:p>
    <w:p>
      <w:pPr>
        <w:spacing w:after="0" w:line="178" w:lineRule="exact"/>
        <w:rPr>
          <w:rFonts w:ascii="Arial" w:cs="Arial" w:eastAsia="Arial" w:hAnsi="Arial"/>
          <w:sz w:val="17"/>
          <w:szCs w:val="17"/>
          <w:color w:val="auto"/>
        </w:rPr>
      </w:pPr>
    </w:p>
    <w:p>
      <w:pPr>
        <w:jc w:val="both"/>
        <w:ind w:left="640"/>
        <w:spacing w:after="0" w:line="257" w:lineRule="auto"/>
        <w:rPr>
          <w:rFonts w:ascii="Arial" w:cs="Arial" w:eastAsia="Arial" w:hAnsi="Arial"/>
          <w:sz w:val="17"/>
          <w:szCs w:val="17"/>
          <w:color w:val="auto"/>
        </w:rPr>
      </w:pPr>
      <w:r>
        <w:rPr>
          <w:rFonts w:ascii="Arial" w:cs="Arial" w:eastAsia="Arial" w:hAnsi="Arial"/>
          <w:sz w:val="18"/>
          <w:szCs w:val="18"/>
          <w:color w:val="auto"/>
        </w:rPr>
        <w:t>We believe that the terms of our credit agreements allow for sufficient flexibility in our ability to make future acquisitions, investments, distributions to stockholders and incur additional debt. This, combined with the continued positive cash flow from operating activities of our Mountain and Lodging segments less resort capital expenditures, has and is anticipated to continue to provide us with significant liquidity. We believe our liquidity will allow us to consider strategic investments and other forms of returning value to our stockholders including additional share repurchases and the continued payment of a quarterly cash dividend.</w:t>
      </w:r>
    </w:p>
    <w:p>
      <w:pPr>
        <w:spacing w:after="0" w:line="188" w:lineRule="exact"/>
        <w:rPr>
          <w:rFonts w:ascii="Arial" w:cs="Arial" w:eastAsia="Arial" w:hAnsi="Arial"/>
          <w:sz w:val="17"/>
          <w:szCs w:val="17"/>
          <w:color w:val="auto"/>
        </w:rPr>
      </w:pPr>
    </w:p>
    <w:p>
      <w:pPr>
        <w:jc w:val="both"/>
        <w:ind w:left="640" w:hanging="321"/>
        <w:spacing w:after="0" w:line="259"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August 15, 2018, through a wholly-owned subsidiary, we acquired Stevens Pass Resort in the State of Washington (“Stevens Pass”) from Ski Resort Holdings, LLC, an affiliate of Oz Real Estate (“Ski Resort Holdings”), for a total purchase price of $64.0 million. We borrowed $70.0 million on August 15, 2018 under the term loan of our Vail Holdings Credit Agreement primarily to fund the acquisition of Stevens Pass. Additionally, on September 27, 2018, we acquired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5" w:name="page26"/>
    <w:bookmarkEnd w:id="25"/>
    <w:p>
      <w:pPr>
        <w:jc w:val="both"/>
        <w:ind w:left="640"/>
        <w:spacing w:after="0" w:line="343" w:lineRule="auto"/>
        <w:rPr>
          <w:sz w:val="20"/>
          <w:szCs w:val="20"/>
          <w:color w:val="auto"/>
        </w:rPr>
      </w:pPr>
      <w:r>
        <w:rPr>
          <w:rFonts w:ascii="Arial" w:cs="Arial" w:eastAsia="Arial" w:hAnsi="Arial"/>
          <w:sz w:val="16"/>
          <w:szCs w:val="16"/>
          <w:color w:val="auto"/>
        </w:rPr>
        <w:t>Triple Peaks, LLC (“Triple Peaks”), the parent company of Okemo Mountain Resort in Vermont, Crested Butte Mountain Resort in Colorado, and Mount Sunapee Resort in New Hampshire, for a cash purchase price of approximately $74.4 million, after adjustments for certain agreed-upon terms. In addition, contemporaneous with the closing of the transaction, Triple Peaks paid $155.0 million to pay the remaining obligations for the leases that all three resorts had with Ski Resort Holdings, with funds provided by the Company. Accordingly, the total purchase price, including the repayment of lease obligations, was $229.4 million, for which we utilized cash on hand and borrowed $195.6 million under the term loan of our Vail Holdings Credit Agreement to fund the transaction and associated acquisition related expenses. We expect that the acquisitions of Stevens Pass and Triple Peaks will positively contribute to our results of operations; however, we cannot predict whether we will realize all of the synergies expected from the operations of Stevens Pass and Triple Peaks and the ultimate impact the new resorts will have on our future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operating results for the three months ended October 31, 2018, compared to the three months ended October 31, 2017 (in thousands):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October 31,</w:t>
            </w:r>
          </w:p>
        </w:tc>
        <w:tc>
          <w:tcPr>
            <w:tcW w:w="7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8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Reported EBITDA</w:t>
            </w:r>
          </w:p>
        </w:tc>
        <w:tc>
          <w:tcPr>
            <w:tcW w:w="106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(76,407)</w:t>
            </w:r>
          </w:p>
        </w:tc>
        <w:tc>
          <w:tcPr>
            <w:tcW w:w="112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(58,437)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Lodging Reported EBITDA</w:t>
            </w:r>
          </w:p>
        </w:tc>
        <w:tc>
          <w:tcPr>
            <w:tcW w:w="106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3,896</w:t>
            </w:r>
          </w:p>
        </w:tc>
        <w:tc>
          <w:tcPr>
            <w:tcW w:w="11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4,355</w:t>
            </w:r>
          </w:p>
        </w:tc>
      </w:tr>
      <w:tr>
        <w:trPr>
          <w:trHeight w:val="27"/>
        </w:trPr>
        <w:tc>
          <w:tcPr>
            <w:tcW w:w="7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Reported EBITDA</w:t>
            </w:r>
          </w:p>
        </w:tc>
        <w:tc>
          <w:tcPr>
            <w:tcW w:w="106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(72,511)</w:t>
            </w:r>
          </w:p>
        </w:tc>
        <w:tc>
          <w:tcPr>
            <w:tcW w:w="112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(54,082)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Real Estate Reported EBITDA</w:t>
            </w:r>
          </w:p>
        </w:tc>
        <w:tc>
          <w:tcPr>
            <w:tcW w:w="1060" w:type="dxa"/>
            <w:vAlign w:val="bottom"/>
          </w:tcPr>
          <w:p>
            <w:pPr>
              <w:jc w:val="right"/>
              <w:ind w:right="855"/>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(1,272)</w:t>
            </w:r>
          </w:p>
        </w:tc>
        <w:tc>
          <w:tcPr>
            <w:tcW w:w="1120" w:type="dxa"/>
            <w:vAlign w:val="bottom"/>
          </w:tcPr>
          <w:p>
            <w:pPr>
              <w:jc w:val="right"/>
              <w:ind w:right="853"/>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(1,055)</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benefit from income taxes</w:t>
            </w:r>
          </w:p>
        </w:tc>
        <w:tc>
          <w:tcPr>
            <w:tcW w:w="106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(147,131)</w:t>
            </w:r>
          </w:p>
        </w:tc>
        <w:tc>
          <w:tcPr>
            <w:tcW w:w="112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(125,331)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loss attributable to Vail Resorts, Inc.</w:t>
            </w:r>
          </w:p>
        </w:tc>
        <w:tc>
          <w:tcPr>
            <w:tcW w:w="1060" w:type="dxa"/>
            <w:vAlign w:val="bottom"/>
          </w:tcPr>
          <w:p>
            <w:pPr>
              <w:jc w:val="right"/>
              <w:ind w:right="855"/>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w w:val="90"/>
              </w:rPr>
              <w:t>(107,795)</w:t>
            </w:r>
          </w:p>
        </w:tc>
        <w:tc>
          <w:tcPr>
            <w:tcW w:w="1120" w:type="dxa"/>
            <w:vAlign w:val="bottom"/>
          </w:tcPr>
          <w:p>
            <w:pPr>
              <w:jc w:val="right"/>
              <w:ind w:right="853"/>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(28,385)</w:t>
            </w:r>
          </w:p>
        </w:tc>
      </w:tr>
      <w:tr>
        <w:trPr>
          <w:trHeight w:val="27"/>
        </w:trPr>
        <w:tc>
          <w:tcPr>
            <w:tcW w:w="7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loss attributable to Vail Resorts, Inc. increased by approximately $79.4 million for the three months ended October 31, 2018 compared to the prior year primarily due to excess tax benefits of $51.8 million recognized during the three months ended October 31, 2017, which resulted from employee exercises of in-the-money stock appreciation rights, a decrease in the U.S. federal income tax rate as a result of recent tax reform legislation and a reduction in Resort Reported EBITDA, as outlined below in the discussion of segment results and other items. The consolidated condensed results of operations include the operations of Stevens Pass and Triple Peaks prospectively from the dates of acquisition of August 15, 2018 and September 27, 2018, respectively, including any consolidated financial metrics pertaining thereto.</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1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2018 compared to the three months ended October 31, 2017</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Mountain segment operating results for the three months ended October 31, 2018 and 2017 are presented by category as follows (in thousands, except effective ticket price (“ETP”)):</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04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rPr>
              <w:t>Three Months Ended October 31,</w:t>
            </w:r>
          </w:p>
        </w:tc>
        <w:tc>
          <w:tcPr>
            <w:tcW w:w="720" w:type="dxa"/>
            <w:vAlign w:val="bottom"/>
          </w:tcPr>
          <w:p>
            <w:pPr>
              <w:spacing w:after="0"/>
              <w:rPr>
                <w:sz w:val="14"/>
                <w:szCs w:val="14"/>
                <w:color w:val="auto"/>
              </w:rPr>
            </w:pPr>
          </w:p>
        </w:tc>
        <w:tc>
          <w:tcPr>
            <w:tcW w:w="2040" w:type="dxa"/>
            <w:vAlign w:val="bottom"/>
          </w:tcPr>
          <w:p>
            <w:pPr>
              <w:jc w:val="center"/>
              <w:ind w:left="33"/>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40" w:type="dxa"/>
            <w:vAlign w:val="bottom"/>
            <w:vMerge w:val="restart"/>
          </w:tcPr>
          <w:p>
            <w:pPr>
              <w:jc w:val="center"/>
              <w:ind w:left="33"/>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620" w:type="dxa"/>
            <w:vAlign w:val="bottom"/>
          </w:tcPr>
          <w:p>
            <w:pPr>
              <w:spacing w:after="0"/>
              <w:rPr>
                <w:sz w:val="5"/>
                <w:szCs w:val="5"/>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780" w:type="dxa"/>
            <w:vAlign w:val="bottom"/>
          </w:tcPr>
          <w:p>
            <w:pPr>
              <w:spacing w:after="0"/>
              <w:rPr>
                <w:sz w:val="5"/>
                <w:szCs w:val="5"/>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72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Mountain revenue:</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Lift</w:t>
            </w:r>
          </w:p>
        </w:tc>
        <w:tc>
          <w:tcPr>
            <w:tcW w:w="1100" w:type="dxa"/>
            <w:vAlign w:val="bottom"/>
          </w:tcPr>
          <w:p>
            <w:pPr>
              <w:jc w:val="right"/>
              <w:ind w:right="897"/>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24,685</w:t>
            </w:r>
          </w:p>
        </w:tc>
        <w:tc>
          <w:tcPr>
            <w:tcW w:w="1160" w:type="dxa"/>
            <w:vAlign w:val="bottom"/>
          </w:tcPr>
          <w:p>
            <w:pPr>
              <w:jc w:val="right"/>
              <w:ind w:right="89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25,468</w:t>
            </w:r>
          </w:p>
        </w:tc>
        <w:tc>
          <w:tcPr>
            <w:tcW w:w="20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Ski school</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4,272</w:t>
            </w: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4,438</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Dining</w:t>
            </w:r>
          </w:p>
        </w:tc>
        <w:tc>
          <w:tcPr>
            <w:tcW w:w="11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18,292</w:t>
            </w:r>
          </w:p>
        </w:tc>
        <w:tc>
          <w:tcPr>
            <w:tcW w:w="11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18,302</w:t>
            </w:r>
          </w:p>
        </w:tc>
        <w:tc>
          <w:tcPr>
            <w:tcW w:w="20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Retail/rental</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43,342</w:t>
            </w: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45,407</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54,415</w:t>
            </w:r>
          </w:p>
        </w:tc>
        <w:tc>
          <w:tcPr>
            <w:tcW w:w="11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54,510</w:t>
            </w:r>
          </w:p>
        </w:tc>
        <w:tc>
          <w:tcPr>
            <w:tcW w:w="20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1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2"/>
              </w:rPr>
              <w:t>145,006</w:t>
            </w:r>
          </w:p>
        </w:tc>
        <w:tc>
          <w:tcPr>
            <w:tcW w:w="1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148,125</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operating expense:</w:t>
            </w:r>
          </w:p>
        </w:tc>
        <w:tc>
          <w:tcPr>
            <w:tcW w:w="1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Labor and labor-related benefits</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76,250</w:t>
            </w: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73,656</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Retail cost of sales</w:t>
            </w:r>
          </w:p>
        </w:tc>
        <w:tc>
          <w:tcPr>
            <w:tcW w:w="11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22,416</w:t>
            </w:r>
          </w:p>
        </w:tc>
        <w:tc>
          <w:tcPr>
            <w:tcW w:w="11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22,941</w:t>
            </w:r>
          </w:p>
        </w:tc>
        <w:tc>
          <w:tcPr>
            <w:tcW w:w="20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54,703</w:t>
            </w: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49,324</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68,994</w:t>
            </w:r>
          </w:p>
        </w:tc>
        <w:tc>
          <w:tcPr>
            <w:tcW w:w="11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61,163</w:t>
            </w:r>
          </w:p>
        </w:tc>
        <w:tc>
          <w:tcPr>
            <w:tcW w:w="2040" w:type="dxa"/>
            <w:vAlign w:val="bottom"/>
          </w:tcPr>
          <w:p>
            <w:pPr>
              <w:jc w:val="right"/>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operating expense</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2"/>
              </w:rPr>
              <w:t>222,363</w:t>
            </w: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207,084</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Mountain equity investment income, net</w:t>
            </w:r>
          </w:p>
        </w:tc>
        <w:tc>
          <w:tcPr>
            <w:tcW w:w="11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950</w:t>
            </w:r>
          </w:p>
        </w:tc>
        <w:tc>
          <w:tcPr>
            <w:tcW w:w="11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522</w:t>
            </w:r>
          </w:p>
        </w:tc>
        <w:tc>
          <w:tcPr>
            <w:tcW w:w="2040" w:type="dxa"/>
            <w:vAlign w:val="bottom"/>
          </w:tcPr>
          <w:p>
            <w:pPr>
              <w:jc w:val="right"/>
              <w:spacing w:after="0"/>
              <w:rPr>
                <w:sz w:val="20"/>
                <w:szCs w:val="20"/>
                <w:color w:val="auto"/>
              </w:rPr>
            </w:pPr>
            <w:r>
              <w:rPr>
                <w:rFonts w:ascii="Arial" w:cs="Arial" w:eastAsia="Arial" w:hAnsi="Arial"/>
                <w:sz w:val="18"/>
                <w:szCs w:val="18"/>
                <w:color w:val="auto"/>
              </w:rPr>
              <w:t>82.0 %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Reported EBITDA</w:t>
            </w:r>
          </w:p>
        </w:tc>
        <w:tc>
          <w:tcPr>
            <w:tcW w:w="1100" w:type="dxa"/>
            <w:vAlign w:val="bottom"/>
            <w:tcBorders>
              <w:bottom w:val="single" w:sz="8" w:color="CCEEFF"/>
            </w:tcBorders>
            <w:shd w:val="clear" w:color="auto" w:fill="CCEEFF"/>
          </w:tcPr>
          <w:p>
            <w:pPr>
              <w:jc w:val="right"/>
              <w:ind w:right="897"/>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(76,407)</w:t>
            </w:r>
          </w:p>
        </w:tc>
        <w:tc>
          <w:tcPr>
            <w:tcW w:w="116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(58,437)</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
        </w:trPr>
        <w:tc>
          <w:tcPr>
            <w:tcW w:w="56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skier visits</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507</w:t>
            </w: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ETP</w:t>
            </w:r>
          </w:p>
        </w:tc>
        <w:tc>
          <w:tcPr>
            <w:tcW w:w="1100" w:type="dxa"/>
            <w:vAlign w:val="bottom"/>
          </w:tcPr>
          <w:p>
            <w:pPr>
              <w:jc w:val="right"/>
              <w:ind w:right="897"/>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48.69</w:t>
            </w:r>
          </w:p>
        </w:tc>
        <w:tc>
          <w:tcPr>
            <w:tcW w:w="1160" w:type="dxa"/>
            <w:vAlign w:val="bottom"/>
          </w:tcPr>
          <w:p>
            <w:pPr>
              <w:jc w:val="right"/>
              <w:ind w:right="89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51.14</w:t>
            </w:r>
          </w:p>
        </w:tc>
        <w:tc>
          <w:tcPr>
            <w:tcW w:w="20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 Reported EBITDA includes $3.9 million and $3.8 million of stock-based compensation expense for the three months ended October 31, 2018 and 2017, respectively.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first fiscal quarter historically results in negative Mountain Reported EBITDA, as our North American mountain resorts and ski areas generally do not open for ski operations until our second fiscal quarter, which begins in November. The first fiscal quarter generally consists of operating and administrative expenses, summer activities (including dining), retail/rental operations and the operations of Perisher, which has its winter operating season from June through early October. Mountain Reported EBITDA decreased by $18.0 million, or 30.8%. Mountain segment results include $6.6 million and $0.7 million of acquisition and integration related expenses for the three months ended October 31, 2018 and 2017, respectively, which are recorded within Mountain other operating expense.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Lift revenue decreased $0.8 million, or 3.1%, and ski school revenue decreased $0.2 million, or 3.7%, as a result of a decrease in the Australian dollar exchange rate as compared to the prior year, which negatively impacted the translation of Perisher’s results on a U.S. dollar basis. On an Australian dollar basis, Perisher generated increases of A$1.8 million, or 5.5%, in lift revenue and A$0.2 million, or 3.8%, in ski school revenue, primarily due to a 1.8% increase in skier visitation. Dining revenue was flat compared to the prior year. On an Australian dollar basis, dining revenue at Perisher increased by A$0.3 million, or 7.2%.</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Retail/rental revenue decreased $2.1 million, or 4.5%, primarily as a result of removing the low-margin golf product line, store closures and a decrease in rental sales at Whistler Blackcomb. Other revenue mainly consists of summer visitation and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is also comprised of Perisher lodging and transportation revenue. Other revenue was flat compared to prior year.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7" w:name="page28"/>
    <w:bookmarkEnd w:id="27"/>
    <w:p>
      <w:pPr>
        <w:jc w:val="both"/>
        <w:spacing w:after="0" w:line="264" w:lineRule="auto"/>
        <w:rPr>
          <w:sz w:val="20"/>
          <w:szCs w:val="20"/>
          <w:color w:val="auto"/>
        </w:rPr>
      </w:pPr>
      <w:r>
        <w:rPr>
          <w:rFonts w:ascii="Arial" w:cs="Arial" w:eastAsia="Arial" w:hAnsi="Arial"/>
          <w:sz w:val="18"/>
          <w:szCs w:val="18"/>
          <w:color w:val="auto"/>
        </w:rPr>
        <w:t>Operating expense increased $15.3 million, or 7.4%, which included $4.2 million of incremental operating expenses from Triple Peaks and Stevens Pass and $6.6 million of acquisition and integration related expenses. Stevens Pass and Triple Peaks operating expenses were recorded prospectively from their dates of acquisition of August 15, 2018 and September 27, 2018, respectively.</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Labor and labor-related benefits increased 3.5%, primarily due to incremental expenses from Triple Peaks and Stevens Pass and normal wage adjustments. Retail cost of sales decreased 2.3% compared to a decrease in retail sales of 3.2%. General and administrative expense increased 10.9% due to higher corporate overhead costs primarily associated with marketing and information technology. Other expense increased 12.8%, primarily due to a $5.9 million increase in acquisition and integration related expenses and incremental operating expenses from Triple Peaks and Stevens Pass.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Mountain equity investment income, net primarily includes our share of income from the operations of a real estate brokerage joint venture.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2018 compared to the three months ended October 31, 2017</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Lodging segment operating results for the three months ended October 31, 2018 and 2017 are presented by category as follows (in thousands, except average daily rates (“ADR”) and revenue per available room (“RevPAR”)):</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20" w:type="dxa"/>
            <w:vAlign w:val="bottom"/>
            <w:gridSpan w:val="3"/>
          </w:tcPr>
          <w:p>
            <w:pPr>
              <w:jc w:val="right"/>
              <w:ind w:right="751"/>
              <w:spacing w:after="0"/>
              <w:rPr>
                <w:sz w:val="20"/>
                <w:szCs w:val="20"/>
                <w:color w:val="auto"/>
              </w:rPr>
            </w:pPr>
            <w:r>
              <w:rPr>
                <w:rFonts w:ascii="Arial" w:cs="Arial" w:eastAsia="Arial" w:hAnsi="Arial"/>
                <w:sz w:val="14"/>
                <w:szCs w:val="14"/>
                <w:b w:val="1"/>
                <w:bCs w:val="1"/>
                <w:color w:val="auto"/>
              </w:rPr>
              <w:t>Three Months Ended October 31,</w:t>
            </w:r>
          </w:p>
        </w:tc>
        <w:tc>
          <w:tcPr>
            <w:tcW w:w="2040" w:type="dxa"/>
            <w:vAlign w:val="bottom"/>
          </w:tcPr>
          <w:p>
            <w:pPr>
              <w:jc w:val="center"/>
              <w:ind w:left="32"/>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40" w:type="dxa"/>
            <w:vAlign w:val="bottom"/>
            <w:vMerge w:val="restart"/>
          </w:tcPr>
          <w:p>
            <w:pPr>
              <w:jc w:val="center"/>
              <w:ind w:left="32"/>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0" w:type="dxa"/>
            <w:vAlign w:val="bottom"/>
            <w:vMerge w:val="restart"/>
          </w:tcPr>
          <w:p>
            <w:pPr>
              <w:jc w:val="right"/>
              <w:ind w:right="691"/>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5"/>
                <w:szCs w:val="5"/>
                <w:color w:val="auto"/>
              </w:rPr>
            </w:pPr>
          </w:p>
        </w:tc>
        <w:tc>
          <w:tcPr>
            <w:tcW w:w="1380" w:type="dxa"/>
            <w:vAlign w:val="bottom"/>
            <w:vMerge w:val="restart"/>
          </w:tcPr>
          <w:p>
            <w:pPr>
              <w:jc w:val="right"/>
              <w:ind w:right="671"/>
              <w:spacing w:after="0"/>
              <w:rPr>
                <w:sz w:val="20"/>
                <w:szCs w:val="20"/>
                <w:color w:val="auto"/>
              </w:rPr>
            </w:pPr>
            <w:r>
              <w:rPr>
                <w:rFonts w:ascii="Arial" w:cs="Arial" w:eastAsia="Arial" w:hAnsi="Arial"/>
                <w:sz w:val="14"/>
                <w:szCs w:val="14"/>
                <w:b w:val="1"/>
                <w:bCs w:val="1"/>
                <w:color w:val="auto"/>
              </w:rPr>
              <w:t>2017</w:t>
            </w: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net revenue: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Owned hotel rooms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19,599</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19,635</w:t>
            </w:r>
          </w:p>
        </w:tc>
        <w:tc>
          <w:tcPr>
            <w:tcW w:w="20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Managed condominium rooms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11,118</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10,171</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Dining</w:t>
            </w: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16,129</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15,880</w:t>
            </w:r>
          </w:p>
        </w:tc>
        <w:tc>
          <w:tcPr>
            <w:tcW w:w="204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Transportation</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2,474</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2,553</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Golf</w:t>
            </w: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9,150</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8,426</w:t>
            </w:r>
          </w:p>
        </w:tc>
        <w:tc>
          <w:tcPr>
            <w:tcW w:w="2040" w:type="dxa"/>
            <w:vAlign w:val="bottom"/>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12,777</w:t>
            </w:r>
          </w:p>
        </w:tc>
        <w:tc>
          <w:tcPr>
            <w:tcW w:w="5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12,115</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71,247</w:t>
            </w:r>
          </w:p>
        </w:tc>
        <w:tc>
          <w:tcPr>
            <w:tcW w:w="5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68,780</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Payroll cost reimbursements</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3,653</w:t>
            </w:r>
          </w:p>
        </w:tc>
        <w:tc>
          <w:tcPr>
            <w:tcW w:w="5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3,309</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Lodging net revenue</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74,900</w:t>
            </w:r>
          </w:p>
        </w:tc>
        <w:tc>
          <w:tcPr>
            <w:tcW w:w="5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72,089</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operating expense: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Labor and labor-related benefits</w:t>
            </w: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33,451</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32,092</w:t>
            </w:r>
          </w:p>
        </w:tc>
        <w:tc>
          <w:tcPr>
            <w:tcW w:w="204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9,676</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8,539</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24,224</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23,794</w:t>
            </w:r>
          </w:p>
        </w:tc>
        <w:tc>
          <w:tcPr>
            <w:tcW w:w="204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67,351</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64,425</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Reimbursed payroll costs</w:t>
            </w: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3,653</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3,309</w:t>
            </w:r>
          </w:p>
        </w:tc>
        <w:tc>
          <w:tcPr>
            <w:tcW w:w="2040" w:type="dxa"/>
            <w:vAlign w:val="bottom"/>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Lodging operating expense</w:t>
            </w: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71,004</w:t>
            </w:r>
          </w:p>
        </w:tc>
        <w:tc>
          <w:tcPr>
            <w:tcW w:w="5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67,734</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Lodging Reported EBITDA</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3,896</w:t>
            </w:r>
          </w:p>
        </w:tc>
        <w:tc>
          <w:tcPr>
            <w:tcW w:w="5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4,355</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67"/>
        </w:trPr>
        <w:tc>
          <w:tcPr>
            <w:tcW w:w="56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6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Owned hotel statistics:</w:t>
            </w: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232.87</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228.10</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RevPAR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161.96</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163.23</w:t>
            </w:r>
          </w:p>
        </w:tc>
        <w:tc>
          <w:tcPr>
            <w:tcW w:w="204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Managed condominium statistics: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ADR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188.92</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190.61</w:t>
            </w:r>
          </w:p>
        </w:tc>
        <w:tc>
          <w:tcPr>
            <w:tcW w:w="204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RevPAR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51.44</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53.72</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Owned hotel and managed condominium statistics (combined):</w:t>
            </w: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210.85</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210.49</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RevPAR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82.44</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87.38</w:t>
            </w:r>
          </w:p>
        </w:tc>
        <w:tc>
          <w:tcPr>
            <w:tcW w:w="20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584" w:right="239" w:bottom="1440" w:gutter="0" w:footer="0" w:header="0"/>
          <w:type w:val="continuous"/>
        </w:sectPr>
      </w:pPr>
    </w:p>
    <w:bookmarkStart w:id="28" w:name="page29"/>
    <w:bookmarkEnd w:id="28"/>
    <w:p>
      <w:pPr>
        <w:jc w:val="both"/>
        <w:spacing w:after="0" w:line="264" w:lineRule="auto"/>
        <w:rPr>
          <w:sz w:val="20"/>
          <w:szCs w:val="20"/>
          <w:color w:val="auto"/>
        </w:rPr>
      </w:pPr>
      <w:r>
        <w:rPr>
          <w:rFonts w:ascii="Arial" w:cs="Arial" w:eastAsia="Arial" w:hAnsi="Arial"/>
          <w:sz w:val="18"/>
          <w:szCs w:val="18"/>
          <w:color w:val="auto"/>
        </w:rPr>
        <w:t>Lodging Reported EBITDA includes $0.8 million of stock-based compensation expense for both the three months ended October 31, 2018 and 2017. Lodging Reported EBITDA decreased $0.5 million, or 10.5%, primarily due to higher corporate overhead costs, partially offset by the incremental operations of Triple Peaks.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from managed condominium rooms increased $0.9 million, or 9.3%, primarily due to incremental revenue from Okemo and Crested Butte and higher revenue at our Park City managed properties as a result of increased occupancy. Golf revenue increased $0.7 million, or 8.6%, due to higher revenue at our golf courses in Beaver Creek and at GTLC, as well as incremental revenue from our golf course at Okemo. Other revenue increased $0.7 million, or 5.5%, primarily due to incremental revenue from Okemo and Crested Butte and an increase in spa revenue.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 (excluding reimbursed payroll costs) increased 4.5%. Labor and labor-related benefits increased 4.2%, primarily due to incremental labor expenses from Okemo and Crested Butte along with normal wage increases. General and administrative expense increased 13.3% as a result of higher corporate overhead costs.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2018 compared to the three months ended October 31, 2017</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Real Estate segment operating results for the three months ended October 31, 2018 and 2017 are presented by category as follows (in thousands):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3060" w:type="dxa"/>
            <w:vAlign w:val="bottom"/>
            <w:gridSpan w:val="3"/>
          </w:tcPr>
          <w:p>
            <w:pPr>
              <w:jc w:val="right"/>
              <w:ind w:right="76"/>
              <w:spacing w:after="0"/>
              <w:rPr>
                <w:sz w:val="20"/>
                <w:szCs w:val="20"/>
                <w:color w:val="auto"/>
              </w:rPr>
            </w:pPr>
            <w:r>
              <w:rPr>
                <w:rFonts w:ascii="Arial" w:cs="Arial" w:eastAsia="Arial" w:hAnsi="Arial"/>
                <w:sz w:val="14"/>
                <w:szCs w:val="14"/>
                <w:b w:val="1"/>
                <w:bCs w:val="1"/>
                <w:color w:val="auto"/>
              </w:rPr>
              <w:t>Three Months Ended October 31,</w:t>
            </w:r>
          </w:p>
        </w:tc>
        <w:tc>
          <w:tcPr>
            <w:tcW w:w="660" w:type="dxa"/>
            <w:vAlign w:val="bottom"/>
          </w:tcPr>
          <w:p>
            <w:pPr>
              <w:spacing w:after="0"/>
              <w:rPr>
                <w:sz w:val="14"/>
                <w:szCs w:val="14"/>
                <w:color w:val="auto"/>
              </w:rPr>
            </w:pPr>
          </w:p>
        </w:tc>
        <w:tc>
          <w:tcPr>
            <w:tcW w:w="2040" w:type="dxa"/>
            <w:vAlign w:val="bottom"/>
          </w:tcPr>
          <w:p>
            <w:pPr>
              <w:jc w:val="center"/>
              <w:ind w:left="37"/>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6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40" w:type="dxa"/>
            <w:vAlign w:val="bottom"/>
            <w:vMerge w:val="restart"/>
          </w:tcPr>
          <w:p>
            <w:pPr>
              <w:jc w:val="center"/>
              <w:ind w:left="37"/>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660" w:type="dxa"/>
            <w:vAlign w:val="bottom"/>
          </w:tcPr>
          <w:p>
            <w:pPr>
              <w:spacing w:after="0"/>
              <w:rPr>
                <w:sz w:val="5"/>
                <w:szCs w:val="5"/>
                <w:color w:val="auto"/>
              </w:rPr>
            </w:pPr>
          </w:p>
        </w:tc>
        <w:tc>
          <w:tcPr>
            <w:tcW w:w="114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700" w:type="dxa"/>
            <w:vAlign w:val="bottom"/>
          </w:tcPr>
          <w:p>
            <w:pPr>
              <w:spacing w:after="0"/>
              <w:rPr>
                <w:sz w:val="5"/>
                <w:szCs w:val="5"/>
                <w:color w:val="auto"/>
              </w:rPr>
            </w:pPr>
          </w:p>
        </w:tc>
        <w:tc>
          <w:tcPr>
            <w:tcW w:w="122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6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net revenue</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98</w:t>
            </w:r>
          </w:p>
        </w:tc>
        <w:tc>
          <w:tcPr>
            <w:tcW w:w="122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Real Estate operating expense:</w:t>
            </w: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sales (including sales commission)</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1,370</w:t>
            </w:r>
          </w:p>
        </w:tc>
        <w:tc>
          <w:tcPr>
            <w:tcW w:w="12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1,180</w:t>
            </w:r>
          </w:p>
        </w:tc>
        <w:tc>
          <w:tcPr>
            <w:tcW w:w="2040" w:type="dxa"/>
            <w:vAlign w:val="bottom"/>
          </w:tcPr>
          <w:p>
            <w:pPr>
              <w:jc w:val="right"/>
              <w:spacing w:after="0"/>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27"/>
        </w:trPr>
        <w:tc>
          <w:tcPr>
            <w:tcW w:w="5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operating expense</w:t>
            </w:r>
          </w:p>
        </w:tc>
        <w:tc>
          <w:tcPr>
            <w:tcW w:w="1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1,370</w:t>
            </w:r>
          </w:p>
        </w:tc>
        <w:tc>
          <w:tcPr>
            <w:tcW w:w="1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1,691</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7"/>
        </w:trPr>
        <w:tc>
          <w:tcPr>
            <w:tcW w:w="56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Real Estate Reported EBITDA</w:t>
            </w:r>
          </w:p>
        </w:tc>
        <w:tc>
          <w:tcPr>
            <w:tcW w:w="1140" w:type="dxa"/>
            <w:vAlign w:val="bottom"/>
            <w:tcBorders>
              <w:top w:val="single" w:sz="8" w:color="auto"/>
            </w:tcBorders>
          </w:tcPr>
          <w:p>
            <w:pPr>
              <w:jc w:val="right"/>
              <w:ind w:right="939"/>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1220" w:type="dxa"/>
            <w:vAlign w:val="bottom"/>
            <w:tcBorders>
              <w:top w:val="single" w:sz="8" w:color="auto"/>
            </w:tcBorders>
          </w:tcPr>
          <w:p>
            <w:pPr>
              <w:jc w:val="right"/>
              <w:ind w:right="956"/>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5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and Real Estate Reported EBITDA.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2018</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 of $1.4 million was primarily comprised of general and administrative costs, such as labor and labor-related benefits, professional services and allocated corporate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October 31, 2017, we closed on the sale of one land parcel for $0.5 million.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 of $1.2 million was primarily comprised of general and administrative costs, such as labor and labor-related benefits, professional services and allocated corporate costs.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segment operating results, the following material items contributed to our overall financial results for the three months ended October 31, 2018 and 2017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2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b w:val="1"/>
                <w:bCs w:val="1"/>
                <w:color w:val="auto"/>
              </w:rPr>
              <w:t>October 31,</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vMerge w:val="restart"/>
          </w:tcPr>
          <w:p>
            <w:pPr>
              <w:jc w:val="right"/>
              <w:ind w:right="502"/>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71"/>
        </w:trPr>
        <w:tc>
          <w:tcPr>
            <w:tcW w:w="6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vMerge w:val="restart"/>
          </w:tcPr>
          <w:p>
            <w:pPr>
              <w:jc w:val="right"/>
              <w:ind w:right="637"/>
              <w:spacing w:after="0"/>
              <w:rPr>
                <w:sz w:val="20"/>
                <w:szCs w:val="20"/>
                <w:color w:val="auto"/>
              </w:rPr>
            </w:pPr>
            <w:r>
              <w:rPr>
                <w:rFonts w:ascii="Arial" w:cs="Arial" w:eastAsia="Arial" w:hAnsi="Arial"/>
                <w:sz w:val="14"/>
                <w:szCs w:val="14"/>
                <w:b w:val="1"/>
                <w:bCs w:val="1"/>
                <w:color w:val="auto"/>
              </w:rPr>
              <w:t>2018</w:t>
            </w:r>
          </w:p>
        </w:tc>
        <w:tc>
          <w:tcPr>
            <w:tcW w:w="720" w:type="dxa"/>
            <w:vAlign w:val="bottom"/>
          </w:tcPr>
          <w:p>
            <w:pPr>
              <w:spacing w:after="0"/>
              <w:rPr>
                <w:sz w:val="6"/>
                <w:szCs w:val="6"/>
                <w:color w:val="auto"/>
              </w:rPr>
            </w:pPr>
          </w:p>
        </w:tc>
        <w:tc>
          <w:tcPr>
            <w:tcW w:w="1000" w:type="dxa"/>
            <w:vAlign w:val="bottom"/>
            <w:vMerge w:val="restart"/>
          </w:tcPr>
          <w:p>
            <w:pPr>
              <w:jc w:val="right"/>
              <w:ind w:right="593"/>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(51,043)</w:t>
            </w:r>
          </w:p>
        </w:tc>
        <w:tc>
          <w:tcPr>
            <w:tcW w:w="7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(48,624)</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Foreign currency loss on intercompany loans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7"/>
              <w:spacing w:after="0"/>
              <w:rPr>
                <w:sz w:val="20"/>
                <w:szCs w:val="20"/>
                <w:color w:val="auto"/>
              </w:rPr>
            </w:pPr>
            <w:r>
              <w:rPr>
                <w:rFonts w:ascii="Arial" w:cs="Arial" w:eastAsia="Arial" w:hAnsi="Arial"/>
                <w:sz w:val="18"/>
                <w:szCs w:val="18"/>
                <w:color w:val="auto"/>
              </w:rPr>
              <w:t>(2,311)</w:t>
            </w:r>
          </w:p>
        </w:tc>
        <w:tc>
          <w:tcPr>
            <w:tcW w:w="7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(7,346)</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(18,638)</w:t>
            </w:r>
          </w:p>
        </w:tc>
        <w:tc>
          <w:tcPr>
            <w:tcW w:w="7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(15,174)</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22.8 %</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Benefit from income taxes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7"/>
              <w:spacing w:after="0"/>
              <w:rPr>
                <w:sz w:val="20"/>
                <w:szCs w:val="20"/>
                <w:color w:val="auto"/>
              </w:rPr>
            </w:pPr>
            <w:r>
              <w:rPr>
                <w:rFonts w:ascii="Arial" w:cs="Arial" w:eastAsia="Arial" w:hAnsi="Arial"/>
                <w:sz w:val="18"/>
                <w:szCs w:val="18"/>
                <w:color w:val="auto"/>
              </w:rPr>
              <w:t>36,405</w:t>
            </w:r>
          </w:p>
        </w:tc>
        <w:tc>
          <w:tcPr>
            <w:tcW w:w="7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93,404</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 benefit</w:t>
            </w: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7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(49.8 pts)</w:t>
            </w:r>
          </w:p>
        </w:tc>
        <w:tc>
          <w:tcPr>
            <w:tcW w:w="0" w:type="dxa"/>
            <w:vAlign w:val="bottom"/>
          </w:tcPr>
          <w:p>
            <w:pPr>
              <w:spacing w:after="0"/>
              <w:rPr>
                <w:sz w:val="1"/>
                <w:szCs w:val="1"/>
                <w:color w:val="auto"/>
              </w:rPr>
            </w:pPr>
          </w:p>
        </w:tc>
      </w:tr>
      <w:tr>
        <w:trPr>
          <w:trHeight w:val="27"/>
        </w:trPr>
        <w:tc>
          <w:tcPr>
            <w:tcW w:w="6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for the three months ended October 31, 2018 increased $2.4 million,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the prior year, primarily due to assets acquired in the Stevens Pass and Triple Peaks acquisitions.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Foreign currency loss on intercompany loans. </w:t>
      </w:r>
      <w:r>
        <w:rPr>
          <w:rFonts w:ascii="Arial" w:cs="Arial" w:eastAsia="Arial" w:hAnsi="Arial"/>
          <w:sz w:val="18"/>
          <w:szCs w:val="18"/>
          <w:color w:val="auto"/>
        </w:rPr>
        <w:t>Foreign currency loss on intercompany loans for the three months ended October 31, 2018 decreased $5.0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was associated with an intercompany loan from Vail Holdings, Inc. to Whistler Blackcomb in the amount of $210.0 million that was funded, effective as of November 1, 2016, in connection with the acquisition of Whistler Blackcomb. This intercompany loan requires foreign currency remeasurement to Canadian dollars, the functional currency for Whistler Blackcomb. As a result, foreign currency fluctuations associated with the loan are recorded within our results of operations.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net for the three months ended October 31, 2018 increased $3.5 million compared to the same period in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year, primarily due to interest expense associated with incremental term loan borrowings under the Vail Holdings Credit Agreement of $265.6 million, which were used to fund the Stevens Pass and Triple Peaks acquisitions, as well as an increase in interest rates.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Benefit from income taxes. </w:t>
      </w:r>
      <w:r>
        <w:rPr>
          <w:rFonts w:ascii="Arial" w:cs="Arial" w:eastAsia="Arial" w:hAnsi="Arial"/>
          <w:sz w:val="18"/>
          <w:szCs w:val="18"/>
          <w:color w:val="auto"/>
        </w:rPr>
        <w:t>The effective tax rate benefit for the three months ended October 31, 2018 and 2017 was 24.7% and 74.5%, respectively.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interim period effective tax rate is primarily driven by anticipated pre-tax book income for the full fiscal year adjusted for items that are deductible/non-deductible for tax purposes only (i.e., permanent items), excess tax benefits from employee share awards and enacted tax reform legislation, which are both recorded as discrete items, taxable income generated by state and foreign jurisdictions that varies from anticipated consolidated pre-tax book loss and the amount of net loss attributable to noncontrolling interests.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decrease in the effective tax rate benefit during the three months ended October 31, 2018 compared to the three months ended October 31, 2017 was primarily due to a reduction in excess tax benefits from employee share awards that were exercised (stock appreciation awards) and that vested (restricted stock awards), which are recorded within benefit from income taxes on the Company’s Consolidated Condensed Statements of Operations. Excess tax benefits totaled $4.6 million and $51.8 million for the three months ended October 31, 2018 and 2017, respectively, and the decrease reduced the effective tax rate benefit as compared to the prior year. Additionally, the effective tax rate benefit decreased as a result of comprehensive U.S. tax legislation, commonly referred to as the “Tax Act,” which was enacted by the U.S. government on December 22, 2017. The Tax Act transitioned the U.S. tax system to a new territorial system and lowered the statutory federal corporate income tax rate from 35% to 21%. The reduction of the statutory federal corporate tax rate to 21% became effective on January 1, 2018.</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Reconciliation of Segment Earnings and Net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from segment Reported EBITDA to net loss attributable to Vail Resorts, Inc.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3"/>
          </w:tcPr>
          <w:p>
            <w:pPr>
              <w:jc w:val="right"/>
              <w:ind w:right="752"/>
              <w:spacing w:after="0"/>
              <w:rPr>
                <w:sz w:val="20"/>
                <w:szCs w:val="20"/>
                <w:color w:val="auto"/>
              </w:rPr>
            </w:pPr>
            <w:r>
              <w:rPr>
                <w:rFonts w:ascii="Arial" w:cs="Arial" w:eastAsia="Arial" w:hAnsi="Arial"/>
                <w:sz w:val="14"/>
                <w:szCs w:val="14"/>
                <w:b w:val="1"/>
                <w:bCs w:val="1"/>
                <w:color w:val="auto"/>
              </w:rPr>
              <w:t>Three Months Ended October 31,</w:t>
            </w:r>
          </w:p>
        </w:tc>
      </w:tr>
      <w:tr>
        <w:trPr>
          <w:trHeight w:val="264"/>
        </w:trPr>
        <w:tc>
          <w:tcPr>
            <w:tcW w:w="76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2017</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Reported EBITDA</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(76,407)</w:t>
            </w:r>
          </w:p>
        </w:tc>
        <w:tc>
          <w:tcPr>
            <w:tcW w:w="6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(58,437)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Lodging Reported EBITDA</w:t>
            </w:r>
          </w:p>
        </w:tc>
        <w:tc>
          <w:tcPr>
            <w:tcW w:w="440" w:type="dxa"/>
            <w:vAlign w:val="bottom"/>
          </w:tcPr>
          <w:p>
            <w:pPr>
              <w:spacing w:after="0"/>
              <w:rPr>
                <w:sz w:val="21"/>
                <w:szCs w:val="21"/>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3,896</w:t>
            </w:r>
          </w:p>
        </w:tc>
        <w:tc>
          <w:tcPr>
            <w:tcW w:w="6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4,355</w:t>
            </w:r>
          </w:p>
        </w:tc>
      </w:tr>
      <w:tr>
        <w:trPr>
          <w:trHeight w:val="27"/>
        </w:trPr>
        <w:tc>
          <w:tcPr>
            <w:tcW w:w="7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Reported EBITDA</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(72,511)</w:t>
            </w:r>
          </w:p>
        </w:tc>
        <w:tc>
          <w:tcPr>
            <w:tcW w:w="6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(54,082)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Real Estate Reported EBITDA</w:t>
            </w:r>
          </w:p>
        </w:tc>
        <w:tc>
          <w:tcPr>
            <w:tcW w:w="4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(1,272)</w:t>
            </w:r>
          </w:p>
        </w:tc>
        <w:tc>
          <w:tcPr>
            <w:tcW w:w="6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(1,055)</w:t>
            </w:r>
          </w:p>
        </w:tc>
      </w:tr>
      <w:tr>
        <w:trPr>
          <w:trHeight w:val="27"/>
        </w:trPr>
        <w:tc>
          <w:tcPr>
            <w:tcW w:w="7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Reported EBITDA</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(73,783)</w:t>
            </w:r>
          </w:p>
        </w:tc>
        <w:tc>
          <w:tcPr>
            <w:tcW w:w="6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(55,137)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(51,043)</w:t>
            </w:r>
          </w:p>
        </w:tc>
        <w:tc>
          <w:tcPr>
            <w:tcW w:w="6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(48,624)</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gain on disposal of fixed assets and other, net</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(619)</w:t>
            </w:r>
          </w:p>
        </w:tc>
        <w:tc>
          <w:tcPr>
            <w:tcW w:w="6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Change in estimated fair value of contingent consideration</w:t>
            </w:r>
          </w:p>
        </w:tc>
        <w:tc>
          <w:tcPr>
            <w:tcW w:w="4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(1,200)</w:t>
            </w:r>
          </w:p>
        </w:tc>
        <w:tc>
          <w:tcPr>
            <w:tcW w:w="6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 and other, net</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463</w:t>
            </w:r>
          </w:p>
        </w:tc>
        <w:tc>
          <w:tcPr>
            <w:tcW w:w="6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Foreign currency loss on intercompany loans</w:t>
            </w:r>
          </w:p>
        </w:tc>
        <w:tc>
          <w:tcPr>
            <w:tcW w:w="4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(2,311)</w:t>
            </w:r>
          </w:p>
        </w:tc>
        <w:tc>
          <w:tcPr>
            <w:tcW w:w="6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(7,346)</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(18,638)</w:t>
            </w:r>
          </w:p>
        </w:tc>
        <w:tc>
          <w:tcPr>
            <w:tcW w:w="6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(15,174)</w:t>
            </w:r>
          </w:p>
        </w:tc>
      </w:tr>
      <w:tr>
        <w:trPr>
          <w:trHeight w:val="237"/>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Loss before benefit from income taxes</w:t>
            </w:r>
          </w:p>
        </w:tc>
        <w:tc>
          <w:tcPr>
            <w:tcW w:w="4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(147,131)</w:t>
            </w:r>
          </w:p>
        </w:tc>
        <w:tc>
          <w:tcPr>
            <w:tcW w:w="6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(125,331)</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 from income taxes</w:t>
            </w: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36,405</w:t>
            </w:r>
          </w:p>
        </w:tc>
        <w:tc>
          <w:tcPr>
            <w:tcW w:w="6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93,404</w:t>
            </w:r>
          </w:p>
        </w:tc>
      </w:tr>
      <w:tr>
        <w:trPr>
          <w:trHeight w:val="237"/>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loss</w:t>
            </w:r>
          </w:p>
        </w:tc>
        <w:tc>
          <w:tcPr>
            <w:tcW w:w="4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(110,726)</w:t>
            </w:r>
          </w:p>
        </w:tc>
        <w:tc>
          <w:tcPr>
            <w:tcW w:w="6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(31,927)</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attributable to noncontrolling interests</w:t>
            </w: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2,931</w:t>
            </w:r>
          </w:p>
        </w:tc>
        <w:tc>
          <w:tcPr>
            <w:tcW w:w="6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3,542</w:t>
            </w:r>
          </w:p>
        </w:tc>
      </w:tr>
      <w:tr>
        <w:trPr>
          <w:trHeight w:val="237"/>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loss attributable to Vail Resorts, Inc.</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(107,795)</w:t>
            </w:r>
          </w:p>
        </w:tc>
        <w:tc>
          <w:tcPr>
            <w:tcW w:w="6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(28,385)</w:t>
            </w:r>
          </w:p>
        </w:tc>
      </w:tr>
      <w:tr>
        <w:trPr>
          <w:trHeight w:val="27"/>
        </w:trPr>
        <w:tc>
          <w:tcPr>
            <w:tcW w:w="7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59"/>
        </w:trPr>
        <w:tc>
          <w:tcPr>
            <w:tcW w:w="7660" w:type="dxa"/>
            <w:vAlign w:val="bottom"/>
          </w:tcPr>
          <w:p>
            <w:pPr>
              <w:spacing w:after="0"/>
              <w:rPr>
                <w:sz w:val="20"/>
                <w:szCs w:val="20"/>
                <w:color w:val="auto"/>
              </w:rPr>
            </w:pPr>
            <w:r>
              <w:rPr>
                <w:rFonts w:ascii="Arial" w:cs="Arial" w:eastAsia="Arial" w:hAnsi="Arial"/>
                <w:sz w:val="18"/>
                <w:szCs w:val="18"/>
                <w:color w:val="auto"/>
              </w:rPr>
              <w:t>The following table reconciles Net Debt to long-term debt, net (in thousands):</w:t>
            </w: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615"/>
        </w:trPr>
        <w:tc>
          <w:tcPr>
            <w:tcW w:w="76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October 31,</w:t>
            </w:r>
          </w:p>
        </w:tc>
        <w:tc>
          <w:tcPr>
            <w:tcW w:w="1280" w:type="dxa"/>
            <w:vAlign w:val="bottom"/>
            <w:tcBorders>
              <w:bottom w:val="single" w:sz="8" w:color="auto"/>
            </w:tcBorders>
          </w:tcPr>
          <w:p>
            <w:pPr>
              <w:spacing w:after="0"/>
              <w:rPr>
                <w:sz w:val="24"/>
                <w:szCs w:val="24"/>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2017</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1,486,968</w:t>
            </w:r>
          </w:p>
        </w:tc>
        <w:tc>
          <w:tcPr>
            <w:tcW w:w="6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1,262,325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Long-term debt due within one year</w:t>
            </w:r>
          </w:p>
        </w:tc>
        <w:tc>
          <w:tcPr>
            <w:tcW w:w="440" w:type="dxa"/>
            <w:vAlign w:val="bottom"/>
          </w:tcPr>
          <w:p>
            <w:pPr>
              <w:spacing w:after="0"/>
              <w:rPr>
                <w:sz w:val="21"/>
                <w:szCs w:val="21"/>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48,482</w:t>
            </w:r>
          </w:p>
        </w:tc>
        <w:tc>
          <w:tcPr>
            <w:tcW w:w="6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38,422</w:t>
            </w:r>
          </w:p>
        </w:tc>
      </w:tr>
      <w:tr>
        <w:trPr>
          <w:trHeight w:val="27"/>
        </w:trPr>
        <w:tc>
          <w:tcPr>
            <w:tcW w:w="7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1,535,450</w:t>
            </w:r>
          </w:p>
        </w:tc>
        <w:tc>
          <w:tcPr>
            <w:tcW w:w="6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1,300,747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Less: cash and cash equivalents</w:t>
            </w:r>
          </w:p>
        </w:tc>
        <w:tc>
          <w:tcPr>
            <w:tcW w:w="440" w:type="dxa"/>
            <w:vAlign w:val="bottom"/>
          </w:tcPr>
          <w:p>
            <w:pPr>
              <w:spacing w:after="0"/>
              <w:rPr>
                <w:sz w:val="21"/>
                <w:szCs w:val="21"/>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141,031</w:t>
            </w:r>
          </w:p>
        </w:tc>
        <w:tc>
          <w:tcPr>
            <w:tcW w:w="6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140,397</w:t>
            </w:r>
          </w:p>
        </w:tc>
      </w:tr>
      <w:tr>
        <w:trPr>
          <w:trHeight w:val="27"/>
        </w:trPr>
        <w:tc>
          <w:tcPr>
            <w:tcW w:w="7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Debt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1,394,419</w:t>
            </w:r>
          </w:p>
        </w:tc>
        <w:tc>
          <w:tcPr>
            <w:tcW w:w="6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1,160,350</w:t>
            </w:r>
          </w:p>
        </w:tc>
      </w:tr>
      <w:tr>
        <w:trPr>
          <w:trHeight w:val="20"/>
        </w:trPr>
        <w:tc>
          <w:tcPr>
            <w:tcW w:w="7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Changes in significant sources of cash for the three months ended October 31, 2018 and 2017 are presented by categories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4"/>
                <w:szCs w:val="14"/>
                <w:b w:val="1"/>
                <w:bCs w:val="1"/>
                <w:color w:val="auto"/>
              </w:rPr>
              <w:t>Three Months Ended October 31,</w:t>
            </w:r>
          </w:p>
        </w:tc>
      </w:tr>
      <w:tr>
        <w:trPr>
          <w:trHeight w:val="250"/>
        </w:trPr>
        <w:tc>
          <w:tcPr>
            <w:tcW w:w="84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177,081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155,407</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(340,663)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(33,652)</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135,895</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(88,608)</w:t>
            </w:r>
          </w:p>
        </w:tc>
      </w:tr>
      <w:tr>
        <w:trPr>
          <w:trHeight w:val="27"/>
        </w:trPr>
        <w:tc>
          <w:tcPr>
            <w:tcW w:w="8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Historically, our operations generate seasonally low operating cash flow in the first fiscal quarter given that the first and the prior year’s fourth fiscal quarters have limited North American Mountain segment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Three months ended October 31, 2018 compared to the three months ended October 31, 2017</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generated $177.1 million of cash from operating activities during the three months ended October 31, 2018, an increase of $21.7 million compared to $155.4 million of cash generated during the three months ended October 31, 2017. The increase in operating cash flows was primarily a result of an increase in season pass accounts receivable collections combined with increased season pass sales during the three months ended October 31, 2018, compared to the three months ended October 31, 2017. This increase was partially offset by decreased Mountain segment operating results during the three months ended October 31, 2018 compared to the prior year, as well as a decrease in accounts payable and an increase in cash interest payments during the three months ended October 31, 2018, compared to the three months ended October, 2017, resulting from incremental term loan borrowings under our Vail Holdings Credit Agreement.</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Cash used in investing activities for the three months ended October 31, 2018 increased by $307.0 million, primarily due to cash payments related to the acquisitions of Triple Peaks and Stevens Pass during the three months ended October 31, 2018 of $292.9 million, net of cash acquired, as well as an increase in capital expenditures of $10.4 million during the three months ended October 31, 2018 compared to the three months ended October 31, 2017.</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provided by financing activities increased $224.5 million during the three months ended October 31, 2018, compared to the three months ended October 31, 2017, primarily due to proceeds from incremental borrowings under the term loan portion of our Vail Holdings Credit Agreement of $265.6 million, which was used to fund the Triple Peaks and Stevens Pass acquisitions. Additionally, cash payments for employee taxes related to exercises of share awards decreased by $58.1 million and net proceeds from borrowings under our Whistler Credit Agreement increased by $12.8 million. These increases were partially offset by repurchases of common stock of approximately $50.0 million during the three months ended October 31, 2018 and both an increase in dividends paid of $16.9 million and an increase in net payments under the revolver portion of our Vail Holdings Credit Agreement during the three months ended October 31, 2018 compared to the three months ended October 31,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Tax Reform</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Beginning with our taxable year ending December 31, 2018, we expect to realize an increase in our operating cash flows as a result of the Tax Act, which will reduce our statutory federal corporate income tax rate from 35% to 21%. We expect that incremental cash flows generated from the reduction of the statutory federal corporate income tax rate and the accelerated deductibility of capital expenditures will be approximately $40.0 million in calendar 2018. We plan to use those incremental cash flows to reinvest in wages for our employees, fund capital projects at our resorts and increase our return of capital to shareholders.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Sources of Cash</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had $141.0 million of cash and cash equivalents as of October 31, 2018, compared to $140.4 million as of October 31, 2017. We currently anticipate that our Mountain and Lodging segment operating results will continue to provide a significant source of future operating cash flows (primarily those generated in our second and third fiscal quarters).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our $141.0 million of cash and cash equivalents at October 31, 2018, we had $206.0 million available under the revolver component of our Vail Holdings Credit Agreement as of October 31, 2018 (which represents the total commitment of $400.0 million less outstanding borrowings of $120.0 million and certain letters of credit outstanding of $74.0 million). Additionally, we had C$204.1 million ($155.1 million) available under the revolver component of our Whistler Credit Agreement (which represents the total commitment of C$300.0 million ($227.9 million) less outstanding borrowings of C$95.0 million ($72.1 million) and a letter of credit outstanding of C$0.9 million ($0.7 million)). We expect that our liquidity needs in the near term will be met by continued use of operating cash flows and borrowings under both the Vail Holdings Credit Agreement and Whistler Credit Agreement, if needed. The Vail Holdings Credit Agreement and the Whistler Credit Agreement provide adequate flexibility and are priced favorably with any new borrowings currently priced at LIBOR plus 1.50% and Bankers Acceptance Rate plus 1.75%,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Uses of Cash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Expenditures</w:t>
      </w:r>
    </w:p>
    <w:p>
      <w:pPr>
        <w:spacing w:after="0" w:line="90"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We have historically invested significant amounts of cash in capital expenditures for our resort operations, and we expect to continue to do so subject to operating performance particularly as it relates to discretionary projects. In addition, we may incur capital expenditures for retained ownership interests associated with third-party real estate development projects. Currently planned capital expenditures primarily include investments that will allow us to maintain our high-quality standards, as well as certain incremental discretionary improvements at our Resorts and throughout our owned hotels. We evaluate additional discretionary capital improvements based on an expected level of return on investment. We currently anticipate we will spend approximately $150.0 million on resort capital expenditures during calendar year 2018, excluding anticipated investments for U.S. summer related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2" w:name="page33"/>
    <w:bookmarkEnd w:id="32"/>
    <w:p>
      <w:pPr>
        <w:jc w:val="both"/>
        <w:spacing w:after="0" w:line="287" w:lineRule="auto"/>
        <w:rPr>
          <w:sz w:val="20"/>
          <w:szCs w:val="20"/>
          <w:color w:val="auto"/>
        </w:rPr>
      </w:pPr>
      <w:r>
        <w:rPr>
          <w:rFonts w:ascii="Arial" w:cs="Arial" w:eastAsia="Arial" w:hAnsi="Arial"/>
          <w:sz w:val="16"/>
          <w:szCs w:val="16"/>
          <w:color w:val="auto"/>
        </w:rPr>
        <w:t>activities and one-time acquisition and integration related capital expenditures. This estimated spending includes normal inflation on our capital investments at our resorts. Included in these estimated capital expenditures are approximately $80.0 million of maintenance capital expenditures, which are necessary to maintain appearance and level of service appropriate to our resort operations. Discretionary expenditures for calendar year 2018 include, among other projects, an investment of approximately $42.0 million (C$54.0 million) at Whistler Blackcomb which includes a new gondola at Whistler Blackcomb running from the base to the top of Blackcomb Mountain, replacing the Wizard and Solar four person chairs with a single state-of-the-art gondola, a new 6 person Emerald chairlift and an upgraded 4 person Catskinner chairlift. We also upgraded the fixed grip High Meadow chair at Park City to a four person high speed lift; expanded Cloud Dine restaurant at Park City by adding 200 additional seats and upgraded the Park City Mid-Mountain Lodge; replaced the Galaxy two-person chairlift at Heavenly with a three-person chairlift; and will be upgrading the Leichhardt T-bar at Perisher to a four-person chairlift. We also expect to invest approximately $21.0 million in capital expenditures for the integration of Stevens Pass, Okemo, Mount Sunapee, Crested Butte, Stowe and the completion of Whistler Blackcomb integration, as well as approximately $2.0 million in calendar year 2018 for summer investments. Additionally, we plan to invest $35.0 million over the next two years in projects related to Stevens Pass, Okemo, Mount Sunapee and Crested Butte, in addition to an increase in annual ongoing capital expenditures of $7.0 million to support the addition of these four resorts.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Approximately $101.0 million has been spent for capital expenditures in calendar year 2018 as of October 31, 2018, leaving approximately $72.0 million to spend in the remainder of calendar year 2018, including anticipated investments for U.S. summer related activities and one-time acquisition and integration related capital expenditures.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that our capital plan for calendar 2019 will be approximately $139 million to $143 million, excluding one-time items associated with integrations, the one-time Triple Peaks and Stevens Pass transformation plan, summer capital, real estate related capital and reimbursable investments. We expect that our total capital plan will be approximately $175 million to $180 million, including items noted above for integration and acquisitions, summer capital, real estate related projects and approximately $13 million of reimbursable investments associated with insurance recoveries and tenant improvements. We currently plan to utilize cash on hand, borrowings available under our credit agreements and/or cash flow generated from future operations to provide the cash necessary to complete our capital plans.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 of Stevens Pass, Okemo, Mount Sunapee and Crested Butte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15, 2018, we borrowed $70.0 million under the term loan of our Vail Holdings Credit Agreement, primarily to fund the acquisition of Stevens Pass, which was acquired for a cash purchase price of $64.0 million. On September 27, 2018, we acquired Triple Peaks for a cash purchase price of approximately $74.4 million, after adjustments for certain agreed-upon terms. In addition, contemporaneous with the closing of the transaction, Triple Peaks paid $155.0 million to pay the remaining obligations for the leases that all three resorts had with Ski Resort Holdings, with funds provided by the Company. Accordingly, the total purchase price, including repayment of lease obligations, was $229.4 million, for which we utilized cash on hand and borrowed $195.6 million under the term loan of our Vail Holdings Credit Agreement to fund the transaction and associated acquisition related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of October 31, 2018, principal payments on the majority of our long-term debt ($1,357.6 million of the total $1,539.5 million debt outstanding as of October 31, 2018) are not due until fiscal 2023 and beyond. As of October 31, 2018 and 2017, total long-term debt, net (including long-term debt due within one year) was $1,535.5 million and $1,300.7 million, respectively. Net Debt (defined as long-term debt, net plus long-term debt due within one year less cash and cash equivalents) increased from $1,160.4 million as of October 31, 2017 to $1,394.4 million as of October 31, 2018, primarily due to incremental borrowings outstanding under the term loan of our Vail Holdings Credit Agreement, as discussed above. On August 15, 2018, we amended and restated in its entirety our Vail Holdings Credit Agreement, which provides for (i) a revolving loan facility in an aggregate principal amount of $400.0 million and (ii) a term loan facility in an aggregate principal amount of up to $950.0 million. Additionally, key modifications to the Vail Holdings Credit Agreement included, among other things, the extension of the maturity date on the revolving credit facility to August 2023. We expect that our liquidity needs in the near term will be met by continued use of operating cash flows and borrowings under both the Vail Holdings Credit Agreement and Whistler Credit Agreement.</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debt service requirements can be impacted by changing interest rates as we had approximately $1.2 billion of variable-rate debt outstanding as of October 31, 2018. A 100-basis point change in our borrowing rates would cause our annual interest payments to change by approximately $11.9 million. Additionally, the annual payments associated with the financing of the Canyons Resort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 term liquidity needs depend upon operating results that impact the borrowing capacity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3" w:name="page34"/>
    <w:bookmarkEnd w:id="33"/>
    <w:p>
      <w:pPr>
        <w:jc w:val="both"/>
        <w:spacing w:after="0" w:line="286" w:lineRule="auto"/>
        <w:rPr>
          <w:sz w:val="20"/>
          <w:szCs w:val="20"/>
          <w:color w:val="auto"/>
        </w:rPr>
      </w:pPr>
      <w:r>
        <w:rPr>
          <w:rFonts w:ascii="Arial" w:cs="Arial" w:eastAsia="Arial" w:hAnsi="Arial"/>
          <w:sz w:val="17"/>
          <w:szCs w:val="17"/>
          <w:color w:val="auto"/>
        </w:rPr>
        <w:t>under our credit agreements, which can be mitigated by adjustments to capital expenditures, flexibility of investment activities and the ability to obtain favorable future financing. We can respond to liquidity impacts of changes in the business and economic environment by managing our capital expenditures, the timing of new real estate development activity and the payment of our regular quarterly cash dividend on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Dividend Payments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fiscal 2011, our Board of Directors approved the commencement of a regular quarterly cash dividend on our common stock at an annual rate of $0.60 per share, subject to quarterly declaration. Since the initial commencement of a regular quarterly cash dividend, our Board of Directors has annually approved an increase to our cash dividend on our common stock and on March 7, 2018, our Board of Directors approved a 40% increase to our quarterly cash dividend to $1.47 per share (or approximately $59.4 million per quarter based upon shares outstanding as of October 31, 2018). For the three months ended October 31, 2018, we paid cash dividends of $1.47 per share ($59.5 million in the aggregate). These dividends were funded through available cash on hand and borrowings under the revolving portion of our Vail Holdings Credit Agreement. Subject to the discretion of our Board of Directors, applicable law and contractual restrictions, we anticipate paying regular quarterly cash dividends on our common stock for the foreseeable future. The amount, if any, of the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 Program</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share repurchase program is conducted under authorizations made from time to time by our Board of Directors. On March 9, 2006, our Board of Directors initially authorized the repurchase of up to 3,000,000 shares of Vail Resorts common stock (“Vail Shares”) and later authorized additional repurchases of up to 3,000,000 Vail Shares (July 16, 2008) and 1,500,000 Vail Shares (December 4, 2015), for a total authorization to repurchase up to 7,500,000 Vail Shares. During the three months ended October 31, 2018, we repurchased 197,896 Vail Shares (at a total cost of approximately $50.0 million). We did not repurchase any Vail Shares during the three months ended October 31, 2017. Since inception of this stock repurchase program through October 31, 2018, we have repurchased 5,749,612 Vail Shares at a cost of approximately $323.0 million. As of October 31, 2018, 1,750,388 Vail Shares remained available to repurchase under the existing repurchase authorization. Vail Shares purchased pursuant to the repurchase program will be held as treasury shares and may be used for the issuance of shares under our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sale at prices that we believe are attractive. The share repurchase program has no expiration date.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Limitations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must abide by certain restrictive financial covenants under our credit agreements. The most restrictive of those covenants include the following covenants: for the Vail Holdings Credit Agreement, Net Funded Debt to Adjusted EBITDA ratio and the Interest Coverage ratio (each as defined in the Vail Holdings Credit Agreement); and for the Whistler Credit Agreement, Consolidated Total Leverage Ratio and Consolidated Interest Coverage Ratio (each as defined in the Whistler Credit Agreement). In addition, our financing arrangements limit our ability to make certain restricted payments, pay dividends on or redeem or repurchase stock, make certain investments,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were in compliance with all restrictive financial covenants in our debt instruments as of October 31, 2018. We expect that we will meet all applicable financial maintenance covenants in our credit agreements throughout the fiscal year ending July 31, 2019. However, there can be no assurance we will meet such financial covenants. If such covenants are not met, we would be required to seek a waiver or amendment from the banks participating in the credit agreements. There can be no assurance that such waivers or amendments would be granted, which could have a material adverse impact on our liquidity.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Except for any historical information contained herein, the matters discussed or incorporated by reference in this Form 10-Q contain certain forward-looking statements within the meaning of the federal securities laws.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154" w:lineRule="exact"/>
        <w:rPr>
          <w:sz w:val="20"/>
          <w:szCs w:val="20"/>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prolonged weakness in general economic conditions, including adverse effects on the overall travel and leisure related industries;</w:t>
      </w:r>
    </w:p>
    <w:p>
      <w:pPr>
        <w:spacing w:after="0" w:line="23"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unfavorable weather conditions or the impact of natural disasters;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risks related to our reliance on information technology, including our failure to maintain the integrity of our customer or employee data;</w:t>
      </w:r>
    </w:p>
    <w:p>
      <w:pPr>
        <w:spacing w:after="0" w:line="20" w:lineRule="exact"/>
        <w:rPr>
          <w:rFonts w:ascii="Arial" w:cs="Arial" w:eastAsia="Arial" w:hAnsi="Arial"/>
          <w:sz w:val="17"/>
          <w:szCs w:val="17"/>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cyber-attacks;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willingness of our guests to travel due to terrorism, the uncertainty of military conflicts or outbreaks of contagious diseases, and the cost and availability of travel options and changing consumer preferences;</w:t>
      </w: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the seasonality of our business combined with adverse events that occur during our peak operating periods;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mountain and lodging businesses;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the high fixed cost structure of our business;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fund resort capital expenditures;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a disruption in our water supply that would impact our snowmaking capabilities and operations;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government permits or approvals for our use of public land or to make operational and capital improvements;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federal, state, local and foreign government laws, rules and regulations;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changes in security and privacy laws and regulations which could increase our operating costs and adversely affect our ability to market our products and services effectively;</w:t>
      </w: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hire and retain a sufficient seasonal workforce;</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workforce, including increased labor costs;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loss of key personnel;</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adverse consequences of current or future legal claims;</w:t>
      </w:r>
    </w:p>
    <w:p>
      <w:pPr>
        <w:spacing w:after="0" w:line="9" w:lineRule="exact"/>
        <w:rPr>
          <w:rFonts w:ascii="Arial" w:cs="Arial" w:eastAsia="Arial" w:hAnsi="Arial"/>
          <w:sz w:val="18"/>
          <w:szCs w:val="18"/>
          <w:i w:val="1"/>
          <w:iCs w:val="1"/>
          <w:color w:val="auto"/>
        </w:rPr>
      </w:pPr>
    </w:p>
    <w:p>
      <w:pPr>
        <w:ind w:left="820" w:right="20" w:hanging="650"/>
        <w:spacing w:after="0" w:line="250" w:lineRule="auto"/>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 deterioration in the quality or reputation of our brands, including our ability to protect our intellectual property and the risk of accidents at our mountain resorts;</w:t>
      </w:r>
    </w:p>
    <w:p>
      <w:pPr>
        <w:ind w:left="820" w:right="20" w:hanging="650"/>
        <w:spacing w:after="0" w:line="250" w:lineRule="auto"/>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integrate acquired businesses, or that acquired businesses may fail to perform in accordance with expectations, including Okemo, Crested Butte, Stevens Pass, Mount Sunapee or future acquisitions;</w:t>
      </w: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satisfy the requirements of Section 404 of the Sarbanes-Oxley Act of 2002, with respect to acquired businesses;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international operations;</w:t>
      </w:r>
    </w:p>
    <w:p>
      <w:pPr>
        <w:spacing w:after="0" w:line="9" w:lineRule="exact"/>
        <w:rPr>
          <w:rFonts w:ascii="Arial" w:cs="Arial" w:eastAsia="Arial" w:hAnsi="Arial"/>
          <w:sz w:val="18"/>
          <w:szCs w:val="18"/>
          <w:i w:val="1"/>
          <w:iCs w:val="1"/>
          <w:color w:val="auto"/>
        </w:rPr>
      </w:pPr>
    </w:p>
    <w:p>
      <w:pPr>
        <w:ind w:left="820" w:right="20" w:hanging="650"/>
        <w:spacing w:after="0" w:line="250" w:lineRule="auto"/>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fluctuations in foreign currency exchange rates where the Company has foreign currency exposure, primarily the Canadian and Australian dollars;</w:t>
      </w:r>
    </w:p>
    <w:p>
      <w:pPr>
        <w:ind w:left="820" w:hanging="650"/>
        <w:spacing w:after="0"/>
        <w:tabs>
          <w:tab w:leader="none" w:pos="82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changes in accounting judgments and estimates, accounting principles, policies or guidelines or adverse determinations by taxing authorities;</w:t>
      </w:r>
    </w:p>
    <w:p>
      <w:pPr>
        <w:spacing w:after="0" w:line="32" w:lineRule="exact"/>
        <w:rPr>
          <w:rFonts w:ascii="Arial" w:cs="Arial" w:eastAsia="Arial" w:hAnsi="Arial"/>
          <w:sz w:val="16"/>
          <w:szCs w:val="16"/>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uncertainty of the impact of recently enacted tax reform legislation in the United States; and</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 materially adverse change in our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All forward-looking statements attributable to us or any persons acting on our behalf are expressly qualified in their entirety by these cautionary statements.</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one or more of these risks or uncertainties materialize, or if underlying assumptions prove incorrect, our actual results may vary materially from those expected, estimated or projected. Given these uncertainties, users of the information included in this Form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0" w:right="239" w:bottom="1440" w:gutter="0" w:footer="0" w:header="0"/>
        </w:sectPr>
      </w:pPr>
    </w:p>
    <w:bookmarkStart w:id="35" w:name="page36"/>
    <w:bookmarkEnd w:id="35"/>
    <w:p>
      <w:pPr>
        <w:jc w:val="both"/>
        <w:spacing w:after="0" w:line="302" w:lineRule="auto"/>
        <w:rPr>
          <w:sz w:val="20"/>
          <w:szCs w:val="20"/>
          <w:color w:val="auto"/>
        </w:rPr>
      </w:pPr>
      <w:r>
        <w:rPr>
          <w:rFonts w:ascii="Arial" w:cs="Arial" w:eastAsia="Arial" w:hAnsi="Arial"/>
          <w:sz w:val="16"/>
          <w:szCs w:val="16"/>
          <w:color w:val="auto"/>
        </w:rPr>
        <w:t>10-Q, including investors and prospective investors, are cautioned not to place undue reliance on such forward-looking statements. Actual results may differ materially from those suggested by the forward-looking statements that we make for a number of reasons, including those described in Part I, Item 1A “Risk Factors” of our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Our exposure to market risk is limited primarily to the fluctuating interest rates associated with variable rate indebtedness. As</w:t>
      </w:r>
      <w:r>
        <w:rPr>
          <w:rFonts w:ascii="Arial" w:cs="Arial" w:eastAsia="Arial" w:hAnsi="Arial"/>
          <w:sz w:val="18"/>
          <w:szCs w:val="18"/>
          <w:i w:val="1"/>
          <w:iCs w:val="1"/>
          <w:color w:val="auto"/>
        </w:rPr>
        <w:t xml:space="preserve"> </w:t>
      </w:r>
      <w:r>
        <w:rPr>
          <w:rFonts w:ascii="Arial" w:cs="Arial" w:eastAsia="Arial" w:hAnsi="Arial"/>
          <w:sz w:val="18"/>
          <w:szCs w:val="18"/>
          <w:color w:val="auto"/>
        </w:rPr>
        <w:t>of October 31, 2018, we had approximately $1.2 billion of variable rate indebtedness, representing approximately 77.6% of our total debt outstanding, at an average interest rate during the three months ended October 31, 2018 of 3.2%. Based on variable-rate borrowings outstanding as of October 31, 2018, a 100-basis point (or 1.0%) change in our borrowing rates would result in our annual interest payments changing by approximately $11.9 million. Our market risk exposure fluctuates based on changes in underlying interest rates.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Foreign Currency Exchange Rate Risk. </w:t>
      </w:r>
      <w:r>
        <w:rPr>
          <w:rFonts w:ascii="Arial" w:cs="Arial" w:eastAsia="Arial" w:hAnsi="Arial"/>
          <w:sz w:val="17"/>
          <w:szCs w:val="17"/>
          <w:color w:val="auto"/>
        </w:rPr>
        <w:t>We are exposed to currency translation risk because the results of our international entities are reported in local</w:t>
      </w:r>
      <w:r>
        <w:rPr>
          <w:rFonts w:ascii="Arial" w:cs="Arial" w:eastAsia="Arial" w:hAnsi="Arial"/>
          <w:sz w:val="17"/>
          <w:szCs w:val="17"/>
          <w:i w:val="1"/>
          <w:iCs w:val="1"/>
          <w:color w:val="auto"/>
        </w:rPr>
        <w:t xml:space="preserve"> </w:t>
      </w:r>
      <w:r>
        <w:rPr>
          <w:rFonts w:ascii="Arial" w:cs="Arial" w:eastAsia="Arial" w:hAnsi="Arial"/>
          <w:sz w:val="17"/>
          <w:szCs w:val="17"/>
          <w:color w:val="auto"/>
        </w:rPr>
        <w:t>currency, which we then translate to U.S. dollars for inclusion in our consolidated condensed financial statements. As a result, changes between the foreign exchange rates, in particular the Canadian dollar and Australian dollar compared to the U.S. dollar, affect the amounts we record for our foreign assets, liabilities, revenues and expenses, and could have a negative effect on our financial results. Additionally, we also have foreign currency transaction exposure from an intercompany loan to Whistler Blackcomb that is not deemed to be permanently invested, which have and could materially change due to fluctuations in the Canadian dollar exchange rate. The results of Whistler Blackcomb and Perisher are reported in Canadian dollars and Australian dollars respectively, which we then translate to U.S. dollars for inclusion in our consolidated condensed financial statements. We do not currently enter into hedging arrangements to minimize the impact of foreign currency fluctuations on our operations.</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amounts of foreign currency translation adjustments, net of tax, representing losses, and foreign currency loss on intercompany loans recognized, in comprehensive loss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4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Three Months Ended October 31,</w:t>
            </w:r>
          </w:p>
        </w:tc>
        <w:tc>
          <w:tcPr>
            <w:tcW w:w="72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 net of tax</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(22,636)</w:t>
            </w:r>
          </w:p>
        </w:tc>
        <w:tc>
          <w:tcPr>
            <w:tcW w:w="116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(45,405)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Foreign currency loss on intercompany loans</w:t>
            </w:r>
          </w:p>
        </w:tc>
        <w:tc>
          <w:tcPr>
            <w:tcW w:w="1120" w:type="dxa"/>
            <w:vAlign w:val="bottom"/>
          </w:tcPr>
          <w:p>
            <w:pPr>
              <w:jc w:val="right"/>
              <w:ind w:right="919"/>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(2,311)</w:t>
            </w:r>
          </w:p>
        </w:tc>
        <w:tc>
          <w:tcPr>
            <w:tcW w:w="1160" w:type="dxa"/>
            <w:vAlign w:val="bottom"/>
          </w:tcPr>
          <w:p>
            <w:pPr>
              <w:jc w:val="right"/>
              <w:ind w:right="896"/>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(7,346)</w:t>
            </w:r>
          </w:p>
        </w:tc>
      </w:tr>
      <w:tr>
        <w:trPr>
          <w:trHeight w:val="34"/>
        </w:trPr>
        <w:tc>
          <w:tcPr>
            <w:tcW w:w="7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of the Company, under the supervision and with participation of the Chief Executive Officer (“CEO”) and Chief Financial Officer (“CFO”), evaluated the effectiveness of the Company’s disclosure controls and procedures as such term is defined in Rule 13a-15(e) and 15d-15(e) under the Securities Exchange Act of 1934 (the “Act”) as of the end of the period covered by this report on Form 10-Q.</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upon their evaluation of the Company’s disclosure controls and procedures, the CEO and the CFO concluded that the disclosure controls and procedures are effective to provide reasonable assurance that information required to be disclosed by the Company in the reports that it files or submits under the Act is accumulated and communicated to management, including the CEO and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May 2016, Kirkwood received a Notice of Violation (“NOV”) from the State of California Central Valley Regional Water Quality Control Board (the “Regional Water Board”) regarding the disposition of asphalt grindings used in parking lot surfacing in and around Kirkwood Creek. We have cooperated with the Regional Water Board staff and the California Department of Fish and Wildlife (“CDFW”) to satisfactorily resolve the matters identified in the NOV.</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13, 2017, Kirkwood entered into a Settlement Agreement and Stipulation for Entry of Administrative Liability Order (“Stipulated Order”) with the Regional Water Board and CDFW. Under the Stipulated Order, Kirkwood agreed to be responsible for monetary penalties and agency costs totaling approximately $0.8 million, of which approximately half will be fulfilled by a supplemental environmental project run by the National Fish and Wildlife Foundation. All of these amounts have been paid by third-party insurance. The remaining remediation work required by the Stipulated Order and requested by the agencies should be completed in calendar year 2019, depending on permits and weather conditions.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the resolution of the above item to have a material impact on our results of operations or cash flows.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a party to various lawsuits arising in the ordinary course of business. We believe that we have adequate insurance coverage and/or have accrued for all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the risk factors we previously disclosed in our Annual Report on Form 10-K, filed with the SEC on September 28, 2018, as of and for the year ended July 31, 2018.</w:t>
      </w:r>
    </w:p>
    <w:p>
      <w:pPr>
        <w:spacing w:after="0" w:line="166" w:lineRule="exact"/>
        <w:rPr>
          <w:sz w:val="20"/>
          <w:szCs w:val="20"/>
          <w:color w:val="auto"/>
        </w:rPr>
      </w:pPr>
    </w:p>
    <w:p>
      <w:pPr>
        <w:ind w:right="4320"/>
        <w:spacing w:after="0" w:line="378" w:lineRule="auto"/>
        <w:rPr>
          <w:sz w:val="20"/>
          <w:szCs w:val="20"/>
          <w:color w:val="auto"/>
        </w:rPr>
      </w:pPr>
      <w:r>
        <w:rPr>
          <w:rFonts w:ascii="Arial" w:cs="Arial" w:eastAsia="Arial" w:hAnsi="Arial"/>
          <w:sz w:val="18"/>
          <w:szCs w:val="18"/>
          <w:b w:val="1"/>
          <w:bCs w:val="1"/>
          <w:color w:val="auto"/>
        </w:rPr>
        <w:t>ITEM 2. UNREGISTERED SALES OF EQUITY SECURITIES AND USE OF PROCEEDS Exchangeable Shares</w:t>
      </w:r>
    </w:p>
    <w:p>
      <w:pPr>
        <w:jc w:val="both"/>
        <w:spacing w:after="0" w:line="272" w:lineRule="auto"/>
        <w:rPr>
          <w:sz w:val="20"/>
          <w:szCs w:val="20"/>
          <w:color w:val="auto"/>
        </w:rPr>
      </w:pPr>
      <w:r>
        <w:rPr>
          <w:rFonts w:ascii="Arial" w:cs="Arial" w:eastAsia="Arial" w:hAnsi="Arial"/>
          <w:sz w:val="17"/>
          <w:szCs w:val="17"/>
          <w:color w:val="auto"/>
        </w:rPr>
        <w:t>As described elsewhere in this report, on October 17, 2016, the Company acquired all of the outstanding common shares of Whistler Blackcomb. Part of the consideration paid to Whistler Blackcomb shareholders consisted of 3,327,719 Vail Shares and 418,095 shares of the Company’s wholly-owned Canadian subsidiary (the “Exchangeco Shares”). Each Exchangeco Share is exchangeable by the holder thereof for one Vail Share (subject to customary adjustments for stock splits or other reorganizations). In addition, the Company may require all outstanding Exchangeco Shares to be exchanged into an equal number of Vail Shares upon the occurrence of certain events and at any time following the seventh anniversary of the closing of the transaction. Exchangeco Shares, while outstanding, are substantially the economic equivalent of the corresponding Vail Shares. As of October 31, 2018, 57,227 Exchangeco Shares had not yet been exchanged into Vail Shares.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shares issued at closing of the Whistler Blackcomb acquisition were issued in reliance upon Section 3(a)(10) of the Securities Act of 1933, as amended (the “Securities Act”), which exempts from the registration requirements under the Securities Act any securities that are issued in exchange for one or more bona fide outstanding securities where the terms and conditions of such issuance and exchange are approved, after a hearing upon the fairness of such terms and conditions at which all persons to whom it is proposed to issue securities in such exchange shall have the right to appear, by any court expressly authorized by law to grant such approval. Although exempt from the registration requirements under the Securities Act, such shares are listed and freely tradeable on the New York Stock Exchange.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Repurchase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purchases of shares of our common stock during the first quarter of fiscal 2019:</w:t>
      </w:r>
    </w:p>
    <w:p>
      <w:pPr>
        <w:spacing w:after="0" w:line="31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600" w:type="dxa"/>
            <w:vAlign w:val="bottom"/>
          </w:tcPr>
          <w:p>
            <w:pPr>
              <w:jc w:val="right"/>
              <w:ind w:right="19"/>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242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Total Number of Shares</w:t>
            </w:r>
          </w:p>
        </w:tc>
        <w:tc>
          <w:tcPr>
            <w:tcW w:w="1700" w:type="dxa"/>
            <w:vAlign w:val="bottom"/>
            <w:gridSpan w:val="2"/>
            <w:vMerge w:val="restart"/>
          </w:tcPr>
          <w:p>
            <w:pPr>
              <w:jc w:val="right"/>
              <w:ind w:right="34"/>
              <w:spacing w:after="0"/>
              <w:rPr>
                <w:sz w:val="20"/>
                <w:szCs w:val="20"/>
                <w:color w:val="auto"/>
              </w:rPr>
            </w:pPr>
            <w:r>
              <w:rPr>
                <w:rFonts w:ascii="Arial" w:cs="Arial" w:eastAsia="Arial" w:hAnsi="Arial"/>
                <w:sz w:val="14"/>
                <w:szCs w:val="14"/>
                <w:b w:val="1"/>
                <w:bCs w:val="1"/>
                <w:color w:val="auto"/>
              </w:rPr>
              <w:t>Average Price Paid per</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Shares that May Yet Be</w:t>
            </w:r>
          </w:p>
        </w:tc>
        <w:tc>
          <w:tcPr>
            <w:tcW w:w="0" w:type="dxa"/>
            <w:vAlign w:val="bottom"/>
          </w:tcPr>
          <w:p>
            <w:pPr>
              <w:spacing w:after="0"/>
              <w:rPr>
                <w:sz w:val="1"/>
                <w:szCs w:val="1"/>
                <w:color w:val="auto"/>
              </w:rPr>
            </w:pPr>
          </w:p>
        </w:tc>
      </w:tr>
      <w:tr>
        <w:trPr>
          <w:trHeight w:val="149"/>
        </w:trPr>
        <w:tc>
          <w:tcPr>
            <w:tcW w:w="380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Period</w:t>
            </w:r>
          </w:p>
        </w:tc>
        <w:tc>
          <w:tcPr>
            <w:tcW w:w="2420" w:type="dxa"/>
            <w:vAlign w:val="bottom"/>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60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92"/>
        </w:trPr>
        <w:tc>
          <w:tcPr>
            <w:tcW w:w="3800" w:type="dxa"/>
            <w:vAlign w:val="bottom"/>
            <w:tcBorders>
              <w:bottom w:val="single" w:sz="8" w:color="auto"/>
            </w:tcBorders>
            <w:vMerge w:val="continue"/>
          </w:tcPr>
          <w:p>
            <w:pPr>
              <w:spacing w:after="0"/>
              <w:rPr>
                <w:sz w:val="16"/>
                <w:szCs w:val="16"/>
                <w:color w:val="auto"/>
              </w:rPr>
            </w:pPr>
          </w:p>
        </w:tc>
        <w:tc>
          <w:tcPr>
            <w:tcW w:w="24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Purchased</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Share</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 (1)</w:t>
            </w: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Plans or Programs (1)</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August 1, 2018 - August 31, 2018</w:t>
            </w:r>
          </w:p>
        </w:tc>
        <w:tc>
          <w:tcPr>
            <w:tcW w:w="24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1,948,284</w:t>
            </w:r>
          </w:p>
        </w:tc>
        <w:tc>
          <w:tcPr>
            <w:tcW w:w="0" w:type="dxa"/>
            <w:vAlign w:val="bottom"/>
          </w:tcPr>
          <w:p>
            <w:pPr>
              <w:spacing w:after="0"/>
              <w:rPr>
                <w:sz w:val="1"/>
                <w:szCs w:val="1"/>
                <w:color w:val="auto"/>
              </w:rPr>
            </w:pP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September 1, 2018 - September 30, 2018</w:t>
            </w:r>
          </w:p>
        </w:tc>
        <w:tc>
          <w:tcPr>
            <w:tcW w:w="242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9"/>
              <w:spacing w:after="0"/>
              <w:rPr>
                <w:sz w:val="20"/>
                <w:szCs w:val="20"/>
                <w:color w:val="auto"/>
              </w:rPr>
            </w:pPr>
            <w:r>
              <w:rPr>
                <w:rFonts w:ascii="Arial" w:cs="Arial" w:eastAsia="Arial" w:hAnsi="Arial"/>
                <w:sz w:val="18"/>
                <w:szCs w:val="18"/>
                <w:color w:val="auto"/>
              </w:rPr>
              <w:t>1,948,284</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 1, 2018 - October 31, 2018</w:t>
            </w:r>
          </w:p>
        </w:tc>
        <w:tc>
          <w:tcPr>
            <w:tcW w:w="24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197,896</w:t>
            </w:r>
          </w:p>
        </w:tc>
        <w:tc>
          <w:tcPr>
            <w:tcW w:w="4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252.66</w:t>
            </w:r>
          </w:p>
        </w:tc>
        <w:tc>
          <w:tcPr>
            <w:tcW w:w="16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197,896</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1,750,388</w:t>
            </w:r>
          </w:p>
        </w:tc>
        <w:tc>
          <w:tcPr>
            <w:tcW w:w="0" w:type="dxa"/>
            <w:vAlign w:val="bottom"/>
          </w:tcPr>
          <w:p>
            <w:pPr>
              <w:spacing w:after="0"/>
              <w:rPr>
                <w:sz w:val="1"/>
                <w:szCs w:val="1"/>
                <w:color w:val="auto"/>
              </w:rPr>
            </w:pPr>
          </w:p>
        </w:tc>
      </w:tr>
      <w:tr>
        <w:trPr>
          <w:trHeight w:val="237"/>
        </w:trPr>
        <w:tc>
          <w:tcPr>
            <w:tcW w:w="380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Total</w:t>
            </w:r>
          </w:p>
        </w:tc>
        <w:tc>
          <w:tcPr>
            <w:tcW w:w="242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197,896</w:t>
            </w:r>
          </w:p>
        </w:tc>
        <w:tc>
          <w:tcPr>
            <w:tcW w:w="44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252.66</w:t>
            </w:r>
          </w:p>
        </w:tc>
        <w:tc>
          <w:tcPr>
            <w:tcW w:w="168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rPr>
              <w:t>197,896</w:t>
            </w: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1,750,388</w:t>
            </w:r>
          </w:p>
        </w:tc>
        <w:tc>
          <w:tcPr>
            <w:tcW w:w="0" w:type="dxa"/>
            <w:vAlign w:val="bottom"/>
          </w:tcPr>
          <w:p>
            <w:pPr>
              <w:spacing w:after="0"/>
              <w:rPr>
                <w:sz w:val="1"/>
                <w:szCs w:val="1"/>
                <w:color w:val="auto"/>
              </w:rPr>
            </w:pPr>
          </w:p>
        </w:tc>
      </w:tr>
      <w:tr>
        <w:trPr>
          <w:trHeight w:val="27"/>
        </w:trPr>
        <w:tc>
          <w:tcPr>
            <w:tcW w:w="38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60" w:right="80" w:hanging="451"/>
        <w:spacing w:after="0" w:line="255" w:lineRule="auto"/>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share repurchase program is conducted under authorizations made from time to time by our Board of Directors. The Board of Directors initially authorized the repurchase of up to 3,000,000 Vail Shares (March 9, 2006), and later authorized additional repurchases of up to 3,000,000 Vail Shares (July 16, 2008) and 1,500,000 Vail Shares (December 4, 2015), for a total authorization to repurchase up to 7,500,000 Vail Shares. As of October 31, 2018, 1,750,388 Vail Shares remained available to repurchase under the existing repurchase authorization. Repurchases under these authorizations may be made from time to time at prevailing prices as permitted by applicable laws, and subject to market conditions and other factors. These authorizations have no expiration date.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exhibits are either filed or furnished herewith or, if so indicated, incorporated by reference to the documents indicated in parentheses, which have previously been filed or furnished with the Securities and Exchange Commission.</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3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340" w:type="dxa"/>
            <w:vAlign w:val="bottom"/>
          </w:tcPr>
          <w:p>
            <w:pPr>
              <w:spacing w:after="0"/>
              <w:rPr>
                <w:sz w:val="14"/>
                <w:szCs w:val="14"/>
                <w:color w:val="auto"/>
              </w:rPr>
            </w:pPr>
          </w:p>
        </w:tc>
        <w:tc>
          <w:tcPr>
            <w:tcW w:w="6620" w:type="dxa"/>
            <w:vAlign w:val="bottom"/>
            <w:gridSpan w:val="4"/>
            <w:vMerge w:val="restart"/>
          </w:tcPr>
          <w:p>
            <w:pPr>
              <w:ind w:left="12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3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340" w:type="dxa"/>
            <w:vAlign w:val="bottom"/>
          </w:tcPr>
          <w:p>
            <w:pPr>
              <w:spacing w:after="0"/>
              <w:rPr>
                <w:sz w:val="16"/>
                <w:szCs w:val="16"/>
                <w:color w:val="auto"/>
              </w:rPr>
            </w:pPr>
          </w:p>
        </w:tc>
        <w:tc>
          <w:tcPr>
            <w:tcW w:w="66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1380" w:type="dxa"/>
            <w:vAlign w:val="bottom"/>
          </w:tcPr>
          <w:p>
            <w:pPr>
              <w:spacing w:after="0"/>
              <w:rPr>
                <w:sz w:val="20"/>
                <w:szCs w:val="20"/>
                <w:color w:val="auto"/>
              </w:rPr>
            </w:pPr>
            <w:r>
              <w:rPr>
                <w:rFonts w:ascii="Arial" w:cs="Arial" w:eastAsia="Arial" w:hAnsi="Arial"/>
                <w:sz w:val="18"/>
                <w:szCs w:val="18"/>
                <w:color w:val="auto"/>
              </w:rPr>
              <w:t>10.1</w:t>
            </w:r>
          </w:p>
        </w:tc>
        <w:tc>
          <w:tcPr>
            <w:tcW w:w="996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41">
              <w:r>
                <w:rPr>
                  <w:rFonts w:ascii="Arial" w:cs="Arial" w:eastAsia="Arial" w:hAnsi="Arial"/>
                  <w:sz w:val="18"/>
                  <w:szCs w:val="18"/>
                  <w:color w:val="0000FF"/>
                  <w:w w:val="92"/>
                </w:rPr>
                <w:t>Eighth Amended and Restated Credit Agreement, Annex A to that certain Amendment Agreement, dated as of August 15, 2018, among</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60" w:type="dxa"/>
            <w:vAlign w:val="bottom"/>
            <w:tcBorders>
              <w:bottom w:val="single" w:sz="8" w:color="0000FF"/>
            </w:tcBorders>
            <w:gridSpan w:val="5"/>
          </w:tcPr>
          <w:p>
            <w:pPr>
              <w:spacing w:after="0" w:line="196" w:lineRule="exact"/>
              <w:rPr>
                <w:rFonts w:ascii="Arial" w:cs="Arial" w:eastAsia="Arial" w:hAnsi="Arial"/>
                <w:sz w:val="18"/>
                <w:szCs w:val="18"/>
                <w:color w:val="0000FF"/>
                <w:w w:val="96"/>
              </w:rPr>
            </w:pPr>
            <w:hyperlink w:anchor="page41">
              <w:r>
                <w:rPr>
                  <w:rFonts w:ascii="Arial" w:cs="Arial" w:eastAsia="Arial" w:hAnsi="Arial"/>
                  <w:sz w:val="18"/>
                  <w:szCs w:val="18"/>
                  <w:color w:val="0000FF"/>
                  <w:w w:val="96"/>
                </w:rPr>
                <w:t>Vail Holdings, Inc., as borrower, Bank of America, N.A., as administrative agent, U.S. Bank National Association and Wells Fargo,</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66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w:anchor="page41">
              <w:r>
                <w:rPr>
                  <w:rFonts w:ascii="Arial" w:cs="Arial" w:eastAsia="Arial" w:hAnsi="Arial"/>
                  <w:sz w:val="18"/>
                  <w:szCs w:val="18"/>
                  <w:color w:val="0000FF"/>
                  <w:w w:val="90"/>
                </w:rPr>
                <w:t>National Association, as co-syndication Agents, and the Lenders party thereto.</w:t>
              </w:r>
            </w:hyperlink>
          </w:p>
        </w:tc>
        <w:tc>
          <w:tcPr>
            <w:tcW w:w="43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1380" w:type="dxa"/>
            <w:vAlign w:val="bottom"/>
          </w:tcPr>
          <w:p>
            <w:pPr>
              <w:spacing w:after="0"/>
              <w:rPr>
                <w:sz w:val="20"/>
                <w:szCs w:val="20"/>
                <w:color w:val="auto"/>
              </w:rPr>
            </w:pPr>
            <w:r>
              <w:rPr>
                <w:rFonts w:ascii="Arial" w:cs="Arial" w:eastAsia="Arial" w:hAnsi="Arial"/>
                <w:sz w:val="18"/>
                <w:szCs w:val="18"/>
                <w:color w:val="auto"/>
              </w:rPr>
              <w:t>10.2*</w:t>
            </w:r>
          </w:p>
        </w:tc>
        <w:tc>
          <w:tcPr>
            <w:tcW w:w="9960" w:type="dxa"/>
            <w:vAlign w:val="bottom"/>
            <w:gridSpan w:val="5"/>
          </w:tcPr>
          <w:p>
            <w:pPr>
              <w:spacing w:after="0"/>
              <w:rPr>
                <w:rFonts w:ascii="Arial" w:cs="Arial" w:eastAsia="Arial" w:hAnsi="Arial"/>
                <w:sz w:val="18"/>
                <w:szCs w:val="18"/>
                <w:color w:val="0000FF"/>
              </w:rPr>
            </w:pPr>
            <w:hyperlink w:anchor="page278">
              <w:r>
                <w:rPr>
                  <w:rFonts w:ascii="Arial" w:cs="Arial" w:eastAsia="Arial" w:hAnsi="Arial"/>
                  <w:sz w:val="18"/>
                  <w:szCs w:val="18"/>
                  <w:color w:val="0000FF"/>
                </w:rPr>
                <w:t>Vail Resorts, Inc. Management Incentive Plan.</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380" w:type="dxa"/>
            <w:vAlign w:val="bottom"/>
          </w:tcPr>
          <w:p>
            <w:pPr>
              <w:spacing w:after="0"/>
              <w:rPr>
                <w:sz w:val="20"/>
                <w:szCs w:val="20"/>
                <w:color w:val="auto"/>
              </w:rPr>
            </w:pPr>
            <w:r>
              <w:rPr>
                <w:rFonts w:ascii="Arial" w:cs="Arial" w:eastAsia="Arial" w:hAnsi="Arial"/>
                <w:sz w:val="18"/>
                <w:szCs w:val="18"/>
                <w:color w:val="auto"/>
              </w:rPr>
              <w:t>31.1</w:t>
            </w:r>
          </w:p>
        </w:tc>
        <w:tc>
          <w:tcPr>
            <w:tcW w:w="9960" w:type="dxa"/>
            <w:vAlign w:val="bottom"/>
            <w:gridSpan w:val="5"/>
          </w:tcPr>
          <w:p>
            <w:pPr>
              <w:spacing w:after="0"/>
              <w:rPr>
                <w:rFonts w:ascii="Arial" w:cs="Arial" w:eastAsia="Arial" w:hAnsi="Arial"/>
                <w:sz w:val="18"/>
                <w:szCs w:val="18"/>
                <w:color w:val="0000FF"/>
              </w:rPr>
            </w:pPr>
            <w:hyperlink w:anchor="page286">
              <w:r>
                <w:rPr>
                  <w:rFonts w:ascii="Arial" w:cs="Arial" w:eastAsia="Arial" w:hAnsi="Arial"/>
                  <w:sz w:val="18"/>
                  <w:szCs w:val="18"/>
                  <w:color w:val="0000FF"/>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426"/>
        </w:trPr>
        <w:tc>
          <w:tcPr>
            <w:tcW w:w="1380" w:type="dxa"/>
            <w:vAlign w:val="bottom"/>
          </w:tcPr>
          <w:p>
            <w:pPr>
              <w:spacing w:after="0"/>
              <w:rPr>
                <w:sz w:val="20"/>
                <w:szCs w:val="20"/>
                <w:color w:val="auto"/>
              </w:rPr>
            </w:pPr>
            <w:r>
              <w:rPr>
                <w:rFonts w:ascii="Arial" w:cs="Arial" w:eastAsia="Arial" w:hAnsi="Arial"/>
                <w:sz w:val="18"/>
                <w:szCs w:val="18"/>
                <w:color w:val="auto"/>
              </w:rPr>
              <w:t>31.2</w:t>
            </w:r>
          </w:p>
        </w:tc>
        <w:tc>
          <w:tcPr>
            <w:tcW w:w="718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2"/>
              </w:rPr>
            </w:pPr>
            <w:hyperlink w:anchor="page287">
              <w:r>
                <w:rPr>
                  <w:rFonts w:ascii="Arial" w:cs="Arial" w:eastAsia="Arial" w:hAnsi="Arial"/>
                  <w:sz w:val="18"/>
                  <w:szCs w:val="18"/>
                  <w:color w:val="0000FF"/>
                  <w:w w:val="92"/>
                </w:rPr>
                <w:t>Certification of Chief Financial Officer pursuant to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420" w:right="20" w:hanging="1385"/>
        <w:spacing w:after="0" w:line="277" w:lineRule="auto"/>
        <w:tabs>
          <w:tab w:leader="none" w:pos="1420" w:val="left"/>
        </w:tabs>
        <w:numPr>
          <w:ilvl w:val="0"/>
          <w:numId w:val="14"/>
        </w:numPr>
        <w:rPr>
          <w:rFonts w:ascii="Arial" w:cs="Arial" w:eastAsia="Arial" w:hAnsi="Arial"/>
          <w:sz w:val="18"/>
          <w:szCs w:val="18"/>
          <w:u w:val="single" w:color="auto"/>
          <w:color w:val="0000FF"/>
        </w:rPr>
      </w:pPr>
      <w:hyperlink w:anchor="page288">
        <w:r>
          <w:rPr>
            <w:rFonts w:ascii="Arial" w:cs="Arial" w:eastAsia="Arial" w:hAnsi="Arial"/>
            <w:sz w:val="18"/>
            <w:szCs w:val="18"/>
            <w:u w:val="single" w:color="auto"/>
            <w:color w:val="0000FF"/>
          </w:rPr>
          <w:t>Certifications of Chief Executive Officer and Chief Financial Officer pursuant to 18 U.S.C. Section 1350 as adopted pursuant to Section</w:t>
        </w:r>
      </w:hyperlink>
      <w:r>
        <w:rPr>
          <w:rFonts w:ascii="Arial" w:cs="Arial" w:eastAsia="Arial" w:hAnsi="Arial"/>
          <w:sz w:val="18"/>
          <w:szCs w:val="18"/>
          <w:u w:val="single" w:color="auto"/>
          <w:color w:val="0000FF"/>
        </w:rPr>
        <w:t xml:space="preserve"> </w:t>
      </w:r>
      <w:hyperlink w:anchor="page288">
        <w:r>
          <w:rPr>
            <w:rFonts w:ascii="Arial" w:cs="Arial" w:eastAsia="Arial" w:hAnsi="Arial"/>
            <w:sz w:val="18"/>
            <w:szCs w:val="18"/>
            <w:u w:val="single" w:color="auto"/>
            <w:color w:val="0000FF"/>
          </w:rPr>
          <w:t>906 of the Sarbanes-Oxley Act of 2002.</w:t>
        </w:r>
      </w:hyperlink>
    </w:p>
    <w:p>
      <w:pPr>
        <w:spacing w:after="0" w:line="184" w:lineRule="exact"/>
        <w:rPr>
          <w:rFonts w:ascii="Arial" w:cs="Arial" w:eastAsia="Arial" w:hAnsi="Arial"/>
          <w:sz w:val="18"/>
          <w:szCs w:val="18"/>
          <w:color w:val="auto"/>
        </w:rPr>
      </w:pPr>
    </w:p>
    <w:p>
      <w:pPr>
        <w:jc w:val="both"/>
        <w:ind w:left="1420" w:hanging="1385"/>
        <w:spacing w:after="0" w:line="272" w:lineRule="auto"/>
        <w:tabs>
          <w:tab w:leader="none" w:pos="14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following information from the Company’s Quarterly Report on Form 10-Q for the three months ended October 31, 2018 formatted in eXtensible Business Reporting Language: (i) Unaudited Consolidated Condensed Balance Sheets as of October 31, 2018, July 31, 2018, and October 31, 2017; (ii) Unaudited Consolidated Condensed Statements of Operations for the three months ended October 31, 2018 and 2017; (iii) Unaudited Consolidated Condensed Statements of Comprehensive Income for the three months ended October 31, 2018 and 2017; (iv) Unaudited Consolidated Condensed Statements of Stockholders’ Equity for the three months ended October 31, 2018 and 2017; (v) Unaudited Consolidated Condensed Statements of Cash Flows for the three months ended October 31, 2018 and 2017; and (vi) Notes to the Consolidated Condensed Financial Statements.</w:t>
      </w:r>
    </w:p>
    <w:p>
      <w:pPr>
        <w:sectPr>
          <w:pgSz w:w="11900" w:h="16838" w:orient="portrait"/>
          <w:cols w:equalWidth="0" w:num="1">
            <w:col w:w="11400"/>
          </w:cols>
          <w:pgMar w:left="240" w:top="661" w:right="259" w:bottom="1440" w:gutter="0" w:footer="0" w:header="0"/>
        </w:sectPr>
      </w:pPr>
    </w:p>
    <w:p>
      <w:pPr>
        <w:spacing w:after="0" w:line="200" w:lineRule="exact"/>
        <w:rPr>
          <w:rFonts w:ascii="Arial" w:cs="Arial" w:eastAsia="Arial" w:hAnsi="Arial"/>
          <w:sz w:val="18"/>
          <w:szCs w:val="18"/>
          <w:color w:val="auto"/>
        </w:rPr>
      </w:pPr>
    </w:p>
    <w:p>
      <w:pPr>
        <w:spacing w:after="0" w:line="248"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00"/>
          </w:cols>
          <w:pgMar w:left="240" w:top="661" w:right="25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color w:val="auto"/>
        </w:rPr>
        <w:t>*Management contracts and compensatory plans and arrangements.</w:t>
      </w: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219"/>
          </w:cols>
          <w:pgMar w:left="240" w:top="584" w:right="1440" w:bottom="1440" w:gutter="0" w:footer="0" w:header="0"/>
        </w:sectPr>
      </w:pPr>
    </w:p>
    <w:bookmarkStart w:id="39" w:name="page40"/>
    <w:bookmarkEnd w:id="39"/>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Vail Resorts, Inc.</w:t>
      </w:r>
    </w:p>
    <w:p>
      <w:pPr>
        <w:spacing w:after="0" w:line="387" w:lineRule="exact"/>
        <w:rPr>
          <w:sz w:val="20"/>
          <w:szCs w:val="20"/>
          <w:color w:val="auto"/>
        </w:rPr>
      </w:pPr>
    </w:p>
    <w:p>
      <w:pPr>
        <w:ind w:left="40"/>
        <w:spacing w:after="0"/>
        <w:tabs>
          <w:tab w:leader="none" w:pos="5680" w:val="left"/>
          <w:tab w:leader="none" w:pos="7860" w:val="left"/>
        </w:tabs>
        <w:rPr>
          <w:sz w:val="20"/>
          <w:szCs w:val="20"/>
          <w:color w:val="auto"/>
        </w:rPr>
      </w:pPr>
      <w:r>
        <w:rPr>
          <w:rFonts w:ascii="Arial" w:cs="Arial" w:eastAsia="Arial" w:hAnsi="Arial"/>
          <w:sz w:val="18"/>
          <w:szCs w:val="18"/>
          <w:color w:val="auto"/>
        </w:rPr>
        <w:t>Date: December 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31750</wp:posOffset>
            </wp:positionV>
            <wp:extent cx="3087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(Principal Financial Officer)</w:t>
      </w:r>
    </w:p>
    <w:p>
      <w:pPr>
        <w:spacing w:after="0" w:line="387" w:lineRule="exact"/>
        <w:rPr>
          <w:sz w:val="20"/>
          <w:szCs w:val="20"/>
          <w:color w:val="auto"/>
        </w:rPr>
      </w:pPr>
    </w:p>
    <w:p>
      <w:pPr>
        <w:ind w:left="40"/>
        <w:spacing w:after="0"/>
        <w:tabs>
          <w:tab w:leader="none" w:pos="5680" w:val="left"/>
          <w:tab w:leader="none" w:pos="7980" w:val="left"/>
        </w:tabs>
        <w:rPr>
          <w:sz w:val="20"/>
          <w:szCs w:val="20"/>
          <w:color w:val="auto"/>
        </w:rPr>
      </w:pPr>
      <w:r>
        <w:rPr>
          <w:rFonts w:ascii="Arial" w:cs="Arial" w:eastAsia="Arial" w:hAnsi="Arial"/>
          <w:sz w:val="18"/>
          <w:szCs w:val="18"/>
          <w:color w:val="auto"/>
        </w:rPr>
        <w:t>Date: December 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Ryan H. Siurek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31750</wp:posOffset>
            </wp:positionV>
            <wp:extent cx="3087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Ryan H. Siurek</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Senior Vice President, Controller and</w:t>
      </w:r>
    </w:p>
    <w:p>
      <w:pPr>
        <w:spacing w:after="0" w:line="23"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Chief Accounting Officer</w:t>
      </w:r>
    </w:p>
    <w:p>
      <w:pPr>
        <w:spacing w:after="0" w:line="49"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580" w:right="439" w:bottom="1440" w:gutter="0" w:footer="0" w:header="0"/>
        </w:sectPr>
      </w:pPr>
    </w:p>
    <w:bookmarkStart w:id="40" w:name="page41"/>
    <w:bookmarkEnd w:id="40"/>
    <w:p>
      <w:pPr>
        <w:jc w:val="right"/>
        <w:spacing w:after="0"/>
        <w:rPr>
          <w:sz w:val="20"/>
          <w:szCs w:val="20"/>
          <w:color w:val="auto"/>
        </w:rPr>
      </w:pPr>
      <w:r>
        <w:rPr>
          <w:rFonts w:ascii="Arial" w:cs="Arial" w:eastAsia="Arial" w:hAnsi="Arial"/>
          <w:sz w:val="20"/>
          <w:szCs w:val="20"/>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AGREEMENT</w:t>
      </w:r>
    </w:p>
    <w:p>
      <w:pPr>
        <w:spacing w:after="0" w:line="22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THIS AMENDMENT AGREEMENT </w:t>
      </w:r>
      <w:r>
        <w:rPr>
          <w:rFonts w:ascii="Arial" w:cs="Arial" w:eastAsia="Arial" w:hAnsi="Arial"/>
          <w:sz w:val="20"/>
          <w:szCs w:val="20"/>
          <w:color w:val="auto"/>
        </w:rPr>
        <w:t>(this “</w:t>
      </w:r>
      <w:r>
        <w:rPr>
          <w:rFonts w:ascii="Arial" w:cs="Arial" w:eastAsia="Arial" w:hAnsi="Arial"/>
          <w:sz w:val="20"/>
          <w:szCs w:val="20"/>
          <w:b w:val="1"/>
          <w:bCs w:val="1"/>
          <w:i w:val="1"/>
          <w:iCs w:val="1"/>
          <w:color w:val="auto"/>
        </w:rPr>
        <w:t>Amendment Agreement</w:t>
      </w:r>
      <w:r>
        <w:rPr>
          <w:rFonts w:ascii="Arial" w:cs="Arial" w:eastAsia="Arial" w:hAnsi="Arial"/>
          <w:sz w:val="20"/>
          <w:szCs w:val="20"/>
          <w:color w:val="auto"/>
        </w:rPr>
        <w:t>”), is made and entered into as of August 15, 2018, by and</w:t>
      </w:r>
      <w:r>
        <w:rPr>
          <w:rFonts w:ascii="Arial" w:cs="Arial" w:eastAsia="Arial" w:hAnsi="Arial"/>
          <w:sz w:val="20"/>
          <w:szCs w:val="20"/>
          <w:b w:val="1"/>
          <w:bCs w:val="1"/>
          <w:color w:val="auto"/>
        </w:rPr>
        <w:t xml:space="preserve"> </w:t>
      </w:r>
      <w:r>
        <w:rPr>
          <w:rFonts w:ascii="Arial" w:cs="Arial" w:eastAsia="Arial" w:hAnsi="Arial"/>
          <w:sz w:val="20"/>
          <w:szCs w:val="20"/>
          <w:color w:val="auto"/>
        </w:rPr>
        <w:t>among Vail Holdings, Inc., a Colorado corporation (“</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Bank of America, N.A., as Administrative Agent, a Swing Line Lender, a L/C Issuer and Lender (in its capacity as administrative agent, “</w:t>
      </w:r>
      <w:r>
        <w:rPr>
          <w:rFonts w:ascii="Arial" w:cs="Arial" w:eastAsia="Arial" w:hAnsi="Arial"/>
          <w:sz w:val="20"/>
          <w:szCs w:val="20"/>
          <w:b w:val="1"/>
          <w:bCs w:val="1"/>
          <w:i w:val="1"/>
          <w:iCs w:val="1"/>
          <w:color w:val="auto"/>
        </w:rPr>
        <w:t>Administrative Agent</w:t>
      </w:r>
      <w:r>
        <w:rPr>
          <w:rFonts w:ascii="Arial" w:cs="Arial" w:eastAsia="Arial" w:hAnsi="Arial"/>
          <w:sz w:val="20"/>
          <w:szCs w:val="20"/>
          <w:color w:val="auto"/>
        </w:rPr>
        <w:t>”), and the other Lenders, Swing Line Lenders and L/C Issuers named on the signature pages hereto.</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Preliminary Statement</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Amendment Agreement relates to the Seventh Amended and Restated Credit Agreement dated as of May 1, 2015, among Borrower, Bank of America, N.A. as Administrative Agent, a Swing Line Lender and a L/C Issuer and the other L/C Issuers and the Lenders parties thereto (as amended, the “</w:t>
      </w:r>
      <w:r>
        <w:rPr>
          <w:rFonts w:ascii="Arial" w:cs="Arial" w:eastAsia="Arial" w:hAnsi="Arial"/>
          <w:sz w:val="20"/>
          <w:szCs w:val="20"/>
          <w:b w:val="1"/>
          <w:bCs w:val="1"/>
          <w:i w:val="1"/>
          <w:iCs w:val="1"/>
          <w:color w:val="auto"/>
        </w:rPr>
        <w:t>Credit Agreement</w:t>
      </w:r>
      <w:r>
        <w:rPr>
          <w:rFonts w:ascii="Arial" w:cs="Arial" w:eastAsia="Arial" w:hAnsi="Arial"/>
          <w:sz w:val="20"/>
          <w:szCs w:val="20"/>
          <w:color w:val="auto"/>
        </w:rPr>
        <w:t>”).</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Subject to the terms and conditions set forth in this Amendment Agreement, Borrower, Administrative Agent, the Swing Line Lenders and the undersigned Lenders and L/C Issuers have agreed to amend and restate the Credit Agreement, effective as of the Closing Date (as herein defined), such that it shall be in the form of the Eighth Amended and Restated Credit Agreement attached hereto (the “</w:t>
      </w:r>
      <w:r>
        <w:rPr>
          <w:rFonts w:ascii="Arial" w:cs="Arial" w:eastAsia="Arial" w:hAnsi="Arial"/>
          <w:sz w:val="20"/>
          <w:szCs w:val="20"/>
          <w:b w:val="1"/>
          <w:bCs w:val="1"/>
          <w:i w:val="1"/>
          <w:iCs w:val="1"/>
          <w:color w:val="auto"/>
        </w:rPr>
        <w:t>Amended and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Restated Credit Agreement</w:t>
      </w:r>
      <w:r>
        <w:rPr>
          <w:rFonts w:ascii="Arial" w:cs="Arial" w:eastAsia="Arial" w:hAnsi="Arial"/>
          <w:sz w:val="20"/>
          <w:szCs w:val="20"/>
          <w:color w:val="auto"/>
        </w:rPr>
        <w: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Agreement</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for good and valuable consideration, the receipt and sufficiency of which are hereby acknowledged, the parties hereto hereby agree as follows:</w:t>
      </w:r>
    </w:p>
    <w:p>
      <w:pPr>
        <w:spacing w:after="0" w:line="184" w:lineRule="exact"/>
        <w:rPr>
          <w:sz w:val="20"/>
          <w:szCs w:val="20"/>
          <w:color w:val="auto"/>
        </w:rPr>
      </w:pPr>
    </w:p>
    <w:p>
      <w:pPr>
        <w:ind w:firstLine="656"/>
        <w:spacing w:after="0" w:line="267" w:lineRule="auto"/>
        <w:tabs>
          <w:tab w:leader="none" w:pos="1008" w:val="left"/>
        </w:tabs>
        <w:numPr>
          <w:ilvl w:val="0"/>
          <w:numId w:val="16"/>
        </w:numPr>
        <w:rPr>
          <w:rFonts w:ascii="Arial" w:cs="Arial" w:eastAsia="Arial" w:hAnsi="Arial"/>
          <w:sz w:val="20"/>
          <w:szCs w:val="20"/>
          <w:color w:val="auto"/>
        </w:rPr>
      </w:pPr>
      <w:r>
        <w:rPr>
          <w:rFonts w:ascii="Arial" w:cs="Arial" w:eastAsia="Arial" w:hAnsi="Arial"/>
          <w:sz w:val="20"/>
          <w:szCs w:val="20"/>
          <w:b w:val="1"/>
          <w:bCs w:val="1"/>
          <w:u w:val="single" w:color="auto"/>
          <w:color w:val="auto"/>
        </w:rPr>
        <w:t>Definitions</w:t>
      </w:r>
      <w:r>
        <w:rPr>
          <w:rFonts w:ascii="Arial" w:cs="Arial" w:eastAsia="Arial" w:hAnsi="Arial"/>
          <w:sz w:val="20"/>
          <w:szCs w:val="20"/>
          <w:color w:val="auto"/>
        </w:rPr>
        <w:t>. Unless otherwise defined in this Amendment Agreement, each capitalized term used but not otherwise defined herein</w:t>
      </w:r>
      <w:r>
        <w:rPr>
          <w:rFonts w:ascii="Arial" w:cs="Arial" w:eastAsia="Arial" w:hAnsi="Arial"/>
          <w:sz w:val="20"/>
          <w:szCs w:val="20"/>
          <w:b w:val="1"/>
          <w:bCs w:val="1"/>
          <w:color w:val="auto"/>
        </w:rPr>
        <w:t xml:space="preserve"> </w:t>
      </w:r>
      <w:r>
        <w:rPr>
          <w:rFonts w:ascii="Arial" w:cs="Arial" w:eastAsia="Arial" w:hAnsi="Arial"/>
          <w:sz w:val="20"/>
          <w:szCs w:val="20"/>
          <w:color w:val="auto"/>
        </w:rPr>
        <w:t>has the meaning given such term in the Amended and Restated Credit Agreement.</w:t>
      </w:r>
    </w:p>
    <w:p>
      <w:pPr>
        <w:spacing w:after="0" w:line="163" w:lineRule="exact"/>
        <w:rPr>
          <w:rFonts w:ascii="Arial" w:cs="Arial" w:eastAsia="Arial" w:hAnsi="Arial"/>
          <w:sz w:val="20"/>
          <w:szCs w:val="20"/>
          <w:color w:val="auto"/>
        </w:rPr>
      </w:pPr>
    </w:p>
    <w:p>
      <w:pPr>
        <w:jc w:val="both"/>
        <w:ind w:right="20" w:firstLine="656"/>
        <w:spacing w:after="0" w:line="253" w:lineRule="auto"/>
        <w:tabs>
          <w:tab w:leader="none" w:pos="990" w:val="left"/>
        </w:tabs>
        <w:numPr>
          <w:ilvl w:val="0"/>
          <w:numId w:val="16"/>
        </w:numPr>
        <w:rPr>
          <w:rFonts w:ascii="Arial" w:cs="Arial" w:eastAsia="Arial" w:hAnsi="Arial"/>
          <w:sz w:val="20"/>
          <w:szCs w:val="20"/>
          <w:color w:val="auto"/>
        </w:rPr>
      </w:pPr>
      <w:r>
        <w:rPr>
          <w:rFonts w:ascii="Arial" w:cs="Arial" w:eastAsia="Arial" w:hAnsi="Arial"/>
          <w:sz w:val="20"/>
          <w:szCs w:val="20"/>
          <w:b w:val="1"/>
          <w:bCs w:val="1"/>
          <w:u w:val="single" w:color="auto"/>
          <w:color w:val="auto"/>
        </w:rPr>
        <w:t>Amendment and Restatement of the Credit Agreement</w:t>
      </w:r>
      <w:r>
        <w:rPr>
          <w:rFonts w:ascii="Arial" w:cs="Arial" w:eastAsia="Arial" w:hAnsi="Arial"/>
          <w:sz w:val="20"/>
          <w:szCs w:val="20"/>
          <w:color w:val="auto"/>
        </w:rPr>
        <w:t>. On the Closing Date as defined in the attached Amended and Restated</w:t>
      </w:r>
      <w:r>
        <w:rPr>
          <w:rFonts w:ascii="Arial" w:cs="Arial" w:eastAsia="Arial" w:hAnsi="Arial"/>
          <w:sz w:val="20"/>
          <w:szCs w:val="20"/>
          <w:b w:val="1"/>
          <w:bCs w:val="1"/>
          <w:color w:val="auto"/>
        </w:rPr>
        <w:t xml:space="preserve"> </w:t>
      </w:r>
      <w:r>
        <w:rPr>
          <w:rFonts w:ascii="Arial" w:cs="Arial" w:eastAsia="Arial" w:hAnsi="Arial"/>
          <w:sz w:val="20"/>
          <w:szCs w:val="20"/>
          <w:color w:val="auto"/>
        </w:rPr>
        <w:t>Credit Agreement (herein referred to as the “</w:t>
      </w:r>
      <w:r>
        <w:rPr>
          <w:rFonts w:ascii="Arial" w:cs="Arial" w:eastAsia="Arial" w:hAnsi="Arial"/>
          <w:sz w:val="20"/>
          <w:szCs w:val="20"/>
          <w:b w:val="1"/>
          <w:bCs w:val="1"/>
          <w:i w:val="1"/>
          <w:iCs w:val="1"/>
          <w:color w:val="auto"/>
        </w:rPr>
        <w:t>Closing Date</w:t>
      </w:r>
      <w:r>
        <w:rPr>
          <w:rFonts w:ascii="Arial" w:cs="Arial" w:eastAsia="Arial" w:hAnsi="Arial"/>
          <w:sz w:val="20"/>
          <w:szCs w:val="20"/>
          <w:color w:val="auto"/>
        </w:rPr>
        <w:t xml:space="preserve">”), the Credit Agreement, including all schedules and exhibits, shall be amended in its entirety to read as set forth on </w:t>
      </w:r>
      <w:r>
        <w:rPr>
          <w:rFonts w:ascii="Arial" w:cs="Arial" w:eastAsia="Arial" w:hAnsi="Arial"/>
          <w:sz w:val="20"/>
          <w:szCs w:val="20"/>
          <w:b w:val="1"/>
          <w:bCs w:val="1"/>
          <w:i w:val="1"/>
          <w:iCs w:val="1"/>
          <w:color w:val="auto"/>
        </w:rPr>
        <w:t>Annex A</w:t>
      </w:r>
      <w:r>
        <w:rPr>
          <w:rFonts w:ascii="Arial" w:cs="Arial" w:eastAsia="Arial" w:hAnsi="Arial"/>
          <w:sz w:val="20"/>
          <w:szCs w:val="20"/>
          <w:color w:val="auto"/>
        </w:rPr>
        <w:t xml:space="preserve"> attached hereto.</w:t>
      </w:r>
    </w:p>
    <w:p>
      <w:pPr>
        <w:spacing w:after="0" w:line="177" w:lineRule="exact"/>
        <w:rPr>
          <w:rFonts w:ascii="Arial" w:cs="Arial" w:eastAsia="Arial" w:hAnsi="Arial"/>
          <w:sz w:val="20"/>
          <w:szCs w:val="20"/>
          <w:color w:val="auto"/>
        </w:rPr>
      </w:pPr>
    </w:p>
    <w:p>
      <w:pPr>
        <w:jc w:val="both"/>
        <w:ind w:firstLine="656"/>
        <w:spacing w:after="0" w:line="248" w:lineRule="auto"/>
        <w:tabs>
          <w:tab w:leader="none" w:pos="990" w:val="left"/>
        </w:tabs>
        <w:numPr>
          <w:ilvl w:val="0"/>
          <w:numId w:val="16"/>
        </w:numPr>
        <w:rPr>
          <w:rFonts w:ascii="Arial" w:cs="Arial" w:eastAsia="Arial" w:hAnsi="Arial"/>
          <w:sz w:val="20"/>
          <w:szCs w:val="20"/>
          <w:color w:val="auto"/>
        </w:rPr>
      </w:pPr>
      <w:r>
        <w:rPr>
          <w:rFonts w:ascii="Arial" w:cs="Arial" w:eastAsia="Arial" w:hAnsi="Arial"/>
          <w:sz w:val="20"/>
          <w:szCs w:val="20"/>
          <w:b w:val="1"/>
          <w:bCs w:val="1"/>
          <w:u w:val="single" w:color="auto"/>
          <w:color w:val="auto"/>
        </w:rPr>
        <w:t>Guarantors’ Consent</w:t>
      </w:r>
      <w:r>
        <w:rPr>
          <w:rFonts w:ascii="Arial" w:cs="Arial" w:eastAsia="Arial" w:hAnsi="Arial"/>
          <w:sz w:val="20"/>
          <w:szCs w:val="20"/>
          <w:color w:val="auto"/>
        </w:rPr>
        <w:t>. Each of the undersigned Guarantors hereby (a) consents to this Amendment Agreement, (b) acknowledges</w:t>
      </w:r>
      <w:r>
        <w:rPr>
          <w:rFonts w:ascii="Arial" w:cs="Arial" w:eastAsia="Arial" w:hAnsi="Arial"/>
          <w:sz w:val="20"/>
          <w:szCs w:val="20"/>
          <w:b w:val="1"/>
          <w:bCs w:val="1"/>
          <w:color w:val="auto"/>
        </w:rPr>
        <w:t xml:space="preserve"> </w:t>
      </w:r>
      <w:r>
        <w:rPr>
          <w:rFonts w:ascii="Arial" w:cs="Arial" w:eastAsia="Arial" w:hAnsi="Arial"/>
          <w:sz w:val="20"/>
          <w:szCs w:val="20"/>
          <w:color w:val="auto"/>
        </w:rPr>
        <w:t>and agrees that its obligations and liabilities under and pursuant to its Guaranty are not released, diminished, impaired, or otherwise adversely affected by this Amendment Agreement, and that all such obligations and liabilities are, and shall continue to be, in full force and effect, and (c) agrees that its Guaranty is hereby ratified in all respects.</w:t>
      </w:r>
    </w:p>
    <w:p>
      <w:pPr>
        <w:spacing w:after="0" w:line="183" w:lineRule="exact"/>
        <w:rPr>
          <w:rFonts w:ascii="Arial" w:cs="Arial" w:eastAsia="Arial" w:hAnsi="Arial"/>
          <w:sz w:val="20"/>
          <w:szCs w:val="20"/>
          <w:color w:val="auto"/>
        </w:rPr>
      </w:pPr>
    </w:p>
    <w:p>
      <w:pPr>
        <w:jc w:val="both"/>
        <w:ind w:firstLine="656"/>
        <w:spacing w:after="0" w:line="253" w:lineRule="auto"/>
        <w:tabs>
          <w:tab w:leader="none" w:pos="1017" w:val="left"/>
        </w:tabs>
        <w:numPr>
          <w:ilvl w:val="0"/>
          <w:numId w:val="16"/>
        </w:numPr>
        <w:rPr>
          <w:rFonts w:ascii="Arial" w:cs="Arial" w:eastAsia="Arial" w:hAnsi="Arial"/>
          <w:sz w:val="20"/>
          <w:szCs w:val="20"/>
          <w:color w:val="auto"/>
        </w:rPr>
      </w:pPr>
      <w:r>
        <w:rPr>
          <w:rFonts w:ascii="Arial" w:cs="Arial" w:eastAsia="Arial" w:hAnsi="Arial"/>
          <w:sz w:val="20"/>
          <w:szCs w:val="20"/>
          <w:b w:val="1"/>
          <w:bCs w:val="1"/>
          <w:u w:val="single" w:color="auto"/>
          <w:color w:val="auto"/>
        </w:rPr>
        <w:t>Execution and Delivery of this Amendment Agreement</w:t>
      </w:r>
      <w:r>
        <w:rPr>
          <w:rFonts w:ascii="Arial" w:cs="Arial" w:eastAsia="Arial" w:hAnsi="Arial"/>
          <w:sz w:val="20"/>
          <w:szCs w:val="20"/>
          <w:color w:val="auto"/>
        </w:rPr>
        <w:t>. This Amendment Agreement shall be effective, and shall constitute a</w:t>
      </w:r>
      <w:r>
        <w:rPr>
          <w:rFonts w:ascii="Arial" w:cs="Arial" w:eastAsia="Arial" w:hAnsi="Arial"/>
          <w:sz w:val="20"/>
          <w:szCs w:val="20"/>
          <w:b w:val="1"/>
          <w:bCs w:val="1"/>
          <w:color w:val="auto"/>
        </w:rPr>
        <w:t xml:space="preserve"> </w:t>
      </w:r>
      <w:r>
        <w:rPr>
          <w:rFonts w:ascii="Arial" w:cs="Arial" w:eastAsia="Arial" w:hAnsi="Arial"/>
          <w:sz w:val="20"/>
          <w:szCs w:val="20"/>
          <w:color w:val="auto"/>
        </w:rPr>
        <w:t>binding agreement among the parties hereto, on the date (the “</w:t>
      </w:r>
      <w:r>
        <w:rPr>
          <w:rFonts w:ascii="Arial" w:cs="Arial" w:eastAsia="Arial" w:hAnsi="Arial"/>
          <w:sz w:val="20"/>
          <w:szCs w:val="20"/>
          <w:b w:val="1"/>
          <w:bCs w:val="1"/>
          <w:i w:val="1"/>
          <w:iCs w:val="1"/>
          <w:color w:val="auto"/>
        </w:rPr>
        <w:t>Execution Date</w:t>
      </w:r>
      <w:r>
        <w:rPr>
          <w:rFonts w:ascii="Arial" w:cs="Arial" w:eastAsia="Arial" w:hAnsi="Arial"/>
          <w:sz w:val="20"/>
          <w:szCs w:val="20"/>
          <w:color w:val="auto"/>
        </w:rPr>
        <w:t>”) that each of the following conditions precedent has been satisfied:</w:t>
      </w:r>
    </w:p>
    <w:p>
      <w:pPr>
        <w:spacing w:after="0" w:line="197" w:lineRule="exact"/>
        <w:rPr>
          <w:sz w:val="20"/>
          <w:szCs w:val="20"/>
          <w:color w:val="auto"/>
        </w:rPr>
      </w:pPr>
    </w:p>
    <w:p>
      <w:pPr>
        <w:jc w:val="both"/>
        <w:ind w:firstLine="656"/>
        <w:spacing w:after="0" w:line="278" w:lineRule="auto"/>
        <w:tabs>
          <w:tab w:leader="none" w:pos="1516" w:val="left"/>
        </w:tabs>
        <w:numPr>
          <w:ilvl w:val="0"/>
          <w:numId w:val="17"/>
        </w:numPr>
        <w:rPr>
          <w:rFonts w:ascii="Arial" w:cs="Arial" w:eastAsia="Arial" w:hAnsi="Arial"/>
          <w:sz w:val="20"/>
          <w:szCs w:val="20"/>
          <w:color w:val="auto"/>
        </w:rPr>
      </w:pPr>
      <w:r>
        <w:rPr>
          <w:rFonts w:ascii="Arial" w:cs="Arial" w:eastAsia="Arial" w:hAnsi="Arial"/>
          <w:sz w:val="20"/>
          <w:szCs w:val="20"/>
          <w:color w:val="auto"/>
        </w:rPr>
        <w:t xml:space="preserve">Receipt by Administrative Agent of counterparts of this Amendment Agreement executed by Required Revolver Lenders, Borrower, each Term Loan Lender and the Swing Line Lenders and L/C Issuers as defined in the Amended and Restated Credit Agreement attached as </w:t>
      </w:r>
      <w:r>
        <w:rPr>
          <w:rFonts w:ascii="Arial" w:cs="Arial" w:eastAsia="Arial" w:hAnsi="Arial"/>
          <w:sz w:val="20"/>
          <w:szCs w:val="20"/>
          <w:b w:val="1"/>
          <w:bCs w:val="1"/>
          <w:i w:val="1"/>
          <w:iCs w:val="1"/>
          <w:color w:val="auto"/>
        </w:rPr>
        <w:t>Annex A</w:t>
      </w:r>
      <w:r>
        <w:rPr>
          <w:rFonts w:ascii="Arial" w:cs="Arial" w:eastAsia="Arial" w:hAnsi="Arial"/>
          <w:sz w:val="20"/>
          <w:szCs w:val="20"/>
          <w:color w:val="auto"/>
        </w:rPr>
        <w:t xml:space="preserve"> hereto;</w:t>
      </w:r>
    </w:p>
    <w:p>
      <w:pPr>
        <w:sectPr>
          <w:pgSz w:w="11900" w:h="16838" w:orient="portrait"/>
          <w:cols w:equalWidth="0" w:num="1">
            <w:col w:w="11420"/>
          </w:cols>
          <w:pgMar w:left="240" w:top="576" w:right="239" w:bottom="1440" w:gutter="0" w:footer="0" w:header="0"/>
        </w:sectPr>
      </w:pPr>
    </w:p>
    <w:bookmarkStart w:id="41" w:name="page42"/>
    <w:bookmarkEnd w:id="41"/>
    <w:p>
      <w:pPr>
        <w:jc w:val="both"/>
        <w:ind w:left="-656" w:firstLine="656"/>
        <w:spacing w:after="0" w:line="278" w:lineRule="auto"/>
        <w:tabs>
          <w:tab w:leader="none" w:pos="871"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Receipt by Administrative Agent of a certificate of a Responsible Officer of Borrower stating that no consents, licenses or approvals are required to be obtained by Borrower as a condition to the enforceability or the execution and delivery of this Amendment Agreement by Borrower; and</w:t>
      </w:r>
    </w:p>
    <w:p>
      <w:pPr>
        <w:spacing w:after="0" w:line="200" w:lineRule="exact"/>
        <w:rPr>
          <w:rFonts w:ascii="Arial" w:cs="Arial" w:eastAsia="Arial" w:hAnsi="Arial"/>
          <w:sz w:val="20"/>
          <w:szCs w:val="20"/>
          <w:color w:val="auto"/>
        </w:rPr>
      </w:pPr>
    </w:p>
    <w:p>
      <w:pPr>
        <w:ind w:left="924" w:hanging="924"/>
        <w:spacing w:after="0"/>
        <w:tabs>
          <w:tab w:leader="none" w:pos="924" w:val="left"/>
        </w:tabs>
        <w:numPr>
          <w:ilvl w:val="0"/>
          <w:numId w:val="18"/>
        </w:numPr>
        <w:rPr>
          <w:rFonts w:ascii="Arial" w:cs="Arial" w:eastAsia="Arial" w:hAnsi="Arial"/>
          <w:sz w:val="19"/>
          <w:szCs w:val="19"/>
          <w:color w:val="auto"/>
        </w:rPr>
      </w:pPr>
      <w:r>
        <w:rPr>
          <w:rFonts w:ascii="Arial" w:cs="Arial" w:eastAsia="Arial" w:hAnsi="Arial"/>
          <w:sz w:val="19"/>
          <w:szCs w:val="19"/>
          <w:color w:val="auto"/>
        </w:rPr>
        <w:t xml:space="preserve">Satisfaction of the conditions precedent contained in </w:t>
      </w:r>
      <w:r>
        <w:rPr>
          <w:rFonts w:ascii="Arial" w:cs="Arial" w:eastAsia="Arial" w:hAnsi="Arial"/>
          <w:sz w:val="19"/>
          <w:szCs w:val="19"/>
          <w:i w:val="1"/>
          <w:iCs w:val="1"/>
          <w:color w:val="auto"/>
        </w:rPr>
        <w:t>Section 7.1</w:t>
      </w:r>
      <w:r>
        <w:rPr>
          <w:rFonts w:ascii="Arial" w:cs="Arial" w:eastAsia="Arial" w:hAnsi="Arial"/>
          <w:sz w:val="19"/>
          <w:szCs w:val="19"/>
          <w:color w:val="auto"/>
        </w:rPr>
        <w:t xml:space="preserve"> of the Amended and Restated Credit Agreement.</w:t>
      </w:r>
    </w:p>
    <w:p>
      <w:pPr>
        <w:spacing w:after="0" w:line="248" w:lineRule="exact"/>
        <w:rPr>
          <w:sz w:val="20"/>
          <w:szCs w:val="20"/>
          <w:color w:val="auto"/>
        </w:rPr>
      </w:pPr>
    </w:p>
    <w:p>
      <w:pPr>
        <w:jc w:val="both"/>
        <w:ind w:left="-656" w:firstLine="656"/>
        <w:spacing w:after="0" w:line="253" w:lineRule="auto"/>
        <w:tabs>
          <w:tab w:leader="none" w:pos="388" w:val="left"/>
        </w:tabs>
        <w:numPr>
          <w:ilvl w:val="0"/>
          <w:numId w:val="19"/>
        </w:numPr>
        <w:rPr>
          <w:rFonts w:ascii="Arial" w:cs="Arial" w:eastAsia="Arial" w:hAnsi="Arial"/>
          <w:sz w:val="20"/>
          <w:szCs w:val="20"/>
          <w:color w:val="auto"/>
        </w:rPr>
      </w:pPr>
      <w:r>
        <w:rPr>
          <w:rFonts w:ascii="Arial" w:cs="Arial" w:eastAsia="Arial" w:hAnsi="Arial"/>
          <w:sz w:val="20"/>
          <w:szCs w:val="20"/>
          <w:b w:val="1"/>
          <w:bCs w:val="1"/>
          <w:u w:val="single" w:color="auto"/>
          <w:color w:val="auto"/>
        </w:rPr>
        <w:t>Representations and Warranties</w:t>
      </w:r>
      <w:r>
        <w:rPr>
          <w:rFonts w:ascii="Arial" w:cs="Arial" w:eastAsia="Arial" w:hAnsi="Arial"/>
          <w:sz w:val="20"/>
          <w:szCs w:val="20"/>
          <w:color w:val="auto"/>
        </w:rPr>
        <w:t>. In order to induce Administrative Agent, the Lenders, the Swing Line Lenders and the L/C</w:t>
      </w:r>
      <w:r>
        <w:rPr>
          <w:rFonts w:ascii="Arial" w:cs="Arial" w:eastAsia="Arial" w:hAnsi="Arial"/>
          <w:sz w:val="20"/>
          <w:szCs w:val="20"/>
          <w:b w:val="1"/>
          <w:bCs w:val="1"/>
          <w:color w:val="auto"/>
        </w:rPr>
        <w:t xml:space="preserve"> </w:t>
      </w:r>
      <w:r>
        <w:rPr>
          <w:rFonts w:ascii="Arial" w:cs="Arial" w:eastAsia="Arial" w:hAnsi="Arial"/>
          <w:sz w:val="20"/>
          <w:szCs w:val="20"/>
          <w:color w:val="auto"/>
        </w:rPr>
        <w:t>Issuers to enter into this Amendment Agreement, Borrower represents and warrants to Administrative Agent, the Lenders, the Swing Line Lenders and the L/C Issuers as follows:</w:t>
      </w:r>
    </w:p>
    <w:p>
      <w:pPr>
        <w:spacing w:after="0" w:line="197" w:lineRule="exact"/>
        <w:rPr>
          <w:sz w:val="20"/>
          <w:szCs w:val="20"/>
          <w:color w:val="auto"/>
        </w:rPr>
      </w:pPr>
    </w:p>
    <w:p>
      <w:pPr>
        <w:jc w:val="both"/>
        <w:ind w:left="-656" w:firstLine="656"/>
        <w:spacing w:after="0" w:line="272" w:lineRule="auto"/>
        <w:tabs>
          <w:tab w:leader="none" w:pos="914"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This Amendment Agreement and each Loan Paper has been duly authorized, executed, and delivered by Borrower and constitutes its legal, valid, and binding obligations enforceable in accordance with their respective terms (subject to applicable bankruptcy, reorganization, insolvency, moratorium, and similar laws affecting creditors’ rights generally and to general principles of equity). The Amended and Restated Credit Agreement has been duly authorized by Borrower and constitutes its legal, valid, and binding obligation enforceable in accordance with its terms (subject to applicable bankruptcy, reorganization, insolvency, moratorium, and similar laws affecting creditors’ rights generally and to general principles of equity).</w:t>
      </w:r>
    </w:p>
    <w:p>
      <w:pPr>
        <w:spacing w:after="0" w:line="205" w:lineRule="exact"/>
        <w:rPr>
          <w:rFonts w:ascii="Arial" w:cs="Arial" w:eastAsia="Arial" w:hAnsi="Arial"/>
          <w:sz w:val="20"/>
          <w:szCs w:val="20"/>
          <w:color w:val="auto"/>
        </w:rPr>
      </w:pPr>
    </w:p>
    <w:p>
      <w:pPr>
        <w:ind w:left="-656" w:firstLine="656"/>
        <w:spacing w:after="0" w:line="289" w:lineRule="auto"/>
        <w:tabs>
          <w:tab w:leader="none" w:pos="925"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representations and warranties set forth in the Loan Papers are true and correct in all material respects (except to the extent qualified by materiality, in which case they shall be true and correct).</w:t>
      </w:r>
    </w:p>
    <w:p>
      <w:pPr>
        <w:spacing w:after="0" w:line="188" w:lineRule="exact"/>
        <w:rPr>
          <w:rFonts w:ascii="Arial" w:cs="Arial" w:eastAsia="Arial" w:hAnsi="Arial"/>
          <w:sz w:val="20"/>
          <w:szCs w:val="20"/>
          <w:color w:val="auto"/>
        </w:rPr>
      </w:pPr>
    </w:p>
    <w:p>
      <w:pPr>
        <w:ind w:left="924" w:hanging="924"/>
        <w:spacing w:after="0"/>
        <w:tabs>
          <w:tab w:leader="none" w:pos="924" w:val="left"/>
        </w:tabs>
        <w:numPr>
          <w:ilvl w:val="0"/>
          <w:numId w:val="20"/>
        </w:numPr>
        <w:rPr>
          <w:rFonts w:ascii="Arial" w:cs="Arial" w:eastAsia="Arial" w:hAnsi="Arial"/>
          <w:sz w:val="20"/>
          <w:szCs w:val="20"/>
          <w:color w:val="auto"/>
        </w:rPr>
      </w:pPr>
      <w:r>
        <w:rPr>
          <w:rFonts w:ascii="Arial" w:cs="Arial" w:eastAsia="Arial" w:hAnsi="Arial"/>
          <w:sz w:val="20"/>
          <w:szCs w:val="20"/>
          <w:color w:val="auto"/>
        </w:rPr>
        <w:t>On the Closing Date, before and after giving effect to this Amendment Agreement, no Event of Default exists.</w:t>
      </w:r>
    </w:p>
    <w:p>
      <w:pPr>
        <w:spacing w:after="0" w:line="237" w:lineRule="exact"/>
        <w:rPr>
          <w:sz w:val="20"/>
          <w:szCs w:val="20"/>
          <w:color w:val="auto"/>
        </w:rPr>
      </w:pPr>
    </w:p>
    <w:p>
      <w:pPr>
        <w:ind w:left="324" w:hanging="324"/>
        <w:spacing w:after="0"/>
        <w:tabs>
          <w:tab w:leader="none" w:pos="324" w:val="left"/>
        </w:tabs>
        <w:numPr>
          <w:ilvl w:val="0"/>
          <w:numId w:val="21"/>
        </w:numPr>
        <w:rPr>
          <w:rFonts w:ascii="Arial" w:cs="Arial" w:eastAsia="Arial" w:hAnsi="Arial"/>
          <w:sz w:val="20"/>
          <w:szCs w:val="20"/>
          <w:color w:val="auto"/>
        </w:rPr>
      </w:pPr>
      <w:r>
        <w:rPr>
          <w:rFonts w:ascii="Arial" w:cs="Arial" w:eastAsia="Arial" w:hAnsi="Arial"/>
          <w:sz w:val="20"/>
          <w:szCs w:val="20"/>
          <w:b w:val="1"/>
          <w:bCs w:val="1"/>
          <w:u w:val="single" w:color="auto"/>
          <w:color w:val="auto"/>
        </w:rPr>
        <w:t>Increase and Reallocation of Commitments; New Lenders.</w:t>
      </w:r>
    </w:p>
    <w:p>
      <w:pPr>
        <w:spacing w:after="0" w:line="200" w:lineRule="exact"/>
        <w:rPr>
          <w:sz w:val="20"/>
          <w:szCs w:val="20"/>
          <w:color w:val="auto"/>
        </w:rPr>
      </w:pPr>
    </w:p>
    <w:p>
      <w:pPr>
        <w:spacing w:after="0" w:line="251" w:lineRule="exact"/>
        <w:rPr>
          <w:sz w:val="20"/>
          <w:szCs w:val="20"/>
          <w:color w:val="auto"/>
        </w:rPr>
      </w:pPr>
    </w:p>
    <w:p>
      <w:pPr>
        <w:jc w:val="both"/>
        <w:ind w:left="-576" w:firstLine="576"/>
        <w:spacing w:after="0" w:line="286" w:lineRule="auto"/>
        <w:tabs>
          <w:tab w:leader="none" w:pos="832"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The parties hereto consent to the following, effective as of the Closing Date: (i) the increase of the Total Commitments, including the addition of the Term Loan Commitments, as set forth on </w:t>
      </w:r>
      <w:r>
        <w:rPr>
          <w:rFonts w:ascii="Arial" w:cs="Arial" w:eastAsia="Arial" w:hAnsi="Arial"/>
          <w:sz w:val="19"/>
          <w:szCs w:val="19"/>
          <w:b w:val="1"/>
          <w:bCs w:val="1"/>
          <w:i w:val="1"/>
          <w:iCs w:val="1"/>
          <w:color w:val="auto"/>
        </w:rPr>
        <w:t>Schedule 1</w:t>
      </w:r>
      <w:r>
        <w:rPr>
          <w:rFonts w:ascii="Arial" w:cs="Arial" w:eastAsia="Arial" w:hAnsi="Arial"/>
          <w:sz w:val="19"/>
          <w:szCs w:val="19"/>
          <w:color w:val="auto"/>
        </w:rPr>
        <w:t xml:space="preserve"> to the Amended and Restated Credit Agreement attached hereto (the “</w:t>
      </w:r>
      <w:r>
        <w:rPr>
          <w:rFonts w:ascii="Arial" w:cs="Arial" w:eastAsia="Arial" w:hAnsi="Arial"/>
          <w:sz w:val="19"/>
          <w:szCs w:val="19"/>
          <w:b w:val="1"/>
          <w:bCs w:val="1"/>
          <w:i w:val="1"/>
          <w:iCs w:val="1"/>
          <w:color w:val="auto"/>
        </w:rPr>
        <w:t>Amended and Restated Schedule 1</w:t>
      </w:r>
      <w:r>
        <w:rPr>
          <w:rFonts w:ascii="Arial" w:cs="Arial" w:eastAsia="Arial" w:hAnsi="Arial"/>
          <w:sz w:val="19"/>
          <w:szCs w:val="19"/>
          <w:color w:val="auto"/>
        </w:rPr>
        <w:t xml:space="preserve">”) and (ii) termination of the Commitment of each Departing Lender, if any, and repayment of amounts owed to it pursuant to the Credit Agreement, and the Lenders waive any claim that they may have under </w:t>
      </w:r>
      <w:r>
        <w:rPr>
          <w:rFonts w:ascii="Arial" w:cs="Arial" w:eastAsia="Arial" w:hAnsi="Arial"/>
          <w:sz w:val="19"/>
          <w:szCs w:val="19"/>
          <w:i w:val="1"/>
          <w:iCs w:val="1"/>
          <w:color w:val="auto"/>
        </w:rPr>
        <w:t>Section 3.12</w:t>
      </w:r>
      <w:r>
        <w:rPr>
          <w:rFonts w:ascii="Arial" w:cs="Arial" w:eastAsia="Arial" w:hAnsi="Arial"/>
          <w:sz w:val="19"/>
          <w:szCs w:val="19"/>
          <w:color w:val="auto"/>
        </w:rPr>
        <w:t xml:space="preserve"> of the Credit Agreement by reason of such payment(s) to Departing Lender(s). On the Closing Date, the Revolver Commitment, the L/C Commitment, the Swing Line Commitment, the Term Loan Commitment and the Commitment Percentage of each Lender shall be as set forth on the Amended and Restated Schedule 1 and the Commitment of each Departing Lender shall terminate. As used herein, “</w:t>
      </w:r>
      <w:r>
        <w:rPr>
          <w:rFonts w:ascii="Arial" w:cs="Arial" w:eastAsia="Arial" w:hAnsi="Arial"/>
          <w:sz w:val="19"/>
          <w:szCs w:val="19"/>
          <w:b w:val="1"/>
          <w:bCs w:val="1"/>
          <w:i w:val="1"/>
          <w:iCs w:val="1"/>
          <w:color w:val="auto"/>
        </w:rPr>
        <w:t>Departing Lender</w:t>
      </w:r>
      <w:r>
        <w:rPr>
          <w:rFonts w:ascii="Arial" w:cs="Arial" w:eastAsia="Arial" w:hAnsi="Arial"/>
          <w:sz w:val="19"/>
          <w:szCs w:val="19"/>
          <w:color w:val="auto"/>
        </w:rPr>
        <w:t>” means each Lender that has a Commitment under the Credit Agreement prior to the Closing Date, but for whom no Commitment is shown on the Amended and Restated Schedule 1.</w:t>
      </w:r>
    </w:p>
    <w:p>
      <w:pPr>
        <w:spacing w:after="0" w:line="195" w:lineRule="exact"/>
        <w:rPr>
          <w:rFonts w:ascii="Arial" w:cs="Arial" w:eastAsia="Arial" w:hAnsi="Arial"/>
          <w:sz w:val="19"/>
          <w:szCs w:val="19"/>
          <w:color w:val="auto"/>
        </w:rPr>
      </w:pPr>
    </w:p>
    <w:p>
      <w:pPr>
        <w:jc w:val="both"/>
        <w:ind w:left="-576" w:firstLine="576"/>
        <w:spacing w:after="0" w:line="307" w:lineRule="auto"/>
        <w:tabs>
          <w:tab w:leader="none" w:pos="8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Each Lender hereby consents to the Commitments and Commitment Percentages set forth on Amended and Restated Schedule 1 to be effective on the Closing Date, and each Revolver Lender agrees to make such allocations among themselves on the Closing Date such that each Revolver Lender’s outstanding Revolver Loans shall equal such Revolver Lender’s Commitment Percentage as shown on Amended and Restated Schedule 1. The reallocation of the Revolver Commitments and Revolver Loans among the Lenders on the Closing Date shall be deemed to have been consummated pursuant to the terms of the Assignment and Assumption attached as </w:t>
      </w:r>
      <w:r>
        <w:rPr>
          <w:rFonts w:ascii="Arial" w:cs="Arial" w:eastAsia="Arial" w:hAnsi="Arial"/>
          <w:sz w:val="18"/>
          <w:szCs w:val="18"/>
          <w:i w:val="1"/>
          <w:iCs w:val="1"/>
          <w:color w:val="auto"/>
        </w:rPr>
        <w:t>Exhibit E</w:t>
      </w:r>
      <w:r>
        <w:rPr>
          <w:rFonts w:ascii="Arial" w:cs="Arial" w:eastAsia="Arial" w:hAnsi="Arial"/>
          <w:sz w:val="18"/>
          <w:szCs w:val="18"/>
          <w:color w:val="auto"/>
        </w:rPr>
        <w:t xml:space="preserve"> to the Credit Agreement as if the Lenders had executed an Assignment and Assumption with respect to such reallocation.</w:t>
      </w:r>
    </w:p>
    <w:p>
      <w:pPr>
        <w:sectPr>
          <w:pgSz w:w="11900" w:h="16838" w:orient="portrait"/>
          <w:cols w:equalWidth="0" w:num="1">
            <w:col w:w="10764"/>
          </w:cols>
          <w:pgMar w:left="896" w:top="595" w:right="239" w:bottom="1440" w:gutter="0" w:footer="0" w:header="0"/>
        </w:sectPr>
      </w:pPr>
    </w:p>
    <w:bookmarkStart w:id="42" w:name="page43"/>
    <w:bookmarkEnd w:id="42"/>
    <w:p>
      <w:pPr>
        <w:jc w:val="both"/>
        <w:ind w:left="-576" w:firstLine="576"/>
        <w:spacing w:after="0" w:line="290" w:lineRule="auto"/>
        <w:tabs>
          <w:tab w:leader="none" w:pos="832" w:val="left"/>
        </w:tabs>
        <w:numPr>
          <w:ilvl w:val="0"/>
          <w:numId w:val="23"/>
        </w:numPr>
        <w:rPr>
          <w:rFonts w:ascii="Arial" w:cs="Arial" w:eastAsia="Arial" w:hAnsi="Arial"/>
          <w:sz w:val="19"/>
          <w:szCs w:val="19"/>
          <w:color w:val="auto"/>
        </w:rPr>
      </w:pPr>
      <w:r>
        <w:rPr>
          <w:rFonts w:ascii="Arial" w:cs="Arial" w:eastAsia="Arial" w:hAnsi="Arial"/>
          <w:sz w:val="19"/>
          <w:szCs w:val="19"/>
          <w:color w:val="auto"/>
        </w:rPr>
        <w:t xml:space="preserve">If, as a result of the reallocation effected under this </w:t>
      </w:r>
      <w:r>
        <w:rPr>
          <w:rFonts w:ascii="Arial" w:cs="Arial" w:eastAsia="Arial" w:hAnsi="Arial"/>
          <w:sz w:val="19"/>
          <w:szCs w:val="19"/>
          <w:b w:val="1"/>
          <w:bCs w:val="1"/>
          <w:i w:val="1"/>
          <w:iCs w:val="1"/>
          <w:color w:val="auto"/>
        </w:rPr>
        <w:t>Section 6</w:t>
      </w:r>
      <w:r>
        <w:rPr>
          <w:rFonts w:ascii="Arial" w:cs="Arial" w:eastAsia="Arial" w:hAnsi="Arial"/>
          <w:sz w:val="19"/>
          <w:szCs w:val="19"/>
          <w:color w:val="auto"/>
        </w:rPr>
        <w:t xml:space="preserve">, any Lender incurs any loss, cost or expense as a result of any payment of a Eurocurrency Rate Loan prior to the last day of the Interest Period applicable thereto (whether such payment is by Borrower or by reallocation of the outstanding Eurocurrency Rate Loans) and such Lender makes a request for compensation, Borrower shall pay to Administrative Agent for the account of such Lender any amounts required to compensate such Lender pursuant to </w:t>
      </w:r>
      <w:r>
        <w:rPr>
          <w:rFonts w:ascii="Arial" w:cs="Arial" w:eastAsia="Arial" w:hAnsi="Arial"/>
          <w:sz w:val="19"/>
          <w:szCs w:val="19"/>
          <w:i w:val="1"/>
          <w:iCs w:val="1"/>
          <w:color w:val="auto"/>
        </w:rPr>
        <w:t>Section 4.5</w:t>
      </w:r>
      <w:r>
        <w:rPr>
          <w:rFonts w:ascii="Arial" w:cs="Arial" w:eastAsia="Arial" w:hAnsi="Arial"/>
          <w:sz w:val="19"/>
          <w:szCs w:val="19"/>
          <w:color w:val="auto"/>
        </w:rPr>
        <w:t xml:space="preserve"> of the Credit Agreement. As used in this </w:t>
      </w:r>
      <w:r>
        <w:rPr>
          <w:rFonts w:ascii="Arial" w:cs="Arial" w:eastAsia="Arial" w:hAnsi="Arial"/>
          <w:sz w:val="19"/>
          <w:szCs w:val="19"/>
          <w:b w:val="1"/>
          <w:bCs w:val="1"/>
          <w:i w:val="1"/>
          <w:iCs w:val="1"/>
          <w:color w:val="auto"/>
        </w:rPr>
        <w:t>subsection (c)</w:t>
      </w:r>
      <w:r>
        <w:rPr>
          <w:rFonts w:ascii="Arial" w:cs="Arial" w:eastAsia="Arial" w:hAnsi="Arial"/>
          <w:sz w:val="19"/>
          <w:szCs w:val="19"/>
          <w:color w:val="auto"/>
        </w:rPr>
        <w:t>, the term “Lender” includes each Departing Lender.</w:t>
      </w:r>
    </w:p>
    <w:p>
      <w:pPr>
        <w:spacing w:after="0" w:line="192" w:lineRule="exact"/>
        <w:rPr>
          <w:rFonts w:ascii="Arial" w:cs="Arial" w:eastAsia="Arial" w:hAnsi="Arial"/>
          <w:sz w:val="19"/>
          <w:szCs w:val="19"/>
          <w:color w:val="auto"/>
        </w:rPr>
      </w:pPr>
    </w:p>
    <w:p>
      <w:pPr>
        <w:jc w:val="both"/>
        <w:ind w:left="-576" w:firstLine="576"/>
        <w:spacing w:after="0" w:line="307" w:lineRule="auto"/>
        <w:tabs>
          <w:tab w:leader="none" w:pos="8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 on the Closing Date, each New Lender (as hereinafter defined), if any, shall be deemed automatically to have become a party to the Amended and Restated Credit Agreement, shall have all the rights and obligations of a “Lender” under the Amended and Restated Credit Agreement and the other Loan Papers and does hereby agree, severally and not jointly, to be bound by the terms and conditions set forth in the Amended and Restated Credit Agreement. As used herein, “</w:t>
      </w:r>
      <w:r>
        <w:rPr>
          <w:rFonts w:ascii="Arial" w:cs="Arial" w:eastAsia="Arial" w:hAnsi="Arial"/>
          <w:sz w:val="18"/>
          <w:szCs w:val="18"/>
          <w:b w:val="1"/>
          <w:bCs w:val="1"/>
          <w:i w:val="1"/>
          <w:iCs w:val="1"/>
          <w:color w:val="auto"/>
        </w:rPr>
        <w:t>New Lender</w:t>
      </w:r>
      <w:r>
        <w:rPr>
          <w:rFonts w:ascii="Arial" w:cs="Arial" w:eastAsia="Arial" w:hAnsi="Arial"/>
          <w:sz w:val="18"/>
          <w:szCs w:val="18"/>
          <w:color w:val="auto"/>
        </w:rPr>
        <w:t>” means each institution that is a party to this Amendment Agreement (and for whom a Commitment under the Amended and Restated Credit Agreement is shown on Amended and Restated Schedule 1) but is not a Lender under the Credit Agreement as in effect prior to the Closing Date.</w:t>
      </w:r>
    </w:p>
    <w:p>
      <w:pPr>
        <w:spacing w:after="0" w:line="180" w:lineRule="exact"/>
        <w:rPr>
          <w:rFonts w:ascii="Arial" w:cs="Arial" w:eastAsia="Arial" w:hAnsi="Arial"/>
          <w:sz w:val="18"/>
          <w:szCs w:val="18"/>
          <w:color w:val="auto"/>
        </w:rPr>
      </w:pPr>
    </w:p>
    <w:p>
      <w:pPr>
        <w:jc w:val="both"/>
        <w:ind w:left="-576" w:firstLine="576"/>
        <w:spacing w:after="0" w:line="270" w:lineRule="auto"/>
        <w:tabs>
          <w:tab w:leader="none" w:pos="832"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Each New Lender represents and agrees as follows: (i) it has received a copy of the Credit Agreement, and has received or has been accorded the opportunity to receive copies of the most recent financial statements delivered pursuant to </w:t>
      </w:r>
      <w:r>
        <w:rPr>
          <w:rFonts w:ascii="Arial" w:cs="Arial" w:eastAsia="Arial" w:hAnsi="Arial"/>
          <w:sz w:val="20"/>
          <w:szCs w:val="20"/>
          <w:i w:val="1"/>
          <w:iCs w:val="1"/>
          <w:color w:val="auto"/>
        </w:rPr>
        <w:t>Section 9.1</w:t>
      </w:r>
      <w:r>
        <w:rPr>
          <w:rFonts w:ascii="Arial" w:cs="Arial" w:eastAsia="Arial" w:hAnsi="Arial"/>
          <w:sz w:val="20"/>
          <w:szCs w:val="20"/>
          <w:color w:val="auto"/>
        </w:rPr>
        <w:t xml:space="preserve"> thereof, and such other documents and information as it deems appropriate to make its own credit analysis and decision to enter into this Amendment Agreement and the Amended and Restated Credit Agreement, (ii) it has, independently and without reliance upon Administrative Agent, any other agent, any Lender or any arranger, bookrunner or book manager, and based on such documents and information as it has deemed appropriate, made its own credit analysis and decision to enter into this Amendment Agreement and the Amended and Restated Credit Agreement, and (iii) it will perform in accordance with their terms all of the obligations which by the terms of the Loan Papers are required to be performed by it as a Lender.</w:t>
      </w:r>
    </w:p>
    <w:p>
      <w:pPr>
        <w:spacing w:after="0" w:line="193" w:lineRule="exact"/>
        <w:rPr>
          <w:sz w:val="20"/>
          <w:szCs w:val="20"/>
          <w:color w:val="auto"/>
        </w:rPr>
      </w:pPr>
    </w:p>
    <w:p>
      <w:pPr>
        <w:jc w:val="both"/>
        <w:ind w:left="-656" w:firstLine="656"/>
        <w:spacing w:after="0" w:line="280" w:lineRule="auto"/>
        <w:tabs>
          <w:tab w:leader="none" w:pos="455" w:val="left"/>
        </w:tabs>
        <w:numPr>
          <w:ilvl w:val="0"/>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 of Amendment</w:t>
      </w:r>
      <w:r>
        <w:rPr>
          <w:rFonts w:ascii="Arial" w:cs="Arial" w:eastAsia="Arial" w:hAnsi="Arial"/>
          <w:sz w:val="18"/>
          <w:szCs w:val="18"/>
          <w:color w:val="auto"/>
        </w:rPr>
        <w:t>. Except as specifically set forth herein, this Amendment Agreement shall not impair the validity or</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the Credit Agreement or any other Loan Paper, or alter, modify, or in any way affect any of the terms, conditions, obligations, covenants or agreements contained in the Credit Agreement, all of which are hereby ratified and affirmed in all respects. Nothing herein shall act as a waiver of any Default or of any of Administrative Agent’s or any Lender’s rights under the Loan Papers (except as specifically set forth herein), or prejudice any right which Administrative Agent or any Lender may have under or in connection with the Credit Agreement.</w:t>
      </w:r>
    </w:p>
    <w:p>
      <w:pPr>
        <w:spacing w:after="0" w:line="156" w:lineRule="exact"/>
        <w:rPr>
          <w:rFonts w:ascii="Arial" w:cs="Arial" w:eastAsia="Arial" w:hAnsi="Arial"/>
          <w:sz w:val="18"/>
          <w:szCs w:val="18"/>
          <w:color w:val="auto"/>
        </w:rPr>
      </w:pPr>
    </w:p>
    <w:p>
      <w:pPr>
        <w:jc w:val="both"/>
        <w:ind w:left="-656" w:firstLine="656"/>
        <w:spacing w:after="0" w:line="259" w:lineRule="auto"/>
        <w:tabs>
          <w:tab w:leader="none" w:pos="347" w:val="left"/>
        </w:tabs>
        <w:numPr>
          <w:ilvl w:val="0"/>
          <w:numId w:val="24"/>
        </w:numPr>
        <w:rPr>
          <w:rFonts w:ascii="Arial" w:cs="Arial" w:eastAsia="Arial" w:hAnsi="Arial"/>
          <w:sz w:val="19"/>
          <w:szCs w:val="19"/>
          <w:color w:val="auto"/>
        </w:rPr>
      </w:pPr>
      <w:r>
        <w:rPr>
          <w:rFonts w:ascii="Arial" w:cs="Arial" w:eastAsia="Arial" w:hAnsi="Arial"/>
          <w:sz w:val="19"/>
          <w:szCs w:val="19"/>
          <w:b w:val="1"/>
          <w:bCs w:val="1"/>
          <w:u w:val="single" w:color="auto"/>
          <w:color w:val="auto"/>
        </w:rPr>
        <w:t>Miscellaneous</w:t>
      </w:r>
      <w:r>
        <w:rPr>
          <w:rFonts w:ascii="Arial" w:cs="Arial" w:eastAsia="Arial" w:hAnsi="Arial"/>
          <w:sz w:val="19"/>
          <w:szCs w:val="19"/>
          <w:color w:val="auto"/>
        </w:rPr>
        <w:t>. This Amendment Agreement is a “Loan Paper” as defined in the Credit Agreement. This Amendment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governed by, and construed in accordance with, the laws of the State of New York. The captions in this Amendment Agreement are for convenience of reference only and shall not define or limit the provisions hereof. This Amendment Agreement may be executed in separate counterparts, each of which when so executed and delivered shall be an original, but all of which together shall constitute one instrument. In proving this Amendment Agreement, it shall not be necessary to produce or account for more than one such counterpart. Delivery of an executed counterpart of this Amendment Agreement by telecopier or other electronic means shall be effective as delivery of a manually executed counterpart of this Amendment Agreement.</w:t>
      </w:r>
    </w:p>
    <w:p>
      <w:pPr>
        <w:spacing w:after="0" w:line="172" w:lineRule="exact"/>
        <w:rPr>
          <w:rFonts w:ascii="Arial" w:cs="Arial" w:eastAsia="Arial" w:hAnsi="Arial"/>
          <w:sz w:val="19"/>
          <w:szCs w:val="19"/>
          <w:color w:val="auto"/>
        </w:rPr>
      </w:pPr>
    </w:p>
    <w:p>
      <w:pPr>
        <w:jc w:val="both"/>
        <w:ind w:left="-656" w:firstLine="656"/>
        <w:spacing w:after="0" w:line="253" w:lineRule="auto"/>
        <w:tabs>
          <w:tab w:leader="none" w:pos="361" w:val="left"/>
        </w:tabs>
        <w:numPr>
          <w:ilvl w:val="0"/>
          <w:numId w:val="24"/>
        </w:numPr>
        <w:rPr>
          <w:rFonts w:ascii="Arial" w:cs="Arial" w:eastAsia="Arial" w:hAnsi="Arial"/>
          <w:sz w:val="20"/>
          <w:szCs w:val="20"/>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color w:val="auto"/>
        </w:rPr>
        <w:t>. The Credit Agreement, this Amendment Agreement and the other Loan Papers represent the final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between the parties and may not be contradicted by evidence of prior, contemporaneous, or subsequent oral agreements of the parties. There are no unwritten oral agreements between the parties.</w:t>
      </w:r>
    </w:p>
    <w:p>
      <w:pPr>
        <w:sectPr>
          <w:pgSz w:w="11900" w:h="16838" w:orient="portrait"/>
          <w:cols w:equalWidth="0" w:num="1">
            <w:col w:w="10764"/>
          </w:cols>
          <w:pgMar w:left="896" w:top="595"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6"/>
          <w:szCs w:val="16"/>
          <w:b w:val="1"/>
          <w:bCs w:val="1"/>
          <w:i w:val="1"/>
          <w:iCs w:val="1"/>
          <w:color w:val="auto"/>
        </w:rPr>
        <w:t>Remainder of Page Intentionally Blank.</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Signature Pages to Follow.</w:t>
      </w:r>
    </w:p>
    <w:p>
      <w:pPr>
        <w:sectPr>
          <w:pgSz w:w="11900" w:h="16838" w:orient="portrait"/>
          <w:cols w:equalWidth="0" w:num="1">
            <w:col w:w="9019"/>
          </w:cols>
          <w:pgMar w:left="1440" w:top="582" w:right="1440" w:bottom="1440" w:gutter="0" w:footer="0" w:header="0"/>
        </w:sectPr>
      </w:pPr>
    </w:p>
    <w:bookmarkStart w:id="44" w:name="page45"/>
    <w:bookmarkEnd w:id="44"/>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Amendment Agreement to be duly executed and delivered by their proper and duly authorized officers as of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VAIL HOLDINGS, INC.</w:t>
      </w:r>
      <w:r>
        <w:rPr>
          <w:rFonts w:ascii="Arial" w:cs="Arial" w:eastAsia="Arial" w:hAnsi="Arial"/>
          <w:sz w:val="20"/>
          <w:szCs w:val="20"/>
          <w:color w:val="auto"/>
        </w:rPr>
        <w:t>,</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Borrower</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-14605</wp:posOffset>
            </wp:positionV>
            <wp:extent cx="13265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651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Michael Z. Barkin</w:t>
      </w:r>
    </w:p>
    <w:p>
      <w:pPr>
        <w:ind w:left="3900"/>
        <w:spacing w:after="0"/>
        <w:rPr>
          <w:sz w:val="20"/>
          <w:szCs w:val="20"/>
          <w:color w:val="auto"/>
        </w:rPr>
      </w:pPr>
      <w:r>
        <w:rPr>
          <w:rFonts w:ascii="Arial" w:cs="Arial" w:eastAsia="Arial" w:hAnsi="Arial"/>
          <w:sz w:val="20"/>
          <w:szCs w:val="20"/>
          <w:color w:val="auto"/>
        </w:rPr>
        <w:t>Executive Vice President and Chief</w:t>
      </w:r>
    </w:p>
    <w:p>
      <w:pPr>
        <w:ind w:left="3900"/>
        <w:spacing w:after="0"/>
        <w:rPr>
          <w:sz w:val="20"/>
          <w:szCs w:val="20"/>
          <w:color w:val="auto"/>
        </w:rPr>
      </w:pPr>
      <w:r>
        <w:rPr>
          <w:rFonts w:ascii="Arial" w:cs="Arial" w:eastAsia="Arial" w:hAnsi="Arial"/>
          <w:sz w:val="20"/>
          <w:szCs w:val="20"/>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Amendment Agreement</w:t>
      </w:r>
    </w:p>
    <w:p>
      <w:pPr>
        <w:sectPr>
          <w:pgSz w:w="11900" w:h="16838" w:orient="portrait"/>
          <w:cols w:equalWidth="0" w:num="1">
            <w:col w:w="11420"/>
          </w:cols>
          <w:pgMar w:left="240" w:top="582" w:right="239" w:bottom="1440" w:gutter="0" w:footer="0" w:header="0"/>
        </w:sectPr>
      </w:pPr>
    </w:p>
    <w:bookmarkStart w:id="45" w:name="page46"/>
    <w:bookmarkEnd w:id="45"/>
    <w:p>
      <w:pPr>
        <w:ind w:left="270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Allison W. Connally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-14605</wp:posOffset>
            </wp:positionV>
            <wp:extent cx="14649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494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Allison W. Connally</w:t>
      </w:r>
    </w:p>
    <w:p>
      <w:pPr>
        <w:ind w:left="2700"/>
        <w:spacing w:after="0"/>
        <w:rPr>
          <w:sz w:val="20"/>
          <w:szCs w:val="20"/>
          <w:color w:val="auto"/>
        </w:rPr>
      </w:pPr>
      <w:r>
        <w:rPr>
          <w:rFonts w:ascii="Arial" w:cs="Arial" w:eastAsia="Arial" w:hAnsi="Arial"/>
          <w:sz w:val="20"/>
          <w:szCs w:val="20"/>
          <w:color w:val="auto"/>
        </w:rPr>
        <w:t>Senior Vice President</w:t>
      </w: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Signature Page to Amendment Agreement</w:t>
      </w:r>
    </w:p>
    <w:p>
      <w:pPr>
        <w:sectPr>
          <w:pgSz w:w="11900" w:h="16838" w:orient="portrait"/>
          <w:cols w:equalWidth="0" w:num="1">
            <w:col w:w="9019"/>
          </w:cols>
          <w:pgMar w:left="1440" w:top="576" w:right="1440" w:bottom="1440" w:gutter="0" w:footer="0" w:header="0"/>
        </w:sectPr>
      </w:pPr>
    </w:p>
    <w:bookmarkStart w:id="46" w:name="page47"/>
    <w:bookmarkEnd w:id="46"/>
    <w:p>
      <w:pPr>
        <w:ind w:left="270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as an L/C Issuer, a Swing Line Lender, a Revolver Lender and a Term Loan Lender</w:t>
      </w:r>
    </w:p>
    <w:p>
      <w:pPr>
        <w:spacing w:after="0" w:line="24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Allison W. Connally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1433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383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Allison W. Connally</w:t>
      </w:r>
    </w:p>
    <w:p>
      <w:pPr>
        <w:ind w:left="2700"/>
        <w:spacing w:after="0"/>
        <w:rPr>
          <w:sz w:val="20"/>
          <w:szCs w:val="20"/>
          <w:color w:val="auto"/>
        </w:rPr>
      </w:pPr>
      <w:r>
        <w:rPr>
          <w:rFonts w:ascii="Arial" w:cs="Arial" w:eastAsia="Arial" w:hAnsi="Arial"/>
          <w:sz w:val="20"/>
          <w:szCs w:val="20"/>
          <w:color w:val="auto"/>
        </w:rPr>
        <w:t>Senior Vice President</w:t>
      </w:r>
    </w:p>
    <w:p>
      <w:pPr>
        <w:spacing w:after="0" w:line="200" w:lineRule="exact"/>
        <w:rPr>
          <w:sz w:val="20"/>
          <w:szCs w:val="20"/>
          <w:color w:val="auto"/>
        </w:rPr>
      </w:pPr>
    </w:p>
    <w:p>
      <w:pPr>
        <w:spacing w:after="0" w:line="272" w:lineRule="exact"/>
        <w:rPr>
          <w:sz w:val="20"/>
          <w:szCs w:val="20"/>
          <w:color w:val="auto"/>
        </w:rPr>
      </w:pPr>
    </w:p>
    <w:p>
      <w:pPr>
        <w:jc w:val="center"/>
        <w:ind w:right="260"/>
        <w:spacing w:after="0"/>
        <w:rPr>
          <w:sz w:val="20"/>
          <w:szCs w:val="20"/>
          <w:color w:val="auto"/>
        </w:rPr>
      </w:pPr>
      <w:r>
        <w:rPr>
          <w:rFonts w:ascii="Arial" w:cs="Arial" w:eastAsia="Arial" w:hAnsi="Arial"/>
          <w:sz w:val="18"/>
          <w:szCs w:val="18"/>
          <w:i w:val="1"/>
          <w:iCs w:val="1"/>
          <w:color w:val="auto"/>
        </w:rPr>
        <w:t>Signature Page to Amendment Agreement</w:t>
      </w:r>
    </w:p>
    <w:p>
      <w:pPr>
        <w:sectPr>
          <w:pgSz w:w="11900" w:h="16838" w:orient="portrait"/>
          <w:cols w:equalWidth="0" w:num="1">
            <w:col w:w="9300"/>
          </w:cols>
          <w:pgMar w:left="1440" w:top="576" w:right="1159" w:bottom="1440" w:gutter="0" w:footer="0" w:header="0"/>
        </w:sectPr>
      </w:pPr>
    </w:p>
    <w:bookmarkStart w:id="47" w:name="page48"/>
    <w:bookmarkEnd w:id="47"/>
    <w:p>
      <w:pPr>
        <w:ind w:left="2700"/>
        <w:spacing w:after="0"/>
        <w:rPr>
          <w:sz w:val="20"/>
          <w:szCs w:val="20"/>
          <w:color w:val="auto"/>
        </w:rPr>
      </w:pPr>
      <w:r>
        <w:rPr>
          <w:rFonts w:ascii="Arial" w:cs="Arial" w:eastAsia="Arial" w:hAnsi="Arial"/>
          <w:sz w:val="20"/>
          <w:szCs w:val="20"/>
          <w:b w:val="1"/>
          <w:bCs w:val="1"/>
          <w:color w:val="auto"/>
        </w:rPr>
        <w:t>U.S. BANK NATIONAL ASSOCIATION</w:t>
      </w:r>
      <w:r>
        <w:rPr>
          <w:rFonts w:ascii="Arial" w:cs="Arial" w:eastAsia="Arial" w:hAnsi="Arial"/>
          <w:sz w:val="20"/>
          <w:szCs w:val="20"/>
          <w:color w:val="auto"/>
        </w:rPr>
        <w:t>,</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as a Swing Line Lender, a Revolver Lender and a Term Loan Lender</w:t>
      </w:r>
    </w:p>
    <w:p>
      <w:pPr>
        <w:spacing w:after="0" w:line="200" w:lineRule="exact"/>
        <w:rPr>
          <w:sz w:val="20"/>
          <w:szCs w:val="20"/>
          <w:color w:val="auto"/>
        </w:rPr>
      </w:pPr>
    </w:p>
    <w:p>
      <w:pPr>
        <w:spacing w:after="0" w:line="27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Robert Naughton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15220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209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 Robert Naughton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2078990</wp:posOffset>
            </wp:positionH>
            <wp:positionV relativeFrom="paragraph">
              <wp:posOffset>-24765</wp:posOffset>
            </wp:positionV>
            <wp:extent cx="1277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Title: Vice Presendent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1980565</wp:posOffset>
            </wp:positionH>
            <wp:positionV relativeFrom="paragraph">
              <wp:posOffset>-24765</wp:posOffset>
            </wp:positionV>
            <wp:extent cx="13779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795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Amendment Agreement</w:t>
      </w:r>
    </w:p>
    <w:p>
      <w:pPr>
        <w:sectPr>
          <w:pgSz w:w="11900" w:h="16838" w:orient="portrait"/>
          <w:cols w:equalWidth="0" w:num="1">
            <w:col w:w="9019"/>
          </w:cols>
          <w:pgMar w:left="1440" w:top="576" w:right="1440" w:bottom="1440" w:gutter="0" w:footer="0" w:header="0"/>
        </w:sectPr>
      </w:pPr>
    </w:p>
    <w:bookmarkStart w:id="48" w:name="page49"/>
    <w:bookmarkEnd w:id="48"/>
    <w:p>
      <w:pPr>
        <w:ind w:left="2700"/>
        <w:spacing w:after="0" w:line="267" w:lineRule="auto"/>
        <w:rPr>
          <w:sz w:val="20"/>
          <w:szCs w:val="20"/>
          <w:color w:val="auto"/>
        </w:rPr>
      </w:pPr>
      <w:r>
        <w:rPr>
          <w:rFonts w:ascii="Arial" w:cs="Arial" w:eastAsia="Arial" w:hAnsi="Arial"/>
          <w:sz w:val="20"/>
          <w:szCs w:val="20"/>
          <w:b w:val="1"/>
          <w:bCs w:val="1"/>
          <w:color w:val="auto"/>
        </w:rPr>
        <w:t>WELLS FARGO BANK, NATIONAL ASSOCIATION</w:t>
      </w:r>
      <w:r>
        <w:rPr>
          <w:rFonts w:ascii="Arial" w:cs="Arial" w:eastAsia="Arial" w:hAnsi="Arial"/>
          <w:sz w:val="20"/>
          <w:szCs w:val="20"/>
          <w:color w:val="auto"/>
        </w:rPr>
        <w:t>, as an L/C Issuer, a Revolver</w:t>
      </w:r>
      <w:r>
        <w:rPr>
          <w:rFonts w:ascii="Arial" w:cs="Arial" w:eastAsia="Arial" w:hAnsi="Arial"/>
          <w:sz w:val="20"/>
          <w:szCs w:val="20"/>
          <w:b w:val="1"/>
          <w:bCs w:val="1"/>
          <w:color w:val="auto"/>
        </w:rPr>
        <w:t xml:space="preserve"> </w:t>
      </w:r>
      <w:r>
        <w:rPr>
          <w:rFonts w:ascii="Arial" w:cs="Arial" w:eastAsia="Arial" w:hAnsi="Arial"/>
          <w:sz w:val="20"/>
          <w:szCs w:val="20"/>
          <w:color w:val="auto"/>
        </w:rPr>
        <w:t>Lender and a Term Loan Lender</w:t>
      </w:r>
    </w:p>
    <w:p>
      <w:pPr>
        <w:spacing w:after="0" w:line="17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Paige Mason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13055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05560" cy="8890"/>
                    </a:xfrm>
                    <a:prstGeom prst="rect">
                      <a:avLst/>
                    </a:prstGeom>
                    <a:noFill/>
                  </pic:spPr>
                </pic:pic>
              </a:graphicData>
            </a:graphic>
          </wp:anchor>
        </w:drawing>
      </w:r>
    </w:p>
    <w:p>
      <w:pPr>
        <w:ind w:left="2700"/>
        <w:spacing w:after="0"/>
        <w:tabs>
          <w:tab w:leader="none" w:pos="3460" w:val="left"/>
        </w:tabs>
        <w:rPr>
          <w:sz w:val="20"/>
          <w:szCs w:val="20"/>
          <w:color w:val="auto"/>
        </w:rPr>
      </w:pPr>
      <w:r>
        <w:rPr>
          <w:rFonts w:ascii="Arial" w:cs="Arial" w:eastAsia="Arial" w:hAnsi="Arial"/>
          <w:sz w:val="20"/>
          <w:szCs w:val="20"/>
          <w:color w:val="auto"/>
        </w:rPr>
        <w:t>Name:</w:t>
        <w:tab/>
        <w:t>Paige Mason</w:t>
      </w:r>
    </w:p>
    <w:p>
      <w:pPr>
        <w:ind w:left="2700"/>
        <w:spacing w:after="0"/>
        <w:rPr>
          <w:sz w:val="20"/>
          <w:szCs w:val="20"/>
          <w:color w:val="auto"/>
        </w:rPr>
      </w:pPr>
      <w:r>
        <w:rPr>
          <w:rFonts w:ascii="Arial" w:cs="Arial" w:eastAsia="Arial" w:hAnsi="Arial"/>
          <w:sz w:val="20"/>
          <w:szCs w:val="20"/>
          <w:color w:val="auto"/>
        </w:rPr>
        <w:t>Title: Assistance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900"/>
        <w:spacing w:after="0"/>
        <w:rPr>
          <w:sz w:val="20"/>
          <w:szCs w:val="20"/>
          <w:color w:val="auto"/>
        </w:rPr>
      </w:pPr>
      <w:r>
        <w:rPr>
          <w:rFonts w:ascii="Arial" w:cs="Arial" w:eastAsia="Arial" w:hAnsi="Arial"/>
          <w:sz w:val="20"/>
          <w:szCs w:val="20"/>
          <w:i w:val="1"/>
          <w:iCs w:val="1"/>
          <w:color w:val="auto"/>
        </w:rPr>
        <w:t>Signature Page to Amendment Agreement</w:t>
      </w:r>
    </w:p>
    <w:p>
      <w:pPr>
        <w:sectPr>
          <w:pgSz w:w="11900" w:h="16838" w:orient="portrait"/>
          <w:cols w:equalWidth="0" w:num="1">
            <w:col w:w="9680"/>
          </w:cols>
          <w:pgMar w:left="1440" w:top="576" w:right="779" w:bottom="1440" w:gutter="0" w:footer="0" w:header="0"/>
        </w:sectPr>
      </w:pPr>
    </w:p>
    <w:bookmarkStart w:id="49" w:name="page50"/>
    <w:bookmarkEnd w:id="49"/>
    <w:p>
      <w:pPr>
        <w:ind w:left="2700"/>
        <w:spacing w:after="0"/>
        <w:rPr>
          <w:sz w:val="20"/>
          <w:szCs w:val="20"/>
          <w:color w:val="auto"/>
        </w:rPr>
      </w:pPr>
      <w:r>
        <w:rPr>
          <w:rFonts w:ascii="Arial" w:cs="Arial" w:eastAsia="Arial" w:hAnsi="Arial"/>
          <w:sz w:val="20"/>
          <w:szCs w:val="20"/>
          <w:b w:val="1"/>
          <w:bCs w:val="1"/>
          <w:color w:val="auto"/>
        </w:rPr>
        <w:t>SUNTRUST BANK</w:t>
      </w:r>
      <w:r>
        <w:rPr>
          <w:rFonts w:ascii="Arial" w:cs="Arial" w:eastAsia="Arial" w:hAnsi="Arial"/>
          <w:sz w:val="20"/>
          <w:szCs w:val="20"/>
          <w:color w:val="auto"/>
        </w:rPr>
        <w:t>,</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as a Revolver Lender and a Term Loan Lender</w:t>
      </w:r>
    </w:p>
    <w:p>
      <w:pPr>
        <w:spacing w:after="0" w:line="24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Justin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133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 Justin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2078990</wp:posOffset>
            </wp:positionH>
            <wp:positionV relativeFrom="paragraph">
              <wp:posOffset>-24765</wp:posOffset>
            </wp:positionV>
            <wp:extent cx="1089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1980565</wp:posOffset>
            </wp:positionH>
            <wp:positionV relativeFrom="paragraph">
              <wp:posOffset>-24765</wp:posOffset>
            </wp:positionV>
            <wp:extent cx="9842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842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80"/>
        <w:spacing w:after="0"/>
        <w:rPr>
          <w:sz w:val="20"/>
          <w:szCs w:val="20"/>
          <w:color w:val="auto"/>
        </w:rPr>
      </w:pPr>
      <w:r>
        <w:rPr>
          <w:rFonts w:ascii="Arial" w:cs="Arial" w:eastAsia="Arial" w:hAnsi="Arial"/>
          <w:sz w:val="19"/>
          <w:szCs w:val="19"/>
          <w:i w:val="1"/>
          <w:iCs w:val="1"/>
          <w:color w:val="auto"/>
        </w:rPr>
        <w:t>Signature Page to Amendment Agreement</w:t>
      </w:r>
    </w:p>
    <w:p>
      <w:pPr>
        <w:sectPr>
          <w:pgSz w:w="11900" w:h="16838" w:orient="portrait"/>
          <w:cols w:equalWidth="0" w:num="1">
            <w:col w:w="9019"/>
          </w:cols>
          <w:pgMar w:left="1440" w:top="576" w:right="1440" w:bottom="1440" w:gutter="0" w:footer="0" w:header="0"/>
        </w:sectPr>
      </w:pPr>
    </w:p>
    <w:bookmarkStart w:id="50" w:name="page51"/>
    <w:bookmarkEnd w:id="50"/>
    <w:p>
      <w:pPr>
        <w:ind w:left="2700"/>
        <w:spacing w:after="0"/>
        <w:rPr>
          <w:sz w:val="20"/>
          <w:szCs w:val="20"/>
          <w:color w:val="auto"/>
        </w:rPr>
      </w:pPr>
      <w:r>
        <w:rPr>
          <w:rFonts w:ascii="Arial" w:cs="Arial" w:eastAsia="Arial" w:hAnsi="Arial"/>
          <w:sz w:val="20"/>
          <w:szCs w:val="20"/>
          <w:b w:val="1"/>
          <w:bCs w:val="1"/>
          <w:color w:val="auto"/>
        </w:rPr>
        <w:t>BANK OF THE WEST</w:t>
      </w:r>
      <w:r>
        <w:rPr>
          <w:rFonts w:ascii="Arial" w:cs="Arial" w:eastAsia="Arial" w:hAnsi="Arial"/>
          <w:sz w:val="20"/>
          <w:szCs w:val="20"/>
          <w:color w:val="auto"/>
        </w:rPr>
        <w:t>,</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as a Revolver Lender and a Term Loan Lender</w:t>
      </w:r>
    </w:p>
    <w:p>
      <w:pPr>
        <w:spacing w:after="0" w:line="24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Robert Likes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13055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5560" cy="8890"/>
                    </a:xfrm>
                    <a:prstGeom prst="rect">
                      <a:avLst/>
                    </a:prstGeom>
                    <a:noFill/>
                  </pic:spPr>
                </pic:pic>
              </a:graphicData>
            </a:graphic>
          </wp:anchor>
        </w:drawing>
      </w:r>
    </w:p>
    <w:p>
      <w:pPr>
        <w:ind w:left="2700"/>
        <w:spacing w:after="0"/>
        <w:tabs>
          <w:tab w:leader="none" w:pos="3460" w:val="left"/>
        </w:tabs>
        <w:rPr>
          <w:sz w:val="20"/>
          <w:szCs w:val="20"/>
          <w:color w:val="auto"/>
        </w:rPr>
      </w:pPr>
      <w:r>
        <w:rPr>
          <w:rFonts w:ascii="Arial" w:cs="Arial" w:eastAsia="Arial" w:hAnsi="Arial"/>
          <w:sz w:val="20"/>
          <w:szCs w:val="20"/>
          <w:color w:val="auto"/>
        </w:rPr>
        <w:t>Name:</w:t>
        <w:tab/>
        <w:t>Robert Likes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2078990</wp:posOffset>
            </wp:positionH>
            <wp:positionV relativeFrom="paragraph">
              <wp:posOffset>-24765</wp:posOffset>
            </wp:positionV>
            <wp:extent cx="13125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1980565</wp:posOffset>
            </wp:positionH>
            <wp:positionV relativeFrom="paragraph">
              <wp:posOffset>-24765</wp:posOffset>
            </wp:positionV>
            <wp:extent cx="1109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09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80"/>
        <w:spacing w:after="0"/>
        <w:rPr>
          <w:sz w:val="20"/>
          <w:szCs w:val="20"/>
          <w:color w:val="auto"/>
        </w:rPr>
      </w:pPr>
      <w:r>
        <w:rPr>
          <w:rFonts w:ascii="Arial" w:cs="Arial" w:eastAsia="Arial" w:hAnsi="Arial"/>
          <w:sz w:val="19"/>
          <w:szCs w:val="19"/>
          <w:i w:val="1"/>
          <w:iCs w:val="1"/>
          <w:color w:val="auto"/>
        </w:rPr>
        <w:t>Signature Page to Amendment Agreement</w:t>
      </w:r>
    </w:p>
    <w:p>
      <w:pPr>
        <w:sectPr>
          <w:pgSz w:w="11900" w:h="16838" w:orient="portrait"/>
          <w:cols w:equalWidth="0" w:num="1">
            <w:col w:w="9019"/>
          </w:cols>
          <w:pgMar w:left="1440" w:top="576" w:right="1440" w:bottom="1440" w:gutter="0" w:footer="0" w:header="0"/>
        </w:sectPr>
      </w:pPr>
    </w:p>
    <w:bookmarkStart w:id="51" w:name="page52"/>
    <w:bookmarkEnd w:id="51"/>
    <w:p>
      <w:pPr>
        <w:ind w:left="2700"/>
        <w:spacing w:after="0" w:line="267" w:lineRule="auto"/>
        <w:rPr>
          <w:sz w:val="20"/>
          <w:szCs w:val="20"/>
          <w:color w:val="auto"/>
        </w:rPr>
      </w:pPr>
      <w:r>
        <w:rPr>
          <w:rFonts w:ascii="Arial" w:cs="Arial" w:eastAsia="Arial" w:hAnsi="Arial"/>
          <w:sz w:val="20"/>
          <w:szCs w:val="20"/>
          <w:b w:val="1"/>
          <w:bCs w:val="1"/>
          <w:color w:val="auto"/>
        </w:rPr>
        <w:t>BOKF, N.A. DBA COLORADO STATE BANK &amp; TRUST</w:t>
      </w:r>
      <w:r>
        <w:rPr>
          <w:rFonts w:ascii="Arial" w:cs="Arial" w:eastAsia="Arial" w:hAnsi="Arial"/>
          <w:sz w:val="20"/>
          <w:szCs w:val="20"/>
          <w:color w:val="auto"/>
        </w:rPr>
        <w:t>, as a Revolver Lender and a</w:t>
      </w:r>
      <w:r>
        <w:rPr>
          <w:rFonts w:ascii="Arial" w:cs="Arial" w:eastAsia="Arial" w:hAnsi="Arial"/>
          <w:sz w:val="20"/>
          <w:szCs w:val="20"/>
          <w:b w:val="1"/>
          <w:bCs w:val="1"/>
          <w:color w:val="auto"/>
        </w:rPr>
        <w:t xml:space="preserve"> </w:t>
      </w:r>
      <w:r>
        <w:rPr>
          <w:rFonts w:ascii="Arial" w:cs="Arial" w:eastAsia="Arial" w:hAnsi="Arial"/>
          <w:sz w:val="20"/>
          <w:szCs w:val="20"/>
          <w:color w:val="auto"/>
        </w:rPr>
        <w:t>Term Loan Lender</w:t>
      </w:r>
    </w:p>
    <w:p>
      <w:pPr>
        <w:spacing w:after="0" w:line="17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Andrew K. Aye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14719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193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 Andrew K. Aye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2078990</wp:posOffset>
            </wp:positionH>
            <wp:positionV relativeFrom="paragraph">
              <wp:posOffset>-24765</wp:posOffset>
            </wp:positionV>
            <wp:extent cx="13220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2207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1980565</wp:posOffset>
            </wp:positionH>
            <wp:positionV relativeFrom="paragraph">
              <wp:posOffset>-24765</wp:posOffset>
            </wp:positionV>
            <wp:extent cx="10331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33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900"/>
        <w:spacing w:after="0"/>
        <w:rPr>
          <w:sz w:val="20"/>
          <w:szCs w:val="20"/>
          <w:color w:val="auto"/>
        </w:rPr>
      </w:pPr>
      <w:r>
        <w:rPr>
          <w:rFonts w:ascii="Arial" w:cs="Arial" w:eastAsia="Arial" w:hAnsi="Arial"/>
          <w:sz w:val="20"/>
          <w:szCs w:val="20"/>
          <w:i w:val="1"/>
          <w:iCs w:val="1"/>
          <w:color w:val="auto"/>
        </w:rPr>
        <w:t>Signature Page to Amendment Agreement</w:t>
      </w:r>
    </w:p>
    <w:p>
      <w:pPr>
        <w:sectPr>
          <w:pgSz w:w="11900" w:h="16838" w:orient="portrait"/>
          <w:cols w:equalWidth="0" w:num="1">
            <w:col w:w="9880"/>
          </w:cols>
          <w:pgMar w:left="1440" w:top="576" w:right="579" w:bottom="1440" w:gutter="0" w:footer="0" w:header="0"/>
        </w:sectPr>
      </w:pPr>
    </w:p>
    <w:bookmarkStart w:id="52" w:name="page53"/>
    <w:bookmarkEnd w:id="52"/>
    <w:p>
      <w:pPr>
        <w:ind w:left="2700"/>
        <w:spacing w:after="0"/>
        <w:rPr>
          <w:sz w:val="20"/>
          <w:szCs w:val="20"/>
          <w:color w:val="auto"/>
        </w:rPr>
      </w:pPr>
      <w:r>
        <w:rPr>
          <w:rFonts w:ascii="Arial" w:cs="Arial" w:eastAsia="Arial" w:hAnsi="Arial"/>
          <w:sz w:val="20"/>
          <w:szCs w:val="20"/>
          <w:b w:val="1"/>
          <w:bCs w:val="1"/>
          <w:color w:val="auto"/>
        </w:rPr>
        <w:t>NEW LENDERS:</w:t>
      </w:r>
    </w:p>
    <w:p>
      <w:pPr>
        <w:spacing w:after="0" w:line="200" w:lineRule="exact"/>
        <w:rPr>
          <w:sz w:val="20"/>
          <w:szCs w:val="20"/>
          <w:color w:val="auto"/>
        </w:rPr>
      </w:pPr>
    </w:p>
    <w:p>
      <w:pPr>
        <w:spacing w:after="0" w:line="25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BMO HARRIS BANK N.A.</w:t>
      </w:r>
      <w:r>
        <w:rPr>
          <w:rFonts w:ascii="Arial" w:cs="Arial" w:eastAsia="Arial" w:hAnsi="Arial"/>
          <w:sz w:val="18"/>
          <w:szCs w:val="18"/>
          <w:color w:val="auto"/>
        </w:rPr>
        <w:t>, as a Revolver Lender and a Term Loan Lender</w:t>
      </w:r>
    </w:p>
    <w:p>
      <w:pPr>
        <w:spacing w:after="0" w:line="258"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Matthew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15709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 Matthew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2078990</wp:posOffset>
            </wp:positionH>
            <wp:positionV relativeFrom="paragraph">
              <wp:posOffset>-24765</wp:posOffset>
            </wp:positionV>
            <wp:extent cx="14522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5224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1980565</wp:posOffset>
            </wp:positionH>
            <wp:positionV relativeFrom="paragraph">
              <wp:posOffset>-24765</wp:posOffset>
            </wp:positionV>
            <wp:extent cx="9842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842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00"/>
        <w:spacing w:after="0"/>
        <w:rPr>
          <w:sz w:val="20"/>
          <w:szCs w:val="20"/>
          <w:color w:val="auto"/>
        </w:rPr>
      </w:pPr>
      <w:r>
        <w:rPr>
          <w:rFonts w:ascii="Arial" w:cs="Arial" w:eastAsia="Arial" w:hAnsi="Arial"/>
          <w:sz w:val="19"/>
          <w:szCs w:val="19"/>
          <w:i w:val="1"/>
          <w:iCs w:val="1"/>
          <w:color w:val="auto"/>
        </w:rPr>
        <w:t>Signature Page to Amendment Agreement</w:t>
      </w:r>
    </w:p>
    <w:p>
      <w:pPr>
        <w:sectPr>
          <w:pgSz w:w="11900" w:h="16838" w:orient="portrait"/>
          <w:cols w:equalWidth="0" w:num="1">
            <w:col w:w="9019"/>
          </w:cols>
          <w:pgMar w:left="1440" w:top="576" w:right="1440" w:bottom="1440" w:gutter="0" w:footer="0" w:header="0"/>
        </w:sectPr>
      </w:pPr>
    </w:p>
    <w:bookmarkStart w:id="53" w:name="page54"/>
    <w:bookmarkEnd w:id="53"/>
    <w:p>
      <w:pPr>
        <w:ind w:left="2700"/>
        <w:spacing w:after="0" w:line="267" w:lineRule="auto"/>
        <w:rPr>
          <w:sz w:val="20"/>
          <w:szCs w:val="20"/>
          <w:color w:val="auto"/>
        </w:rPr>
      </w:pPr>
      <w:r>
        <w:rPr>
          <w:rFonts w:ascii="Arial" w:cs="Arial" w:eastAsia="Arial" w:hAnsi="Arial"/>
          <w:sz w:val="20"/>
          <w:szCs w:val="20"/>
          <w:b w:val="1"/>
          <w:bCs w:val="1"/>
          <w:color w:val="auto"/>
        </w:rPr>
        <w:t>HSBC BANK USA, NATIONAL ASSOCIATION</w:t>
      </w:r>
      <w:r>
        <w:rPr>
          <w:rFonts w:ascii="Arial" w:cs="Arial" w:eastAsia="Arial" w:hAnsi="Arial"/>
          <w:sz w:val="20"/>
          <w:szCs w:val="20"/>
          <w:color w:val="auto"/>
        </w:rPr>
        <w:t>, as a Revolver Lender and Term Loan</w:t>
      </w:r>
      <w:r>
        <w:rPr>
          <w:rFonts w:ascii="Arial" w:cs="Arial" w:eastAsia="Arial" w:hAnsi="Arial"/>
          <w:sz w:val="20"/>
          <w:szCs w:val="20"/>
          <w:b w:val="1"/>
          <w:bCs w:val="1"/>
          <w:color w:val="auto"/>
        </w:rPr>
        <w:t xml:space="preserve"> </w:t>
      </w:r>
      <w:r>
        <w:rPr>
          <w:rFonts w:ascii="Arial" w:cs="Arial" w:eastAsia="Arial" w:hAnsi="Arial"/>
          <w:sz w:val="20"/>
          <w:szCs w:val="20"/>
          <w:color w:val="auto"/>
        </w:rPr>
        <w:t>Lender</w:t>
      </w:r>
    </w:p>
    <w:p>
      <w:pPr>
        <w:spacing w:after="0" w:line="18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James Bryski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13265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2651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 James Bryski</w:t>
      </w:r>
    </w:p>
    <w:p>
      <w:pPr>
        <w:ind w:left="270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900"/>
        <w:spacing w:after="0"/>
        <w:rPr>
          <w:sz w:val="20"/>
          <w:szCs w:val="20"/>
          <w:color w:val="auto"/>
        </w:rPr>
      </w:pPr>
      <w:r>
        <w:rPr>
          <w:rFonts w:ascii="Arial" w:cs="Arial" w:eastAsia="Arial" w:hAnsi="Arial"/>
          <w:sz w:val="20"/>
          <w:szCs w:val="20"/>
          <w:i w:val="1"/>
          <w:iCs w:val="1"/>
          <w:color w:val="auto"/>
        </w:rPr>
        <w:t>Signature Page to Amendment Agreement</w:t>
      </w:r>
    </w:p>
    <w:p>
      <w:pPr>
        <w:sectPr>
          <w:pgSz w:w="11900" w:h="16838" w:orient="portrait"/>
          <w:cols w:equalWidth="0" w:num="1">
            <w:col w:w="9920"/>
          </w:cols>
          <w:pgMar w:left="1440" w:top="576" w:right="539" w:bottom="1440" w:gutter="0" w:footer="0" w:header="0"/>
        </w:sectPr>
      </w:pPr>
    </w:p>
    <w:bookmarkStart w:id="54" w:name="page55"/>
    <w:bookmarkEnd w:id="54"/>
    <w:p>
      <w:pPr>
        <w:ind w:left="2700"/>
        <w:spacing w:after="0"/>
        <w:rPr>
          <w:sz w:val="20"/>
          <w:szCs w:val="20"/>
          <w:color w:val="auto"/>
        </w:rPr>
      </w:pPr>
      <w:r>
        <w:rPr>
          <w:rFonts w:ascii="Arial" w:cs="Arial" w:eastAsia="Arial" w:hAnsi="Arial"/>
          <w:sz w:val="20"/>
          <w:szCs w:val="20"/>
          <w:u w:val="single" w:color="auto"/>
          <w:color w:val="auto"/>
        </w:rPr>
        <w:t>GUARANTORS</w:t>
      </w:r>
      <w:r>
        <w:rPr>
          <w:rFonts w:ascii="Arial" w:cs="Arial" w:eastAsia="Arial" w:hAnsi="Arial"/>
          <w:sz w:val="20"/>
          <w:szCs w:val="20"/>
          <w:color w:val="auto"/>
        </w:rPr>
        <w:t>:</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Vail Resorts, Inc.</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All Media Associates, Inc.</w:t>
      </w:r>
    </w:p>
    <w:p>
      <w:pPr>
        <w:ind w:left="2700"/>
        <w:spacing w:after="0"/>
        <w:rPr>
          <w:sz w:val="20"/>
          <w:szCs w:val="20"/>
          <w:color w:val="auto"/>
        </w:rPr>
      </w:pPr>
      <w:r>
        <w:rPr>
          <w:rFonts w:ascii="Arial" w:cs="Arial" w:eastAsia="Arial" w:hAnsi="Arial"/>
          <w:sz w:val="20"/>
          <w:szCs w:val="20"/>
          <w:color w:val="auto"/>
        </w:rPr>
        <w:t>All Media Holdings, Inc.</w:t>
      </w:r>
    </w:p>
    <w:p>
      <w:pPr>
        <w:ind w:left="2700"/>
        <w:spacing w:after="0"/>
        <w:rPr>
          <w:sz w:val="20"/>
          <w:szCs w:val="20"/>
          <w:color w:val="auto"/>
        </w:rPr>
      </w:pPr>
      <w:r>
        <w:rPr>
          <w:rFonts w:ascii="Arial" w:cs="Arial" w:eastAsia="Arial" w:hAnsi="Arial"/>
          <w:sz w:val="20"/>
          <w:szCs w:val="20"/>
          <w:color w:val="auto"/>
        </w:rPr>
        <w:t>Arrabelle at Vail Square, LLC</w:t>
      </w:r>
    </w:p>
    <w:p>
      <w:pPr>
        <w:ind w:left="3340"/>
        <w:spacing w:after="0"/>
        <w:rPr>
          <w:sz w:val="20"/>
          <w:szCs w:val="20"/>
          <w:color w:val="auto"/>
        </w:rPr>
      </w:pPr>
      <w:r>
        <w:rPr>
          <w:rFonts w:ascii="Arial" w:cs="Arial" w:eastAsia="Arial" w:hAnsi="Arial"/>
          <w:sz w:val="20"/>
          <w:szCs w:val="20"/>
          <w:color w:val="auto"/>
        </w:rPr>
        <w:t>By: Vail Resorts Development Company</w:t>
      </w:r>
    </w:p>
    <w:p>
      <w:pPr>
        <w:ind w:left="2700"/>
        <w:spacing w:after="0"/>
        <w:rPr>
          <w:sz w:val="20"/>
          <w:szCs w:val="20"/>
          <w:color w:val="auto"/>
        </w:rPr>
      </w:pPr>
      <w:r>
        <w:rPr>
          <w:rFonts w:ascii="Arial" w:cs="Arial" w:eastAsia="Arial" w:hAnsi="Arial"/>
          <w:sz w:val="20"/>
          <w:szCs w:val="20"/>
          <w:color w:val="auto"/>
        </w:rPr>
        <w:t>Beaver Creek Associates, Inc.</w:t>
      </w:r>
    </w:p>
    <w:p>
      <w:pPr>
        <w:ind w:left="2700"/>
        <w:spacing w:after="0"/>
        <w:rPr>
          <w:sz w:val="20"/>
          <w:szCs w:val="20"/>
          <w:color w:val="auto"/>
        </w:rPr>
      </w:pPr>
      <w:r>
        <w:rPr>
          <w:rFonts w:ascii="Arial" w:cs="Arial" w:eastAsia="Arial" w:hAnsi="Arial"/>
          <w:sz w:val="20"/>
          <w:szCs w:val="20"/>
          <w:color w:val="auto"/>
        </w:rPr>
        <w:t>Beaver Creek Consultants, Inc.</w:t>
      </w:r>
    </w:p>
    <w:p>
      <w:pPr>
        <w:ind w:left="2700"/>
        <w:spacing w:after="0"/>
        <w:rPr>
          <w:sz w:val="20"/>
          <w:szCs w:val="20"/>
          <w:color w:val="auto"/>
        </w:rPr>
      </w:pPr>
      <w:r>
        <w:rPr>
          <w:rFonts w:ascii="Arial" w:cs="Arial" w:eastAsia="Arial" w:hAnsi="Arial"/>
          <w:sz w:val="20"/>
          <w:szCs w:val="20"/>
          <w:color w:val="auto"/>
        </w:rPr>
        <w:t>Beaver Creek Food Services, Inc.</w:t>
      </w:r>
    </w:p>
    <w:p>
      <w:pPr>
        <w:ind w:left="2700"/>
        <w:spacing w:after="0"/>
        <w:rPr>
          <w:sz w:val="20"/>
          <w:szCs w:val="20"/>
          <w:color w:val="auto"/>
        </w:rPr>
      </w:pPr>
      <w:r>
        <w:rPr>
          <w:rFonts w:ascii="Arial" w:cs="Arial" w:eastAsia="Arial" w:hAnsi="Arial"/>
          <w:sz w:val="20"/>
          <w:szCs w:val="20"/>
          <w:color w:val="auto"/>
        </w:rPr>
        <w:t>Booth Creek Ski Holdings, Inc.</w:t>
      </w:r>
    </w:p>
    <w:p>
      <w:pPr>
        <w:ind w:left="2700"/>
        <w:spacing w:after="0"/>
        <w:rPr>
          <w:sz w:val="20"/>
          <w:szCs w:val="20"/>
          <w:color w:val="auto"/>
        </w:rPr>
      </w:pPr>
      <w:r>
        <w:rPr>
          <w:rFonts w:ascii="Arial" w:cs="Arial" w:eastAsia="Arial" w:hAnsi="Arial"/>
          <w:sz w:val="20"/>
          <w:szCs w:val="20"/>
          <w:color w:val="auto"/>
        </w:rPr>
        <w:t>BCRP Inc.</w:t>
      </w:r>
    </w:p>
    <w:p>
      <w:pPr>
        <w:ind w:left="2700"/>
        <w:spacing w:after="0"/>
        <w:rPr>
          <w:sz w:val="20"/>
          <w:szCs w:val="20"/>
          <w:color w:val="auto"/>
        </w:rPr>
      </w:pPr>
      <w:r>
        <w:rPr>
          <w:rFonts w:ascii="Arial" w:cs="Arial" w:eastAsia="Arial" w:hAnsi="Arial"/>
          <w:sz w:val="20"/>
          <w:szCs w:val="20"/>
          <w:color w:val="auto"/>
        </w:rPr>
        <w:t>Breckenridge Resort Properties, Inc.</w:t>
      </w:r>
    </w:p>
    <w:p>
      <w:pPr>
        <w:ind w:left="2700"/>
        <w:spacing w:after="0"/>
        <w:rPr>
          <w:sz w:val="20"/>
          <w:szCs w:val="20"/>
          <w:color w:val="auto"/>
        </w:rPr>
      </w:pPr>
      <w:r>
        <w:rPr>
          <w:rFonts w:ascii="Arial" w:cs="Arial" w:eastAsia="Arial" w:hAnsi="Arial"/>
          <w:sz w:val="20"/>
          <w:szCs w:val="20"/>
          <w:color w:val="auto"/>
        </w:rPr>
        <w:t>Colorado Mountain Express, Inc.</w:t>
      </w:r>
    </w:p>
    <w:p>
      <w:pPr>
        <w:ind w:left="2700"/>
        <w:spacing w:after="0"/>
        <w:rPr>
          <w:sz w:val="20"/>
          <w:szCs w:val="20"/>
          <w:color w:val="auto"/>
        </w:rPr>
      </w:pPr>
      <w:r>
        <w:rPr>
          <w:rFonts w:ascii="Arial" w:cs="Arial" w:eastAsia="Arial" w:hAnsi="Arial"/>
          <w:sz w:val="20"/>
          <w:szCs w:val="20"/>
          <w:color w:val="auto"/>
        </w:rPr>
        <w:t>Colter Bay Café Court, LLC</w:t>
      </w:r>
    </w:p>
    <w:p>
      <w:pPr>
        <w:ind w:left="3340"/>
        <w:spacing w:after="0"/>
        <w:rPr>
          <w:sz w:val="20"/>
          <w:szCs w:val="20"/>
          <w:color w:val="auto"/>
        </w:rPr>
      </w:pPr>
      <w:r>
        <w:rPr>
          <w:rFonts w:ascii="Arial" w:cs="Arial" w:eastAsia="Arial" w:hAnsi="Arial"/>
          <w:sz w:val="20"/>
          <w:szCs w:val="20"/>
          <w:color w:val="auto"/>
        </w:rPr>
        <w:t>By: Grand Teton Lodge Company</w:t>
      </w:r>
    </w:p>
    <w:p>
      <w:pPr>
        <w:ind w:left="2700"/>
        <w:spacing w:after="0"/>
        <w:rPr>
          <w:sz w:val="20"/>
          <w:szCs w:val="20"/>
          <w:color w:val="auto"/>
        </w:rPr>
      </w:pPr>
      <w:r>
        <w:rPr>
          <w:rFonts w:ascii="Arial" w:cs="Arial" w:eastAsia="Arial" w:hAnsi="Arial"/>
          <w:sz w:val="20"/>
          <w:szCs w:val="20"/>
          <w:color w:val="auto"/>
        </w:rPr>
        <w:t>Colter Bay Convenience Store, LLC</w:t>
      </w:r>
    </w:p>
    <w:p>
      <w:pPr>
        <w:ind w:left="3340"/>
        <w:spacing w:after="0"/>
        <w:rPr>
          <w:sz w:val="20"/>
          <w:szCs w:val="20"/>
          <w:color w:val="auto"/>
        </w:rPr>
      </w:pPr>
      <w:r>
        <w:rPr>
          <w:rFonts w:ascii="Arial" w:cs="Arial" w:eastAsia="Arial" w:hAnsi="Arial"/>
          <w:sz w:val="20"/>
          <w:szCs w:val="20"/>
          <w:color w:val="auto"/>
        </w:rPr>
        <w:t>By: Grand Teton Lodge Company</w:t>
      </w:r>
    </w:p>
    <w:p>
      <w:pPr>
        <w:ind w:left="2700"/>
        <w:spacing w:after="0"/>
        <w:rPr>
          <w:sz w:val="20"/>
          <w:szCs w:val="20"/>
          <w:color w:val="auto"/>
        </w:rPr>
      </w:pPr>
      <w:r>
        <w:rPr>
          <w:rFonts w:ascii="Arial" w:cs="Arial" w:eastAsia="Arial" w:hAnsi="Arial"/>
          <w:sz w:val="20"/>
          <w:szCs w:val="20"/>
          <w:color w:val="auto"/>
        </w:rPr>
        <w:t>Colter Bay Corporation</w:t>
      </w:r>
    </w:p>
    <w:p>
      <w:pPr>
        <w:ind w:left="2700"/>
        <w:spacing w:after="0"/>
        <w:rPr>
          <w:sz w:val="20"/>
          <w:szCs w:val="20"/>
          <w:color w:val="auto"/>
        </w:rPr>
      </w:pPr>
      <w:r>
        <w:rPr>
          <w:rFonts w:ascii="Arial" w:cs="Arial" w:eastAsia="Arial" w:hAnsi="Arial"/>
          <w:sz w:val="20"/>
          <w:szCs w:val="20"/>
          <w:color w:val="auto"/>
        </w:rPr>
        <w:t>Colter Bay General Store, LLC</w:t>
      </w:r>
    </w:p>
    <w:p>
      <w:pPr>
        <w:ind w:left="3340"/>
        <w:spacing w:after="0"/>
        <w:rPr>
          <w:sz w:val="20"/>
          <w:szCs w:val="20"/>
          <w:color w:val="auto"/>
        </w:rPr>
      </w:pPr>
      <w:r>
        <w:rPr>
          <w:rFonts w:ascii="Arial" w:cs="Arial" w:eastAsia="Arial" w:hAnsi="Arial"/>
          <w:sz w:val="20"/>
          <w:szCs w:val="20"/>
          <w:color w:val="auto"/>
        </w:rPr>
        <w:t>By: Grand Teton Lodge Company</w:t>
      </w:r>
    </w:p>
    <w:p>
      <w:pPr>
        <w:ind w:left="2700"/>
        <w:spacing w:after="0"/>
        <w:rPr>
          <w:sz w:val="20"/>
          <w:szCs w:val="20"/>
          <w:color w:val="auto"/>
        </w:rPr>
      </w:pPr>
      <w:r>
        <w:rPr>
          <w:rFonts w:ascii="Arial" w:cs="Arial" w:eastAsia="Arial" w:hAnsi="Arial"/>
          <w:sz w:val="20"/>
          <w:szCs w:val="20"/>
          <w:color w:val="auto"/>
        </w:rPr>
        <w:t>Colter Bay Marina, LLC</w:t>
      </w:r>
    </w:p>
    <w:p>
      <w:pPr>
        <w:ind w:left="3340"/>
        <w:spacing w:after="0"/>
        <w:rPr>
          <w:sz w:val="20"/>
          <w:szCs w:val="20"/>
          <w:color w:val="auto"/>
        </w:rPr>
      </w:pPr>
      <w:r>
        <w:rPr>
          <w:rFonts w:ascii="Arial" w:cs="Arial" w:eastAsia="Arial" w:hAnsi="Arial"/>
          <w:sz w:val="20"/>
          <w:szCs w:val="20"/>
          <w:color w:val="auto"/>
        </w:rPr>
        <w:t>By: Grand Teton Lodge Company</w:t>
      </w:r>
    </w:p>
    <w:p>
      <w:pPr>
        <w:ind w:left="2700"/>
        <w:spacing w:after="0"/>
        <w:rPr>
          <w:sz w:val="20"/>
          <w:szCs w:val="20"/>
          <w:color w:val="auto"/>
        </w:rPr>
      </w:pPr>
      <w:r>
        <w:rPr>
          <w:rFonts w:ascii="Arial" w:cs="Arial" w:eastAsia="Arial" w:hAnsi="Arial"/>
          <w:sz w:val="20"/>
          <w:szCs w:val="20"/>
          <w:color w:val="auto"/>
        </w:rPr>
        <w:t>Crystal Peak Lodge of Breckenridge, Inc.</w:t>
      </w:r>
    </w:p>
    <w:p>
      <w:pPr>
        <w:ind w:left="2700"/>
        <w:spacing w:after="0"/>
        <w:rPr>
          <w:sz w:val="20"/>
          <w:szCs w:val="20"/>
          <w:color w:val="auto"/>
        </w:rPr>
      </w:pPr>
      <w:r>
        <w:rPr>
          <w:rFonts w:ascii="Arial" w:cs="Arial" w:eastAsia="Arial" w:hAnsi="Arial"/>
          <w:sz w:val="20"/>
          <w:szCs w:val="20"/>
          <w:color w:val="auto"/>
        </w:rPr>
        <w:t>DTPC, LLC</w:t>
      </w:r>
    </w:p>
    <w:p>
      <w:pPr>
        <w:ind w:left="3340"/>
        <w:spacing w:after="0"/>
        <w:rPr>
          <w:sz w:val="20"/>
          <w:szCs w:val="20"/>
          <w:color w:val="auto"/>
        </w:rPr>
      </w:pPr>
      <w:r>
        <w:rPr>
          <w:rFonts w:ascii="Arial" w:cs="Arial" w:eastAsia="Arial" w:hAnsi="Arial"/>
          <w:sz w:val="20"/>
          <w:szCs w:val="20"/>
          <w:color w:val="auto"/>
        </w:rPr>
        <w:t>By: Rockresorts International, LLC</w:t>
      </w:r>
    </w:p>
    <w:p>
      <w:pPr>
        <w:ind w:left="334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20"/>
          <w:szCs w:val="20"/>
          <w:color w:val="auto"/>
        </w:rPr>
        <w:t>EpicSki, Inc.</w:t>
      </w:r>
    </w:p>
    <w:p>
      <w:pPr>
        <w:ind w:left="2700"/>
        <w:spacing w:after="0"/>
        <w:rPr>
          <w:sz w:val="20"/>
          <w:szCs w:val="20"/>
          <w:color w:val="auto"/>
        </w:rPr>
      </w:pPr>
      <w:r>
        <w:rPr>
          <w:rFonts w:ascii="Arial" w:cs="Arial" w:eastAsia="Arial" w:hAnsi="Arial"/>
          <w:sz w:val="20"/>
          <w:szCs w:val="20"/>
          <w:color w:val="auto"/>
        </w:rPr>
        <w:t>Flagg Ranch Company</w:t>
      </w:r>
    </w:p>
    <w:p>
      <w:pPr>
        <w:ind w:left="2700"/>
        <w:spacing w:after="0"/>
        <w:rPr>
          <w:sz w:val="20"/>
          <w:szCs w:val="20"/>
          <w:color w:val="auto"/>
        </w:rPr>
      </w:pPr>
      <w:r>
        <w:rPr>
          <w:rFonts w:ascii="Arial" w:cs="Arial" w:eastAsia="Arial" w:hAnsi="Arial"/>
          <w:sz w:val="20"/>
          <w:szCs w:val="20"/>
          <w:color w:val="auto"/>
        </w:rPr>
        <w:t>Gillett Broadcasting, Inc.</w:t>
      </w:r>
    </w:p>
    <w:p>
      <w:pPr>
        <w:ind w:left="2700"/>
        <w:spacing w:after="0"/>
        <w:rPr>
          <w:sz w:val="20"/>
          <w:szCs w:val="20"/>
          <w:color w:val="auto"/>
        </w:rPr>
      </w:pPr>
      <w:r>
        <w:rPr>
          <w:rFonts w:ascii="Arial" w:cs="Arial" w:eastAsia="Arial" w:hAnsi="Arial"/>
          <w:sz w:val="20"/>
          <w:szCs w:val="20"/>
          <w:color w:val="auto"/>
        </w:rPr>
        <w:t>Grand Teton Lodge Company</w:t>
      </w:r>
    </w:p>
    <w:p>
      <w:pPr>
        <w:ind w:left="2700"/>
        <w:spacing w:after="0"/>
        <w:rPr>
          <w:sz w:val="20"/>
          <w:szCs w:val="20"/>
          <w:color w:val="auto"/>
        </w:rPr>
      </w:pPr>
      <w:r>
        <w:rPr>
          <w:rFonts w:ascii="Arial" w:cs="Arial" w:eastAsia="Arial" w:hAnsi="Arial"/>
          <w:sz w:val="20"/>
          <w:szCs w:val="20"/>
          <w:color w:val="auto"/>
        </w:rPr>
        <w:t>Heavenly Valley, Limited Partnership</w:t>
      </w:r>
    </w:p>
    <w:p>
      <w:pPr>
        <w:ind w:left="3340"/>
        <w:spacing w:after="0"/>
        <w:rPr>
          <w:sz w:val="20"/>
          <w:szCs w:val="20"/>
          <w:color w:val="auto"/>
        </w:rPr>
      </w:pPr>
      <w:r>
        <w:rPr>
          <w:rFonts w:ascii="Arial" w:cs="Arial" w:eastAsia="Arial" w:hAnsi="Arial"/>
          <w:sz w:val="20"/>
          <w:szCs w:val="20"/>
          <w:color w:val="auto"/>
        </w:rPr>
        <w:t>By: VR Heavenly I, Inc.</w:t>
      </w:r>
    </w:p>
    <w:p>
      <w:pPr>
        <w:ind w:left="2700"/>
        <w:spacing w:after="0"/>
        <w:rPr>
          <w:sz w:val="20"/>
          <w:szCs w:val="20"/>
          <w:color w:val="auto"/>
        </w:rPr>
      </w:pPr>
      <w:r>
        <w:rPr>
          <w:rFonts w:ascii="Arial" w:cs="Arial" w:eastAsia="Arial" w:hAnsi="Arial"/>
          <w:sz w:val="20"/>
          <w:szCs w:val="20"/>
          <w:color w:val="auto"/>
        </w:rPr>
        <w:t>HVLP Kirkwood Services, LLC</w:t>
      </w:r>
    </w:p>
    <w:p>
      <w:pPr>
        <w:ind w:left="3340"/>
        <w:spacing w:after="0"/>
        <w:rPr>
          <w:sz w:val="20"/>
          <w:szCs w:val="20"/>
          <w:color w:val="auto"/>
        </w:rPr>
      </w:pPr>
      <w:r>
        <w:rPr>
          <w:rFonts w:ascii="Arial" w:cs="Arial" w:eastAsia="Arial" w:hAnsi="Arial"/>
          <w:sz w:val="19"/>
          <w:szCs w:val="19"/>
          <w:color w:val="auto"/>
        </w:rPr>
        <w:t>By: Heavenly Valley, Limited Partnership</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VR Heavenly I, Inc.</w:t>
      </w:r>
    </w:p>
    <w:p>
      <w:pPr>
        <w:ind w:left="2700"/>
        <w:spacing w:after="0"/>
        <w:rPr>
          <w:sz w:val="20"/>
          <w:szCs w:val="20"/>
          <w:color w:val="auto"/>
        </w:rPr>
      </w:pPr>
      <w:r>
        <w:rPr>
          <w:rFonts w:ascii="Arial" w:cs="Arial" w:eastAsia="Arial" w:hAnsi="Arial"/>
          <w:sz w:val="20"/>
          <w:szCs w:val="20"/>
          <w:color w:val="auto"/>
        </w:rPr>
        <w:t>Jackson Hole Golf and Tennis Club, Inc.</w:t>
      </w:r>
    </w:p>
    <w:p>
      <w:pPr>
        <w:ind w:left="2700"/>
        <w:spacing w:after="0"/>
        <w:rPr>
          <w:sz w:val="20"/>
          <w:szCs w:val="20"/>
          <w:color w:val="auto"/>
        </w:rPr>
      </w:pPr>
      <w:r>
        <w:rPr>
          <w:rFonts w:ascii="Arial" w:cs="Arial" w:eastAsia="Arial" w:hAnsi="Arial"/>
          <w:sz w:val="18"/>
          <w:szCs w:val="18"/>
          <w:color w:val="auto"/>
        </w:rPr>
        <w:t>Jackson Hole Golf &amp; Tennis Club Snack Shack, LLC</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Grand Teton Lodge Company</w:t>
      </w:r>
    </w:p>
    <w:p>
      <w:pPr>
        <w:ind w:left="2700"/>
        <w:spacing w:after="0"/>
        <w:rPr>
          <w:sz w:val="20"/>
          <w:szCs w:val="20"/>
          <w:color w:val="auto"/>
        </w:rPr>
      </w:pPr>
      <w:r>
        <w:rPr>
          <w:rFonts w:ascii="Arial" w:cs="Arial" w:eastAsia="Arial" w:hAnsi="Arial"/>
          <w:sz w:val="20"/>
          <w:szCs w:val="20"/>
          <w:color w:val="auto"/>
        </w:rPr>
        <w:t>Jackson Lake Lodge Corporation</w:t>
      </w:r>
    </w:p>
    <w:p>
      <w:pPr>
        <w:ind w:left="2700"/>
        <w:spacing w:after="0"/>
        <w:rPr>
          <w:sz w:val="20"/>
          <w:szCs w:val="20"/>
          <w:color w:val="auto"/>
        </w:rPr>
      </w:pPr>
      <w:r>
        <w:rPr>
          <w:rFonts w:ascii="Arial" w:cs="Arial" w:eastAsia="Arial" w:hAnsi="Arial"/>
          <w:sz w:val="20"/>
          <w:szCs w:val="20"/>
          <w:color w:val="auto"/>
        </w:rPr>
        <w:t>Jenny Lake Lodge, Inc.</w:t>
      </w:r>
    </w:p>
    <w:p>
      <w:pPr>
        <w:ind w:left="2700"/>
        <w:spacing w:after="0"/>
        <w:rPr>
          <w:sz w:val="20"/>
          <w:szCs w:val="20"/>
          <w:color w:val="auto"/>
        </w:rPr>
      </w:pPr>
      <w:r>
        <w:rPr>
          <w:rFonts w:ascii="Arial" w:cs="Arial" w:eastAsia="Arial" w:hAnsi="Arial"/>
          <w:sz w:val="20"/>
          <w:szCs w:val="20"/>
          <w:color w:val="auto"/>
        </w:rPr>
        <w:t>Jenny Lake Store, LLC</w:t>
      </w:r>
    </w:p>
    <w:p>
      <w:pPr>
        <w:ind w:left="3340"/>
        <w:spacing w:after="0"/>
        <w:rPr>
          <w:sz w:val="20"/>
          <w:szCs w:val="20"/>
          <w:color w:val="auto"/>
        </w:rPr>
      </w:pPr>
      <w:r>
        <w:rPr>
          <w:rFonts w:ascii="Arial" w:cs="Arial" w:eastAsia="Arial" w:hAnsi="Arial"/>
          <w:sz w:val="20"/>
          <w:szCs w:val="20"/>
          <w:color w:val="auto"/>
        </w:rPr>
        <w:t>By: Grand Teton Lodge Company</w:t>
      </w:r>
    </w:p>
    <w:p>
      <w:pPr>
        <w:ind w:left="2700"/>
        <w:spacing w:after="0"/>
        <w:rPr>
          <w:sz w:val="20"/>
          <w:szCs w:val="20"/>
          <w:color w:val="auto"/>
        </w:rPr>
      </w:pPr>
      <w:r>
        <w:rPr>
          <w:rFonts w:ascii="Arial" w:cs="Arial" w:eastAsia="Arial" w:hAnsi="Arial"/>
          <w:sz w:val="20"/>
          <w:szCs w:val="20"/>
          <w:color w:val="auto"/>
        </w:rPr>
        <w:t>JHL&amp;S LLC</w:t>
      </w:r>
    </w:p>
    <w:p>
      <w:pPr>
        <w:ind w:left="3340"/>
        <w:spacing w:after="0"/>
        <w:rPr>
          <w:sz w:val="20"/>
          <w:szCs w:val="20"/>
          <w:color w:val="auto"/>
        </w:rPr>
      </w:pPr>
      <w:r>
        <w:rPr>
          <w:rFonts w:ascii="Arial" w:cs="Arial" w:eastAsia="Arial" w:hAnsi="Arial"/>
          <w:sz w:val="20"/>
          <w:szCs w:val="20"/>
          <w:color w:val="auto"/>
        </w:rPr>
        <w:t>By: Teton Hospitality Services, Inc.</w:t>
      </w:r>
    </w:p>
    <w:p>
      <w:pPr>
        <w:ind w:left="2700"/>
        <w:spacing w:after="0"/>
        <w:rPr>
          <w:sz w:val="20"/>
          <w:szCs w:val="20"/>
          <w:color w:val="auto"/>
        </w:rPr>
      </w:pPr>
      <w:r>
        <w:rPr>
          <w:rFonts w:ascii="Arial" w:cs="Arial" w:eastAsia="Arial" w:hAnsi="Arial"/>
          <w:sz w:val="20"/>
          <w:szCs w:val="20"/>
          <w:color w:val="auto"/>
        </w:rPr>
        <w:t>Keystone Conference Services, Inc.</w:t>
      </w:r>
    </w:p>
    <w:p>
      <w:pPr>
        <w:ind w:left="2700"/>
        <w:spacing w:after="0"/>
        <w:rPr>
          <w:sz w:val="20"/>
          <w:szCs w:val="20"/>
          <w:color w:val="auto"/>
        </w:rPr>
      </w:pPr>
      <w:r>
        <w:rPr>
          <w:rFonts w:ascii="Arial" w:cs="Arial" w:eastAsia="Arial" w:hAnsi="Arial"/>
          <w:sz w:val="20"/>
          <w:szCs w:val="20"/>
          <w:color w:val="auto"/>
        </w:rPr>
        <w:t>Keystone Development Sales, Inc.</w:t>
      </w:r>
    </w:p>
    <w:p>
      <w:pPr>
        <w:ind w:left="2700"/>
        <w:spacing w:after="0"/>
        <w:rPr>
          <w:sz w:val="20"/>
          <w:szCs w:val="20"/>
          <w:color w:val="auto"/>
        </w:rPr>
      </w:pPr>
      <w:r>
        <w:rPr>
          <w:rFonts w:ascii="Arial" w:cs="Arial" w:eastAsia="Arial" w:hAnsi="Arial"/>
          <w:sz w:val="20"/>
          <w:szCs w:val="20"/>
          <w:color w:val="auto"/>
        </w:rPr>
        <w:t>Keystone Food &amp; Beverage Company</w:t>
      </w:r>
    </w:p>
    <w:p>
      <w:pPr>
        <w:ind w:left="2700"/>
        <w:spacing w:after="0"/>
        <w:rPr>
          <w:sz w:val="20"/>
          <w:szCs w:val="20"/>
          <w:color w:val="auto"/>
        </w:rPr>
      </w:pPr>
      <w:r>
        <w:rPr>
          <w:rFonts w:ascii="Arial" w:cs="Arial" w:eastAsia="Arial" w:hAnsi="Arial"/>
          <w:sz w:val="19"/>
          <w:szCs w:val="19"/>
          <w:color w:val="auto"/>
        </w:rPr>
        <w:t>Keystone Resort Property Management Company</w:t>
      </w: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Amendment Agreement</w:t>
      </w:r>
    </w:p>
    <w:p>
      <w:pPr>
        <w:sectPr>
          <w:pgSz w:w="11900" w:h="16838" w:orient="portrait"/>
          <w:cols w:equalWidth="0" w:num="1">
            <w:col w:w="9019"/>
          </w:cols>
          <w:pgMar w:left="1440" w:top="582" w:right="1440" w:bottom="1440" w:gutter="0" w:footer="0" w:header="0"/>
        </w:sectPr>
      </w:pPr>
    </w:p>
    <w:bookmarkStart w:id="55" w:name="page56"/>
    <w:bookmarkEnd w:id="55"/>
    <w:p>
      <w:pPr>
        <w:ind w:left="2700"/>
        <w:spacing w:after="0"/>
        <w:rPr>
          <w:sz w:val="20"/>
          <w:szCs w:val="20"/>
          <w:color w:val="auto"/>
        </w:rPr>
      </w:pPr>
      <w:r>
        <w:rPr>
          <w:rFonts w:ascii="Arial" w:cs="Arial" w:eastAsia="Arial" w:hAnsi="Arial"/>
          <w:sz w:val="20"/>
          <w:szCs w:val="20"/>
          <w:color w:val="auto"/>
        </w:rPr>
        <w:t>Keystone Ranch Water Company</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Lake Tahoe Lodging Company</w:t>
      </w:r>
    </w:p>
    <w:p>
      <w:pPr>
        <w:ind w:left="2700"/>
        <w:spacing w:after="0"/>
        <w:rPr>
          <w:sz w:val="20"/>
          <w:szCs w:val="20"/>
          <w:color w:val="auto"/>
        </w:rPr>
      </w:pPr>
      <w:r>
        <w:rPr>
          <w:rFonts w:ascii="Arial" w:cs="Arial" w:eastAsia="Arial" w:hAnsi="Arial"/>
          <w:sz w:val="20"/>
          <w:szCs w:val="20"/>
          <w:color w:val="auto"/>
        </w:rPr>
        <w:t>Lodge Properties Inc.</w:t>
      </w:r>
    </w:p>
    <w:p>
      <w:pPr>
        <w:ind w:left="2700"/>
        <w:spacing w:after="0"/>
        <w:rPr>
          <w:sz w:val="20"/>
          <w:szCs w:val="20"/>
          <w:color w:val="auto"/>
        </w:rPr>
      </w:pPr>
      <w:r>
        <w:rPr>
          <w:rFonts w:ascii="Arial" w:cs="Arial" w:eastAsia="Arial" w:hAnsi="Arial"/>
          <w:sz w:val="20"/>
          <w:szCs w:val="20"/>
          <w:color w:val="auto"/>
        </w:rPr>
        <w:t>Lodge Realty, Inc.</w:t>
      </w:r>
    </w:p>
    <w:p>
      <w:pPr>
        <w:ind w:left="2700"/>
        <w:spacing w:after="0"/>
        <w:rPr>
          <w:sz w:val="20"/>
          <w:szCs w:val="20"/>
          <w:color w:val="auto"/>
        </w:rPr>
      </w:pPr>
      <w:r>
        <w:rPr>
          <w:rFonts w:ascii="Arial" w:cs="Arial" w:eastAsia="Arial" w:hAnsi="Arial"/>
          <w:sz w:val="20"/>
          <w:szCs w:val="20"/>
          <w:color w:val="auto"/>
        </w:rPr>
        <w:t>La Posada Beverage Service, LLC</w:t>
      </w:r>
    </w:p>
    <w:p>
      <w:pPr>
        <w:ind w:left="3340"/>
        <w:spacing w:after="0"/>
        <w:rPr>
          <w:sz w:val="20"/>
          <w:szCs w:val="20"/>
          <w:color w:val="auto"/>
        </w:rPr>
      </w:pPr>
      <w:r>
        <w:rPr>
          <w:rFonts w:ascii="Arial" w:cs="Arial" w:eastAsia="Arial" w:hAnsi="Arial"/>
          <w:sz w:val="20"/>
          <w:szCs w:val="20"/>
          <w:color w:val="auto"/>
        </w:rPr>
        <w:t>By: Rockresorts International, LLC</w:t>
      </w:r>
    </w:p>
    <w:p>
      <w:pPr>
        <w:ind w:left="334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20"/>
          <w:szCs w:val="20"/>
          <w:color w:val="auto"/>
        </w:rPr>
        <w:t>National Park Hospitality Company</w:t>
      </w:r>
    </w:p>
    <w:p>
      <w:pPr>
        <w:ind w:left="2700"/>
        <w:spacing w:after="0"/>
        <w:rPr>
          <w:sz w:val="20"/>
          <w:szCs w:val="20"/>
          <w:color w:val="auto"/>
        </w:rPr>
      </w:pPr>
      <w:r>
        <w:rPr>
          <w:rFonts w:ascii="Arial" w:cs="Arial" w:eastAsia="Arial" w:hAnsi="Arial"/>
          <w:sz w:val="19"/>
          <w:szCs w:val="19"/>
          <w:color w:val="auto"/>
        </w:rPr>
        <w:t>Northstar Group Commercial Properties LLC</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VR Acquisition, Inc.</w:t>
      </w:r>
    </w:p>
    <w:p>
      <w:pPr>
        <w:ind w:left="2700"/>
        <w:spacing w:after="0"/>
        <w:rPr>
          <w:sz w:val="20"/>
          <w:szCs w:val="20"/>
          <w:color w:val="auto"/>
        </w:rPr>
      </w:pPr>
      <w:r>
        <w:rPr>
          <w:rFonts w:ascii="Arial" w:cs="Arial" w:eastAsia="Arial" w:hAnsi="Arial"/>
          <w:sz w:val="19"/>
          <w:szCs w:val="19"/>
          <w:color w:val="auto"/>
        </w:rPr>
        <w:t>Northstar Group Restaurant Properties, LLC</w:t>
      </w:r>
    </w:p>
    <w:p>
      <w:pPr>
        <w:spacing w:after="0" w:line="11"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VR Acquisition, Inc.</w:t>
      </w:r>
    </w:p>
    <w:p>
      <w:pPr>
        <w:ind w:left="2700"/>
        <w:spacing w:after="0"/>
        <w:rPr>
          <w:sz w:val="20"/>
          <w:szCs w:val="20"/>
          <w:color w:val="auto"/>
        </w:rPr>
      </w:pPr>
      <w:r>
        <w:rPr>
          <w:rFonts w:ascii="Arial" w:cs="Arial" w:eastAsia="Arial" w:hAnsi="Arial"/>
          <w:sz w:val="20"/>
          <w:szCs w:val="20"/>
          <w:color w:val="auto"/>
        </w:rPr>
        <w:t>One Ski Hill Place, LLC</w:t>
      </w:r>
    </w:p>
    <w:p>
      <w:pPr>
        <w:ind w:left="3340"/>
        <w:spacing w:after="0"/>
        <w:rPr>
          <w:sz w:val="20"/>
          <w:szCs w:val="20"/>
          <w:color w:val="auto"/>
        </w:rPr>
      </w:pPr>
      <w:r>
        <w:rPr>
          <w:rFonts w:ascii="Arial" w:cs="Arial" w:eastAsia="Arial" w:hAnsi="Arial"/>
          <w:sz w:val="18"/>
          <w:szCs w:val="18"/>
          <w:color w:val="auto"/>
        </w:rPr>
        <w:t>By: Vail Resorts Development Company</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Property Management Acquisition Corp., Inc.</w:t>
      </w:r>
    </w:p>
    <w:p>
      <w:pPr>
        <w:spacing w:after="0" w:line="11"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RCR Vail, LLC</w:t>
      </w:r>
    </w:p>
    <w:p>
      <w:pPr>
        <w:ind w:left="3340"/>
        <w:spacing w:after="0"/>
        <w:rPr>
          <w:sz w:val="20"/>
          <w:szCs w:val="20"/>
          <w:color w:val="auto"/>
        </w:rPr>
      </w:pPr>
      <w:r>
        <w:rPr>
          <w:rFonts w:ascii="Arial" w:cs="Arial" w:eastAsia="Arial" w:hAnsi="Arial"/>
          <w:sz w:val="18"/>
          <w:szCs w:val="18"/>
          <w:color w:val="auto"/>
        </w:rPr>
        <w:t>By: Vail Resorts Development Company</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Rockresorts Arrabelle, LLC</w:t>
      </w:r>
    </w:p>
    <w:p>
      <w:pPr>
        <w:ind w:left="3340"/>
        <w:spacing w:after="0"/>
        <w:rPr>
          <w:sz w:val="20"/>
          <w:szCs w:val="20"/>
          <w:color w:val="auto"/>
        </w:rPr>
      </w:pPr>
      <w:r>
        <w:rPr>
          <w:rFonts w:ascii="Arial" w:cs="Arial" w:eastAsia="Arial" w:hAnsi="Arial"/>
          <w:sz w:val="20"/>
          <w:szCs w:val="20"/>
          <w:color w:val="auto"/>
        </w:rPr>
        <w:t>By: Rockresorts International, LLC</w:t>
      </w:r>
    </w:p>
    <w:p>
      <w:pPr>
        <w:ind w:left="334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19"/>
          <w:szCs w:val="19"/>
          <w:color w:val="auto"/>
        </w:rPr>
        <w:t>Rockresorts Cordillera Lodge Company, LLC</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Rockresorts International, LLC</w:t>
      </w:r>
    </w:p>
    <w:p>
      <w:pPr>
        <w:ind w:left="334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20"/>
          <w:szCs w:val="20"/>
          <w:color w:val="auto"/>
        </w:rPr>
        <w:t>Rockresorts DR, LLC</w:t>
      </w:r>
    </w:p>
    <w:p>
      <w:pPr>
        <w:ind w:left="3340"/>
        <w:spacing w:after="0"/>
        <w:rPr>
          <w:sz w:val="20"/>
          <w:szCs w:val="20"/>
          <w:color w:val="auto"/>
        </w:rPr>
      </w:pPr>
      <w:r>
        <w:rPr>
          <w:rFonts w:ascii="Arial" w:cs="Arial" w:eastAsia="Arial" w:hAnsi="Arial"/>
          <w:sz w:val="20"/>
          <w:szCs w:val="20"/>
          <w:color w:val="auto"/>
        </w:rPr>
        <w:t>By: Rockresorts International, LLC</w:t>
      </w:r>
    </w:p>
    <w:p>
      <w:pPr>
        <w:ind w:left="334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20"/>
          <w:szCs w:val="20"/>
          <w:color w:val="auto"/>
        </w:rPr>
        <w:t>Rockresorts Equinox, Inc.</w:t>
      </w:r>
    </w:p>
    <w:p>
      <w:pPr>
        <w:ind w:left="2700"/>
        <w:spacing w:after="0"/>
        <w:rPr>
          <w:sz w:val="20"/>
          <w:szCs w:val="20"/>
          <w:color w:val="auto"/>
        </w:rPr>
      </w:pPr>
      <w:r>
        <w:rPr>
          <w:rFonts w:ascii="Arial" w:cs="Arial" w:eastAsia="Arial" w:hAnsi="Arial"/>
          <w:sz w:val="20"/>
          <w:szCs w:val="20"/>
          <w:color w:val="auto"/>
        </w:rPr>
        <w:t>Rockresorts Hotel Jerome, LLC</w:t>
      </w:r>
    </w:p>
    <w:p>
      <w:pPr>
        <w:ind w:left="3340"/>
        <w:spacing w:after="0"/>
        <w:rPr>
          <w:sz w:val="20"/>
          <w:szCs w:val="20"/>
          <w:color w:val="auto"/>
        </w:rPr>
      </w:pPr>
      <w:r>
        <w:rPr>
          <w:rFonts w:ascii="Arial" w:cs="Arial" w:eastAsia="Arial" w:hAnsi="Arial"/>
          <w:sz w:val="20"/>
          <w:szCs w:val="20"/>
          <w:color w:val="auto"/>
        </w:rPr>
        <w:t>By: Rockresorts International, LLC</w:t>
      </w:r>
    </w:p>
    <w:p>
      <w:pPr>
        <w:ind w:left="334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20"/>
          <w:szCs w:val="20"/>
          <w:color w:val="auto"/>
        </w:rPr>
        <w:t>Rockresorts International, LLC</w:t>
      </w:r>
    </w:p>
    <w:p>
      <w:pPr>
        <w:ind w:left="334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20"/>
          <w:szCs w:val="20"/>
          <w:color w:val="auto"/>
        </w:rPr>
        <w:t>Rockresorts, LLC</w:t>
      </w:r>
    </w:p>
    <w:p>
      <w:pPr>
        <w:ind w:left="3340"/>
        <w:spacing w:after="0"/>
        <w:rPr>
          <w:sz w:val="20"/>
          <w:szCs w:val="20"/>
          <w:color w:val="auto"/>
        </w:rPr>
      </w:pPr>
      <w:r>
        <w:rPr>
          <w:rFonts w:ascii="Arial" w:cs="Arial" w:eastAsia="Arial" w:hAnsi="Arial"/>
          <w:sz w:val="20"/>
          <w:szCs w:val="20"/>
          <w:color w:val="auto"/>
        </w:rPr>
        <w:t>By: Rockresorts International, LLC</w:t>
      </w:r>
    </w:p>
    <w:p>
      <w:pPr>
        <w:ind w:left="334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16"/>
          <w:szCs w:val="16"/>
          <w:color w:val="auto"/>
        </w:rPr>
        <w:t>Rockresorts International Management Company</w:t>
      </w:r>
    </w:p>
    <w:p>
      <w:pPr>
        <w:spacing w:after="0" w:line="4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Rockresorts International, LLC</w:t>
      </w:r>
    </w:p>
    <w:p>
      <w:pPr>
        <w:ind w:left="334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20"/>
          <w:szCs w:val="20"/>
          <w:color w:val="auto"/>
        </w:rPr>
        <w:t>Rockresorts Ski Tip, LLC</w:t>
      </w:r>
    </w:p>
    <w:p>
      <w:pPr>
        <w:ind w:left="3340"/>
        <w:spacing w:after="0"/>
        <w:rPr>
          <w:sz w:val="20"/>
          <w:szCs w:val="20"/>
          <w:color w:val="auto"/>
        </w:rPr>
      </w:pPr>
      <w:r>
        <w:rPr>
          <w:rFonts w:ascii="Arial" w:cs="Arial" w:eastAsia="Arial" w:hAnsi="Arial"/>
          <w:sz w:val="20"/>
          <w:szCs w:val="20"/>
          <w:color w:val="auto"/>
        </w:rPr>
        <w:t>By: Rockresorts International, LLC</w:t>
      </w:r>
    </w:p>
    <w:p>
      <w:pPr>
        <w:ind w:left="334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20"/>
          <w:szCs w:val="20"/>
          <w:color w:val="auto"/>
        </w:rPr>
        <w:t>Rockresorts Wyoming, LLC</w:t>
      </w:r>
    </w:p>
    <w:p>
      <w:pPr>
        <w:ind w:left="3340"/>
        <w:spacing w:after="0"/>
        <w:rPr>
          <w:sz w:val="20"/>
          <w:szCs w:val="20"/>
          <w:color w:val="auto"/>
        </w:rPr>
      </w:pPr>
      <w:r>
        <w:rPr>
          <w:rFonts w:ascii="Arial" w:cs="Arial" w:eastAsia="Arial" w:hAnsi="Arial"/>
          <w:sz w:val="20"/>
          <w:szCs w:val="20"/>
          <w:color w:val="auto"/>
        </w:rPr>
        <w:t>By: Rockresorts International, LLC</w:t>
      </w:r>
    </w:p>
    <w:p>
      <w:pPr>
        <w:ind w:left="334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20"/>
          <w:szCs w:val="20"/>
          <w:color w:val="auto"/>
        </w:rPr>
        <w:t>Soho Development, LLC</w:t>
      </w:r>
    </w:p>
    <w:p>
      <w:pPr>
        <w:ind w:left="3340"/>
        <w:spacing w:after="0"/>
        <w:rPr>
          <w:sz w:val="20"/>
          <w:szCs w:val="20"/>
          <w:color w:val="auto"/>
        </w:rPr>
      </w:pPr>
      <w:r>
        <w:rPr>
          <w:rFonts w:ascii="Arial" w:cs="Arial" w:eastAsia="Arial" w:hAnsi="Arial"/>
          <w:sz w:val="20"/>
          <w:szCs w:val="20"/>
          <w:color w:val="auto"/>
        </w:rPr>
        <w:t>By: Vail Associates Holdings, Ltd.</w:t>
      </w:r>
    </w:p>
    <w:p>
      <w:pPr>
        <w:ind w:left="2700"/>
        <w:spacing w:after="0"/>
        <w:rPr>
          <w:sz w:val="20"/>
          <w:szCs w:val="20"/>
          <w:color w:val="auto"/>
        </w:rPr>
      </w:pPr>
      <w:r>
        <w:rPr>
          <w:rFonts w:ascii="Arial" w:cs="Arial" w:eastAsia="Arial" w:hAnsi="Arial"/>
          <w:sz w:val="20"/>
          <w:szCs w:val="20"/>
          <w:color w:val="auto"/>
        </w:rPr>
        <w:t>SSI Venture LLC</w:t>
      </w:r>
    </w:p>
    <w:p>
      <w:pPr>
        <w:ind w:left="3340"/>
        <w:spacing w:after="0"/>
        <w:rPr>
          <w:sz w:val="20"/>
          <w:szCs w:val="20"/>
          <w:color w:val="auto"/>
        </w:rPr>
      </w:pPr>
      <w:r>
        <w:rPr>
          <w:rFonts w:ascii="Arial" w:cs="Arial" w:eastAsia="Arial" w:hAnsi="Arial"/>
          <w:sz w:val="20"/>
          <w:szCs w:val="20"/>
          <w:color w:val="auto"/>
        </w:rPr>
        <w:t>By: SSV Holdings, Inc.</w:t>
      </w:r>
    </w:p>
    <w:p>
      <w:pPr>
        <w:ind w:left="2700"/>
        <w:spacing w:after="0"/>
        <w:rPr>
          <w:sz w:val="20"/>
          <w:szCs w:val="20"/>
          <w:color w:val="auto"/>
        </w:rPr>
      </w:pPr>
      <w:r>
        <w:rPr>
          <w:rFonts w:ascii="Arial" w:cs="Arial" w:eastAsia="Arial" w:hAnsi="Arial"/>
          <w:sz w:val="20"/>
          <w:szCs w:val="20"/>
          <w:color w:val="auto"/>
        </w:rPr>
        <w:t>SSV Online Holdings, Inc.</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Amendment Agreement</w:t>
      </w:r>
    </w:p>
    <w:p>
      <w:pPr>
        <w:sectPr>
          <w:pgSz w:w="11900" w:h="16838" w:orient="portrait"/>
          <w:cols w:equalWidth="0" w:num="1">
            <w:col w:w="9019"/>
          </w:cols>
          <w:pgMar w:left="1440" w:top="582" w:right="1440" w:bottom="1440" w:gutter="0" w:footer="0" w:header="0"/>
        </w:sectPr>
      </w:pPr>
    </w:p>
    <w:bookmarkStart w:id="56" w:name="page57"/>
    <w:bookmarkEnd w:id="56"/>
    <w:p>
      <w:pPr>
        <w:ind w:left="2700"/>
        <w:spacing w:after="0"/>
        <w:rPr>
          <w:sz w:val="20"/>
          <w:szCs w:val="20"/>
          <w:color w:val="auto"/>
        </w:rPr>
      </w:pPr>
      <w:r>
        <w:rPr>
          <w:rFonts w:ascii="Arial" w:cs="Arial" w:eastAsia="Arial" w:hAnsi="Arial"/>
          <w:sz w:val="20"/>
          <w:szCs w:val="20"/>
          <w:color w:val="auto"/>
        </w:rPr>
        <w:t>SSV Online LLC</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SSV Holdings, Inc.</w:t>
      </w:r>
    </w:p>
    <w:p>
      <w:pPr>
        <w:ind w:left="2700"/>
        <w:spacing w:after="0"/>
        <w:rPr>
          <w:sz w:val="20"/>
          <w:szCs w:val="20"/>
          <w:color w:val="auto"/>
        </w:rPr>
      </w:pPr>
      <w:r>
        <w:rPr>
          <w:rFonts w:ascii="Arial" w:cs="Arial" w:eastAsia="Arial" w:hAnsi="Arial"/>
          <w:sz w:val="20"/>
          <w:szCs w:val="20"/>
          <w:color w:val="auto"/>
        </w:rPr>
        <w:t>SSV Holdings, Inc.</w:t>
      </w:r>
    </w:p>
    <w:p>
      <w:pPr>
        <w:ind w:left="2700"/>
        <w:spacing w:after="0"/>
        <w:rPr>
          <w:sz w:val="20"/>
          <w:szCs w:val="20"/>
          <w:color w:val="auto"/>
        </w:rPr>
      </w:pPr>
      <w:r>
        <w:rPr>
          <w:rFonts w:ascii="Arial" w:cs="Arial" w:eastAsia="Arial" w:hAnsi="Arial"/>
          <w:sz w:val="20"/>
          <w:szCs w:val="20"/>
          <w:color w:val="auto"/>
        </w:rPr>
        <w:t>Stampede Canteen, LLC</w:t>
      </w:r>
    </w:p>
    <w:p>
      <w:pPr>
        <w:ind w:left="3340"/>
        <w:spacing w:after="0"/>
        <w:rPr>
          <w:sz w:val="20"/>
          <w:szCs w:val="20"/>
          <w:color w:val="auto"/>
        </w:rPr>
      </w:pPr>
      <w:r>
        <w:rPr>
          <w:rFonts w:ascii="Arial" w:cs="Arial" w:eastAsia="Arial" w:hAnsi="Arial"/>
          <w:sz w:val="20"/>
          <w:szCs w:val="20"/>
          <w:color w:val="auto"/>
        </w:rPr>
        <w:t>By: Grand Teton Lodge Company</w:t>
      </w:r>
    </w:p>
    <w:p>
      <w:pPr>
        <w:ind w:left="2700"/>
        <w:spacing w:after="0"/>
        <w:rPr>
          <w:sz w:val="20"/>
          <w:szCs w:val="20"/>
          <w:color w:val="auto"/>
        </w:rPr>
      </w:pPr>
      <w:r>
        <w:rPr>
          <w:rFonts w:ascii="Arial" w:cs="Arial" w:eastAsia="Arial" w:hAnsi="Arial"/>
          <w:sz w:val="20"/>
          <w:szCs w:val="20"/>
          <w:color w:val="auto"/>
        </w:rPr>
        <w:t>Teton Hospitality Services, Inc.</w:t>
      </w:r>
    </w:p>
    <w:p>
      <w:pPr>
        <w:ind w:left="2700"/>
        <w:spacing w:after="0"/>
        <w:rPr>
          <w:sz w:val="20"/>
          <w:szCs w:val="20"/>
          <w:color w:val="auto"/>
        </w:rPr>
      </w:pPr>
      <w:r>
        <w:rPr>
          <w:rFonts w:ascii="Arial" w:cs="Arial" w:eastAsia="Arial" w:hAnsi="Arial"/>
          <w:sz w:val="20"/>
          <w:szCs w:val="20"/>
          <w:color w:val="auto"/>
        </w:rPr>
        <w:t>The Chalets at the Lodge at Vail, LLC</w:t>
      </w:r>
    </w:p>
    <w:p>
      <w:pPr>
        <w:ind w:left="3340"/>
        <w:spacing w:after="0"/>
        <w:rPr>
          <w:sz w:val="20"/>
          <w:szCs w:val="20"/>
          <w:color w:val="auto"/>
        </w:rPr>
      </w:pPr>
      <w:r>
        <w:rPr>
          <w:rFonts w:ascii="Arial" w:cs="Arial" w:eastAsia="Arial" w:hAnsi="Arial"/>
          <w:sz w:val="20"/>
          <w:szCs w:val="20"/>
          <w:color w:val="auto"/>
        </w:rPr>
        <w:t>By: Vail Resorts Development Company</w:t>
      </w:r>
    </w:p>
    <w:p>
      <w:pPr>
        <w:ind w:left="2700"/>
        <w:spacing w:after="0"/>
        <w:rPr>
          <w:sz w:val="20"/>
          <w:szCs w:val="20"/>
          <w:color w:val="auto"/>
        </w:rPr>
      </w:pPr>
      <w:r>
        <w:rPr>
          <w:rFonts w:ascii="Arial" w:cs="Arial" w:eastAsia="Arial" w:hAnsi="Arial"/>
          <w:sz w:val="20"/>
          <w:szCs w:val="20"/>
          <w:color w:val="auto"/>
        </w:rPr>
        <w:t>The Village at Breckenridge Acquisition Corp., Inc.</w:t>
      </w:r>
    </w:p>
    <w:p>
      <w:pPr>
        <w:ind w:left="2700"/>
        <w:spacing w:after="0"/>
        <w:rPr>
          <w:sz w:val="20"/>
          <w:szCs w:val="20"/>
          <w:color w:val="auto"/>
        </w:rPr>
      </w:pPr>
      <w:r>
        <w:rPr>
          <w:rFonts w:ascii="Arial" w:cs="Arial" w:eastAsia="Arial" w:hAnsi="Arial"/>
          <w:sz w:val="20"/>
          <w:szCs w:val="20"/>
          <w:color w:val="auto"/>
        </w:rPr>
        <w:t>Trimont Land Company</w:t>
      </w:r>
    </w:p>
    <w:p>
      <w:pPr>
        <w:ind w:left="2700"/>
        <w:spacing w:after="0"/>
        <w:rPr>
          <w:sz w:val="20"/>
          <w:szCs w:val="20"/>
          <w:color w:val="auto"/>
        </w:rPr>
      </w:pPr>
      <w:r>
        <w:rPr>
          <w:rFonts w:ascii="Arial" w:cs="Arial" w:eastAsia="Arial" w:hAnsi="Arial"/>
          <w:sz w:val="20"/>
          <w:szCs w:val="20"/>
          <w:color w:val="auto"/>
        </w:rPr>
        <w:t>VA Rancho Mirage I, Inc.</w:t>
      </w:r>
    </w:p>
    <w:p>
      <w:pPr>
        <w:ind w:left="2700"/>
        <w:spacing w:after="0"/>
        <w:rPr>
          <w:sz w:val="20"/>
          <w:szCs w:val="20"/>
          <w:color w:val="auto"/>
        </w:rPr>
      </w:pPr>
      <w:r>
        <w:rPr>
          <w:rFonts w:ascii="Arial" w:cs="Arial" w:eastAsia="Arial" w:hAnsi="Arial"/>
          <w:sz w:val="20"/>
          <w:szCs w:val="20"/>
          <w:color w:val="auto"/>
        </w:rPr>
        <w:t>VA Rancho Mirage II, Inc.</w:t>
      </w:r>
    </w:p>
    <w:p>
      <w:pPr>
        <w:ind w:left="2700"/>
        <w:spacing w:after="0"/>
        <w:rPr>
          <w:sz w:val="20"/>
          <w:szCs w:val="20"/>
          <w:color w:val="auto"/>
        </w:rPr>
      </w:pPr>
      <w:r>
        <w:rPr>
          <w:rFonts w:ascii="Arial" w:cs="Arial" w:eastAsia="Arial" w:hAnsi="Arial"/>
          <w:sz w:val="20"/>
          <w:szCs w:val="20"/>
          <w:color w:val="auto"/>
        </w:rPr>
        <w:t>VA Rancho Mirage Resort, L.P.</w:t>
      </w:r>
    </w:p>
    <w:p>
      <w:pPr>
        <w:ind w:left="3340"/>
        <w:spacing w:after="0"/>
        <w:rPr>
          <w:sz w:val="20"/>
          <w:szCs w:val="20"/>
          <w:color w:val="auto"/>
        </w:rPr>
      </w:pPr>
      <w:r>
        <w:rPr>
          <w:rFonts w:ascii="Arial" w:cs="Arial" w:eastAsia="Arial" w:hAnsi="Arial"/>
          <w:sz w:val="20"/>
          <w:szCs w:val="20"/>
          <w:color w:val="auto"/>
        </w:rPr>
        <w:t>By: VA Rancho Mirage I, Inc.</w:t>
      </w:r>
    </w:p>
    <w:p>
      <w:pPr>
        <w:ind w:left="2700"/>
        <w:spacing w:after="0"/>
        <w:rPr>
          <w:sz w:val="20"/>
          <w:szCs w:val="20"/>
          <w:color w:val="auto"/>
        </w:rPr>
      </w:pPr>
      <w:r>
        <w:rPr>
          <w:rFonts w:ascii="Arial" w:cs="Arial" w:eastAsia="Arial" w:hAnsi="Arial"/>
          <w:sz w:val="20"/>
          <w:szCs w:val="20"/>
          <w:color w:val="auto"/>
        </w:rPr>
        <w:t>Vail/Arrowhead, Inc.</w:t>
      </w:r>
    </w:p>
    <w:p>
      <w:pPr>
        <w:ind w:left="2700"/>
        <w:spacing w:after="0"/>
        <w:rPr>
          <w:sz w:val="20"/>
          <w:szCs w:val="20"/>
          <w:color w:val="auto"/>
        </w:rPr>
      </w:pPr>
      <w:r>
        <w:rPr>
          <w:rFonts w:ascii="Arial" w:cs="Arial" w:eastAsia="Arial" w:hAnsi="Arial"/>
          <w:sz w:val="20"/>
          <w:szCs w:val="20"/>
          <w:color w:val="auto"/>
        </w:rPr>
        <w:t>Vail Associates Holdings, Ltd.</w:t>
      </w:r>
    </w:p>
    <w:p>
      <w:pPr>
        <w:ind w:left="2700"/>
        <w:spacing w:after="0"/>
        <w:rPr>
          <w:sz w:val="20"/>
          <w:szCs w:val="20"/>
          <w:color w:val="auto"/>
        </w:rPr>
      </w:pPr>
      <w:r>
        <w:rPr>
          <w:rFonts w:ascii="Arial" w:cs="Arial" w:eastAsia="Arial" w:hAnsi="Arial"/>
          <w:sz w:val="20"/>
          <w:szCs w:val="20"/>
          <w:color w:val="auto"/>
        </w:rPr>
        <w:t>Vail Associates Investments, Inc.</w:t>
      </w:r>
    </w:p>
    <w:p>
      <w:pPr>
        <w:ind w:left="2700"/>
        <w:spacing w:after="0"/>
        <w:rPr>
          <w:sz w:val="20"/>
          <w:szCs w:val="20"/>
          <w:color w:val="auto"/>
        </w:rPr>
      </w:pPr>
      <w:r>
        <w:rPr>
          <w:rFonts w:ascii="Arial" w:cs="Arial" w:eastAsia="Arial" w:hAnsi="Arial"/>
          <w:sz w:val="20"/>
          <w:szCs w:val="20"/>
          <w:color w:val="auto"/>
        </w:rPr>
        <w:t>Vail Associates Real Estate, Inc.</w:t>
      </w:r>
    </w:p>
    <w:p>
      <w:pPr>
        <w:ind w:left="2700"/>
        <w:spacing w:after="0"/>
        <w:rPr>
          <w:sz w:val="20"/>
          <w:szCs w:val="20"/>
          <w:color w:val="auto"/>
        </w:rPr>
      </w:pPr>
      <w:r>
        <w:rPr>
          <w:rFonts w:ascii="Arial" w:cs="Arial" w:eastAsia="Arial" w:hAnsi="Arial"/>
          <w:sz w:val="20"/>
          <w:szCs w:val="20"/>
          <w:color w:val="auto"/>
        </w:rPr>
        <w:t>Vail/Beaver Creek Resort Properties, Inc.</w:t>
      </w:r>
    </w:p>
    <w:p>
      <w:pPr>
        <w:ind w:left="2700"/>
        <w:spacing w:after="0"/>
        <w:rPr>
          <w:sz w:val="20"/>
          <w:szCs w:val="20"/>
          <w:color w:val="auto"/>
        </w:rPr>
      </w:pPr>
      <w:r>
        <w:rPr>
          <w:rFonts w:ascii="Arial" w:cs="Arial" w:eastAsia="Arial" w:hAnsi="Arial"/>
          <w:sz w:val="20"/>
          <w:szCs w:val="20"/>
          <w:color w:val="auto"/>
        </w:rPr>
        <w:t>Vail Food Services, Inc.</w:t>
      </w:r>
    </w:p>
    <w:p>
      <w:pPr>
        <w:ind w:left="2700"/>
        <w:spacing w:after="0"/>
        <w:rPr>
          <w:sz w:val="20"/>
          <w:szCs w:val="20"/>
          <w:color w:val="auto"/>
        </w:rPr>
      </w:pPr>
      <w:r>
        <w:rPr>
          <w:rFonts w:ascii="Arial" w:cs="Arial" w:eastAsia="Arial" w:hAnsi="Arial"/>
          <w:sz w:val="20"/>
          <w:szCs w:val="20"/>
          <w:color w:val="auto"/>
        </w:rPr>
        <w:t>Vail Hotel Management Company, LLC</w:t>
      </w:r>
    </w:p>
    <w:p>
      <w:pPr>
        <w:ind w:left="3340"/>
        <w:spacing w:after="0"/>
        <w:rPr>
          <w:sz w:val="20"/>
          <w:szCs w:val="20"/>
          <w:color w:val="auto"/>
        </w:rPr>
      </w:pPr>
      <w:r>
        <w:rPr>
          <w:rFonts w:ascii="Arial" w:cs="Arial" w:eastAsia="Arial" w:hAnsi="Arial"/>
          <w:sz w:val="20"/>
          <w:szCs w:val="20"/>
          <w:color w:val="auto"/>
        </w:rPr>
        <w:t>By: Rockresorts International, LLC</w:t>
      </w:r>
    </w:p>
    <w:p>
      <w:pPr>
        <w:ind w:left="334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20"/>
          <w:szCs w:val="20"/>
          <w:color w:val="auto"/>
        </w:rPr>
        <w:t>Vail Resorts Development Company</w:t>
      </w:r>
    </w:p>
    <w:p>
      <w:pPr>
        <w:ind w:left="2700"/>
        <w:spacing w:after="0"/>
        <w:rPr>
          <w:sz w:val="20"/>
          <w:szCs w:val="20"/>
          <w:color w:val="auto"/>
        </w:rPr>
      </w:pPr>
      <w:r>
        <w:rPr>
          <w:rFonts w:ascii="Arial" w:cs="Arial" w:eastAsia="Arial" w:hAnsi="Arial"/>
          <w:sz w:val="20"/>
          <w:szCs w:val="20"/>
          <w:color w:val="auto"/>
        </w:rPr>
        <w:t>Vail Resorts Lodging Company</w:t>
      </w:r>
    </w:p>
    <w:p>
      <w:pPr>
        <w:ind w:left="2700"/>
        <w:spacing w:after="0"/>
        <w:rPr>
          <w:sz w:val="20"/>
          <w:szCs w:val="20"/>
          <w:color w:val="auto"/>
        </w:rPr>
      </w:pPr>
      <w:r>
        <w:rPr>
          <w:rFonts w:ascii="Arial" w:cs="Arial" w:eastAsia="Arial" w:hAnsi="Arial"/>
          <w:sz w:val="20"/>
          <w:szCs w:val="20"/>
          <w:color w:val="auto"/>
        </w:rPr>
        <w:t>Vail RR, Inc.</w:t>
      </w:r>
    </w:p>
    <w:p>
      <w:pPr>
        <w:ind w:left="2700"/>
        <w:spacing w:after="0"/>
        <w:rPr>
          <w:sz w:val="20"/>
          <w:szCs w:val="20"/>
          <w:color w:val="auto"/>
        </w:rPr>
      </w:pPr>
      <w:r>
        <w:rPr>
          <w:rFonts w:ascii="Arial" w:cs="Arial" w:eastAsia="Arial" w:hAnsi="Arial"/>
          <w:sz w:val="20"/>
          <w:szCs w:val="20"/>
          <w:color w:val="auto"/>
        </w:rPr>
        <w:t>Vail Summit Resorts, Inc.</w:t>
      </w:r>
    </w:p>
    <w:p>
      <w:pPr>
        <w:ind w:left="2700"/>
        <w:spacing w:after="0"/>
        <w:rPr>
          <w:sz w:val="20"/>
          <w:szCs w:val="20"/>
          <w:color w:val="auto"/>
        </w:rPr>
      </w:pPr>
      <w:r>
        <w:rPr>
          <w:rFonts w:ascii="Arial" w:cs="Arial" w:eastAsia="Arial" w:hAnsi="Arial"/>
          <w:sz w:val="20"/>
          <w:szCs w:val="20"/>
          <w:color w:val="auto"/>
        </w:rPr>
        <w:t>Vail Trademarks, Inc.</w:t>
      </w:r>
    </w:p>
    <w:p>
      <w:pPr>
        <w:ind w:left="2700"/>
        <w:spacing w:after="0"/>
        <w:rPr>
          <w:sz w:val="20"/>
          <w:szCs w:val="20"/>
          <w:color w:val="auto"/>
        </w:rPr>
      </w:pPr>
      <w:r>
        <w:rPr>
          <w:rFonts w:ascii="Arial" w:cs="Arial" w:eastAsia="Arial" w:hAnsi="Arial"/>
          <w:sz w:val="20"/>
          <w:szCs w:val="20"/>
          <w:color w:val="auto"/>
        </w:rPr>
        <w:t>VAMHC, Inc.</w:t>
      </w:r>
    </w:p>
    <w:p>
      <w:pPr>
        <w:ind w:left="2700"/>
        <w:spacing w:after="0"/>
        <w:rPr>
          <w:sz w:val="20"/>
          <w:szCs w:val="20"/>
          <w:color w:val="auto"/>
        </w:rPr>
      </w:pPr>
      <w:r>
        <w:rPr>
          <w:rFonts w:ascii="Arial" w:cs="Arial" w:eastAsia="Arial" w:hAnsi="Arial"/>
          <w:sz w:val="20"/>
          <w:szCs w:val="20"/>
          <w:color w:val="auto"/>
        </w:rPr>
        <w:t>VR Acquisition, Inc.</w:t>
      </w:r>
    </w:p>
    <w:p>
      <w:pPr>
        <w:ind w:left="2700"/>
        <w:spacing w:after="0"/>
        <w:rPr>
          <w:sz w:val="20"/>
          <w:szCs w:val="20"/>
          <w:color w:val="auto"/>
        </w:rPr>
      </w:pPr>
      <w:r>
        <w:rPr>
          <w:rFonts w:ascii="Arial" w:cs="Arial" w:eastAsia="Arial" w:hAnsi="Arial"/>
          <w:sz w:val="20"/>
          <w:szCs w:val="20"/>
          <w:color w:val="auto"/>
        </w:rPr>
        <w:t>VR CPC Holdings, Inc.</w:t>
      </w:r>
    </w:p>
    <w:p>
      <w:pPr>
        <w:ind w:left="2700"/>
        <w:spacing w:after="0"/>
        <w:rPr>
          <w:sz w:val="20"/>
          <w:szCs w:val="20"/>
          <w:color w:val="auto"/>
        </w:rPr>
      </w:pPr>
      <w:r>
        <w:rPr>
          <w:rFonts w:ascii="Arial" w:cs="Arial" w:eastAsia="Arial" w:hAnsi="Arial"/>
          <w:sz w:val="20"/>
          <w:szCs w:val="20"/>
          <w:color w:val="auto"/>
        </w:rPr>
        <w:t>VR CPC Services, LLC</w:t>
      </w:r>
    </w:p>
    <w:p>
      <w:pPr>
        <w:ind w:left="2700"/>
        <w:spacing w:after="0"/>
        <w:rPr>
          <w:sz w:val="20"/>
          <w:szCs w:val="20"/>
          <w:color w:val="auto"/>
        </w:rPr>
      </w:pPr>
      <w:r>
        <w:rPr>
          <w:rFonts w:ascii="Arial" w:cs="Arial" w:eastAsia="Arial" w:hAnsi="Arial"/>
          <w:sz w:val="20"/>
          <w:szCs w:val="20"/>
          <w:color w:val="auto"/>
        </w:rPr>
        <w:t>VR Heavenly Concessions, Inc.</w:t>
      </w:r>
    </w:p>
    <w:p>
      <w:pPr>
        <w:ind w:left="2700"/>
        <w:spacing w:after="0"/>
        <w:rPr>
          <w:sz w:val="20"/>
          <w:szCs w:val="20"/>
          <w:color w:val="auto"/>
        </w:rPr>
      </w:pPr>
      <w:r>
        <w:rPr>
          <w:rFonts w:ascii="Arial" w:cs="Arial" w:eastAsia="Arial" w:hAnsi="Arial"/>
          <w:sz w:val="20"/>
          <w:szCs w:val="20"/>
          <w:color w:val="auto"/>
        </w:rPr>
        <w:t>VR Heavenly I, Inc.</w:t>
      </w:r>
    </w:p>
    <w:p>
      <w:pPr>
        <w:ind w:left="2700"/>
        <w:spacing w:after="0"/>
        <w:rPr>
          <w:sz w:val="20"/>
          <w:szCs w:val="20"/>
          <w:color w:val="auto"/>
        </w:rPr>
      </w:pPr>
      <w:r>
        <w:rPr>
          <w:rFonts w:ascii="Arial" w:cs="Arial" w:eastAsia="Arial" w:hAnsi="Arial"/>
          <w:sz w:val="20"/>
          <w:szCs w:val="20"/>
          <w:color w:val="auto"/>
        </w:rPr>
        <w:t>VR Heavenly II, Inc.</w:t>
      </w:r>
    </w:p>
    <w:p>
      <w:pPr>
        <w:ind w:left="2700"/>
        <w:spacing w:after="0"/>
        <w:rPr>
          <w:sz w:val="20"/>
          <w:szCs w:val="20"/>
          <w:color w:val="auto"/>
        </w:rPr>
      </w:pPr>
      <w:r>
        <w:rPr>
          <w:rFonts w:ascii="Arial" w:cs="Arial" w:eastAsia="Arial" w:hAnsi="Arial"/>
          <w:sz w:val="20"/>
          <w:szCs w:val="20"/>
          <w:color w:val="auto"/>
        </w:rPr>
        <w:t>VR Holdings, Inc.</w:t>
      </w:r>
    </w:p>
    <w:p>
      <w:pPr>
        <w:ind w:left="2700"/>
        <w:spacing w:after="0"/>
        <w:rPr>
          <w:sz w:val="20"/>
          <w:szCs w:val="20"/>
          <w:color w:val="auto"/>
        </w:rPr>
      </w:pPr>
      <w:r>
        <w:rPr>
          <w:rFonts w:ascii="Arial" w:cs="Arial" w:eastAsia="Arial" w:hAnsi="Arial"/>
          <w:sz w:val="20"/>
          <w:szCs w:val="20"/>
          <w:color w:val="auto"/>
        </w:rPr>
        <w:t>VR US Holdings, Inc.</w:t>
      </w:r>
    </w:p>
    <w:p>
      <w:pPr>
        <w:ind w:left="2700"/>
        <w:spacing w:after="0"/>
        <w:rPr>
          <w:sz w:val="20"/>
          <w:szCs w:val="20"/>
          <w:color w:val="auto"/>
        </w:rPr>
      </w:pPr>
      <w:r>
        <w:rPr>
          <w:rFonts w:ascii="Arial" w:cs="Arial" w:eastAsia="Arial" w:hAnsi="Arial"/>
          <w:sz w:val="20"/>
          <w:szCs w:val="20"/>
          <w:color w:val="auto"/>
        </w:rPr>
        <w:t>VR US Holdings II, LLC</w:t>
      </w:r>
    </w:p>
    <w:p>
      <w:pPr>
        <w:ind w:left="3340"/>
        <w:spacing w:after="0"/>
        <w:rPr>
          <w:sz w:val="20"/>
          <w:szCs w:val="20"/>
          <w:color w:val="auto"/>
        </w:rPr>
      </w:pPr>
      <w:r>
        <w:rPr>
          <w:rFonts w:ascii="Arial" w:cs="Arial" w:eastAsia="Arial" w:hAnsi="Arial"/>
          <w:sz w:val="20"/>
          <w:szCs w:val="20"/>
          <w:color w:val="auto"/>
        </w:rPr>
        <w:t>By: VR US Holdings, Inc.</w:t>
      </w:r>
    </w:p>
    <w:p>
      <w:pPr>
        <w:ind w:left="2700"/>
        <w:spacing w:after="0"/>
        <w:rPr>
          <w:sz w:val="20"/>
          <w:szCs w:val="20"/>
          <w:color w:val="auto"/>
        </w:rPr>
      </w:pPr>
      <w:r>
        <w:rPr>
          <w:rFonts w:ascii="Arial" w:cs="Arial" w:eastAsia="Arial" w:hAnsi="Arial"/>
          <w:sz w:val="20"/>
          <w:szCs w:val="20"/>
          <w:color w:val="auto"/>
        </w:rPr>
        <w:t>VR WM Holdings, LLC</w:t>
      </w:r>
    </w:p>
    <w:p>
      <w:pPr>
        <w:ind w:left="3340"/>
        <w:spacing w:after="0"/>
        <w:rPr>
          <w:sz w:val="20"/>
          <w:szCs w:val="20"/>
          <w:color w:val="auto"/>
        </w:rPr>
      </w:pPr>
      <w:r>
        <w:rPr>
          <w:rFonts w:ascii="Arial" w:cs="Arial" w:eastAsia="Arial" w:hAnsi="Arial"/>
          <w:sz w:val="20"/>
          <w:szCs w:val="20"/>
          <w:color w:val="auto"/>
        </w:rPr>
        <w:t>By: VR US Holdings, Inc.</w:t>
      </w:r>
    </w:p>
    <w:p>
      <w:pPr>
        <w:ind w:left="2700"/>
        <w:spacing w:after="0"/>
        <w:rPr>
          <w:sz w:val="20"/>
          <w:szCs w:val="20"/>
          <w:color w:val="auto"/>
        </w:rPr>
      </w:pPr>
      <w:r>
        <w:rPr>
          <w:rFonts w:ascii="Arial" w:cs="Arial" w:eastAsia="Arial" w:hAnsi="Arial"/>
          <w:sz w:val="20"/>
          <w:szCs w:val="20"/>
          <w:color w:val="auto"/>
        </w:rPr>
        <w:t>VR NE Holdings, LLC</w:t>
      </w:r>
    </w:p>
    <w:p>
      <w:pPr>
        <w:ind w:left="3340"/>
        <w:spacing w:after="0"/>
        <w:rPr>
          <w:sz w:val="20"/>
          <w:szCs w:val="20"/>
          <w:color w:val="auto"/>
        </w:rPr>
      </w:pPr>
      <w:r>
        <w:rPr>
          <w:rFonts w:ascii="Arial" w:cs="Arial" w:eastAsia="Arial" w:hAnsi="Arial"/>
          <w:sz w:val="20"/>
          <w:szCs w:val="20"/>
          <w:color w:val="auto"/>
        </w:rPr>
        <w:t>By: VR US Holdings, Inc.</w:t>
      </w:r>
    </w:p>
    <w:p>
      <w:pPr>
        <w:ind w:left="2700"/>
        <w:spacing w:after="0"/>
        <w:rPr>
          <w:sz w:val="20"/>
          <w:szCs w:val="20"/>
          <w:color w:val="auto"/>
        </w:rPr>
      </w:pPr>
      <w:r>
        <w:rPr>
          <w:rFonts w:ascii="Arial" w:cs="Arial" w:eastAsia="Arial" w:hAnsi="Arial"/>
          <w:sz w:val="20"/>
          <w:szCs w:val="20"/>
          <w:color w:val="auto"/>
        </w:rPr>
        <w:t>VR NW Holdings, Inc.</w:t>
      </w:r>
    </w:p>
    <w:p>
      <w:pPr>
        <w:spacing w:after="0" w:line="21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Ryan Siurek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-14605</wp:posOffset>
            </wp:positionV>
            <wp:extent cx="12096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0967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 Ryan Siurek</w:t>
      </w:r>
    </w:p>
    <w:p>
      <w:pPr>
        <w:ind w:left="2700"/>
        <w:spacing w:after="0"/>
        <w:rPr>
          <w:sz w:val="20"/>
          <w:szCs w:val="20"/>
          <w:color w:val="auto"/>
        </w:rPr>
      </w:pPr>
      <w:r>
        <w:rPr>
          <w:rFonts w:ascii="Arial" w:cs="Arial" w:eastAsia="Arial" w:hAnsi="Arial"/>
          <w:sz w:val="18"/>
          <w:szCs w:val="18"/>
          <w:color w:val="auto"/>
        </w:rPr>
        <w:t>Title: Senior Vice President, Controller and Chief Accounting Officer</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Amendment Agreement</w:t>
      </w:r>
    </w:p>
    <w:p>
      <w:pPr>
        <w:sectPr>
          <w:pgSz w:w="11900" w:h="16838" w:orient="portrait"/>
          <w:cols w:equalWidth="0" w:num="1">
            <w:col w:w="9019"/>
          </w:cols>
          <w:pgMar w:left="1440" w:top="582" w:right="1440" w:bottom="1440" w:gutter="0" w:footer="0" w:header="0"/>
        </w:sectPr>
      </w:pPr>
    </w:p>
    <w:bookmarkStart w:id="57" w:name="page58"/>
    <w:bookmarkEnd w:id="57"/>
    <w:p>
      <w:pPr>
        <w:jc w:val="center"/>
        <w:ind w:right="-20"/>
        <w:spacing w:after="0"/>
        <w:rPr>
          <w:sz w:val="20"/>
          <w:szCs w:val="20"/>
          <w:color w:val="auto"/>
        </w:rPr>
      </w:pPr>
      <w:r>
        <w:rPr>
          <w:rFonts w:ascii="Arial" w:cs="Arial" w:eastAsia="Arial" w:hAnsi="Arial"/>
          <w:sz w:val="20"/>
          <w:szCs w:val="20"/>
          <w:b w:val="1"/>
          <w:bCs w:val="1"/>
          <w:color w:val="auto"/>
        </w:rPr>
        <w:t>ANNEX A</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Eighth Amended and Restated Credit Agreement</w:t>
      </w:r>
    </w:p>
    <w:p>
      <w:pPr>
        <w:sectPr>
          <w:pgSz w:w="11900" w:h="16838" w:orient="portrait"/>
          <w:cols w:equalWidth="0" w:num="1">
            <w:col w:w="9019"/>
          </w:cols>
          <w:pgMar w:left="1440" w:top="360" w:right="1440" w:bottom="1440" w:gutter="0" w:footer="0" w:header="0"/>
        </w:sectPr>
      </w:pPr>
    </w:p>
    <w:bookmarkStart w:id="58" w:name="page59"/>
    <w:bookmarkEnd w:id="58"/>
    <w:p>
      <w:pPr>
        <w:ind w:left="7700"/>
        <w:spacing w:after="0"/>
        <w:rPr>
          <w:sz w:val="20"/>
          <w:szCs w:val="20"/>
          <w:color w:val="auto"/>
        </w:rPr>
      </w:pPr>
      <w:r>
        <w:rPr>
          <w:rFonts w:ascii="Arial" w:cs="Arial" w:eastAsia="Arial" w:hAnsi="Arial"/>
          <w:sz w:val="17"/>
          <w:szCs w:val="17"/>
          <w:b w:val="1"/>
          <w:bCs w:val="1"/>
          <w:color w:val="auto"/>
        </w:rPr>
        <w:t>CUSIP NUMBERS: 91879UAD2</w:t>
      </w:r>
    </w:p>
    <w:p>
      <w:pPr>
        <w:spacing w:after="0" w:line="39" w:lineRule="exact"/>
        <w:rPr>
          <w:sz w:val="20"/>
          <w:szCs w:val="20"/>
          <w:color w:val="auto"/>
        </w:rPr>
      </w:pPr>
    </w:p>
    <w:p>
      <w:pPr>
        <w:ind w:left="9300"/>
        <w:spacing w:after="0"/>
        <w:rPr>
          <w:sz w:val="20"/>
          <w:szCs w:val="20"/>
          <w:color w:val="auto"/>
        </w:rPr>
      </w:pPr>
      <w:r>
        <w:rPr>
          <w:rFonts w:ascii="Arial" w:cs="Arial" w:eastAsia="Arial" w:hAnsi="Arial"/>
          <w:sz w:val="16"/>
          <w:szCs w:val="16"/>
          <w:b w:val="1"/>
          <w:bCs w:val="1"/>
          <w:color w:val="auto"/>
        </w:rPr>
        <w:t>91879UAE0</w:t>
      </w:r>
    </w:p>
    <w:p>
      <w:pPr>
        <w:spacing w:after="0" w:line="32" w:lineRule="exact"/>
        <w:rPr>
          <w:sz w:val="20"/>
          <w:szCs w:val="20"/>
          <w:color w:val="auto"/>
        </w:rPr>
      </w:pPr>
    </w:p>
    <w:p>
      <w:pPr>
        <w:ind w:left="9320"/>
        <w:spacing w:after="0"/>
        <w:rPr>
          <w:sz w:val="20"/>
          <w:szCs w:val="20"/>
          <w:color w:val="auto"/>
        </w:rPr>
      </w:pPr>
      <w:r>
        <w:rPr>
          <w:rFonts w:ascii="Arial" w:cs="Arial" w:eastAsia="Arial" w:hAnsi="Arial"/>
          <w:sz w:val="16"/>
          <w:szCs w:val="16"/>
          <w:b w:val="1"/>
          <w:bCs w:val="1"/>
          <w:color w:val="auto"/>
        </w:rPr>
        <w:t>91879UAF7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EIGHTH AMENDED AND RESTATED CREDIT AGREEMENT</w:t>
      </w:r>
    </w:p>
    <w:p>
      <w:pPr>
        <w:spacing w:after="0" w:line="293"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Dated as of August 15, 2018</w:t>
      </w:r>
    </w:p>
    <w:p>
      <w:pPr>
        <w:spacing w:after="0" w:line="287"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among</w:t>
      </w:r>
    </w:p>
    <w:p>
      <w:pPr>
        <w:spacing w:after="0" w:line="281"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VAIL HOLDINGS, INC.</w:t>
      </w:r>
    </w:p>
    <w:p>
      <w:pPr>
        <w:spacing w:after="0" w:line="28"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as Borrower</w:t>
      </w:r>
    </w:p>
    <w:p>
      <w:pPr>
        <w:spacing w:after="0" w:line="263"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BANK OF AMERICA, N.A.</w:t>
      </w:r>
    </w:p>
    <w:p>
      <w:pPr>
        <w:spacing w:after="0" w:line="28"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as Administrative Agent</w:t>
      </w:r>
    </w:p>
    <w:p>
      <w:pPr>
        <w:spacing w:after="0" w:line="236"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U.S. BANK NATIONAL ASSOCIATION</w:t>
      </w:r>
    </w:p>
    <w:p>
      <w:pPr>
        <w:spacing w:after="0" w:line="28"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and</w:t>
      </w:r>
    </w:p>
    <w:p>
      <w:pPr>
        <w:spacing w:after="0" w:line="4"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WELLS FARGO BANK, NATIONAL ASSOCIATION</w:t>
      </w:r>
    </w:p>
    <w:p>
      <w:pPr>
        <w:spacing w:after="0" w:line="4"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as Co-Syndication Agents</w:t>
      </w:r>
    </w:p>
    <w:p>
      <w:pPr>
        <w:spacing w:after="0" w:line="242"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and</w:t>
      </w:r>
    </w:p>
    <w:p>
      <w:pPr>
        <w:spacing w:after="0" w:line="260"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The Lenders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MERRILL LYNCH, PIERCE, FENNER &amp; SMITH INCORPORATED,</w:t>
      </w:r>
    </w:p>
    <w:p>
      <w:pPr>
        <w:spacing w:after="0" w:line="28"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U.S. BANK NATIONAL ASSOCIATION,</w:t>
      </w:r>
    </w:p>
    <w:p>
      <w:pPr>
        <w:spacing w:after="0" w:line="4"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and</w:t>
      </w:r>
    </w:p>
    <w:p>
      <w:pPr>
        <w:spacing w:after="0" w:line="4"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WELLS FARGO SECURITIES, LLC</w:t>
      </w:r>
    </w:p>
    <w:p>
      <w:pPr>
        <w:spacing w:after="0" w:line="4"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as Joint Lead Arrangers and Joint Bookrunners</w:t>
      </w:r>
    </w:p>
    <w:p>
      <w:pPr>
        <w:sectPr>
          <w:pgSz w:w="11900" w:h="16838" w:orient="portrait"/>
          <w:cols w:equalWidth="0" w:num="1">
            <w:col w:w="10220"/>
          </w:cols>
          <w:pgMar w:left="1440" w:top="580"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80" w:type="dxa"/>
            <w:vAlign w:val="bottom"/>
            <w:gridSpan w:val="4"/>
          </w:tcPr>
          <w:p>
            <w:pPr>
              <w:ind w:left="940"/>
              <w:spacing w:after="0"/>
              <w:rPr>
                <w:sz w:val="20"/>
                <w:szCs w:val="20"/>
                <w:color w:val="auto"/>
              </w:rPr>
            </w:pPr>
            <w:r>
              <w:rPr>
                <w:rFonts w:ascii="Arial" w:cs="Arial" w:eastAsia="Arial" w:hAnsi="Arial"/>
                <w:sz w:val="20"/>
                <w:szCs w:val="20"/>
                <w:b w:val="1"/>
                <w:bCs w:val="1"/>
                <w:color w:val="auto"/>
              </w:rPr>
              <w:t>TABLE OF CONTENTS</w:t>
            </w:r>
          </w:p>
        </w:tc>
        <w:tc>
          <w:tcPr>
            <w:tcW w:w="400" w:type="dxa"/>
            <w:vAlign w:val="bottom"/>
          </w:tcPr>
          <w:p>
            <w:pPr>
              <w:spacing w:after="0"/>
              <w:rPr>
                <w:sz w:val="19"/>
                <w:szCs w:val="19"/>
                <w:color w:val="auto"/>
              </w:rPr>
            </w:pPr>
          </w:p>
        </w:tc>
      </w:tr>
      <w:tr>
        <w:trPr>
          <w:trHeight w:val="817"/>
        </w:trPr>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820" w:type="dxa"/>
            <w:vAlign w:val="bottom"/>
          </w:tcPr>
          <w:p>
            <w:pPr>
              <w:spacing w:after="0"/>
              <w:rPr>
                <w:sz w:val="24"/>
                <w:szCs w:val="24"/>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79"/>
              </w:rPr>
              <w:t>Page</w:t>
            </w:r>
          </w:p>
        </w:tc>
      </w:tr>
      <w:tr>
        <w:trPr>
          <w:trHeight w:val="291"/>
        </w:trPr>
        <w:tc>
          <w:tcPr>
            <w:tcW w:w="3640" w:type="dxa"/>
            <w:vAlign w:val="bottom"/>
            <w:tcBorders>
              <w:bottom w:val="single" w:sz="8" w:color="auto"/>
            </w:tcBorders>
            <w:gridSpan w:val="5"/>
          </w:tcPr>
          <w:p>
            <w:pPr>
              <w:spacing w:after="0"/>
              <w:rPr>
                <w:sz w:val="20"/>
                <w:szCs w:val="20"/>
                <w:color w:val="auto"/>
              </w:rPr>
            </w:pPr>
            <w:r>
              <w:rPr>
                <w:rFonts w:ascii="Arial" w:cs="Arial" w:eastAsia="Arial" w:hAnsi="Arial"/>
                <w:sz w:val="20"/>
                <w:szCs w:val="20"/>
                <w:b w:val="1"/>
                <w:bCs w:val="1"/>
                <w:color w:val="auto"/>
                <w:w w:val="99"/>
              </w:rPr>
              <w:t>SECTION 1 DEFINITIONS AND TERMS</w:t>
            </w:r>
          </w:p>
        </w:tc>
        <w:tc>
          <w:tcPr>
            <w:tcW w:w="6880" w:type="dxa"/>
            <w:vAlign w:val="bottom"/>
            <w:gridSpan w:val="4"/>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20"/>
                <w:szCs w:val="20"/>
                <w:color w:val="auto"/>
              </w:rPr>
              <w:t>2</w:t>
            </w:r>
          </w:p>
        </w:tc>
      </w:tr>
      <w:tr>
        <w:trPr>
          <w:trHeight w:val="335"/>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1.1</w:t>
            </w:r>
          </w:p>
        </w:tc>
        <w:tc>
          <w:tcPr>
            <w:tcW w:w="9700" w:type="dxa"/>
            <w:vAlign w:val="bottom"/>
            <w:gridSpan w:val="8"/>
          </w:tcPr>
          <w:p>
            <w:pPr>
              <w:ind w:left="120"/>
              <w:spacing w:after="0"/>
              <w:rPr>
                <w:sz w:val="20"/>
                <w:szCs w:val="20"/>
                <w:color w:val="auto"/>
              </w:rPr>
            </w:pPr>
            <w:r>
              <w:rPr>
                <w:rFonts w:ascii="Arial" w:cs="Arial" w:eastAsia="Arial" w:hAnsi="Arial"/>
                <w:sz w:val="20"/>
                <w:szCs w:val="20"/>
                <w:color w:val="auto"/>
              </w:rPr>
              <w:t>Definitions</w:t>
            </w:r>
          </w:p>
        </w:tc>
        <w:tc>
          <w:tcPr>
            <w:tcW w:w="400" w:type="dxa"/>
            <w:vAlign w:val="bottom"/>
          </w:tcPr>
          <w:p>
            <w:pPr>
              <w:spacing w:after="0"/>
              <w:rPr>
                <w:sz w:val="20"/>
                <w:szCs w:val="20"/>
                <w:color w:val="auto"/>
              </w:rPr>
            </w:pPr>
            <w:r>
              <w:rPr>
                <w:rFonts w:ascii="Arial" w:cs="Arial" w:eastAsia="Arial" w:hAnsi="Arial"/>
                <w:sz w:val="20"/>
                <w:szCs w:val="20"/>
                <w:color w:val="auto"/>
              </w:rPr>
              <w:t>2</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1.2</w:t>
            </w:r>
          </w:p>
        </w:tc>
        <w:tc>
          <w:tcPr>
            <w:tcW w:w="9700" w:type="dxa"/>
            <w:vAlign w:val="bottom"/>
            <w:gridSpan w:val="8"/>
          </w:tcPr>
          <w:p>
            <w:pPr>
              <w:ind w:left="120"/>
              <w:spacing w:after="0"/>
              <w:rPr>
                <w:sz w:val="20"/>
                <w:szCs w:val="20"/>
                <w:color w:val="auto"/>
              </w:rPr>
            </w:pPr>
            <w:r>
              <w:rPr>
                <w:rFonts w:ascii="Arial" w:cs="Arial" w:eastAsia="Arial" w:hAnsi="Arial"/>
                <w:sz w:val="20"/>
                <w:szCs w:val="20"/>
                <w:color w:val="auto"/>
              </w:rPr>
              <w:t>Number and Gender of Words</w:t>
            </w:r>
          </w:p>
        </w:tc>
        <w:tc>
          <w:tcPr>
            <w:tcW w:w="400" w:type="dxa"/>
            <w:vAlign w:val="bottom"/>
          </w:tcPr>
          <w:p>
            <w:pPr>
              <w:spacing w:after="0"/>
              <w:rPr>
                <w:sz w:val="20"/>
                <w:szCs w:val="20"/>
                <w:color w:val="auto"/>
              </w:rPr>
            </w:pPr>
            <w:r>
              <w:rPr>
                <w:rFonts w:ascii="Arial" w:cs="Arial" w:eastAsia="Arial" w:hAnsi="Arial"/>
                <w:sz w:val="20"/>
                <w:szCs w:val="20"/>
                <w:color w:val="auto"/>
              </w:rPr>
              <w:t>36</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1.3</w:t>
            </w:r>
          </w:p>
        </w:tc>
        <w:tc>
          <w:tcPr>
            <w:tcW w:w="9700" w:type="dxa"/>
            <w:vAlign w:val="bottom"/>
            <w:gridSpan w:val="8"/>
          </w:tcPr>
          <w:p>
            <w:pPr>
              <w:ind w:left="120"/>
              <w:spacing w:after="0"/>
              <w:rPr>
                <w:sz w:val="20"/>
                <w:szCs w:val="20"/>
                <w:color w:val="auto"/>
              </w:rPr>
            </w:pPr>
            <w:r>
              <w:rPr>
                <w:rFonts w:ascii="Arial" w:cs="Arial" w:eastAsia="Arial" w:hAnsi="Arial"/>
                <w:sz w:val="20"/>
                <w:szCs w:val="20"/>
                <w:color w:val="auto"/>
              </w:rPr>
              <w:t>Accounting Principles</w:t>
            </w:r>
          </w:p>
        </w:tc>
        <w:tc>
          <w:tcPr>
            <w:tcW w:w="400" w:type="dxa"/>
            <w:vAlign w:val="bottom"/>
          </w:tcPr>
          <w:p>
            <w:pPr>
              <w:spacing w:after="0"/>
              <w:rPr>
                <w:sz w:val="20"/>
                <w:szCs w:val="20"/>
                <w:color w:val="auto"/>
              </w:rPr>
            </w:pPr>
            <w:r>
              <w:rPr>
                <w:rFonts w:ascii="Arial" w:cs="Arial" w:eastAsia="Arial" w:hAnsi="Arial"/>
                <w:sz w:val="20"/>
                <w:szCs w:val="20"/>
                <w:color w:val="auto"/>
              </w:rPr>
              <w:t>37</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1.4</w:t>
            </w:r>
          </w:p>
        </w:tc>
        <w:tc>
          <w:tcPr>
            <w:tcW w:w="9700" w:type="dxa"/>
            <w:vAlign w:val="bottom"/>
            <w:gridSpan w:val="8"/>
          </w:tcPr>
          <w:p>
            <w:pPr>
              <w:ind w:left="120"/>
              <w:spacing w:after="0"/>
              <w:rPr>
                <w:sz w:val="20"/>
                <w:szCs w:val="20"/>
                <w:color w:val="auto"/>
              </w:rPr>
            </w:pPr>
            <w:r>
              <w:rPr>
                <w:rFonts w:ascii="Arial" w:cs="Arial" w:eastAsia="Arial" w:hAnsi="Arial"/>
                <w:sz w:val="20"/>
                <w:szCs w:val="20"/>
                <w:color w:val="auto"/>
              </w:rPr>
              <w:t>Rounding</w:t>
            </w:r>
          </w:p>
        </w:tc>
        <w:tc>
          <w:tcPr>
            <w:tcW w:w="400" w:type="dxa"/>
            <w:vAlign w:val="bottom"/>
          </w:tcPr>
          <w:p>
            <w:pPr>
              <w:spacing w:after="0"/>
              <w:rPr>
                <w:sz w:val="20"/>
                <w:szCs w:val="20"/>
                <w:color w:val="auto"/>
              </w:rPr>
            </w:pPr>
            <w:r>
              <w:rPr>
                <w:rFonts w:ascii="Arial" w:cs="Arial" w:eastAsia="Arial" w:hAnsi="Arial"/>
                <w:sz w:val="20"/>
                <w:szCs w:val="20"/>
                <w:color w:val="auto"/>
              </w:rPr>
              <w:t>38</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1.5</w:t>
            </w:r>
          </w:p>
        </w:tc>
        <w:tc>
          <w:tcPr>
            <w:tcW w:w="9700" w:type="dxa"/>
            <w:vAlign w:val="bottom"/>
            <w:gridSpan w:val="8"/>
          </w:tcPr>
          <w:p>
            <w:pPr>
              <w:ind w:left="120"/>
              <w:spacing w:after="0"/>
              <w:rPr>
                <w:sz w:val="20"/>
                <w:szCs w:val="20"/>
                <w:color w:val="auto"/>
              </w:rPr>
            </w:pPr>
            <w:r>
              <w:rPr>
                <w:rFonts w:ascii="Arial" w:cs="Arial" w:eastAsia="Arial" w:hAnsi="Arial"/>
                <w:sz w:val="20"/>
                <w:szCs w:val="20"/>
                <w:color w:val="auto"/>
              </w:rPr>
              <w:t>References to Agreements and Laws</w:t>
            </w:r>
          </w:p>
        </w:tc>
        <w:tc>
          <w:tcPr>
            <w:tcW w:w="400" w:type="dxa"/>
            <w:vAlign w:val="bottom"/>
          </w:tcPr>
          <w:p>
            <w:pPr>
              <w:spacing w:after="0"/>
              <w:rPr>
                <w:sz w:val="20"/>
                <w:szCs w:val="20"/>
                <w:color w:val="auto"/>
              </w:rPr>
            </w:pPr>
            <w:r>
              <w:rPr>
                <w:rFonts w:ascii="Arial" w:cs="Arial" w:eastAsia="Arial" w:hAnsi="Arial"/>
                <w:sz w:val="20"/>
                <w:szCs w:val="20"/>
                <w:color w:val="auto"/>
              </w:rPr>
              <w:t>38</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1.6</w:t>
            </w:r>
          </w:p>
        </w:tc>
        <w:tc>
          <w:tcPr>
            <w:tcW w:w="9700" w:type="dxa"/>
            <w:vAlign w:val="bottom"/>
            <w:gridSpan w:val="8"/>
          </w:tcPr>
          <w:p>
            <w:pPr>
              <w:ind w:left="120"/>
              <w:spacing w:after="0"/>
              <w:rPr>
                <w:sz w:val="20"/>
                <w:szCs w:val="20"/>
                <w:color w:val="auto"/>
              </w:rPr>
            </w:pPr>
            <w:r>
              <w:rPr>
                <w:rFonts w:ascii="Arial" w:cs="Arial" w:eastAsia="Arial" w:hAnsi="Arial"/>
                <w:sz w:val="20"/>
                <w:szCs w:val="20"/>
                <w:color w:val="auto"/>
              </w:rPr>
              <w:t>Times of Day</w:t>
            </w:r>
          </w:p>
        </w:tc>
        <w:tc>
          <w:tcPr>
            <w:tcW w:w="400" w:type="dxa"/>
            <w:vAlign w:val="bottom"/>
          </w:tcPr>
          <w:p>
            <w:pPr>
              <w:spacing w:after="0"/>
              <w:rPr>
                <w:sz w:val="20"/>
                <w:szCs w:val="20"/>
                <w:color w:val="auto"/>
              </w:rPr>
            </w:pPr>
            <w:r>
              <w:rPr>
                <w:rFonts w:ascii="Arial" w:cs="Arial" w:eastAsia="Arial" w:hAnsi="Arial"/>
                <w:sz w:val="20"/>
                <w:szCs w:val="20"/>
                <w:color w:val="auto"/>
              </w:rPr>
              <w:t>38</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1.7</w:t>
            </w:r>
          </w:p>
        </w:tc>
        <w:tc>
          <w:tcPr>
            <w:tcW w:w="9700" w:type="dxa"/>
            <w:vAlign w:val="bottom"/>
            <w:gridSpan w:val="8"/>
          </w:tcPr>
          <w:p>
            <w:pPr>
              <w:ind w:left="120"/>
              <w:spacing w:after="0"/>
              <w:rPr>
                <w:sz w:val="20"/>
                <w:szCs w:val="20"/>
                <w:color w:val="auto"/>
              </w:rPr>
            </w:pPr>
            <w:r>
              <w:rPr>
                <w:rFonts w:ascii="Arial" w:cs="Arial" w:eastAsia="Arial" w:hAnsi="Arial"/>
                <w:sz w:val="20"/>
                <w:szCs w:val="20"/>
                <w:color w:val="auto"/>
              </w:rPr>
              <w:t>L/C Amounts</w:t>
            </w:r>
          </w:p>
        </w:tc>
        <w:tc>
          <w:tcPr>
            <w:tcW w:w="400" w:type="dxa"/>
            <w:vAlign w:val="bottom"/>
          </w:tcPr>
          <w:p>
            <w:pPr>
              <w:spacing w:after="0"/>
              <w:rPr>
                <w:sz w:val="20"/>
                <w:szCs w:val="20"/>
                <w:color w:val="auto"/>
              </w:rPr>
            </w:pPr>
            <w:r>
              <w:rPr>
                <w:rFonts w:ascii="Arial" w:cs="Arial" w:eastAsia="Arial" w:hAnsi="Arial"/>
                <w:sz w:val="20"/>
                <w:szCs w:val="20"/>
                <w:color w:val="auto"/>
              </w:rPr>
              <w:t>38</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1.8</w:t>
            </w:r>
          </w:p>
        </w:tc>
        <w:tc>
          <w:tcPr>
            <w:tcW w:w="9700" w:type="dxa"/>
            <w:vAlign w:val="bottom"/>
            <w:gridSpan w:val="8"/>
          </w:tcPr>
          <w:p>
            <w:pPr>
              <w:ind w:left="120"/>
              <w:spacing w:after="0"/>
              <w:rPr>
                <w:sz w:val="20"/>
                <w:szCs w:val="20"/>
                <w:color w:val="auto"/>
              </w:rPr>
            </w:pPr>
            <w:r>
              <w:rPr>
                <w:rFonts w:ascii="Arial" w:cs="Arial" w:eastAsia="Arial" w:hAnsi="Arial"/>
                <w:sz w:val="20"/>
                <w:szCs w:val="20"/>
                <w:color w:val="auto"/>
              </w:rPr>
              <w:t>Whistler Acquisition Subsidiaries</w:t>
            </w:r>
          </w:p>
        </w:tc>
        <w:tc>
          <w:tcPr>
            <w:tcW w:w="400" w:type="dxa"/>
            <w:vAlign w:val="bottom"/>
          </w:tcPr>
          <w:p>
            <w:pPr>
              <w:spacing w:after="0"/>
              <w:rPr>
                <w:sz w:val="20"/>
                <w:szCs w:val="20"/>
                <w:color w:val="auto"/>
              </w:rPr>
            </w:pPr>
            <w:r>
              <w:rPr>
                <w:rFonts w:ascii="Arial" w:cs="Arial" w:eastAsia="Arial" w:hAnsi="Arial"/>
                <w:sz w:val="20"/>
                <w:szCs w:val="20"/>
                <w:color w:val="auto"/>
              </w:rPr>
              <w:t>38</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1.9</w:t>
            </w:r>
          </w:p>
        </w:tc>
        <w:tc>
          <w:tcPr>
            <w:tcW w:w="9700" w:type="dxa"/>
            <w:vAlign w:val="bottom"/>
            <w:gridSpan w:val="8"/>
          </w:tcPr>
          <w:p>
            <w:pPr>
              <w:ind w:left="120"/>
              <w:spacing w:after="0"/>
              <w:rPr>
                <w:sz w:val="20"/>
                <w:szCs w:val="20"/>
                <w:color w:val="auto"/>
              </w:rPr>
            </w:pPr>
            <w:r>
              <w:rPr>
                <w:rFonts w:ascii="Arial" w:cs="Arial" w:eastAsia="Arial" w:hAnsi="Arial"/>
                <w:sz w:val="20"/>
                <w:szCs w:val="20"/>
                <w:color w:val="auto"/>
              </w:rPr>
              <w:t>Rates; Currency Equivalents</w:t>
            </w:r>
          </w:p>
        </w:tc>
        <w:tc>
          <w:tcPr>
            <w:tcW w:w="400" w:type="dxa"/>
            <w:vAlign w:val="bottom"/>
          </w:tcPr>
          <w:p>
            <w:pPr>
              <w:spacing w:after="0"/>
              <w:rPr>
                <w:sz w:val="20"/>
                <w:szCs w:val="20"/>
                <w:color w:val="auto"/>
              </w:rPr>
            </w:pPr>
            <w:r>
              <w:rPr>
                <w:rFonts w:ascii="Arial" w:cs="Arial" w:eastAsia="Arial" w:hAnsi="Arial"/>
                <w:sz w:val="20"/>
                <w:szCs w:val="20"/>
                <w:color w:val="auto"/>
              </w:rPr>
              <w:t>38</w:t>
            </w:r>
          </w:p>
        </w:tc>
      </w:tr>
      <w:tr>
        <w:trPr>
          <w:trHeight w:val="266"/>
        </w:trPr>
        <w:tc>
          <w:tcPr>
            <w:tcW w:w="2580" w:type="dxa"/>
            <w:vAlign w:val="bottom"/>
            <w:tcBorders>
              <w:bottom w:val="single" w:sz="8" w:color="auto"/>
            </w:tcBorders>
            <w:gridSpan w:val="3"/>
          </w:tcPr>
          <w:p>
            <w:pPr>
              <w:spacing w:after="0"/>
              <w:rPr>
                <w:sz w:val="20"/>
                <w:szCs w:val="20"/>
                <w:color w:val="auto"/>
              </w:rPr>
            </w:pPr>
            <w:r>
              <w:rPr>
                <w:rFonts w:ascii="Arial" w:cs="Arial" w:eastAsia="Arial" w:hAnsi="Arial"/>
                <w:sz w:val="20"/>
                <w:szCs w:val="20"/>
                <w:b w:val="1"/>
                <w:bCs w:val="1"/>
                <w:color w:val="auto"/>
              </w:rPr>
              <w:t>SECTION 2 COMMITMENT</w:t>
            </w:r>
          </w:p>
        </w:tc>
        <w:tc>
          <w:tcPr>
            <w:tcW w:w="7940" w:type="dxa"/>
            <w:vAlign w:val="bottom"/>
            <w:gridSpan w:val="6"/>
          </w:tcPr>
          <w:p>
            <w:pPr>
              <w:spacing w:after="0"/>
              <w:rPr>
                <w:sz w:val="23"/>
                <w:szCs w:val="23"/>
                <w:color w:val="auto"/>
              </w:rPr>
            </w:pPr>
          </w:p>
        </w:tc>
        <w:tc>
          <w:tcPr>
            <w:tcW w:w="400" w:type="dxa"/>
            <w:vAlign w:val="bottom"/>
          </w:tcPr>
          <w:p>
            <w:pPr>
              <w:spacing w:after="0"/>
              <w:rPr>
                <w:sz w:val="20"/>
                <w:szCs w:val="20"/>
                <w:color w:val="auto"/>
              </w:rPr>
            </w:pPr>
            <w:r>
              <w:rPr>
                <w:rFonts w:ascii="Arial" w:cs="Arial" w:eastAsia="Arial" w:hAnsi="Arial"/>
                <w:sz w:val="20"/>
                <w:szCs w:val="20"/>
                <w:color w:val="auto"/>
              </w:rPr>
              <w:t>39</w:t>
            </w:r>
          </w:p>
        </w:tc>
      </w:tr>
      <w:tr>
        <w:trPr>
          <w:trHeight w:val="335"/>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2.1</w:t>
            </w:r>
          </w:p>
        </w:tc>
        <w:tc>
          <w:tcPr>
            <w:tcW w:w="9700" w:type="dxa"/>
            <w:vAlign w:val="bottom"/>
            <w:gridSpan w:val="8"/>
          </w:tcPr>
          <w:p>
            <w:pPr>
              <w:ind w:left="120"/>
              <w:spacing w:after="0"/>
              <w:rPr>
                <w:sz w:val="20"/>
                <w:szCs w:val="20"/>
                <w:color w:val="auto"/>
              </w:rPr>
            </w:pPr>
            <w:r>
              <w:rPr>
                <w:rFonts w:ascii="Arial" w:cs="Arial" w:eastAsia="Arial" w:hAnsi="Arial"/>
                <w:sz w:val="20"/>
                <w:szCs w:val="20"/>
                <w:color w:val="auto"/>
              </w:rPr>
              <w:t>Credit Facility</w:t>
            </w:r>
          </w:p>
        </w:tc>
        <w:tc>
          <w:tcPr>
            <w:tcW w:w="400" w:type="dxa"/>
            <w:vAlign w:val="bottom"/>
          </w:tcPr>
          <w:p>
            <w:pPr>
              <w:spacing w:after="0"/>
              <w:rPr>
                <w:sz w:val="20"/>
                <w:szCs w:val="20"/>
                <w:color w:val="auto"/>
              </w:rPr>
            </w:pPr>
            <w:r>
              <w:rPr>
                <w:rFonts w:ascii="Arial" w:cs="Arial" w:eastAsia="Arial" w:hAnsi="Arial"/>
                <w:sz w:val="20"/>
                <w:szCs w:val="20"/>
                <w:color w:val="auto"/>
              </w:rPr>
              <w:t>39</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2.2</w:t>
            </w:r>
          </w:p>
        </w:tc>
        <w:tc>
          <w:tcPr>
            <w:tcW w:w="9700" w:type="dxa"/>
            <w:vAlign w:val="bottom"/>
            <w:gridSpan w:val="8"/>
          </w:tcPr>
          <w:p>
            <w:pPr>
              <w:ind w:left="120"/>
              <w:spacing w:after="0"/>
              <w:rPr>
                <w:sz w:val="20"/>
                <w:szCs w:val="20"/>
                <w:color w:val="auto"/>
              </w:rPr>
            </w:pPr>
            <w:r>
              <w:rPr>
                <w:rFonts w:ascii="Arial" w:cs="Arial" w:eastAsia="Arial" w:hAnsi="Arial"/>
                <w:sz w:val="20"/>
                <w:szCs w:val="20"/>
                <w:color w:val="auto"/>
              </w:rPr>
              <w:t>Loan Procedure</w:t>
            </w:r>
          </w:p>
        </w:tc>
        <w:tc>
          <w:tcPr>
            <w:tcW w:w="400" w:type="dxa"/>
            <w:vAlign w:val="bottom"/>
          </w:tcPr>
          <w:p>
            <w:pPr>
              <w:spacing w:after="0"/>
              <w:rPr>
                <w:sz w:val="20"/>
                <w:szCs w:val="20"/>
                <w:color w:val="auto"/>
              </w:rPr>
            </w:pPr>
            <w:r>
              <w:rPr>
                <w:rFonts w:ascii="Arial" w:cs="Arial" w:eastAsia="Arial" w:hAnsi="Arial"/>
                <w:sz w:val="20"/>
                <w:szCs w:val="20"/>
                <w:color w:val="auto"/>
              </w:rPr>
              <w:t>39</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2.3</w:t>
            </w:r>
          </w:p>
        </w:tc>
        <w:tc>
          <w:tcPr>
            <w:tcW w:w="9700" w:type="dxa"/>
            <w:vAlign w:val="bottom"/>
            <w:gridSpan w:val="8"/>
          </w:tcPr>
          <w:p>
            <w:pPr>
              <w:ind w:left="120"/>
              <w:spacing w:after="0"/>
              <w:rPr>
                <w:sz w:val="20"/>
                <w:szCs w:val="20"/>
                <w:color w:val="auto"/>
              </w:rPr>
            </w:pPr>
            <w:r>
              <w:rPr>
                <w:rFonts w:ascii="Arial" w:cs="Arial" w:eastAsia="Arial" w:hAnsi="Arial"/>
                <w:sz w:val="20"/>
                <w:szCs w:val="20"/>
                <w:color w:val="auto"/>
              </w:rPr>
              <w:t>L/C Subfacility</w:t>
            </w:r>
          </w:p>
        </w:tc>
        <w:tc>
          <w:tcPr>
            <w:tcW w:w="400" w:type="dxa"/>
            <w:vAlign w:val="bottom"/>
          </w:tcPr>
          <w:p>
            <w:pPr>
              <w:spacing w:after="0"/>
              <w:rPr>
                <w:sz w:val="20"/>
                <w:szCs w:val="20"/>
                <w:color w:val="auto"/>
              </w:rPr>
            </w:pPr>
            <w:r>
              <w:rPr>
                <w:rFonts w:ascii="Arial" w:cs="Arial" w:eastAsia="Arial" w:hAnsi="Arial"/>
                <w:sz w:val="20"/>
                <w:szCs w:val="20"/>
                <w:color w:val="auto"/>
              </w:rPr>
              <w:t>42</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2.4</w:t>
            </w:r>
          </w:p>
        </w:tc>
        <w:tc>
          <w:tcPr>
            <w:tcW w:w="9700" w:type="dxa"/>
            <w:vAlign w:val="bottom"/>
            <w:gridSpan w:val="8"/>
          </w:tcPr>
          <w:p>
            <w:pPr>
              <w:ind w:left="120"/>
              <w:spacing w:after="0"/>
              <w:rPr>
                <w:sz w:val="20"/>
                <w:szCs w:val="20"/>
                <w:color w:val="auto"/>
              </w:rPr>
            </w:pPr>
            <w:r>
              <w:rPr>
                <w:rFonts w:ascii="Arial" w:cs="Arial" w:eastAsia="Arial" w:hAnsi="Arial"/>
                <w:sz w:val="20"/>
                <w:szCs w:val="20"/>
                <w:color w:val="auto"/>
              </w:rPr>
              <w:t>Swing Line Loans</w:t>
            </w:r>
          </w:p>
        </w:tc>
        <w:tc>
          <w:tcPr>
            <w:tcW w:w="400" w:type="dxa"/>
            <w:vAlign w:val="bottom"/>
          </w:tcPr>
          <w:p>
            <w:pPr>
              <w:spacing w:after="0"/>
              <w:rPr>
                <w:sz w:val="20"/>
                <w:szCs w:val="20"/>
                <w:color w:val="auto"/>
              </w:rPr>
            </w:pPr>
            <w:r>
              <w:rPr>
                <w:rFonts w:ascii="Arial" w:cs="Arial" w:eastAsia="Arial" w:hAnsi="Arial"/>
                <w:sz w:val="20"/>
                <w:szCs w:val="20"/>
                <w:color w:val="auto"/>
              </w:rPr>
              <w:t>52</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2.5</w:t>
            </w:r>
          </w:p>
        </w:tc>
        <w:tc>
          <w:tcPr>
            <w:tcW w:w="9700" w:type="dxa"/>
            <w:vAlign w:val="bottom"/>
            <w:gridSpan w:val="8"/>
          </w:tcPr>
          <w:p>
            <w:pPr>
              <w:ind w:left="120"/>
              <w:spacing w:after="0"/>
              <w:rPr>
                <w:sz w:val="20"/>
                <w:szCs w:val="20"/>
                <w:color w:val="auto"/>
              </w:rPr>
            </w:pPr>
            <w:r>
              <w:rPr>
                <w:rFonts w:ascii="Arial" w:cs="Arial" w:eastAsia="Arial" w:hAnsi="Arial"/>
                <w:sz w:val="20"/>
                <w:szCs w:val="20"/>
                <w:color w:val="auto"/>
              </w:rPr>
              <w:t>Increase in Revolver Commitments; Incremental Term Loan Facility</w:t>
            </w:r>
          </w:p>
        </w:tc>
        <w:tc>
          <w:tcPr>
            <w:tcW w:w="400" w:type="dxa"/>
            <w:vAlign w:val="bottom"/>
          </w:tcPr>
          <w:p>
            <w:pPr>
              <w:spacing w:after="0"/>
              <w:rPr>
                <w:sz w:val="20"/>
                <w:szCs w:val="20"/>
                <w:color w:val="auto"/>
              </w:rPr>
            </w:pPr>
            <w:r>
              <w:rPr>
                <w:rFonts w:ascii="Arial" w:cs="Arial" w:eastAsia="Arial" w:hAnsi="Arial"/>
                <w:sz w:val="20"/>
                <w:szCs w:val="20"/>
                <w:color w:val="auto"/>
              </w:rPr>
              <w:t>55</w:t>
            </w:r>
          </w:p>
        </w:tc>
      </w:tr>
      <w:tr>
        <w:trPr>
          <w:trHeight w:val="266"/>
        </w:trPr>
        <w:tc>
          <w:tcPr>
            <w:tcW w:w="10520" w:type="dxa"/>
            <w:vAlign w:val="bottom"/>
            <w:gridSpan w:val="9"/>
          </w:tcPr>
          <w:p>
            <w:pPr>
              <w:spacing w:after="0"/>
              <w:rPr>
                <w:sz w:val="20"/>
                <w:szCs w:val="20"/>
                <w:color w:val="auto"/>
              </w:rPr>
            </w:pPr>
            <w:r>
              <w:rPr>
                <w:rFonts w:ascii="Arial" w:cs="Arial" w:eastAsia="Arial" w:hAnsi="Arial"/>
                <w:sz w:val="20"/>
                <w:szCs w:val="20"/>
                <w:b w:val="1"/>
                <w:bCs w:val="1"/>
                <w:color w:val="auto"/>
              </w:rPr>
              <w:t>SECTION 3 TERMS OF PAYMENT</w:t>
            </w:r>
          </w:p>
        </w:tc>
        <w:tc>
          <w:tcPr>
            <w:tcW w:w="400" w:type="dxa"/>
            <w:vAlign w:val="bottom"/>
          </w:tcPr>
          <w:p>
            <w:pPr>
              <w:spacing w:after="0"/>
              <w:rPr>
                <w:sz w:val="20"/>
                <w:szCs w:val="20"/>
                <w:color w:val="auto"/>
              </w:rPr>
            </w:pPr>
            <w:r>
              <w:rPr>
                <w:rFonts w:ascii="Arial" w:cs="Arial" w:eastAsia="Arial" w:hAnsi="Arial"/>
                <w:sz w:val="20"/>
                <w:szCs w:val="20"/>
                <w:color w:val="auto"/>
              </w:rPr>
              <w:t>57</w:t>
            </w:r>
          </w:p>
        </w:tc>
      </w:tr>
      <w:tr>
        <w:trPr>
          <w:trHeight w:val="335"/>
        </w:trPr>
        <w:tc>
          <w:tcPr>
            <w:tcW w:w="82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3.1</w:t>
            </w:r>
          </w:p>
        </w:tc>
        <w:tc>
          <w:tcPr>
            <w:tcW w:w="2320" w:type="dxa"/>
            <w:vAlign w:val="bottom"/>
            <w:tcBorders>
              <w:top w:val="single" w:sz="8" w:color="auto"/>
            </w:tcBorders>
            <w:gridSpan w:val="3"/>
          </w:tcPr>
          <w:p>
            <w:pPr>
              <w:ind w:left="120"/>
              <w:spacing w:after="0"/>
              <w:rPr>
                <w:sz w:val="20"/>
                <w:szCs w:val="20"/>
                <w:color w:val="auto"/>
              </w:rPr>
            </w:pPr>
            <w:r>
              <w:rPr>
                <w:rFonts w:ascii="Arial" w:cs="Arial" w:eastAsia="Arial" w:hAnsi="Arial"/>
                <w:sz w:val="20"/>
                <w:szCs w:val="20"/>
                <w:color w:val="auto"/>
              </w:rPr>
              <w:t>Notes and Payments</w:t>
            </w:r>
          </w:p>
        </w:tc>
        <w:tc>
          <w:tcPr>
            <w:tcW w:w="7380" w:type="dxa"/>
            <w:vAlign w:val="bottom"/>
            <w:gridSpan w:val="5"/>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20"/>
                <w:szCs w:val="20"/>
                <w:color w:val="auto"/>
              </w:rPr>
              <w:t>57</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3.2</w:t>
            </w:r>
          </w:p>
        </w:tc>
        <w:tc>
          <w:tcPr>
            <w:tcW w:w="9700" w:type="dxa"/>
            <w:vAlign w:val="bottom"/>
            <w:gridSpan w:val="8"/>
          </w:tcPr>
          <w:p>
            <w:pPr>
              <w:ind w:left="120"/>
              <w:spacing w:after="0"/>
              <w:rPr>
                <w:sz w:val="20"/>
                <w:szCs w:val="20"/>
                <w:color w:val="auto"/>
              </w:rPr>
            </w:pPr>
            <w:r>
              <w:rPr>
                <w:rFonts w:ascii="Arial" w:cs="Arial" w:eastAsia="Arial" w:hAnsi="Arial"/>
                <w:sz w:val="20"/>
                <w:szCs w:val="20"/>
                <w:color w:val="auto"/>
              </w:rPr>
              <w:t>Interest and Principal Payments; Prepayments; Voluntary Commitment Reductions</w:t>
            </w:r>
          </w:p>
        </w:tc>
        <w:tc>
          <w:tcPr>
            <w:tcW w:w="400" w:type="dxa"/>
            <w:vAlign w:val="bottom"/>
          </w:tcPr>
          <w:p>
            <w:pPr>
              <w:spacing w:after="0"/>
              <w:rPr>
                <w:sz w:val="20"/>
                <w:szCs w:val="20"/>
                <w:color w:val="auto"/>
              </w:rPr>
            </w:pPr>
            <w:r>
              <w:rPr>
                <w:rFonts w:ascii="Arial" w:cs="Arial" w:eastAsia="Arial" w:hAnsi="Arial"/>
                <w:sz w:val="20"/>
                <w:szCs w:val="20"/>
                <w:color w:val="auto"/>
              </w:rPr>
              <w:t>58</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3.3</w:t>
            </w:r>
          </w:p>
        </w:tc>
        <w:tc>
          <w:tcPr>
            <w:tcW w:w="9700" w:type="dxa"/>
            <w:vAlign w:val="bottom"/>
            <w:gridSpan w:val="8"/>
          </w:tcPr>
          <w:p>
            <w:pPr>
              <w:ind w:left="120"/>
              <w:spacing w:after="0"/>
              <w:rPr>
                <w:sz w:val="20"/>
                <w:szCs w:val="20"/>
                <w:color w:val="auto"/>
              </w:rPr>
            </w:pPr>
            <w:r>
              <w:rPr>
                <w:rFonts w:ascii="Arial" w:cs="Arial" w:eastAsia="Arial" w:hAnsi="Arial"/>
                <w:sz w:val="20"/>
                <w:szCs w:val="20"/>
                <w:color w:val="auto"/>
              </w:rPr>
              <w:t>Interest Options</w:t>
            </w:r>
          </w:p>
        </w:tc>
        <w:tc>
          <w:tcPr>
            <w:tcW w:w="400" w:type="dxa"/>
            <w:vAlign w:val="bottom"/>
          </w:tcPr>
          <w:p>
            <w:pPr>
              <w:spacing w:after="0"/>
              <w:rPr>
                <w:sz w:val="20"/>
                <w:szCs w:val="20"/>
                <w:color w:val="auto"/>
              </w:rPr>
            </w:pPr>
            <w:r>
              <w:rPr>
                <w:rFonts w:ascii="Arial" w:cs="Arial" w:eastAsia="Arial" w:hAnsi="Arial"/>
                <w:sz w:val="20"/>
                <w:szCs w:val="20"/>
                <w:color w:val="auto"/>
              </w:rPr>
              <w:t>59</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3.4</w:t>
            </w:r>
          </w:p>
        </w:tc>
        <w:tc>
          <w:tcPr>
            <w:tcW w:w="9700" w:type="dxa"/>
            <w:vAlign w:val="bottom"/>
            <w:gridSpan w:val="8"/>
          </w:tcPr>
          <w:p>
            <w:pPr>
              <w:ind w:left="120"/>
              <w:spacing w:after="0"/>
              <w:rPr>
                <w:sz w:val="20"/>
                <w:szCs w:val="20"/>
                <w:color w:val="auto"/>
              </w:rPr>
            </w:pPr>
            <w:r>
              <w:rPr>
                <w:rFonts w:ascii="Arial" w:cs="Arial" w:eastAsia="Arial" w:hAnsi="Arial"/>
                <w:sz w:val="20"/>
                <w:szCs w:val="20"/>
                <w:color w:val="auto"/>
              </w:rPr>
              <w:t>Quotation of Rates</w:t>
            </w:r>
          </w:p>
        </w:tc>
        <w:tc>
          <w:tcPr>
            <w:tcW w:w="400" w:type="dxa"/>
            <w:vAlign w:val="bottom"/>
          </w:tcPr>
          <w:p>
            <w:pPr>
              <w:spacing w:after="0"/>
              <w:rPr>
                <w:sz w:val="20"/>
                <w:szCs w:val="20"/>
                <w:color w:val="auto"/>
              </w:rPr>
            </w:pPr>
            <w:r>
              <w:rPr>
                <w:rFonts w:ascii="Arial" w:cs="Arial" w:eastAsia="Arial" w:hAnsi="Arial"/>
                <w:sz w:val="20"/>
                <w:szCs w:val="20"/>
                <w:color w:val="auto"/>
              </w:rPr>
              <w:t>61</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3.5</w:t>
            </w:r>
          </w:p>
        </w:tc>
        <w:tc>
          <w:tcPr>
            <w:tcW w:w="9700" w:type="dxa"/>
            <w:vAlign w:val="bottom"/>
            <w:gridSpan w:val="8"/>
          </w:tcPr>
          <w:p>
            <w:pPr>
              <w:ind w:left="120"/>
              <w:spacing w:after="0"/>
              <w:rPr>
                <w:sz w:val="20"/>
                <w:szCs w:val="20"/>
                <w:color w:val="auto"/>
              </w:rPr>
            </w:pPr>
            <w:r>
              <w:rPr>
                <w:rFonts w:ascii="Arial" w:cs="Arial" w:eastAsia="Arial" w:hAnsi="Arial"/>
                <w:sz w:val="20"/>
                <w:szCs w:val="20"/>
                <w:color w:val="auto"/>
              </w:rPr>
              <w:t>Default Rate</w:t>
            </w:r>
          </w:p>
        </w:tc>
        <w:tc>
          <w:tcPr>
            <w:tcW w:w="400" w:type="dxa"/>
            <w:vAlign w:val="bottom"/>
          </w:tcPr>
          <w:p>
            <w:pPr>
              <w:spacing w:after="0"/>
              <w:rPr>
                <w:sz w:val="20"/>
                <w:szCs w:val="20"/>
                <w:color w:val="auto"/>
              </w:rPr>
            </w:pPr>
            <w:r>
              <w:rPr>
                <w:rFonts w:ascii="Arial" w:cs="Arial" w:eastAsia="Arial" w:hAnsi="Arial"/>
                <w:sz w:val="20"/>
                <w:szCs w:val="20"/>
                <w:color w:val="auto"/>
              </w:rPr>
              <w:t>61</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3.6</w:t>
            </w:r>
          </w:p>
        </w:tc>
        <w:tc>
          <w:tcPr>
            <w:tcW w:w="9700" w:type="dxa"/>
            <w:vAlign w:val="bottom"/>
            <w:gridSpan w:val="8"/>
          </w:tcPr>
          <w:p>
            <w:pPr>
              <w:ind w:left="120"/>
              <w:spacing w:after="0"/>
              <w:rPr>
                <w:sz w:val="20"/>
                <w:szCs w:val="20"/>
                <w:color w:val="auto"/>
              </w:rPr>
            </w:pPr>
            <w:r>
              <w:rPr>
                <w:rFonts w:ascii="Arial" w:cs="Arial" w:eastAsia="Arial" w:hAnsi="Arial"/>
                <w:sz w:val="20"/>
                <w:szCs w:val="20"/>
                <w:color w:val="auto"/>
              </w:rPr>
              <w:t>Interest Recapture</w:t>
            </w:r>
          </w:p>
        </w:tc>
        <w:tc>
          <w:tcPr>
            <w:tcW w:w="400" w:type="dxa"/>
            <w:vAlign w:val="bottom"/>
          </w:tcPr>
          <w:p>
            <w:pPr>
              <w:spacing w:after="0"/>
              <w:rPr>
                <w:sz w:val="20"/>
                <w:szCs w:val="20"/>
                <w:color w:val="auto"/>
              </w:rPr>
            </w:pPr>
            <w:r>
              <w:rPr>
                <w:rFonts w:ascii="Arial" w:cs="Arial" w:eastAsia="Arial" w:hAnsi="Arial"/>
                <w:sz w:val="20"/>
                <w:szCs w:val="20"/>
                <w:color w:val="auto"/>
              </w:rPr>
              <w:t>61</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3.7</w:t>
            </w:r>
          </w:p>
        </w:tc>
        <w:tc>
          <w:tcPr>
            <w:tcW w:w="9700" w:type="dxa"/>
            <w:vAlign w:val="bottom"/>
            <w:gridSpan w:val="8"/>
          </w:tcPr>
          <w:p>
            <w:pPr>
              <w:ind w:left="120"/>
              <w:spacing w:after="0"/>
              <w:rPr>
                <w:sz w:val="20"/>
                <w:szCs w:val="20"/>
                <w:color w:val="auto"/>
              </w:rPr>
            </w:pPr>
            <w:r>
              <w:rPr>
                <w:rFonts w:ascii="Arial" w:cs="Arial" w:eastAsia="Arial" w:hAnsi="Arial"/>
                <w:sz w:val="20"/>
                <w:szCs w:val="20"/>
                <w:color w:val="auto"/>
              </w:rPr>
              <w:t>Interest Calculations; Retroactive Adjustments of Applicable Margin</w:t>
            </w:r>
          </w:p>
        </w:tc>
        <w:tc>
          <w:tcPr>
            <w:tcW w:w="400" w:type="dxa"/>
            <w:vAlign w:val="bottom"/>
          </w:tcPr>
          <w:p>
            <w:pPr>
              <w:spacing w:after="0"/>
              <w:rPr>
                <w:sz w:val="20"/>
                <w:szCs w:val="20"/>
                <w:color w:val="auto"/>
              </w:rPr>
            </w:pPr>
            <w:r>
              <w:rPr>
                <w:rFonts w:ascii="Arial" w:cs="Arial" w:eastAsia="Arial" w:hAnsi="Arial"/>
                <w:sz w:val="20"/>
                <w:szCs w:val="20"/>
                <w:color w:val="auto"/>
              </w:rPr>
              <w:t>61</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3.8</w:t>
            </w:r>
          </w:p>
        </w:tc>
        <w:tc>
          <w:tcPr>
            <w:tcW w:w="9700" w:type="dxa"/>
            <w:vAlign w:val="bottom"/>
            <w:gridSpan w:val="8"/>
          </w:tcPr>
          <w:p>
            <w:pPr>
              <w:ind w:left="120"/>
              <w:spacing w:after="0"/>
              <w:rPr>
                <w:sz w:val="20"/>
                <w:szCs w:val="20"/>
                <w:color w:val="auto"/>
              </w:rPr>
            </w:pPr>
            <w:r>
              <w:rPr>
                <w:rFonts w:ascii="Arial" w:cs="Arial" w:eastAsia="Arial" w:hAnsi="Arial"/>
                <w:sz w:val="20"/>
                <w:szCs w:val="20"/>
                <w:color w:val="auto"/>
              </w:rPr>
              <w:t>Maximum Rate</w:t>
            </w:r>
          </w:p>
        </w:tc>
        <w:tc>
          <w:tcPr>
            <w:tcW w:w="400" w:type="dxa"/>
            <w:vAlign w:val="bottom"/>
          </w:tcPr>
          <w:p>
            <w:pPr>
              <w:spacing w:after="0"/>
              <w:rPr>
                <w:sz w:val="20"/>
                <w:szCs w:val="20"/>
                <w:color w:val="auto"/>
              </w:rPr>
            </w:pPr>
            <w:r>
              <w:rPr>
                <w:rFonts w:ascii="Arial" w:cs="Arial" w:eastAsia="Arial" w:hAnsi="Arial"/>
                <w:sz w:val="20"/>
                <w:szCs w:val="20"/>
                <w:color w:val="auto"/>
              </w:rPr>
              <w:t>62</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3.9</w:t>
            </w:r>
          </w:p>
        </w:tc>
        <w:tc>
          <w:tcPr>
            <w:tcW w:w="9700" w:type="dxa"/>
            <w:vAlign w:val="bottom"/>
            <w:gridSpan w:val="8"/>
          </w:tcPr>
          <w:p>
            <w:pPr>
              <w:ind w:left="120"/>
              <w:spacing w:after="0"/>
              <w:rPr>
                <w:sz w:val="20"/>
                <w:szCs w:val="20"/>
                <w:color w:val="auto"/>
              </w:rPr>
            </w:pPr>
            <w:r>
              <w:rPr>
                <w:rFonts w:ascii="Arial" w:cs="Arial" w:eastAsia="Arial" w:hAnsi="Arial"/>
                <w:sz w:val="20"/>
                <w:szCs w:val="20"/>
                <w:color w:val="auto"/>
              </w:rPr>
              <w:t>Interest Periods</w:t>
            </w:r>
          </w:p>
        </w:tc>
        <w:tc>
          <w:tcPr>
            <w:tcW w:w="400" w:type="dxa"/>
            <w:vAlign w:val="bottom"/>
          </w:tcPr>
          <w:p>
            <w:pPr>
              <w:spacing w:after="0"/>
              <w:rPr>
                <w:sz w:val="20"/>
                <w:szCs w:val="20"/>
                <w:color w:val="auto"/>
              </w:rPr>
            </w:pPr>
            <w:r>
              <w:rPr>
                <w:rFonts w:ascii="Arial" w:cs="Arial" w:eastAsia="Arial" w:hAnsi="Arial"/>
                <w:sz w:val="20"/>
                <w:szCs w:val="20"/>
                <w:color w:val="auto"/>
              </w:rPr>
              <w:t>62</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3.10</w:t>
            </w:r>
          </w:p>
        </w:tc>
        <w:tc>
          <w:tcPr>
            <w:tcW w:w="9700" w:type="dxa"/>
            <w:vAlign w:val="bottom"/>
            <w:gridSpan w:val="8"/>
          </w:tcPr>
          <w:p>
            <w:pPr>
              <w:ind w:left="120"/>
              <w:spacing w:after="0"/>
              <w:rPr>
                <w:sz w:val="20"/>
                <w:szCs w:val="20"/>
                <w:color w:val="auto"/>
              </w:rPr>
            </w:pPr>
            <w:r>
              <w:rPr>
                <w:rFonts w:ascii="Arial" w:cs="Arial" w:eastAsia="Arial" w:hAnsi="Arial"/>
                <w:sz w:val="20"/>
                <w:szCs w:val="20"/>
                <w:color w:val="auto"/>
              </w:rPr>
              <w:t>Order of Application</w:t>
            </w:r>
          </w:p>
        </w:tc>
        <w:tc>
          <w:tcPr>
            <w:tcW w:w="400" w:type="dxa"/>
            <w:vAlign w:val="bottom"/>
          </w:tcPr>
          <w:p>
            <w:pPr>
              <w:spacing w:after="0"/>
              <w:rPr>
                <w:sz w:val="20"/>
                <w:szCs w:val="20"/>
                <w:color w:val="auto"/>
              </w:rPr>
            </w:pPr>
            <w:r>
              <w:rPr>
                <w:rFonts w:ascii="Arial" w:cs="Arial" w:eastAsia="Arial" w:hAnsi="Arial"/>
                <w:sz w:val="20"/>
                <w:szCs w:val="20"/>
                <w:color w:val="auto"/>
              </w:rPr>
              <w:t>62</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3.11</w:t>
            </w:r>
          </w:p>
        </w:tc>
        <w:tc>
          <w:tcPr>
            <w:tcW w:w="9700" w:type="dxa"/>
            <w:vAlign w:val="bottom"/>
            <w:gridSpan w:val="8"/>
          </w:tcPr>
          <w:p>
            <w:pPr>
              <w:ind w:left="120"/>
              <w:spacing w:after="0"/>
              <w:rPr>
                <w:sz w:val="20"/>
                <w:szCs w:val="20"/>
                <w:color w:val="auto"/>
              </w:rPr>
            </w:pPr>
            <w:r>
              <w:rPr>
                <w:rFonts w:ascii="Arial" w:cs="Arial" w:eastAsia="Arial" w:hAnsi="Arial"/>
                <w:sz w:val="20"/>
                <w:szCs w:val="20"/>
                <w:color w:val="auto"/>
              </w:rPr>
              <w:t>Payments Generally</w:t>
            </w:r>
          </w:p>
        </w:tc>
        <w:tc>
          <w:tcPr>
            <w:tcW w:w="400" w:type="dxa"/>
            <w:vAlign w:val="bottom"/>
          </w:tcPr>
          <w:p>
            <w:pPr>
              <w:spacing w:after="0"/>
              <w:rPr>
                <w:sz w:val="20"/>
                <w:szCs w:val="20"/>
                <w:color w:val="auto"/>
              </w:rPr>
            </w:pPr>
            <w:r>
              <w:rPr>
                <w:rFonts w:ascii="Arial" w:cs="Arial" w:eastAsia="Arial" w:hAnsi="Arial"/>
                <w:sz w:val="20"/>
                <w:szCs w:val="20"/>
                <w:color w:val="auto"/>
              </w:rPr>
              <w:t>63</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3.12</w:t>
            </w:r>
          </w:p>
        </w:tc>
        <w:tc>
          <w:tcPr>
            <w:tcW w:w="9700" w:type="dxa"/>
            <w:vAlign w:val="bottom"/>
            <w:gridSpan w:val="8"/>
          </w:tcPr>
          <w:p>
            <w:pPr>
              <w:ind w:left="120"/>
              <w:spacing w:after="0"/>
              <w:rPr>
                <w:sz w:val="20"/>
                <w:szCs w:val="20"/>
                <w:color w:val="auto"/>
              </w:rPr>
            </w:pPr>
            <w:r>
              <w:rPr>
                <w:rFonts w:ascii="Arial" w:cs="Arial" w:eastAsia="Arial" w:hAnsi="Arial"/>
                <w:sz w:val="20"/>
                <w:szCs w:val="20"/>
                <w:color w:val="auto"/>
              </w:rPr>
              <w:t>Sharing of Payments, Etc.</w:t>
            </w:r>
          </w:p>
        </w:tc>
        <w:tc>
          <w:tcPr>
            <w:tcW w:w="400" w:type="dxa"/>
            <w:vAlign w:val="bottom"/>
          </w:tcPr>
          <w:p>
            <w:pPr>
              <w:spacing w:after="0"/>
              <w:rPr>
                <w:sz w:val="20"/>
                <w:szCs w:val="20"/>
                <w:color w:val="auto"/>
              </w:rPr>
            </w:pPr>
            <w:r>
              <w:rPr>
                <w:rFonts w:ascii="Arial" w:cs="Arial" w:eastAsia="Arial" w:hAnsi="Arial"/>
                <w:sz w:val="20"/>
                <w:szCs w:val="20"/>
                <w:color w:val="auto"/>
              </w:rPr>
              <w:t>63</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3.13</w:t>
            </w:r>
          </w:p>
        </w:tc>
        <w:tc>
          <w:tcPr>
            <w:tcW w:w="9700" w:type="dxa"/>
            <w:vAlign w:val="bottom"/>
            <w:gridSpan w:val="8"/>
          </w:tcPr>
          <w:p>
            <w:pPr>
              <w:ind w:left="120"/>
              <w:spacing w:after="0"/>
              <w:rPr>
                <w:sz w:val="20"/>
                <w:szCs w:val="20"/>
                <w:color w:val="auto"/>
              </w:rPr>
            </w:pPr>
            <w:r>
              <w:rPr>
                <w:rFonts w:ascii="Arial" w:cs="Arial" w:eastAsia="Arial" w:hAnsi="Arial"/>
                <w:sz w:val="20"/>
                <w:szCs w:val="20"/>
                <w:color w:val="auto"/>
              </w:rPr>
              <w:t>Booking Loans</w:t>
            </w:r>
          </w:p>
        </w:tc>
        <w:tc>
          <w:tcPr>
            <w:tcW w:w="400" w:type="dxa"/>
            <w:vAlign w:val="bottom"/>
          </w:tcPr>
          <w:p>
            <w:pPr>
              <w:spacing w:after="0"/>
              <w:rPr>
                <w:sz w:val="20"/>
                <w:szCs w:val="20"/>
                <w:color w:val="auto"/>
              </w:rPr>
            </w:pPr>
            <w:r>
              <w:rPr>
                <w:rFonts w:ascii="Arial" w:cs="Arial" w:eastAsia="Arial" w:hAnsi="Arial"/>
                <w:sz w:val="20"/>
                <w:szCs w:val="20"/>
                <w:color w:val="auto"/>
              </w:rPr>
              <w:t>64</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3.14</w:t>
            </w:r>
          </w:p>
        </w:tc>
        <w:tc>
          <w:tcPr>
            <w:tcW w:w="9700" w:type="dxa"/>
            <w:vAlign w:val="bottom"/>
            <w:gridSpan w:val="8"/>
          </w:tcPr>
          <w:p>
            <w:pPr>
              <w:ind w:left="120"/>
              <w:spacing w:after="0"/>
              <w:rPr>
                <w:sz w:val="20"/>
                <w:szCs w:val="20"/>
                <w:color w:val="auto"/>
              </w:rPr>
            </w:pPr>
            <w:r>
              <w:rPr>
                <w:rFonts w:ascii="Arial" w:cs="Arial" w:eastAsia="Arial" w:hAnsi="Arial"/>
                <w:sz w:val="20"/>
                <w:szCs w:val="20"/>
                <w:color w:val="auto"/>
              </w:rPr>
              <w:t>Cash Collateral</w:t>
            </w:r>
          </w:p>
        </w:tc>
        <w:tc>
          <w:tcPr>
            <w:tcW w:w="400" w:type="dxa"/>
            <w:vAlign w:val="bottom"/>
          </w:tcPr>
          <w:p>
            <w:pPr>
              <w:spacing w:after="0"/>
              <w:rPr>
                <w:sz w:val="20"/>
                <w:szCs w:val="20"/>
                <w:color w:val="auto"/>
              </w:rPr>
            </w:pPr>
            <w:r>
              <w:rPr>
                <w:rFonts w:ascii="Arial" w:cs="Arial" w:eastAsia="Arial" w:hAnsi="Arial"/>
                <w:sz w:val="20"/>
                <w:szCs w:val="20"/>
                <w:color w:val="auto"/>
              </w:rPr>
              <w:t>64</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3.15</w:t>
            </w:r>
          </w:p>
        </w:tc>
        <w:tc>
          <w:tcPr>
            <w:tcW w:w="9700" w:type="dxa"/>
            <w:vAlign w:val="bottom"/>
            <w:gridSpan w:val="8"/>
          </w:tcPr>
          <w:p>
            <w:pPr>
              <w:ind w:left="120"/>
              <w:spacing w:after="0"/>
              <w:rPr>
                <w:sz w:val="20"/>
                <w:szCs w:val="20"/>
                <w:color w:val="auto"/>
              </w:rPr>
            </w:pPr>
            <w:r>
              <w:rPr>
                <w:rFonts w:ascii="Arial" w:cs="Arial" w:eastAsia="Arial" w:hAnsi="Arial"/>
                <w:sz w:val="20"/>
                <w:szCs w:val="20"/>
                <w:color w:val="auto"/>
              </w:rPr>
              <w:t>Defaulting Lenders</w:t>
            </w:r>
          </w:p>
        </w:tc>
        <w:tc>
          <w:tcPr>
            <w:tcW w:w="400" w:type="dxa"/>
            <w:vAlign w:val="bottom"/>
          </w:tcPr>
          <w:p>
            <w:pPr>
              <w:spacing w:after="0"/>
              <w:rPr>
                <w:sz w:val="20"/>
                <w:szCs w:val="20"/>
                <w:color w:val="auto"/>
              </w:rPr>
            </w:pPr>
            <w:r>
              <w:rPr>
                <w:rFonts w:ascii="Arial" w:cs="Arial" w:eastAsia="Arial" w:hAnsi="Arial"/>
                <w:sz w:val="20"/>
                <w:szCs w:val="20"/>
                <w:color w:val="auto"/>
              </w:rPr>
              <w:t>65</w:t>
            </w:r>
          </w:p>
        </w:tc>
      </w:tr>
      <w:tr>
        <w:trPr>
          <w:trHeight w:val="266"/>
        </w:trPr>
        <w:tc>
          <w:tcPr>
            <w:tcW w:w="10520" w:type="dxa"/>
            <w:vAlign w:val="bottom"/>
            <w:gridSpan w:val="9"/>
          </w:tcPr>
          <w:p>
            <w:pPr>
              <w:spacing w:after="0"/>
              <w:rPr>
                <w:sz w:val="20"/>
                <w:szCs w:val="20"/>
                <w:color w:val="auto"/>
              </w:rPr>
            </w:pPr>
            <w:r>
              <w:rPr>
                <w:rFonts w:ascii="Arial" w:cs="Arial" w:eastAsia="Arial" w:hAnsi="Arial"/>
                <w:sz w:val="20"/>
                <w:szCs w:val="20"/>
                <w:b w:val="1"/>
                <w:bCs w:val="1"/>
                <w:color w:val="auto"/>
              </w:rPr>
              <w:t>SECTION 4 TAXES, YIELD PROTECTION, AND ILLEGALITY</w:t>
            </w:r>
          </w:p>
        </w:tc>
        <w:tc>
          <w:tcPr>
            <w:tcW w:w="400" w:type="dxa"/>
            <w:vAlign w:val="bottom"/>
          </w:tcPr>
          <w:p>
            <w:pPr>
              <w:spacing w:after="0"/>
              <w:rPr>
                <w:sz w:val="20"/>
                <w:szCs w:val="20"/>
                <w:color w:val="auto"/>
              </w:rPr>
            </w:pPr>
            <w:r>
              <w:rPr>
                <w:rFonts w:ascii="Arial" w:cs="Arial" w:eastAsia="Arial" w:hAnsi="Arial"/>
                <w:sz w:val="20"/>
                <w:szCs w:val="20"/>
                <w:color w:val="auto"/>
              </w:rPr>
              <w:t>67</w:t>
            </w:r>
          </w:p>
        </w:tc>
      </w:tr>
      <w:tr>
        <w:trPr>
          <w:trHeight w:val="335"/>
        </w:trPr>
        <w:tc>
          <w:tcPr>
            <w:tcW w:w="82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4.1</w:t>
            </w:r>
          </w:p>
        </w:tc>
        <w:tc>
          <w:tcPr>
            <w:tcW w:w="4860" w:type="dxa"/>
            <w:vAlign w:val="bottom"/>
            <w:tcBorders>
              <w:top w:val="single" w:sz="8" w:color="auto"/>
            </w:tcBorders>
            <w:gridSpan w:val="6"/>
          </w:tcPr>
          <w:p>
            <w:pPr>
              <w:ind w:left="120"/>
              <w:spacing w:after="0"/>
              <w:rPr>
                <w:sz w:val="20"/>
                <w:szCs w:val="20"/>
                <w:color w:val="auto"/>
              </w:rPr>
            </w:pPr>
            <w:r>
              <w:rPr>
                <w:rFonts w:ascii="Arial" w:cs="Arial" w:eastAsia="Arial" w:hAnsi="Arial"/>
                <w:sz w:val="20"/>
                <w:szCs w:val="20"/>
                <w:color w:val="auto"/>
              </w:rPr>
              <w:t>Taxes</w:t>
            </w:r>
          </w:p>
        </w:tc>
        <w:tc>
          <w:tcPr>
            <w:tcW w:w="4840" w:type="dxa"/>
            <w:vAlign w:val="bottom"/>
            <w:gridSpan w:val="2"/>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20"/>
                <w:szCs w:val="20"/>
                <w:color w:val="auto"/>
              </w:rPr>
              <w:t>67</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4.2</w:t>
            </w:r>
          </w:p>
        </w:tc>
        <w:tc>
          <w:tcPr>
            <w:tcW w:w="9700" w:type="dxa"/>
            <w:vAlign w:val="bottom"/>
            <w:gridSpan w:val="8"/>
          </w:tcPr>
          <w:p>
            <w:pPr>
              <w:ind w:left="120"/>
              <w:spacing w:after="0"/>
              <w:rPr>
                <w:sz w:val="20"/>
                <w:szCs w:val="20"/>
                <w:color w:val="auto"/>
              </w:rPr>
            </w:pPr>
            <w:r>
              <w:rPr>
                <w:rFonts w:ascii="Arial" w:cs="Arial" w:eastAsia="Arial" w:hAnsi="Arial"/>
                <w:sz w:val="20"/>
                <w:szCs w:val="20"/>
                <w:color w:val="auto"/>
              </w:rPr>
              <w:t>Illegality</w:t>
            </w:r>
          </w:p>
        </w:tc>
        <w:tc>
          <w:tcPr>
            <w:tcW w:w="400" w:type="dxa"/>
            <w:vAlign w:val="bottom"/>
          </w:tcPr>
          <w:p>
            <w:pPr>
              <w:spacing w:after="0"/>
              <w:rPr>
                <w:sz w:val="20"/>
                <w:szCs w:val="20"/>
                <w:color w:val="auto"/>
              </w:rPr>
            </w:pPr>
            <w:r>
              <w:rPr>
                <w:rFonts w:ascii="Arial" w:cs="Arial" w:eastAsia="Arial" w:hAnsi="Arial"/>
                <w:sz w:val="20"/>
                <w:szCs w:val="20"/>
                <w:color w:val="auto"/>
              </w:rPr>
              <w:t>72</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4.3</w:t>
            </w:r>
          </w:p>
        </w:tc>
        <w:tc>
          <w:tcPr>
            <w:tcW w:w="9700" w:type="dxa"/>
            <w:vAlign w:val="bottom"/>
            <w:gridSpan w:val="8"/>
          </w:tcPr>
          <w:p>
            <w:pPr>
              <w:ind w:left="120"/>
              <w:spacing w:after="0"/>
              <w:rPr>
                <w:sz w:val="20"/>
                <w:szCs w:val="20"/>
                <w:color w:val="auto"/>
              </w:rPr>
            </w:pPr>
            <w:r>
              <w:rPr>
                <w:rFonts w:ascii="Arial" w:cs="Arial" w:eastAsia="Arial" w:hAnsi="Arial"/>
                <w:sz w:val="20"/>
                <w:szCs w:val="20"/>
                <w:color w:val="auto"/>
              </w:rPr>
              <w:t>Inability to Determine Rates</w:t>
            </w:r>
          </w:p>
        </w:tc>
        <w:tc>
          <w:tcPr>
            <w:tcW w:w="400" w:type="dxa"/>
            <w:vAlign w:val="bottom"/>
          </w:tcPr>
          <w:p>
            <w:pPr>
              <w:spacing w:after="0"/>
              <w:rPr>
                <w:sz w:val="20"/>
                <w:szCs w:val="20"/>
                <w:color w:val="auto"/>
              </w:rPr>
            </w:pPr>
            <w:r>
              <w:rPr>
                <w:rFonts w:ascii="Arial" w:cs="Arial" w:eastAsia="Arial" w:hAnsi="Arial"/>
                <w:sz w:val="20"/>
                <w:szCs w:val="20"/>
                <w:color w:val="auto"/>
              </w:rPr>
              <w:t>72</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4.4</w:t>
            </w:r>
          </w:p>
        </w:tc>
        <w:tc>
          <w:tcPr>
            <w:tcW w:w="9700" w:type="dxa"/>
            <w:vAlign w:val="bottom"/>
            <w:gridSpan w:val="8"/>
          </w:tcPr>
          <w:p>
            <w:pPr>
              <w:ind w:left="120"/>
              <w:spacing w:after="0"/>
              <w:rPr>
                <w:sz w:val="20"/>
                <w:szCs w:val="20"/>
                <w:color w:val="auto"/>
              </w:rPr>
            </w:pPr>
            <w:r>
              <w:rPr>
                <w:rFonts w:ascii="Arial" w:cs="Arial" w:eastAsia="Arial" w:hAnsi="Arial"/>
                <w:sz w:val="20"/>
                <w:szCs w:val="20"/>
                <w:color w:val="auto"/>
              </w:rPr>
              <w:t>Increased Costs; Reserves on Eurocurrency Rate Loans</w:t>
            </w:r>
          </w:p>
        </w:tc>
        <w:tc>
          <w:tcPr>
            <w:tcW w:w="400" w:type="dxa"/>
            <w:vAlign w:val="bottom"/>
          </w:tcPr>
          <w:p>
            <w:pPr>
              <w:spacing w:after="0"/>
              <w:rPr>
                <w:sz w:val="20"/>
                <w:szCs w:val="20"/>
                <w:color w:val="auto"/>
              </w:rPr>
            </w:pPr>
            <w:r>
              <w:rPr>
                <w:rFonts w:ascii="Arial" w:cs="Arial" w:eastAsia="Arial" w:hAnsi="Arial"/>
                <w:sz w:val="20"/>
                <w:szCs w:val="20"/>
                <w:color w:val="auto"/>
              </w:rPr>
              <w:t>73</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4.5</w:t>
            </w:r>
          </w:p>
        </w:tc>
        <w:tc>
          <w:tcPr>
            <w:tcW w:w="9700" w:type="dxa"/>
            <w:vAlign w:val="bottom"/>
            <w:gridSpan w:val="8"/>
          </w:tcPr>
          <w:p>
            <w:pPr>
              <w:ind w:left="120"/>
              <w:spacing w:after="0"/>
              <w:rPr>
                <w:sz w:val="20"/>
                <w:szCs w:val="20"/>
                <w:color w:val="auto"/>
              </w:rPr>
            </w:pPr>
            <w:r>
              <w:rPr>
                <w:rFonts w:ascii="Arial" w:cs="Arial" w:eastAsia="Arial" w:hAnsi="Arial"/>
                <w:sz w:val="20"/>
                <w:szCs w:val="20"/>
                <w:color w:val="auto"/>
              </w:rPr>
              <w:t>Compensation for Losses</w:t>
            </w:r>
          </w:p>
        </w:tc>
        <w:tc>
          <w:tcPr>
            <w:tcW w:w="400" w:type="dxa"/>
            <w:vAlign w:val="bottom"/>
          </w:tcPr>
          <w:p>
            <w:pPr>
              <w:spacing w:after="0"/>
              <w:rPr>
                <w:sz w:val="20"/>
                <w:szCs w:val="20"/>
                <w:color w:val="auto"/>
              </w:rPr>
            </w:pPr>
            <w:r>
              <w:rPr>
                <w:rFonts w:ascii="Arial" w:cs="Arial" w:eastAsia="Arial" w:hAnsi="Arial"/>
                <w:sz w:val="20"/>
                <w:szCs w:val="20"/>
                <w:color w:val="auto"/>
              </w:rPr>
              <w:t>74</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4.6</w:t>
            </w:r>
          </w:p>
        </w:tc>
        <w:tc>
          <w:tcPr>
            <w:tcW w:w="9700" w:type="dxa"/>
            <w:vAlign w:val="bottom"/>
            <w:gridSpan w:val="8"/>
          </w:tcPr>
          <w:p>
            <w:pPr>
              <w:ind w:left="120"/>
              <w:spacing w:after="0"/>
              <w:rPr>
                <w:sz w:val="20"/>
                <w:szCs w:val="20"/>
                <w:color w:val="auto"/>
              </w:rPr>
            </w:pPr>
            <w:r>
              <w:rPr>
                <w:rFonts w:ascii="Arial" w:cs="Arial" w:eastAsia="Arial" w:hAnsi="Arial"/>
                <w:sz w:val="20"/>
                <w:szCs w:val="20"/>
                <w:color w:val="auto"/>
              </w:rPr>
              <w:t>Mitigation Obligations; Replacement of Lenders</w:t>
            </w:r>
          </w:p>
        </w:tc>
        <w:tc>
          <w:tcPr>
            <w:tcW w:w="400" w:type="dxa"/>
            <w:vAlign w:val="bottom"/>
          </w:tcPr>
          <w:p>
            <w:pPr>
              <w:spacing w:after="0"/>
              <w:rPr>
                <w:sz w:val="20"/>
                <w:szCs w:val="20"/>
                <w:color w:val="auto"/>
              </w:rPr>
            </w:pPr>
            <w:r>
              <w:rPr>
                <w:rFonts w:ascii="Arial" w:cs="Arial" w:eastAsia="Arial" w:hAnsi="Arial"/>
                <w:sz w:val="20"/>
                <w:szCs w:val="20"/>
                <w:color w:val="auto"/>
              </w:rPr>
              <w:t>75</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4.7</w:t>
            </w:r>
          </w:p>
        </w:tc>
        <w:tc>
          <w:tcPr>
            <w:tcW w:w="9700" w:type="dxa"/>
            <w:vAlign w:val="bottom"/>
            <w:gridSpan w:val="8"/>
          </w:tcPr>
          <w:p>
            <w:pPr>
              <w:ind w:left="120"/>
              <w:spacing w:after="0"/>
              <w:rPr>
                <w:sz w:val="20"/>
                <w:szCs w:val="20"/>
                <w:color w:val="auto"/>
              </w:rPr>
            </w:pPr>
            <w:r>
              <w:rPr>
                <w:rFonts w:ascii="Arial" w:cs="Arial" w:eastAsia="Arial" w:hAnsi="Arial"/>
                <w:sz w:val="20"/>
                <w:szCs w:val="20"/>
                <w:color w:val="auto"/>
              </w:rPr>
              <w:t>Survival</w:t>
            </w:r>
          </w:p>
        </w:tc>
        <w:tc>
          <w:tcPr>
            <w:tcW w:w="400" w:type="dxa"/>
            <w:vAlign w:val="bottom"/>
          </w:tcPr>
          <w:p>
            <w:pPr>
              <w:spacing w:after="0"/>
              <w:rPr>
                <w:sz w:val="20"/>
                <w:szCs w:val="20"/>
                <w:color w:val="auto"/>
              </w:rPr>
            </w:pPr>
            <w:r>
              <w:rPr>
                <w:rFonts w:ascii="Arial" w:cs="Arial" w:eastAsia="Arial" w:hAnsi="Arial"/>
                <w:sz w:val="20"/>
                <w:szCs w:val="20"/>
                <w:color w:val="auto"/>
              </w:rPr>
              <w:t>75</w:t>
            </w:r>
          </w:p>
        </w:tc>
      </w:tr>
      <w:tr>
        <w:trPr>
          <w:trHeight w:val="266"/>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w w:val="96"/>
              </w:rPr>
              <w:t>SECTION 5 FEES</w:t>
            </w:r>
          </w:p>
        </w:tc>
        <w:tc>
          <w:tcPr>
            <w:tcW w:w="8920" w:type="dxa"/>
            <w:vAlign w:val="bottom"/>
            <w:gridSpan w:val="7"/>
          </w:tcPr>
          <w:p>
            <w:pPr>
              <w:spacing w:after="0"/>
              <w:rPr>
                <w:sz w:val="23"/>
                <w:szCs w:val="23"/>
                <w:color w:val="auto"/>
              </w:rPr>
            </w:pPr>
          </w:p>
        </w:tc>
        <w:tc>
          <w:tcPr>
            <w:tcW w:w="400" w:type="dxa"/>
            <w:vAlign w:val="bottom"/>
          </w:tcPr>
          <w:p>
            <w:pPr>
              <w:spacing w:after="0"/>
              <w:rPr>
                <w:sz w:val="20"/>
                <w:szCs w:val="20"/>
                <w:color w:val="auto"/>
              </w:rPr>
            </w:pPr>
            <w:r>
              <w:rPr>
                <w:rFonts w:ascii="Arial" w:cs="Arial" w:eastAsia="Arial" w:hAnsi="Arial"/>
                <w:sz w:val="20"/>
                <w:szCs w:val="20"/>
                <w:color w:val="auto"/>
              </w:rPr>
              <w:t>76</w:t>
            </w:r>
          </w:p>
        </w:tc>
      </w:tr>
      <w:tr>
        <w:trPr>
          <w:trHeight w:val="335"/>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5.1</w:t>
            </w:r>
          </w:p>
        </w:tc>
        <w:tc>
          <w:tcPr>
            <w:tcW w:w="9700" w:type="dxa"/>
            <w:vAlign w:val="bottom"/>
            <w:gridSpan w:val="8"/>
          </w:tcPr>
          <w:p>
            <w:pPr>
              <w:ind w:left="120"/>
              <w:spacing w:after="0"/>
              <w:rPr>
                <w:sz w:val="20"/>
                <w:szCs w:val="20"/>
                <w:color w:val="auto"/>
              </w:rPr>
            </w:pPr>
            <w:r>
              <w:rPr>
                <w:rFonts w:ascii="Arial" w:cs="Arial" w:eastAsia="Arial" w:hAnsi="Arial"/>
                <w:sz w:val="20"/>
                <w:szCs w:val="20"/>
                <w:color w:val="auto"/>
              </w:rPr>
              <w:t>Treatment of Fees</w:t>
            </w:r>
          </w:p>
        </w:tc>
        <w:tc>
          <w:tcPr>
            <w:tcW w:w="400" w:type="dxa"/>
            <w:vAlign w:val="bottom"/>
          </w:tcPr>
          <w:p>
            <w:pPr>
              <w:spacing w:after="0"/>
              <w:rPr>
                <w:sz w:val="20"/>
                <w:szCs w:val="20"/>
                <w:color w:val="auto"/>
              </w:rPr>
            </w:pPr>
            <w:r>
              <w:rPr>
                <w:rFonts w:ascii="Arial" w:cs="Arial" w:eastAsia="Arial" w:hAnsi="Arial"/>
                <w:sz w:val="20"/>
                <w:szCs w:val="20"/>
                <w:color w:val="auto"/>
              </w:rPr>
              <w:t>76</w:t>
            </w:r>
          </w:p>
        </w:tc>
      </w:tr>
    </w:tbl>
    <w:p>
      <w:pPr>
        <w:sectPr>
          <w:pgSz w:w="11900" w:h="16838" w:orient="portrait"/>
          <w:cols w:equalWidth="0" w:num="1">
            <w:col w:w="10920"/>
          </w:cols>
          <w:pgMar w:left="320" w:top="558" w:right="65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5.2</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Fee Letter</w:t>
            </w:r>
          </w:p>
        </w:tc>
        <w:tc>
          <w:tcPr>
            <w:tcW w:w="242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5.3</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L/C Fees</w:t>
            </w:r>
          </w:p>
        </w:tc>
        <w:tc>
          <w:tcPr>
            <w:tcW w:w="242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5.4</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Revolver Commitment Fee</w:t>
            </w:r>
          </w:p>
        </w:tc>
        <w:tc>
          <w:tcPr>
            <w:tcW w:w="242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66"/>
        </w:trPr>
        <w:tc>
          <w:tcPr>
            <w:tcW w:w="3800" w:type="dxa"/>
            <w:vAlign w:val="bottom"/>
            <w:tcBorders>
              <w:bottom w:val="single" w:sz="8" w:color="auto"/>
            </w:tcBorders>
            <w:gridSpan w:val="3"/>
          </w:tcPr>
          <w:p>
            <w:pPr>
              <w:spacing w:after="0"/>
              <w:rPr>
                <w:sz w:val="20"/>
                <w:szCs w:val="20"/>
                <w:color w:val="auto"/>
              </w:rPr>
            </w:pPr>
            <w:r>
              <w:rPr>
                <w:rFonts w:ascii="Arial" w:cs="Arial" w:eastAsia="Arial" w:hAnsi="Arial"/>
                <w:sz w:val="20"/>
                <w:szCs w:val="20"/>
                <w:b w:val="1"/>
                <w:bCs w:val="1"/>
                <w:color w:val="auto"/>
                <w:w w:val="99"/>
              </w:rPr>
              <w:t>SECTION 6 GUARANTY AND SECURITY</w:t>
            </w:r>
          </w:p>
        </w:tc>
        <w:tc>
          <w:tcPr>
            <w:tcW w:w="4500" w:type="dxa"/>
            <w:vAlign w:val="bottom"/>
            <w:gridSpan w:val="2"/>
          </w:tcPr>
          <w:p>
            <w:pPr>
              <w:spacing w:after="0"/>
              <w:rPr>
                <w:sz w:val="23"/>
                <w:szCs w:val="23"/>
                <w:color w:val="auto"/>
              </w:rPr>
            </w:pPr>
          </w:p>
        </w:tc>
        <w:tc>
          <w:tcPr>
            <w:tcW w:w="242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335"/>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6.1</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Guaranty</w:t>
            </w:r>
          </w:p>
        </w:tc>
        <w:tc>
          <w:tcPr>
            <w:tcW w:w="242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6.2</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Collateral</w:t>
            </w:r>
          </w:p>
        </w:tc>
        <w:tc>
          <w:tcPr>
            <w:tcW w:w="242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6.3</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Additional Collateral and Guaranties</w:t>
            </w:r>
          </w:p>
        </w:tc>
        <w:tc>
          <w:tcPr>
            <w:tcW w:w="242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6.4</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Additional Documents or Information</w:t>
            </w:r>
          </w:p>
        </w:tc>
        <w:tc>
          <w:tcPr>
            <w:tcW w:w="242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66"/>
        </w:trPr>
        <w:tc>
          <w:tcPr>
            <w:tcW w:w="8300" w:type="dxa"/>
            <w:vAlign w:val="bottom"/>
            <w:gridSpan w:val="5"/>
          </w:tcPr>
          <w:p>
            <w:pPr>
              <w:spacing w:after="0"/>
              <w:rPr>
                <w:sz w:val="20"/>
                <w:szCs w:val="20"/>
                <w:color w:val="auto"/>
              </w:rPr>
            </w:pPr>
            <w:r>
              <w:rPr>
                <w:rFonts w:ascii="Arial" w:cs="Arial" w:eastAsia="Arial" w:hAnsi="Arial"/>
                <w:sz w:val="20"/>
                <w:szCs w:val="20"/>
                <w:b w:val="1"/>
                <w:bCs w:val="1"/>
                <w:color w:val="auto"/>
              </w:rPr>
              <w:t>SECTION 7 CONDITIONS PRECEDENT</w:t>
            </w:r>
          </w:p>
        </w:tc>
        <w:tc>
          <w:tcPr>
            <w:tcW w:w="242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335"/>
        </w:trPr>
        <w:tc>
          <w:tcPr>
            <w:tcW w:w="82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7.1</w:t>
            </w:r>
          </w:p>
        </w:tc>
        <w:tc>
          <w:tcPr>
            <w:tcW w:w="2820" w:type="dxa"/>
            <w:vAlign w:val="bottom"/>
            <w:tcBorders>
              <w:top w:val="single" w:sz="8" w:color="auto"/>
            </w:tcBorders>
          </w:tcPr>
          <w:p>
            <w:pPr>
              <w:ind w:left="120"/>
              <w:spacing w:after="0"/>
              <w:rPr>
                <w:sz w:val="20"/>
                <w:szCs w:val="20"/>
                <w:color w:val="auto"/>
              </w:rPr>
            </w:pPr>
            <w:r>
              <w:rPr>
                <w:rFonts w:ascii="Arial" w:cs="Arial" w:eastAsia="Arial" w:hAnsi="Arial"/>
                <w:sz w:val="20"/>
                <w:szCs w:val="20"/>
                <w:color w:val="auto"/>
              </w:rPr>
              <w:t>Initial Advance</w:t>
            </w:r>
          </w:p>
        </w:tc>
        <w:tc>
          <w:tcPr>
            <w:tcW w:w="4660" w:type="dxa"/>
            <w:vAlign w:val="bottom"/>
            <w:gridSpan w:val="3"/>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7.2</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Each Loan</w:t>
            </w:r>
          </w:p>
        </w:tc>
        <w:tc>
          <w:tcPr>
            <w:tcW w:w="242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66"/>
        </w:trPr>
        <w:tc>
          <w:tcPr>
            <w:tcW w:w="8300" w:type="dxa"/>
            <w:vAlign w:val="bottom"/>
            <w:gridSpan w:val="5"/>
          </w:tcPr>
          <w:p>
            <w:pPr>
              <w:spacing w:after="0"/>
              <w:rPr>
                <w:sz w:val="20"/>
                <w:szCs w:val="20"/>
                <w:color w:val="auto"/>
              </w:rPr>
            </w:pPr>
            <w:r>
              <w:rPr>
                <w:rFonts w:ascii="Arial" w:cs="Arial" w:eastAsia="Arial" w:hAnsi="Arial"/>
                <w:sz w:val="20"/>
                <w:szCs w:val="20"/>
                <w:b w:val="1"/>
                <w:bCs w:val="1"/>
                <w:color w:val="auto"/>
              </w:rPr>
              <w:t>SECTION 8 REPRESENTATIONS AND WARRANTIES</w:t>
            </w:r>
          </w:p>
        </w:tc>
        <w:tc>
          <w:tcPr>
            <w:tcW w:w="242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335"/>
        </w:trPr>
        <w:tc>
          <w:tcPr>
            <w:tcW w:w="82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8.1</w:t>
            </w:r>
          </w:p>
        </w:tc>
        <w:tc>
          <w:tcPr>
            <w:tcW w:w="4060" w:type="dxa"/>
            <w:vAlign w:val="bottom"/>
            <w:tcBorders>
              <w:top w:val="single" w:sz="8" w:color="auto"/>
            </w:tcBorders>
            <w:gridSpan w:val="3"/>
          </w:tcPr>
          <w:p>
            <w:pPr>
              <w:ind w:left="120"/>
              <w:spacing w:after="0"/>
              <w:rPr>
                <w:sz w:val="20"/>
                <w:szCs w:val="20"/>
                <w:color w:val="auto"/>
              </w:rPr>
            </w:pPr>
            <w:r>
              <w:rPr>
                <w:rFonts w:ascii="Arial" w:cs="Arial" w:eastAsia="Arial" w:hAnsi="Arial"/>
                <w:sz w:val="20"/>
                <w:szCs w:val="20"/>
                <w:color w:val="auto"/>
              </w:rPr>
              <w:t>Regulation U.</w:t>
            </w:r>
          </w:p>
        </w:tc>
        <w:tc>
          <w:tcPr>
            <w:tcW w:w="342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8.2</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Corporate Existence, Good Standing, Authority, and Compliance</w:t>
            </w:r>
          </w:p>
        </w:tc>
        <w:tc>
          <w:tcPr>
            <w:tcW w:w="242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8.3</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Subsidiaries</w:t>
            </w:r>
          </w:p>
        </w:tc>
        <w:tc>
          <w:tcPr>
            <w:tcW w:w="242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8.4</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Authorization and Contravention</w:t>
            </w:r>
          </w:p>
        </w:tc>
        <w:tc>
          <w:tcPr>
            <w:tcW w:w="242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8.5</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Binding Effect</w:t>
            </w:r>
          </w:p>
        </w:tc>
        <w:tc>
          <w:tcPr>
            <w:tcW w:w="242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8.6</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Financial Statements</w:t>
            </w:r>
          </w:p>
        </w:tc>
        <w:tc>
          <w:tcPr>
            <w:tcW w:w="242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8.7</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Litigation</w:t>
            </w:r>
          </w:p>
        </w:tc>
        <w:tc>
          <w:tcPr>
            <w:tcW w:w="242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8.8</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Taxes</w:t>
            </w:r>
          </w:p>
        </w:tc>
        <w:tc>
          <w:tcPr>
            <w:tcW w:w="242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8.9</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Environmental Matters</w:t>
            </w:r>
          </w:p>
        </w:tc>
        <w:tc>
          <w:tcPr>
            <w:tcW w:w="242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8.10</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Employee Plans</w:t>
            </w:r>
          </w:p>
        </w:tc>
        <w:tc>
          <w:tcPr>
            <w:tcW w:w="242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8.11</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Properties and Liens</w:t>
            </w:r>
          </w:p>
        </w:tc>
        <w:tc>
          <w:tcPr>
            <w:tcW w:w="242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8.12</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Government Regulations</w:t>
            </w:r>
          </w:p>
        </w:tc>
        <w:tc>
          <w:tcPr>
            <w:tcW w:w="242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8.13</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Transactions with Affiliates</w:t>
            </w:r>
          </w:p>
        </w:tc>
        <w:tc>
          <w:tcPr>
            <w:tcW w:w="242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8.14</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Debt</w:t>
            </w:r>
          </w:p>
        </w:tc>
        <w:tc>
          <w:tcPr>
            <w:tcW w:w="242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8.15</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Material Agreements</w:t>
            </w:r>
          </w:p>
        </w:tc>
        <w:tc>
          <w:tcPr>
            <w:tcW w:w="242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8.16</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Labor Matters</w:t>
            </w:r>
          </w:p>
        </w:tc>
        <w:tc>
          <w:tcPr>
            <w:tcW w:w="242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8.17</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Solvency</w:t>
            </w:r>
          </w:p>
        </w:tc>
        <w:tc>
          <w:tcPr>
            <w:tcW w:w="242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8.18</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Intellectual Property</w:t>
            </w:r>
          </w:p>
        </w:tc>
        <w:tc>
          <w:tcPr>
            <w:tcW w:w="242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8.19</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Full Disclosure</w:t>
            </w:r>
          </w:p>
        </w:tc>
        <w:tc>
          <w:tcPr>
            <w:tcW w:w="242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8.20</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Insurance</w:t>
            </w:r>
          </w:p>
        </w:tc>
        <w:tc>
          <w:tcPr>
            <w:tcW w:w="242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8.21</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Compliance with Laws</w:t>
            </w:r>
          </w:p>
        </w:tc>
        <w:tc>
          <w:tcPr>
            <w:tcW w:w="242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8.22</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OFAC</w:t>
            </w:r>
          </w:p>
        </w:tc>
        <w:tc>
          <w:tcPr>
            <w:tcW w:w="242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8.23</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Anti-Corruption Laws</w:t>
            </w:r>
          </w:p>
        </w:tc>
        <w:tc>
          <w:tcPr>
            <w:tcW w:w="242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8.24</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Taxpayer Identification Number</w:t>
            </w:r>
          </w:p>
        </w:tc>
        <w:tc>
          <w:tcPr>
            <w:tcW w:w="242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8.25</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EEA Financial Institution</w:t>
            </w:r>
          </w:p>
        </w:tc>
        <w:tc>
          <w:tcPr>
            <w:tcW w:w="242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8.26</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Beneficial Ownership</w:t>
            </w:r>
          </w:p>
        </w:tc>
        <w:tc>
          <w:tcPr>
            <w:tcW w:w="242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66"/>
        </w:trPr>
        <w:tc>
          <w:tcPr>
            <w:tcW w:w="3800" w:type="dxa"/>
            <w:vAlign w:val="bottom"/>
            <w:tcBorders>
              <w:bottom w:val="single" w:sz="8" w:color="auto"/>
            </w:tcBorders>
            <w:gridSpan w:val="3"/>
          </w:tcPr>
          <w:p>
            <w:pPr>
              <w:spacing w:after="0"/>
              <w:rPr>
                <w:sz w:val="20"/>
                <w:szCs w:val="20"/>
                <w:color w:val="auto"/>
              </w:rPr>
            </w:pPr>
            <w:r>
              <w:rPr>
                <w:rFonts w:ascii="Arial" w:cs="Arial" w:eastAsia="Arial" w:hAnsi="Arial"/>
                <w:sz w:val="20"/>
                <w:szCs w:val="20"/>
                <w:b w:val="1"/>
                <w:bCs w:val="1"/>
                <w:color w:val="auto"/>
              </w:rPr>
              <w:t>SECTION 9 AFFIRMATIVE COVENANTS</w:t>
            </w:r>
          </w:p>
        </w:tc>
        <w:tc>
          <w:tcPr>
            <w:tcW w:w="4500" w:type="dxa"/>
            <w:vAlign w:val="bottom"/>
            <w:gridSpan w:val="2"/>
          </w:tcPr>
          <w:p>
            <w:pPr>
              <w:spacing w:after="0"/>
              <w:rPr>
                <w:sz w:val="23"/>
                <w:szCs w:val="23"/>
                <w:color w:val="auto"/>
              </w:rPr>
            </w:pPr>
          </w:p>
        </w:tc>
        <w:tc>
          <w:tcPr>
            <w:tcW w:w="242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335"/>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9.1</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Items to be Furnished</w:t>
            </w:r>
          </w:p>
        </w:tc>
        <w:tc>
          <w:tcPr>
            <w:tcW w:w="242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9.2</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Use of Proceeds</w:t>
            </w:r>
          </w:p>
        </w:tc>
        <w:tc>
          <w:tcPr>
            <w:tcW w:w="2420" w:type="dxa"/>
            <w:vAlign w:val="bottom"/>
          </w:tcPr>
          <w:p>
            <w:pPr>
              <w:jc w:val="right"/>
              <w:spacing w:after="0"/>
              <w:rPr>
                <w:sz w:val="20"/>
                <w:szCs w:val="20"/>
                <w:color w:val="auto"/>
              </w:rPr>
            </w:pPr>
            <w:r>
              <w:rPr>
                <w:rFonts w:ascii="Arial" w:cs="Arial" w:eastAsia="Arial" w:hAnsi="Arial"/>
                <w:sz w:val="20"/>
                <w:szCs w:val="20"/>
                <w:color w:val="auto"/>
              </w:rPr>
              <w:t>88</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9.3</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Books and Records</w:t>
            </w:r>
          </w:p>
        </w:tc>
        <w:tc>
          <w:tcPr>
            <w:tcW w:w="2420" w:type="dxa"/>
            <w:vAlign w:val="bottom"/>
          </w:tcPr>
          <w:p>
            <w:pPr>
              <w:jc w:val="right"/>
              <w:spacing w:after="0"/>
              <w:rPr>
                <w:sz w:val="20"/>
                <w:szCs w:val="20"/>
                <w:color w:val="auto"/>
              </w:rPr>
            </w:pPr>
            <w:r>
              <w:rPr>
                <w:rFonts w:ascii="Arial" w:cs="Arial" w:eastAsia="Arial" w:hAnsi="Arial"/>
                <w:sz w:val="20"/>
                <w:szCs w:val="20"/>
                <w:color w:val="auto"/>
              </w:rPr>
              <w:t>88</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9.4</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Inspections</w:t>
            </w:r>
          </w:p>
        </w:tc>
        <w:tc>
          <w:tcPr>
            <w:tcW w:w="2420" w:type="dxa"/>
            <w:vAlign w:val="bottom"/>
          </w:tcPr>
          <w:p>
            <w:pPr>
              <w:jc w:val="right"/>
              <w:spacing w:after="0"/>
              <w:rPr>
                <w:sz w:val="20"/>
                <w:szCs w:val="20"/>
                <w:color w:val="auto"/>
              </w:rPr>
            </w:pPr>
            <w:r>
              <w:rPr>
                <w:rFonts w:ascii="Arial" w:cs="Arial" w:eastAsia="Arial" w:hAnsi="Arial"/>
                <w:sz w:val="20"/>
                <w:szCs w:val="20"/>
                <w:color w:val="auto"/>
              </w:rPr>
              <w:t>88</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9.5</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Taxes</w:t>
            </w:r>
          </w:p>
        </w:tc>
        <w:tc>
          <w:tcPr>
            <w:tcW w:w="2420" w:type="dxa"/>
            <w:vAlign w:val="bottom"/>
          </w:tcPr>
          <w:p>
            <w:pPr>
              <w:jc w:val="right"/>
              <w:spacing w:after="0"/>
              <w:rPr>
                <w:sz w:val="20"/>
                <w:szCs w:val="20"/>
                <w:color w:val="auto"/>
              </w:rPr>
            </w:pPr>
            <w:r>
              <w:rPr>
                <w:rFonts w:ascii="Arial" w:cs="Arial" w:eastAsia="Arial" w:hAnsi="Arial"/>
                <w:sz w:val="20"/>
                <w:szCs w:val="20"/>
                <w:color w:val="auto"/>
              </w:rPr>
              <w:t>89</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9.6</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Payment of Obligations</w:t>
            </w:r>
          </w:p>
        </w:tc>
        <w:tc>
          <w:tcPr>
            <w:tcW w:w="2420" w:type="dxa"/>
            <w:vAlign w:val="bottom"/>
          </w:tcPr>
          <w:p>
            <w:pPr>
              <w:jc w:val="right"/>
              <w:spacing w:after="0"/>
              <w:rPr>
                <w:sz w:val="20"/>
                <w:szCs w:val="20"/>
                <w:color w:val="auto"/>
              </w:rPr>
            </w:pPr>
            <w:r>
              <w:rPr>
                <w:rFonts w:ascii="Arial" w:cs="Arial" w:eastAsia="Arial" w:hAnsi="Arial"/>
                <w:sz w:val="20"/>
                <w:szCs w:val="20"/>
                <w:color w:val="auto"/>
              </w:rPr>
              <w:t>89</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9.7</w:t>
            </w:r>
          </w:p>
        </w:tc>
        <w:tc>
          <w:tcPr>
            <w:tcW w:w="7480" w:type="dxa"/>
            <w:vAlign w:val="bottom"/>
            <w:gridSpan w:val="4"/>
          </w:tcPr>
          <w:p>
            <w:pPr>
              <w:ind w:left="120"/>
              <w:spacing w:after="0"/>
              <w:rPr>
                <w:sz w:val="20"/>
                <w:szCs w:val="20"/>
                <w:color w:val="auto"/>
              </w:rPr>
            </w:pPr>
            <w:r>
              <w:rPr>
                <w:rFonts w:ascii="Arial" w:cs="Arial" w:eastAsia="Arial" w:hAnsi="Arial"/>
                <w:sz w:val="20"/>
                <w:szCs w:val="20"/>
                <w:color w:val="auto"/>
              </w:rPr>
              <w:t>Maintenance of Existence, Assets, and Business</w:t>
            </w:r>
          </w:p>
        </w:tc>
        <w:tc>
          <w:tcPr>
            <w:tcW w:w="2420" w:type="dxa"/>
            <w:vAlign w:val="bottom"/>
          </w:tcPr>
          <w:p>
            <w:pPr>
              <w:jc w:val="right"/>
              <w:spacing w:after="0"/>
              <w:rPr>
                <w:sz w:val="20"/>
                <w:szCs w:val="20"/>
                <w:color w:val="auto"/>
              </w:rPr>
            </w:pPr>
            <w:r>
              <w:rPr>
                <w:rFonts w:ascii="Arial" w:cs="Arial" w:eastAsia="Arial" w:hAnsi="Arial"/>
                <w:sz w:val="20"/>
                <w:szCs w:val="20"/>
                <w:color w:val="auto"/>
              </w:rPr>
              <w:t>89</w:t>
            </w:r>
          </w:p>
        </w:tc>
      </w:tr>
    </w:tbl>
    <w:p>
      <w:pPr>
        <w:sectPr>
          <w:pgSz w:w="11900" w:h="16838" w:orient="portrait"/>
          <w:cols w:equalWidth="0" w:num="1">
            <w:col w:w="10720"/>
          </w:cols>
          <w:pgMar w:left="320" w:top="744" w:right="85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9.8</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Insurance</w:t>
            </w:r>
          </w:p>
        </w:tc>
        <w:tc>
          <w:tcPr>
            <w:tcW w:w="3200" w:type="dxa"/>
            <w:vAlign w:val="bottom"/>
          </w:tcPr>
          <w:p>
            <w:pPr>
              <w:ind w:left="2900"/>
              <w:spacing w:after="0"/>
              <w:rPr>
                <w:sz w:val="20"/>
                <w:szCs w:val="20"/>
                <w:color w:val="auto"/>
              </w:rPr>
            </w:pPr>
            <w:r>
              <w:rPr>
                <w:rFonts w:ascii="Arial" w:cs="Arial" w:eastAsia="Arial" w:hAnsi="Arial"/>
                <w:sz w:val="20"/>
                <w:szCs w:val="20"/>
                <w:color w:val="auto"/>
              </w:rPr>
              <w:t>89</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9.9</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Environmental Laws</w:t>
            </w:r>
          </w:p>
        </w:tc>
        <w:tc>
          <w:tcPr>
            <w:tcW w:w="3200" w:type="dxa"/>
            <w:vAlign w:val="bottom"/>
          </w:tcPr>
          <w:p>
            <w:pPr>
              <w:ind w:left="2900"/>
              <w:spacing w:after="0"/>
              <w:rPr>
                <w:sz w:val="20"/>
                <w:szCs w:val="20"/>
                <w:color w:val="auto"/>
              </w:rPr>
            </w:pPr>
            <w:r>
              <w:rPr>
                <w:rFonts w:ascii="Arial" w:cs="Arial" w:eastAsia="Arial" w:hAnsi="Arial"/>
                <w:sz w:val="20"/>
                <w:szCs w:val="20"/>
                <w:color w:val="auto"/>
              </w:rPr>
              <w:t>90</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9.10</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Subsidiaries</w:t>
            </w:r>
          </w:p>
        </w:tc>
        <w:tc>
          <w:tcPr>
            <w:tcW w:w="3200" w:type="dxa"/>
            <w:vAlign w:val="bottom"/>
          </w:tcPr>
          <w:p>
            <w:pPr>
              <w:ind w:left="2900"/>
              <w:spacing w:after="0"/>
              <w:rPr>
                <w:sz w:val="20"/>
                <w:szCs w:val="20"/>
                <w:color w:val="auto"/>
              </w:rPr>
            </w:pPr>
            <w:r>
              <w:rPr>
                <w:rFonts w:ascii="Arial" w:cs="Arial" w:eastAsia="Arial" w:hAnsi="Arial"/>
                <w:sz w:val="20"/>
                <w:szCs w:val="20"/>
                <w:color w:val="auto"/>
              </w:rPr>
              <w:t>90</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9.11</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Designation and Re-designation of Subsidiaries</w:t>
            </w:r>
          </w:p>
        </w:tc>
        <w:tc>
          <w:tcPr>
            <w:tcW w:w="3200" w:type="dxa"/>
            <w:vAlign w:val="bottom"/>
          </w:tcPr>
          <w:p>
            <w:pPr>
              <w:ind w:left="2900"/>
              <w:spacing w:after="0"/>
              <w:rPr>
                <w:sz w:val="20"/>
                <w:szCs w:val="20"/>
                <w:color w:val="auto"/>
              </w:rPr>
            </w:pPr>
            <w:r>
              <w:rPr>
                <w:rFonts w:ascii="Arial" w:cs="Arial" w:eastAsia="Arial" w:hAnsi="Arial"/>
                <w:sz w:val="20"/>
                <w:szCs w:val="20"/>
                <w:color w:val="auto"/>
              </w:rPr>
              <w:t>90</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9.12</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Keepwell Requirements</w:t>
            </w:r>
          </w:p>
        </w:tc>
        <w:tc>
          <w:tcPr>
            <w:tcW w:w="3200" w:type="dxa"/>
            <w:vAlign w:val="bottom"/>
          </w:tcPr>
          <w:p>
            <w:pPr>
              <w:ind w:left="2900"/>
              <w:spacing w:after="0"/>
              <w:rPr>
                <w:sz w:val="20"/>
                <w:szCs w:val="20"/>
                <w:color w:val="auto"/>
              </w:rPr>
            </w:pPr>
            <w:r>
              <w:rPr>
                <w:rFonts w:ascii="Arial" w:cs="Arial" w:eastAsia="Arial" w:hAnsi="Arial"/>
                <w:sz w:val="20"/>
                <w:szCs w:val="20"/>
                <w:color w:val="auto"/>
              </w:rPr>
              <w:t>91</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9.13</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Anti-Corruption Laws</w:t>
            </w:r>
          </w:p>
        </w:tc>
        <w:tc>
          <w:tcPr>
            <w:tcW w:w="3200" w:type="dxa"/>
            <w:vAlign w:val="bottom"/>
          </w:tcPr>
          <w:p>
            <w:pPr>
              <w:ind w:left="2900"/>
              <w:spacing w:after="0"/>
              <w:rPr>
                <w:sz w:val="20"/>
                <w:szCs w:val="20"/>
                <w:color w:val="auto"/>
              </w:rPr>
            </w:pPr>
            <w:r>
              <w:rPr>
                <w:rFonts w:ascii="Arial" w:cs="Arial" w:eastAsia="Arial" w:hAnsi="Arial"/>
                <w:sz w:val="20"/>
                <w:szCs w:val="20"/>
                <w:color w:val="auto"/>
              </w:rPr>
              <w:t>91</w:t>
            </w:r>
          </w:p>
        </w:tc>
      </w:tr>
      <w:tr>
        <w:trPr>
          <w:trHeight w:val="266"/>
        </w:trPr>
        <w:tc>
          <w:tcPr>
            <w:tcW w:w="3540" w:type="dxa"/>
            <w:vAlign w:val="bottom"/>
            <w:tcBorders>
              <w:bottom w:val="single" w:sz="8" w:color="auto"/>
            </w:tcBorders>
            <w:gridSpan w:val="3"/>
          </w:tcPr>
          <w:p>
            <w:pPr>
              <w:spacing w:after="0"/>
              <w:rPr>
                <w:sz w:val="20"/>
                <w:szCs w:val="20"/>
                <w:color w:val="auto"/>
              </w:rPr>
            </w:pPr>
            <w:r>
              <w:rPr>
                <w:rFonts w:ascii="Arial" w:cs="Arial" w:eastAsia="Arial" w:hAnsi="Arial"/>
                <w:sz w:val="20"/>
                <w:szCs w:val="20"/>
                <w:b w:val="1"/>
                <w:bCs w:val="1"/>
                <w:color w:val="auto"/>
                <w:w w:val="98"/>
              </w:rPr>
              <w:t>SECTION 10 NEGATIVE COVENANTS</w:t>
            </w:r>
          </w:p>
        </w:tc>
        <w:tc>
          <w:tcPr>
            <w:tcW w:w="4080" w:type="dxa"/>
            <w:vAlign w:val="bottom"/>
            <w:gridSpan w:val="3"/>
          </w:tcPr>
          <w:p>
            <w:pPr>
              <w:spacing w:after="0"/>
              <w:rPr>
                <w:sz w:val="23"/>
                <w:szCs w:val="23"/>
                <w:color w:val="auto"/>
              </w:rPr>
            </w:pPr>
          </w:p>
        </w:tc>
        <w:tc>
          <w:tcPr>
            <w:tcW w:w="3200" w:type="dxa"/>
            <w:vAlign w:val="bottom"/>
          </w:tcPr>
          <w:p>
            <w:pPr>
              <w:ind w:left="2900"/>
              <w:spacing w:after="0"/>
              <w:rPr>
                <w:sz w:val="20"/>
                <w:szCs w:val="20"/>
                <w:color w:val="auto"/>
              </w:rPr>
            </w:pPr>
            <w:r>
              <w:rPr>
                <w:rFonts w:ascii="Arial" w:cs="Arial" w:eastAsia="Arial" w:hAnsi="Arial"/>
                <w:sz w:val="20"/>
                <w:szCs w:val="20"/>
                <w:color w:val="auto"/>
              </w:rPr>
              <w:t>92</w:t>
            </w:r>
          </w:p>
        </w:tc>
      </w:tr>
      <w:tr>
        <w:trPr>
          <w:trHeight w:val="335"/>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10.1</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Taxes</w:t>
            </w:r>
          </w:p>
        </w:tc>
        <w:tc>
          <w:tcPr>
            <w:tcW w:w="3200" w:type="dxa"/>
            <w:vAlign w:val="bottom"/>
          </w:tcPr>
          <w:p>
            <w:pPr>
              <w:ind w:left="2900"/>
              <w:spacing w:after="0"/>
              <w:rPr>
                <w:sz w:val="20"/>
                <w:szCs w:val="20"/>
                <w:color w:val="auto"/>
              </w:rPr>
            </w:pPr>
            <w:r>
              <w:rPr>
                <w:rFonts w:ascii="Arial" w:cs="Arial" w:eastAsia="Arial" w:hAnsi="Arial"/>
                <w:sz w:val="20"/>
                <w:szCs w:val="20"/>
                <w:color w:val="auto"/>
              </w:rPr>
              <w:t>92</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10.2</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Payment of Obligations</w:t>
            </w:r>
          </w:p>
        </w:tc>
        <w:tc>
          <w:tcPr>
            <w:tcW w:w="3200" w:type="dxa"/>
            <w:vAlign w:val="bottom"/>
          </w:tcPr>
          <w:p>
            <w:pPr>
              <w:ind w:left="2900"/>
              <w:spacing w:after="0"/>
              <w:rPr>
                <w:sz w:val="20"/>
                <w:szCs w:val="20"/>
                <w:color w:val="auto"/>
              </w:rPr>
            </w:pPr>
            <w:r>
              <w:rPr>
                <w:rFonts w:ascii="Arial" w:cs="Arial" w:eastAsia="Arial" w:hAnsi="Arial"/>
                <w:sz w:val="20"/>
                <w:szCs w:val="20"/>
                <w:color w:val="auto"/>
              </w:rPr>
              <w:t>92</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10.3</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Employee Plans</w:t>
            </w:r>
          </w:p>
        </w:tc>
        <w:tc>
          <w:tcPr>
            <w:tcW w:w="3200" w:type="dxa"/>
            <w:vAlign w:val="bottom"/>
          </w:tcPr>
          <w:p>
            <w:pPr>
              <w:ind w:left="2900"/>
              <w:spacing w:after="0"/>
              <w:rPr>
                <w:sz w:val="20"/>
                <w:szCs w:val="20"/>
                <w:color w:val="auto"/>
              </w:rPr>
            </w:pPr>
            <w:r>
              <w:rPr>
                <w:rFonts w:ascii="Arial" w:cs="Arial" w:eastAsia="Arial" w:hAnsi="Arial"/>
                <w:sz w:val="20"/>
                <w:szCs w:val="20"/>
                <w:color w:val="auto"/>
              </w:rPr>
              <w:t>92</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10.4</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Debt</w:t>
            </w:r>
          </w:p>
        </w:tc>
        <w:tc>
          <w:tcPr>
            <w:tcW w:w="3200" w:type="dxa"/>
            <w:vAlign w:val="bottom"/>
          </w:tcPr>
          <w:p>
            <w:pPr>
              <w:ind w:left="2900"/>
              <w:spacing w:after="0"/>
              <w:rPr>
                <w:sz w:val="20"/>
                <w:szCs w:val="20"/>
                <w:color w:val="auto"/>
              </w:rPr>
            </w:pPr>
            <w:r>
              <w:rPr>
                <w:rFonts w:ascii="Arial" w:cs="Arial" w:eastAsia="Arial" w:hAnsi="Arial"/>
                <w:sz w:val="20"/>
                <w:szCs w:val="20"/>
                <w:color w:val="auto"/>
              </w:rPr>
              <w:t>92</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10.5</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Liens</w:t>
            </w:r>
          </w:p>
        </w:tc>
        <w:tc>
          <w:tcPr>
            <w:tcW w:w="3200" w:type="dxa"/>
            <w:vAlign w:val="bottom"/>
          </w:tcPr>
          <w:p>
            <w:pPr>
              <w:ind w:left="2900"/>
              <w:spacing w:after="0"/>
              <w:rPr>
                <w:sz w:val="20"/>
                <w:szCs w:val="20"/>
                <w:color w:val="auto"/>
              </w:rPr>
            </w:pPr>
            <w:r>
              <w:rPr>
                <w:rFonts w:ascii="Arial" w:cs="Arial" w:eastAsia="Arial" w:hAnsi="Arial"/>
                <w:sz w:val="20"/>
                <w:szCs w:val="20"/>
                <w:color w:val="auto"/>
              </w:rPr>
              <w:t>92</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10.6</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Transactions with Affiliates</w:t>
            </w:r>
          </w:p>
        </w:tc>
        <w:tc>
          <w:tcPr>
            <w:tcW w:w="3200" w:type="dxa"/>
            <w:vAlign w:val="bottom"/>
          </w:tcPr>
          <w:p>
            <w:pPr>
              <w:ind w:left="2900"/>
              <w:spacing w:after="0"/>
              <w:rPr>
                <w:sz w:val="20"/>
                <w:szCs w:val="20"/>
                <w:color w:val="auto"/>
              </w:rPr>
            </w:pPr>
            <w:r>
              <w:rPr>
                <w:rFonts w:ascii="Arial" w:cs="Arial" w:eastAsia="Arial" w:hAnsi="Arial"/>
                <w:sz w:val="20"/>
                <w:szCs w:val="20"/>
                <w:color w:val="auto"/>
              </w:rPr>
              <w:t>92</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10.7</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Compliance with Laws and Documents</w:t>
            </w:r>
          </w:p>
        </w:tc>
        <w:tc>
          <w:tcPr>
            <w:tcW w:w="3200" w:type="dxa"/>
            <w:vAlign w:val="bottom"/>
          </w:tcPr>
          <w:p>
            <w:pPr>
              <w:ind w:left="2900"/>
              <w:spacing w:after="0"/>
              <w:rPr>
                <w:sz w:val="20"/>
                <w:szCs w:val="20"/>
                <w:color w:val="auto"/>
              </w:rPr>
            </w:pPr>
            <w:r>
              <w:rPr>
                <w:rFonts w:ascii="Arial" w:cs="Arial" w:eastAsia="Arial" w:hAnsi="Arial"/>
                <w:sz w:val="20"/>
                <w:szCs w:val="20"/>
                <w:color w:val="auto"/>
              </w:rPr>
              <w:t>93</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10.8</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Loans, Advances and Investments</w:t>
            </w:r>
          </w:p>
        </w:tc>
        <w:tc>
          <w:tcPr>
            <w:tcW w:w="3200" w:type="dxa"/>
            <w:vAlign w:val="bottom"/>
          </w:tcPr>
          <w:p>
            <w:pPr>
              <w:ind w:left="2900"/>
              <w:spacing w:after="0"/>
              <w:rPr>
                <w:sz w:val="20"/>
                <w:szCs w:val="20"/>
                <w:color w:val="auto"/>
              </w:rPr>
            </w:pPr>
            <w:r>
              <w:rPr>
                <w:rFonts w:ascii="Arial" w:cs="Arial" w:eastAsia="Arial" w:hAnsi="Arial"/>
                <w:sz w:val="20"/>
                <w:szCs w:val="20"/>
                <w:color w:val="auto"/>
              </w:rPr>
              <w:t>93</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10.9</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Distributions</w:t>
            </w:r>
          </w:p>
        </w:tc>
        <w:tc>
          <w:tcPr>
            <w:tcW w:w="3200" w:type="dxa"/>
            <w:vAlign w:val="bottom"/>
          </w:tcPr>
          <w:p>
            <w:pPr>
              <w:ind w:left="2900"/>
              <w:spacing w:after="0"/>
              <w:rPr>
                <w:sz w:val="20"/>
                <w:szCs w:val="20"/>
                <w:color w:val="auto"/>
              </w:rPr>
            </w:pPr>
            <w:r>
              <w:rPr>
                <w:rFonts w:ascii="Arial" w:cs="Arial" w:eastAsia="Arial" w:hAnsi="Arial"/>
                <w:sz w:val="20"/>
                <w:szCs w:val="20"/>
                <w:color w:val="auto"/>
              </w:rPr>
              <w:t>95</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10.10</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Sale of Assets</w:t>
            </w:r>
          </w:p>
        </w:tc>
        <w:tc>
          <w:tcPr>
            <w:tcW w:w="3200" w:type="dxa"/>
            <w:vAlign w:val="bottom"/>
          </w:tcPr>
          <w:p>
            <w:pPr>
              <w:ind w:left="2900"/>
              <w:spacing w:after="0"/>
              <w:rPr>
                <w:sz w:val="20"/>
                <w:szCs w:val="20"/>
                <w:color w:val="auto"/>
              </w:rPr>
            </w:pPr>
            <w:r>
              <w:rPr>
                <w:rFonts w:ascii="Arial" w:cs="Arial" w:eastAsia="Arial" w:hAnsi="Arial"/>
                <w:sz w:val="20"/>
                <w:szCs w:val="20"/>
                <w:color w:val="auto"/>
              </w:rPr>
              <w:t>96</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10.11</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Acquisitions, Mergers, and Dissolutions</w:t>
            </w:r>
          </w:p>
        </w:tc>
        <w:tc>
          <w:tcPr>
            <w:tcW w:w="3200" w:type="dxa"/>
            <w:vAlign w:val="bottom"/>
          </w:tcPr>
          <w:p>
            <w:pPr>
              <w:ind w:left="2900"/>
              <w:spacing w:after="0"/>
              <w:rPr>
                <w:sz w:val="20"/>
                <w:szCs w:val="20"/>
                <w:color w:val="auto"/>
              </w:rPr>
            </w:pPr>
            <w:r>
              <w:rPr>
                <w:rFonts w:ascii="Arial" w:cs="Arial" w:eastAsia="Arial" w:hAnsi="Arial"/>
                <w:sz w:val="20"/>
                <w:szCs w:val="20"/>
                <w:color w:val="auto"/>
              </w:rPr>
              <w:t>96</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10.12</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Assignment</w:t>
            </w:r>
          </w:p>
        </w:tc>
        <w:tc>
          <w:tcPr>
            <w:tcW w:w="3200" w:type="dxa"/>
            <w:vAlign w:val="bottom"/>
          </w:tcPr>
          <w:p>
            <w:pPr>
              <w:ind w:left="2900"/>
              <w:spacing w:after="0"/>
              <w:rPr>
                <w:sz w:val="20"/>
                <w:szCs w:val="20"/>
                <w:color w:val="auto"/>
              </w:rPr>
            </w:pPr>
            <w:r>
              <w:rPr>
                <w:rFonts w:ascii="Arial" w:cs="Arial" w:eastAsia="Arial" w:hAnsi="Arial"/>
                <w:sz w:val="20"/>
                <w:szCs w:val="20"/>
                <w:color w:val="auto"/>
              </w:rPr>
              <w:t>98</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10.13</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Fiscal Year and Accounting Methods</w:t>
            </w:r>
          </w:p>
        </w:tc>
        <w:tc>
          <w:tcPr>
            <w:tcW w:w="3200" w:type="dxa"/>
            <w:vAlign w:val="bottom"/>
          </w:tcPr>
          <w:p>
            <w:pPr>
              <w:ind w:left="2900"/>
              <w:spacing w:after="0"/>
              <w:rPr>
                <w:sz w:val="20"/>
                <w:szCs w:val="20"/>
                <w:color w:val="auto"/>
              </w:rPr>
            </w:pPr>
            <w:r>
              <w:rPr>
                <w:rFonts w:ascii="Arial" w:cs="Arial" w:eastAsia="Arial" w:hAnsi="Arial"/>
                <w:sz w:val="20"/>
                <w:szCs w:val="20"/>
                <w:color w:val="auto"/>
              </w:rPr>
              <w:t>98</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10.14</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New Businesses</w:t>
            </w:r>
          </w:p>
        </w:tc>
        <w:tc>
          <w:tcPr>
            <w:tcW w:w="3200" w:type="dxa"/>
            <w:vAlign w:val="bottom"/>
          </w:tcPr>
          <w:p>
            <w:pPr>
              <w:ind w:left="2900"/>
              <w:spacing w:after="0"/>
              <w:rPr>
                <w:sz w:val="20"/>
                <w:szCs w:val="20"/>
                <w:color w:val="auto"/>
              </w:rPr>
            </w:pPr>
            <w:r>
              <w:rPr>
                <w:rFonts w:ascii="Arial" w:cs="Arial" w:eastAsia="Arial" w:hAnsi="Arial"/>
                <w:sz w:val="20"/>
                <w:szCs w:val="20"/>
                <w:color w:val="auto"/>
              </w:rPr>
              <w:t>98</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10.15</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Government Regulations</w:t>
            </w:r>
          </w:p>
        </w:tc>
        <w:tc>
          <w:tcPr>
            <w:tcW w:w="3200" w:type="dxa"/>
            <w:vAlign w:val="bottom"/>
          </w:tcPr>
          <w:p>
            <w:pPr>
              <w:ind w:left="2900"/>
              <w:spacing w:after="0"/>
              <w:rPr>
                <w:sz w:val="20"/>
                <w:szCs w:val="20"/>
                <w:color w:val="auto"/>
              </w:rPr>
            </w:pPr>
            <w:r>
              <w:rPr>
                <w:rFonts w:ascii="Arial" w:cs="Arial" w:eastAsia="Arial" w:hAnsi="Arial"/>
                <w:sz w:val="20"/>
                <w:szCs w:val="20"/>
                <w:color w:val="auto"/>
              </w:rPr>
              <w:t>98</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10.16</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Burdensome Agreements</w:t>
            </w:r>
          </w:p>
        </w:tc>
        <w:tc>
          <w:tcPr>
            <w:tcW w:w="3200" w:type="dxa"/>
            <w:vAlign w:val="bottom"/>
          </w:tcPr>
          <w:p>
            <w:pPr>
              <w:ind w:left="2900"/>
              <w:spacing w:after="0"/>
              <w:rPr>
                <w:sz w:val="20"/>
                <w:szCs w:val="20"/>
                <w:color w:val="auto"/>
              </w:rPr>
            </w:pPr>
            <w:r>
              <w:rPr>
                <w:rFonts w:ascii="Arial" w:cs="Arial" w:eastAsia="Arial" w:hAnsi="Arial"/>
                <w:sz w:val="20"/>
                <w:szCs w:val="20"/>
                <w:color w:val="auto"/>
              </w:rPr>
              <w:t>98</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10.17</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Use of Proceeds</w:t>
            </w:r>
          </w:p>
        </w:tc>
        <w:tc>
          <w:tcPr>
            <w:tcW w:w="3200" w:type="dxa"/>
            <w:vAlign w:val="bottom"/>
          </w:tcPr>
          <w:p>
            <w:pPr>
              <w:ind w:left="2900"/>
              <w:spacing w:after="0"/>
              <w:rPr>
                <w:sz w:val="20"/>
                <w:szCs w:val="20"/>
                <w:color w:val="auto"/>
              </w:rPr>
            </w:pPr>
            <w:r>
              <w:rPr>
                <w:rFonts w:ascii="Arial" w:cs="Arial" w:eastAsia="Arial" w:hAnsi="Arial"/>
                <w:sz w:val="20"/>
                <w:szCs w:val="20"/>
                <w:color w:val="auto"/>
              </w:rPr>
              <w:t>99</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10.18</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Capital Improvements</w:t>
            </w:r>
          </w:p>
        </w:tc>
        <w:tc>
          <w:tcPr>
            <w:tcW w:w="3200" w:type="dxa"/>
            <w:vAlign w:val="bottom"/>
          </w:tcPr>
          <w:p>
            <w:pPr>
              <w:ind w:left="2900"/>
              <w:spacing w:after="0"/>
              <w:rPr>
                <w:sz w:val="20"/>
                <w:szCs w:val="20"/>
                <w:color w:val="auto"/>
              </w:rPr>
            </w:pPr>
            <w:r>
              <w:rPr>
                <w:rFonts w:ascii="Arial" w:cs="Arial" w:eastAsia="Arial" w:hAnsi="Arial"/>
                <w:sz w:val="20"/>
                <w:szCs w:val="20"/>
                <w:color w:val="auto"/>
              </w:rPr>
              <w:t>99</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10.19</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Subsidiaries</w:t>
            </w:r>
          </w:p>
        </w:tc>
        <w:tc>
          <w:tcPr>
            <w:tcW w:w="3200" w:type="dxa"/>
            <w:vAlign w:val="bottom"/>
          </w:tcPr>
          <w:p>
            <w:pPr>
              <w:ind w:left="2900"/>
              <w:spacing w:after="0"/>
              <w:rPr>
                <w:sz w:val="20"/>
                <w:szCs w:val="20"/>
                <w:color w:val="auto"/>
              </w:rPr>
            </w:pPr>
            <w:r>
              <w:rPr>
                <w:rFonts w:ascii="Arial" w:cs="Arial" w:eastAsia="Arial" w:hAnsi="Arial"/>
                <w:sz w:val="20"/>
                <w:szCs w:val="20"/>
                <w:color w:val="auto"/>
              </w:rPr>
              <w:t>99</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10.20</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Sanctions</w:t>
            </w:r>
          </w:p>
        </w:tc>
        <w:tc>
          <w:tcPr>
            <w:tcW w:w="3200" w:type="dxa"/>
            <w:vAlign w:val="bottom"/>
          </w:tcPr>
          <w:p>
            <w:pPr>
              <w:ind w:left="2900"/>
              <w:spacing w:after="0"/>
              <w:rPr>
                <w:sz w:val="20"/>
                <w:szCs w:val="20"/>
                <w:color w:val="auto"/>
              </w:rPr>
            </w:pPr>
            <w:r>
              <w:rPr>
                <w:rFonts w:ascii="Arial" w:cs="Arial" w:eastAsia="Arial" w:hAnsi="Arial"/>
                <w:sz w:val="20"/>
                <w:szCs w:val="20"/>
                <w:color w:val="auto"/>
              </w:rPr>
              <w:t>99</w:t>
            </w:r>
          </w:p>
        </w:tc>
      </w:tr>
      <w:tr>
        <w:trPr>
          <w:trHeight w:val="266"/>
        </w:trPr>
        <w:tc>
          <w:tcPr>
            <w:tcW w:w="3600" w:type="dxa"/>
            <w:vAlign w:val="bottom"/>
            <w:tcBorders>
              <w:bottom w:val="single" w:sz="8" w:color="auto"/>
            </w:tcBorders>
            <w:gridSpan w:val="5"/>
          </w:tcPr>
          <w:p>
            <w:pPr>
              <w:spacing w:after="0"/>
              <w:rPr>
                <w:sz w:val="20"/>
                <w:szCs w:val="20"/>
                <w:color w:val="auto"/>
              </w:rPr>
            </w:pPr>
            <w:r>
              <w:rPr>
                <w:rFonts w:ascii="Arial" w:cs="Arial" w:eastAsia="Arial" w:hAnsi="Arial"/>
                <w:sz w:val="20"/>
                <w:szCs w:val="20"/>
                <w:b w:val="1"/>
                <w:bCs w:val="1"/>
                <w:color w:val="auto"/>
                <w:w w:val="99"/>
              </w:rPr>
              <w:t>SECTION 11 FINANCIAL COVENANTS</w:t>
            </w:r>
          </w:p>
        </w:tc>
        <w:tc>
          <w:tcPr>
            <w:tcW w:w="4020" w:type="dxa"/>
            <w:vAlign w:val="bottom"/>
          </w:tcPr>
          <w:p>
            <w:pPr>
              <w:spacing w:after="0"/>
              <w:rPr>
                <w:sz w:val="23"/>
                <w:szCs w:val="23"/>
                <w:color w:val="auto"/>
              </w:rPr>
            </w:pPr>
          </w:p>
        </w:tc>
        <w:tc>
          <w:tcPr>
            <w:tcW w:w="3200" w:type="dxa"/>
            <w:vAlign w:val="bottom"/>
          </w:tcPr>
          <w:p>
            <w:pPr>
              <w:ind w:left="2900"/>
              <w:spacing w:after="0"/>
              <w:rPr>
                <w:sz w:val="20"/>
                <w:szCs w:val="20"/>
                <w:color w:val="auto"/>
              </w:rPr>
            </w:pPr>
            <w:r>
              <w:rPr>
                <w:rFonts w:ascii="Arial" w:cs="Arial" w:eastAsia="Arial" w:hAnsi="Arial"/>
                <w:sz w:val="20"/>
                <w:szCs w:val="20"/>
                <w:color w:val="auto"/>
              </w:rPr>
              <w:t>99</w:t>
            </w:r>
          </w:p>
        </w:tc>
      </w:tr>
      <w:tr>
        <w:trPr>
          <w:trHeight w:val="335"/>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11.1</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Maximum Leverage Ratios</w:t>
            </w:r>
          </w:p>
        </w:tc>
        <w:tc>
          <w:tcPr>
            <w:tcW w:w="3200" w:type="dxa"/>
            <w:vAlign w:val="bottom"/>
          </w:tcPr>
          <w:p>
            <w:pPr>
              <w:ind w:left="2900"/>
              <w:spacing w:after="0"/>
              <w:rPr>
                <w:sz w:val="20"/>
                <w:szCs w:val="20"/>
                <w:color w:val="auto"/>
              </w:rPr>
            </w:pPr>
            <w:r>
              <w:rPr>
                <w:rFonts w:ascii="Arial" w:cs="Arial" w:eastAsia="Arial" w:hAnsi="Arial"/>
                <w:sz w:val="20"/>
                <w:szCs w:val="20"/>
                <w:color w:val="auto"/>
              </w:rPr>
              <w:t>99</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11.2</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Interest Coverage Ratio</w:t>
            </w:r>
          </w:p>
        </w:tc>
        <w:tc>
          <w:tcPr>
            <w:tcW w:w="3200" w:type="dxa"/>
            <w:vAlign w:val="bottom"/>
          </w:tcPr>
          <w:p>
            <w:pPr>
              <w:ind w:left="2900"/>
              <w:spacing w:after="0"/>
              <w:rPr>
                <w:sz w:val="20"/>
                <w:szCs w:val="20"/>
                <w:color w:val="auto"/>
              </w:rPr>
            </w:pPr>
            <w:r>
              <w:rPr>
                <w:rFonts w:ascii="Arial" w:cs="Arial" w:eastAsia="Arial" w:hAnsi="Arial"/>
                <w:sz w:val="20"/>
                <w:szCs w:val="20"/>
                <w:color w:val="auto"/>
              </w:rPr>
              <w:t>99</w:t>
            </w:r>
          </w:p>
        </w:tc>
      </w:tr>
      <w:tr>
        <w:trPr>
          <w:trHeight w:val="266"/>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w w:val="97"/>
              </w:rPr>
              <w:t>SECTION 12 DEFAULT</w:t>
            </w:r>
          </w:p>
        </w:tc>
        <w:tc>
          <w:tcPr>
            <w:tcW w:w="5500" w:type="dxa"/>
            <w:vAlign w:val="bottom"/>
            <w:gridSpan w:val="4"/>
          </w:tcPr>
          <w:p>
            <w:pPr>
              <w:spacing w:after="0"/>
              <w:rPr>
                <w:sz w:val="23"/>
                <w:szCs w:val="23"/>
                <w:color w:val="auto"/>
              </w:rPr>
            </w:pPr>
          </w:p>
        </w:tc>
        <w:tc>
          <w:tcPr>
            <w:tcW w:w="3200" w:type="dxa"/>
            <w:vAlign w:val="bottom"/>
          </w:tcPr>
          <w:p>
            <w:pPr>
              <w:ind w:left="2900"/>
              <w:spacing w:after="0"/>
              <w:rPr>
                <w:sz w:val="20"/>
                <w:szCs w:val="20"/>
                <w:color w:val="auto"/>
              </w:rPr>
            </w:pPr>
            <w:r>
              <w:rPr>
                <w:rFonts w:ascii="Arial" w:cs="Arial" w:eastAsia="Arial" w:hAnsi="Arial"/>
                <w:sz w:val="20"/>
                <w:szCs w:val="20"/>
                <w:color w:val="auto"/>
                <w:w w:val="83"/>
              </w:rPr>
              <w:t>100</w:t>
            </w:r>
          </w:p>
        </w:tc>
      </w:tr>
      <w:tr>
        <w:trPr>
          <w:trHeight w:val="335"/>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12.1</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Payment of Obligation</w:t>
            </w:r>
          </w:p>
        </w:tc>
        <w:tc>
          <w:tcPr>
            <w:tcW w:w="3200" w:type="dxa"/>
            <w:vAlign w:val="bottom"/>
          </w:tcPr>
          <w:p>
            <w:pPr>
              <w:ind w:left="2900"/>
              <w:spacing w:after="0"/>
              <w:rPr>
                <w:sz w:val="20"/>
                <w:szCs w:val="20"/>
                <w:color w:val="auto"/>
              </w:rPr>
            </w:pPr>
            <w:r>
              <w:rPr>
                <w:rFonts w:ascii="Arial" w:cs="Arial" w:eastAsia="Arial" w:hAnsi="Arial"/>
                <w:sz w:val="20"/>
                <w:szCs w:val="20"/>
                <w:color w:val="auto"/>
                <w:w w:val="83"/>
              </w:rPr>
              <w:t>100</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12.2</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Covenants</w:t>
            </w:r>
          </w:p>
        </w:tc>
        <w:tc>
          <w:tcPr>
            <w:tcW w:w="3200" w:type="dxa"/>
            <w:vAlign w:val="bottom"/>
          </w:tcPr>
          <w:p>
            <w:pPr>
              <w:ind w:left="2900"/>
              <w:spacing w:after="0"/>
              <w:rPr>
                <w:sz w:val="20"/>
                <w:szCs w:val="20"/>
                <w:color w:val="auto"/>
              </w:rPr>
            </w:pPr>
            <w:r>
              <w:rPr>
                <w:rFonts w:ascii="Arial" w:cs="Arial" w:eastAsia="Arial" w:hAnsi="Arial"/>
                <w:sz w:val="20"/>
                <w:szCs w:val="20"/>
                <w:color w:val="auto"/>
                <w:w w:val="83"/>
              </w:rPr>
              <w:t>100</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12.3</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Debtor Relief</w:t>
            </w:r>
          </w:p>
        </w:tc>
        <w:tc>
          <w:tcPr>
            <w:tcW w:w="3200" w:type="dxa"/>
            <w:vAlign w:val="bottom"/>
          </w:tcPr>
          <w:p>
            <w:pPr>
              <w:ind w:left="2900"/>
              <w:spacing w:after="0"/>
              <w:rPr>
                <w:sz w:val="20"/>
                <w:szCs w:val="20"/>
                <w:color w:val="auto"/>
              </w:rPr>
            </w:pPr>
            <w:r>
              <w:rPr>
                <w:rFonts w:ascii="Arial" w:cs="Arial" w:eastAsia="Arial" w:hAnsi="Arial"/>
                <w:sz w:val="20"/>
                <w:szCs w:val="20"/>
                <w:color w:val="auto"/>
                <w:w w:val="83"/>
              </w:rPr>
              <w:t>100</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12.4</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Judgments and Attachments</w:t>
            </w:r>
          </w:p>
        </w:tc>
        <w:tc>
          <w:tcPr>
            <w:tcW w:w="3200" w:type="dxa"/>
            <w:vAlign w:val="bottom"/>
          </w:tcPr>
          <w:p>
            <w:pPr>
              <w:ind w:left="2900"/>
              <w:spacing w:after="0"/>
              <w:rPr>
                <w:sz w:val="20"/>
                <w:szCs w:val="20"/>
                <w:color w:val="auto"/>
              </w:rPr>
            </w:pPr>
            <w:r>
              <w:rPr>
                <w:rFonts w:ascii="Arial" w:cs="Arial" w:eastAsia="Arial" w:hAnsi="Arial"/>
                <w:sz w:val="20"/>
                <w:szCs w:val="20"/>
                <w:color w:val="auto"/>
                <w:w w:val="83"/>
              </w:rPr>
              <w:t>100</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12.5</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Government Action</w:t>
            </w:r>
          </w:p>
        </w:tc>
        <w:tc>
          <w:tcPr>
            <w:tcW w:w="3200" w:type="dxa"/>
            <w:vAlign w:val="bottom"/>
          </w:tcPr>
          <w:p>
            <w:pPr>
              <w:ind w:left="2900"/>
              <w:spacing w:after="0"/>
              <w:rPr>
                <w:sz w:val="20"/>
                <w:szCs w:val="20"/>
                <w:color w:val="auto"/>
              </w:rPr>
            </w:pPr>
            <w:r>
              <w:rPr>
                <w:rFonts w:ascii="Arial" w:cs="Arial" w:eastAsia="Arial" w:hAnsi="Arial"/>
                <w:sz w:val="20"/>
                <w:szCs w:val="20"/>
                <w:color w:val="auto"/>
                <w:w w:val="83"/>
              </w:rPr>
              <w:t>100</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12.6</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Misrepresentation</w:t>
            </w:r>
          </w:p>
        </w:tc>
        <w:tc>
          <w:tcPr>
            <w:tcW w:w="3200" w:type="dxa"/>
            <w:vAlign w:val="bottom"/>
          </w:tcPr>
          <w:p>
            <w:pPr>
              <w:ind w:left="2900"/>
              <w:spacing w:after="0"/>
              <w:rPr>
                <w:sz w:val="20"/>
                <w:szCs w:val="20"/>
                <w:color w:val="auto"/>
              </w:rPr>
            </w:pPr>
            <w:r>
              <w:rPr>
                <w:rFonts w:ascii="Arial" w:cs="Arial" w:eastAsia="Arial" w:hAnsi="Arial"/>
                <w:sz w:val="20"/>
                <w:szCs w:val="20"/>
                <w:color w:val="auto"/>
                <w:w w:val="83"/>
              </w:rPr>
              <w:t>100</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12.7</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Ownership</w:t>
            </w:r>
          </w:p>
        </w:tc>
        <w:tc>
          <w:tcPr>
            <w:tcW w:w="3200" w:type="dxa"/>
            <w:vAlign w:val="bottom"/>
          </w:tcPr>
          <w:p>
            <w:pPr>
              <w:ind w:left="2900"/>
              <w:spacing w:after="0"/>
              <w:rPr>
                <w:sz w:val="20"/>
                <w:szCs w:val="20"/>
                <w:color w:val="auto"/>
              </w:rPr>
            </w:pPr>
            <w:r>
              <w:rPr>
                <w:rFonts w:ascii="Arial" w:cs="Arial" w:eastAsia="Arial" w:hAnsi="Arial"/>
                <w:sz w:val="20"/>
                <w:szCs w:val="20"/>
                <w:color w:val="auto"/>
                <w:w w:val="83"/>
              </w:rPr>
              <w:t>100</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12.8</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Default Under Other Agreements</w:t>
            </w:r>
          </w:p>
        </w:tc>
        <w:tc>
          <w:tcPr>
            <w:tcW w:w="3200" w:type="dxa"/>
            <w:vAlign w:val="bottom"/>
          </w:tcPr>
          <w:p>
            <w:pPr>
              <w:ind w:left="2900"/>
              <w:spacing w:after="0"/>
              <w:rPr>
                <w:sz w:val="20"/>
                <w:szCs w:val="20"/>
                <w:color w:val="auto"/>
              </w:rPr>
            </w:pPr>
            <w:r>
              <w:rPr>
                <w:rFonts w:ascii="Arial" w:cs="Arial" w:eastAsia="Arial" w:hAnsi="Arial"/>
                <w:sz w:val="20"/>
                <w:szCs w:val="20"/>
                <w:color w:val="auto"/>
                <w:w w:val="83"/>
              </w:rPr>
              <w:t>101</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12.9</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Subordinated Debt</w:t>
            </w:r>
          </w:p>
        </w:tc>
        <w:tc>
          <w:tcPr>
            <w:tcW w:w="3200" w:type="dxa"/>
            <w:vAlign w:val="bottom"/>
          </w:tcPr>
          <w:p>
            <w:pPr>
              <w:ind w:left="2900"/>
              <w:spacing w:after="0"/>
              <w:rPr>
                <w:sz w:val="20"/>
                <w:szCs w:val="20"/>
                <w:color w:val="auto"/>
              </w:rPr>
            </w:pPr>
            <w:r>
              <w:rPr>
                <w:rFonts w:ascii="Arial" w:cs="Arial" w:eastAsia="Arial" w:hAnsi="Arial"/>
                <w:sz w:val="20"/>
                <w:szCs w:val="20"/>
                <w:color w:val="auto"/>
                <w:w w:val="83"/>
              </w:rPr>
              <w:t>101</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12.10</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Validity and Enforceability of Loan Papers</w:t>
            </w:r>
          </w:p>
        </w:tc>
        <w:tc>
          <w:tcPr>
            <w:tcW w:w="3200" w:type="dxa"/>
            <w:vAlign w:val="bottom"/>
          </w:tcPr>
          <w:p>
            <w:pPr>
              <w:ind w:left="2900"/>
              <w:spacing w:after="0"/>
              <w:rPr>
                <w:sz w:val="20"/>
                <w:szCs w:val="20"/>
                <w:color w:val="auto"/>
              </w:rPr>
            </w:pPr>
            <w:r>
              <w:rPr>
                <w:rFonts w:ascii="Arial" w:cs="Arial" w:eastAsia="Arial" w:hAnsi="Arial"/>
                <w:sz w:val="20"/>
                <w:szCs w:val="20"/>
                <w:color w:val="auto"/>
                <w:w w:val="83"/>
              </w:rPr>
              <w:t>101</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12.11</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Employee Plans</w:t>
            </w:r>
          </w:p>
        </w:tc>
        <w:tc>
          <w:tcPr>
            <w:tcW w:w="3200" w:type="dxa"/>
            <w:vAlign w:val="bottom"/>
          </w:tcPr>
          <w:p>
            <w:pPr>
              <w:ind w:left="2900"/>
              <w:spacing w:after="0"/>
              <w:rPr>
                <w:sz w:val="20"/>
                <w:szCs w:val="20"/>
                <w:color w:val="auto"/>
              </w:rPr>
            </w:pPr>
            <w:r>
              <w:rPr>
                <w:rFonts w:ascii="Arial" w:cs="Arial" w:eastAsia="Arial" w:hAnsi="Arial"/>
                <w:sz w:val="20"/>
                <w:szCs w:val="20"/>
                <w:color w:val="auto"/>
                <w:w w:val="83"/>
              </w:rPr>
              <w:t>101</w:t>
            </w:r>
          </w:p>
        </w:tc>
      </w:tr>
      <w:tr>
        <w:trPr>
          <w:trHeight w:val="266"/>
        </w:trPr>
        <w:tc>
          <w:tcPr>
            <w:tcW w:w="3560" w:type="dxa"/>
            <w:vAlign w:val="bottom"/>
            <w:tcBorders>
              <w:bottom w:val="single" w:sz="8" w:color="auto"/>
            </w:tcBorders>
            <w:gridSpan w:val="4"/>
          </w:tcPr>
          <w:p>
            <w:pPr>
              <w:spacing w:after="0"/>
              <w:rPr>
                <w:sz w:val="20"/>
                <w:szCs w:val="20"/>
                <w:color w:val="auto"/>
              </w:rPr>
            </w:pPr>
            <w:r>
              <w:rPr>
                <w:rFonts w:ascii="Arial" w:cs="Arial" w:eastAsia="Arial" w:hAnsi="Arial"/>
                <w:sz w:val="20"/>
                <w:szCs w:val="20"/>
                <w:b w:val="1"/>
                <w:bCs w:val="1"/>
                <w:color w:val="auto"/>
                <w:w w:val="99"/>
              </w:rPr>
              <w:t>SECTION 13 RIGHTS AND REMEDIES</w:t>
            </w:r>
          </w:p>
        </w:tc>
        <w:tc>
          <w:tcPr>
            <w:tcW w:w="4060" w:type="dxa"/>
            <w:vAlign w:val="bottom"/>
            <w:gridSpan w:val="2"/>
          </w:tcPr>
          <w:p>
            <w:pPr>
              <w:spacing w:after="0"/>
              <w:rPr>
                <w:sz w:val="23"/>
                <w:szCs w:val="23"/>
                <w:color w:val="auto"/>
              </w:rPr>
            </w:pPr>
          </w:p>
        </w:tc>
        <w:tc>
          <w:tcPr>
            <w:tcW w:w="3200" w:type="dxa"/>
            <w:vAlign w:val="bottom"/>
          </w:tcPr>
          <w:p>
            <w:pPr>
              <w:ind w:left="2900"/>
              <w:spacing w:after="0"/>
              <w:rPr>
                <w:sz w:val="20"/>
                <w:szCs w:val="20"/>
                <w:color w:val="auto"/>
              </w:rPr>
            </w:pPr>
            <w:r>
              <w:rPr>
                <w:rFonts w:ascii="Arial" w:cs="Arial" w:eastAsia="Arial" w:hAnsi="Arial"/>
                <w:sz w:val="20"/>
                <w:szCs w:val="20"/>
                <w:color w:val="auto"/>
                <w:w w:val="83"/>
              </w:rPr>
              <w:t>102</w:t>
            </w:r>
          </w:p>
        </w:tc>
      </w:tr>
      <w:tr>
        <w:trPr>
          <w:trHeight w:val="335"/>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13.1</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Remedies Upon Default</w:t>
            </w:r>
          </w:p>
        </w:tc>
        <w:tc>
          <w:tcPr>
            <w:tcW w:w="3200" w:type="dxa"/>
            <w:vAlign w:val="bottom"/>
          </w:tcPr>
          <w:p>
            <w:pPr>
              <w:ind w:left="2900"/>
              <w:spacing w:after="0"/>
              <w:rPr>
                <w:sz w:val="20"/>
                <w:szCs w:val="20"/>
                <w:color w:val="auto"/>
              </w:rPr>
            </w:pPr>
            <w:r>
              <w:rPr>
                <w:rFonts w:ascii="Arial" w:cs="Arial" w:eastAsia="Arial" w:hAnsi="Arial"/>
                <w:sz w:val="20"/>
                <w:szCs w:val="20"/>
                <w:color w:val="auto"/>
                <w:w w:val="83"/>
              </w:rPr>
              <w:t>102</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13.2</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Company Waivers</w:t>
            </w:r>
          </w:p>
        </w:tc>
        <w:tc>
          <w:tcPr>
            <w:tcW w:w="3200" w:type="dxa"/>
            <w:vAlign w:val="bottom"/>
          </w:tcPr>
          <w:p>
            <w:pPr>
              <w:ind w:left="2900"/>
              <w:spacing w:after="0"/>
              <w:rPr>
                <w:sz w:val="20"/>
                <w:szCs w:val="20"/>
                <w:color w:val="auto"/>
              </w:rPr>
            </w:pPr>
            <w:r>
              <w:rPr>
                <w:rFonts w:ascii="Arial" w:cs="Arial" w:eastAsia="Arial" w:hAnsi="Arial"/>
                <w:sz w:val="20"/>
                <w:szCs w:val="20"/>
                <w:color w:val="auto"/>
                <w:w w:val="83"/>
              </w:rPr>
              <w:t>102</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13.3</w:t>
            </w:r>
          </w:p>
        </w:tc>
        <w:tc>
          <w:tcPr>
            <w:tcW w:w="6800" w:type="dxa"/>
            <w:vAlign w:val="bottom"/>
            <w:gridSpan w:val="5"/>
          </w:tcPr>
          <w:p>
            <w:pPr>
              <w:ind w:left="120"/>
              <w:spacing w:after="0"/>
              <w:rPr>
                <w:sz w:val="20"/>
                <w:szCs w:val="20"/>
                <w:color w:val="auto"/>
              </w:rPr>
            </w:pPr>
            <w:r>
              <w:rPr>
                <w:rFonts w:ascii="Arial" w:cs="Arial" w:eastAsia="Arial" w:hAnsi="Arial"/>
                <w:sz w:val="20"/>
                <w:szCs w:val="20"/>
                <w:color w:val="auto"/>
              </w:rPr>
              <w:t>Performance by Administrative Agent</w:t>
            </w:r>
          </w:p>
        </w:tc>
        <w:tc>
          <w:tcPr>
            <w:tcW w:w="3200" w:type="dxa"/>
            <w:vAlign w:val="bottom"/>
          </w:tcPr>
          <w:p>
            <w:pPr>
              <w:ind w:left="2900"/>
              <w:spacing w:after="0"/>
              <w:rPr>
                <w:sz w:val="20"/>
                <w:szCs w:val="20"/>
                <w:color w:val="auto"/>
              </w:rPr>
            </w:pPr>
            <w:r>
              <w:rPr>
                <w:rFonts w:ascii="Arial" w:cs="Arial" w:eastAsia="Arial" w:hAnsi="Arial"/>
                <w:sz w:val="20"/>
                <w:szCs w:val="20"/>
                <w:color w:val="auto"/>
                <w:w w:val="83"/>
              </w:rPr>
              <w:t>102</w:t>
            </w:r>
          </w:p>
        </w:tc>
      </w:tr>
    </w:tbl>
    <w:p>
      <w:pPr>
        <w:sectPr>
          <w:pgSz w:w="11900" w:h="16838" w:orient="portrait"/>
          <w:cols w:equalWidth="0" w:num="1">
            <w:col w:w="10820"/>
          </w:cols>
          <w:pgMar w:left="320" w:top="744" w:right="75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13.4</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Not in Control</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102</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13.5</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Course of Dealing</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102</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13.6</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Cumulative Rights</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103</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13.7</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Enforcement</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103</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13.8</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Application of Proceeds</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103</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13.9</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Diminution in Value of Collateral</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103</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13.10</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Certain Proceedings</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103</w:t>
            </w:r>
          </w:p>
        </w:tc>
      </w:tr>
      <w:tr>
        <w:trPr>
          <w:trHeight w:val="266"/>
        </w:trPr>
        <w:tc>
          <w:tcPr>
            <w:tcW w:w="3720" w:type="dxa"/>
            <w:vAlign w:val="bottom"/>
            <w:tcBorders>
              <w:bottom w:val="single" w:sz="8" w:color="auto"/>
            </w:tcBorders>
            <w:gridSpan w:val="3"/>
          </w:tcPr>
          <w:p>
            <w:pPr>
              <w:spacing w:after="0"/>
              <w:rPr>
                <w:sz w:val="20"/>
                <w:szCs w:val="20"/>
                <w:color w:val="auto"/>
              </w:rPr>
            </w:pPr>
            <w:r>
              <w:rPr>
                <w:rFonts w:ascii="Arial" w:cs="Arial" w:eastAsia="Arial" w:hAnsi="Arial"/>
                <w:sz w:val="20"/>
                <w:szCs w:val="20"/>
                <w:b w:val="1"/>
                <w:bCs w:val="1"/>
                <w:color w:val="auto"/>
              </w:rPr>
              <w:t>SECTION 14 ADMINISTRATIVE AGENT</w:t>
            </w:r>
          </w:p>
        </w:tc>
        <w:tc>
          <w:tcPr>
            <w:tcW w:w="4860" w:type="dxa"/>
            <w:vAlign w:val="bottom"/>
          </w:tcPr>
          <w:p>
            <w:pPr>
              <w:spacing w:after="0"/>
              <w:rPr>
                <w:sz w:val="23"/>
                <w:szCs w:val="23"/>
                <w:color w:val="auto"/>
              </w:rPr>
            </w:pP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104</w:t>
            </w:r>
          </w:p>
        </w:tc>
      </w:tr>
      <w:tr>
        <w:trPr>
          <w:trHeight w:val="335"/>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14.1</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Appointment and Authority</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104</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14.2</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Delegation of Duties</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104</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14.3</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Rights as a Lender</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104</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14.4</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Reliance by Administrative Agent</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104</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14.5</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Exculpatory Provisions</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105</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14.6</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Resignation or Removal as Administrative Agent</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106</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14.7</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Non-Reliance on Administrative Agent and Other Lenders</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107</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14.8</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Administrative Agent May File Proofs of Claim</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107</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14.9</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Collateral and Guaranty Matters</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108</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14.10</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Financial Hedges</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109</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14.11</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Bond L/Cs and Bond Documents</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110</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14.12</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No Other Duties, Etc.</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110</w:t>
            </w:r>
          </w:p>
        </w:tc>
      </w:tr>
      <w:tr>
        <w:trPr>
          <w:trHeight w:val="266"/>
        </w:trPr>
        <w:tc>
          <w:tcPr>
            <w:tcW w:w="294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w w:val="98"/>
              </w:rPr>
              <w:t>SECTION 15 MISCELLANEOUS</w:t>
            </w:r>
          </w:p>
        </w:tc>
        <w:tc>
          <w:tcPr>
            <w:tcW w:w="5640" w:type="dxa"/>
            <w:vAlign w:val="bottom"/>
            <w:gridSpan w:val="2"/>
          </w:tcPr>
          <w:p>
            <w:pPr>
              <w:spacing w:after="0"/>
              <w:rPr>
                <w:sz w:val="23"/>
                <w:szCs w:val="23"/>
                <w:color w:val="auto"/>
              </w:rPr>
            </w:pP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110</w:t>
            </w:r>
          </w:p>
        </w:tc>
      </w:tr>
      <w:tr>
        <w:trPr>
          <w:trHeight w:val="335"/>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15.1</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Headings</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110</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15.2</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Nonbusiness Days; Time</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110</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15.3</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Notices and Other Communications; Facsimile Copies</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110</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15.4</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Expenses; Indemnity; Damage Waiver</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112</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15.5</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Exceptions to Covenants; Conflict with Agreement</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114</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15.6</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Governing Law</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114</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15.7</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Severability</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115</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15.8</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Waiver of Jury Trial</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115</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15.9</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Amendments, Etc.</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115</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15.10</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Counterparts; Integration; Effectiveness</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117</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15.11</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Successors and Assigns; Participation</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117</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15.12</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Payments Set Aside</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121</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15.13</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Right of Setoff</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122</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15.14</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Replacement of Lenders</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122</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15.15</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Confidentiality</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123</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15.16</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No Advisory or Fiduciary Responsibility</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123</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15.17</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USA PATRIOT Act Notice</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124</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15.18</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Survival of Representations and Warranties</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124</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15.19</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Execution of Assignments and Certain Other Documents</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124</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15.20</w:t>
            </w:r>
          </w:p>
        </w:tc>
        <w:tc>
          <w:tcPr>
            <w:tcW w:w="7760" w:type="dxa"/>
            <w:vAlign w:val="bottom"/>
            <w:gridSpan w:val="3"/>
          </w:tcPr>
          <w:p>
            <w:pPr>
              <w:ind w:left="120"/>
              <w:spacing w:after="0"/>
              <w:rPr>
                <w:sz w:val="20"/>
                <w:szCs w:val="20"/>
                <w:color w:val="auto"/>
              </w:rPr>
            </w:pPr>
            <w:r>
              <w:rPr>
                <w:rFonts w:ascii="Arial" w:cs="Arial" w:eastAsia="Arial" w:hAnsi="Arial"/>
                <w:sz w:val="20"/>
                <w:szCs w:val="20"/>
                <w:b w:val="1"/>
                <w:bCs w:val="1"/>
                <w:color w:val="auto"/>
              </w:rPr>
              <w:t>ENTIRE AGREEMENT</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125</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15.21</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Restatement of Existing Agreement</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125</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15.22</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Judgment Currency</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125</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15.23</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ERISA</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126</w:t>
            </w:r>
          </w:p>
        </w:tc>
      </w:tr>
      <w:tr>
        <w:trPr>
          <w:trHeight w:val="311"/>
        </w:trPr>
        <w:tc>
          <w:tcPr>
            <w:tcW w:w="820" w:type="dxa"/>
            <w:vAlign w:val="bottom"/>
          </w:tcPr>
          <w:p>
            <w:pPr>
              <w:jc w:val="right"/>
              <w:ind w:right="1"/>
              <w:spacing w:after="0"/>
              <w:rPr>
                <w:sz w:val="20"/>
                <w:szCs w:val="20"/>
                <w:color w:val="auto"/>
              </w:rPr>
            </w:pPr>
            <w:r>
              <w:rPr>
                <w:rFonts w:ascii="Arial" w:cs="Arial" w:eastAsia="Arial" w:hAnsi="Arial"/>
                <w:sz w:val="20"/>
                <w:szCs w:val="20"/>
                <w:color w:val="auto"/>
              </w:rPr>
              <w:t>15.24</w:t>
            </w:r>
          </w:p>
        </w:tc>
        <w:tc>
          <w:tcPr>
            <w:tcW w:w="7760" w:type="dxa"/>
            <w:vAlign w:val="bottom"/>
            <w:gridSpan w:val="3"/>
          </w:tcPr>
          <w:p>
            <w:pPr>
              <w:ind w:left="120"/>
              <w:spacing w:after="0"/>
              <w:rPr>
                <w:sz w:val="20"/>
                <w:szCs w:val="20"/>
                <w:color w:val="auto"/>
              </w:rPr>
            </w:pPr>
            <w:r>
              <w:rPr>
                <w:rFonts w:ascii="Arial" w:cs="Arial" w:eastAsia="Arial" w:hAnsi="Arial"/>
                <w:sz w:val="20"/>
                <w:szCs w:val="20"/>
                <w:color w:val="auto"/>
              </w:rPr>
              <w:t>Acknowledgement and Consent to Bail-In of EEA Financial Institutions</w:t>
            </w:r>
          </w:p>
        </w:tc>
        <w:tc>
          <w:tcPr>
            <w:tcW w:w="2240" w:type="dxa"/>
            <w:vAlign w:val="bottom"/>
          </w:tcPr>
          <w:p>
            <w:pPr>
              <w:ind w:left="1940"/>
              <w:spacing w:after="0"/>
              <w:rPr>
                <w:sz w:val="20"/>
                <w:szCs w:val="20"/>
                <w:color w:val="auto"/>
              </w:rPr>
            </w:pPr>
            <w:r>
              <w:rPr>
                <w:rFonts w:ascii="Arial" w:cs="Arial" w:eastAsia="Arial" w:hAnsi="Arial"/>
                <w:sz w:val="20"/>
                <w:szCs w:val="20"/>
                <w:color w:val="auto"/>
                <w:w w:val="83"/>
              </w:rPr>
              <w:t>126</w:t>
            </w:r>
          </w:p>
        </w:tc>
      </w:tr>
    </w:tbl>
    <w:p>
      <w:pPr>
        <w:sectPr>
          <w:pgSz w:w="11900" w:h="16838" w:orient="portrait"/>
          <w:cols w:equalWidth="0" w:num="1">
            <w:col w:w="10820"/>
          </w:cols>
          <w:pgMar w:left="320" w:top="744" w:right="759" w:bottom="1440" w:gutter="0" w:footer="0" w:header="0"/>
        </w:sectPr>
      </w:pPr>
    </w:p>
    <w:bookmarkStart w:id="63" w:name="page64"/>
    <w:bookmarkEnd w:id="63"/>
    <w:p>
      <w:pPr>
        <w:jc w:val="center"/>
        <w:ind w:right="-299"/>
        <w:spacing w:after="0"/>
        <w:rPr>
          <w:sz w:val="20"/>
          <w:szCs w:val="20"/>
          <w:color w:val="auto"/>
        </w:rPr>
      </w:pPr>
      <w:r>
        <w:rPr>
          <w:rFonts w:ascii="Arial" w:cs="Arial" w:eastAsia="Arial" w:hAnsi="Arial"/>
          <w:sz w:val="22"/>
          <w:szCs w:val="22"/>
          <w:b w:val="1"/>
          <w:bCs w:val="1"/>
          <w:color w:val="auto"/>
        </w:rPr>
        <w:t>SCHEDULES AND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520" w:type="dxa"/>
            <w:vAlign w:val="bottom"/>
          </w:tcPr>
          <w:p>
            <w:pPr>
              <w:spacing w:after="0"/>
              <w:rPr>
                <w:sz w:val="20"/>
                <w:szCs w:val="20"/>
                <w:color w:val="auto"/>
              </w:rPr>
            </w:pPr>
            <w:r>
              <w:rPr>
                <w:rFonts w:ascii="Arial" w:cs="Arial" w:eastAsia="Arial" w:hAnsi="Arial"/>
                <w:sz w:val="20"/>
                <w:szCs w:val="20"/>
                <w:color w:val="auto"/>
              </w:rPr>
              <w:t>Schedule 1</w:t>
            </w:r>
          </w:p>
        </w:tc>
        <w:tc>
          <w:tcPr>
            <w:tcW w:w="9160" w:type="dxa"/>
            <w:vAlign w:val="bottom"/>
          </w:tcPr>
          <w:p>
            <w:pPr>
              <w:ind w:left="380"/>
              <w:spacing w:after="0"/>
              <w:rPr>
                <w:sz w:val="20"/>
                <w:szCs w:val="20"/>
                <w:color w:val="auto"/>
              </w:rPr>
            </w:pPr>
            <w:r>
              <w:rPr>
                <w:rFonts w:ascii="Arial" w:cs="Arial" w:eastAsia="Arial" w:hAnsi="Arial"/>
                <w:sz w:val="20"/>
                <w:szCs w:val="20"/>
                <w:color w:val="auto"/>
              </w:rPr>
              <w:t>Parties, Addresses, Commitments, and Wiring Information</w:t>
            </w:r>
          </w:p>
        </w:tc>
        <w:tc>
          <w:tcPr>
            <w:tcW w:w="0" w:type="dxa"/>
            <w:vAlign w:val="bottom"/>
          </w:tcPr>
          <w:p>
            <w:pPr>
              <w:spacing w:after="0"/>
              <w:rPr>
                <w:sz w:val="1"/>
                <w:szCs w:val="1"/>
                <w:color w:val="auto"/>
              </w:rPr>
            </w:pPr>
          </w:p>
        </w:tc>
      </w:tr>
      <w:tr>
        <w:trPr>
          <w:trHeight w:val="311"/>
        </w:trPr>
        <w:tc>
          <w:tcPr>
            <w:tcW w:w="1520" w:type="dxa"/>
            <w:vAlign w:val="bottom"/>
          </w:tcPr>
          <w:p>
            <w:pPr>
              <w:spacing w:after="0"/>
              <w:rPr>
                <w:sz w:val="20"/>
                <w:szCs w:val="20"/>
                <w:color w:val="auto"/>
              </w:rPr>
            </w:pPr>
            <w:r>
              <w:rPr>
                <w:rFonts w:ascii="Arial" w:cs="Arial" w:eastAsia="Arial" w:hAnsi="Arial"/>
                <w:sz w:val="20"/>
                <w:szCs w:val="20"/>
                <w:color w:val="auto"/>
              </w:rPr>
              <w:t>Schedule 2.3</w:t>
            </w:r>
          </w:p>
        </w:tc>
        <w:tc>
          <w:tcPr>
            <w:tcW w:w="9160" w:type="dxa"/>
            <w:vAlign w:val="bottom"/>
          </w:tcPr>
          <w:p>
            <w:pPr>
              <w:ind w:left="380"/>
              <w:spacing w:after="0"/>
              <w:rPr>
                <w:sz w:val="20"/>
                <w:szCs w:val="20"/>
                <w:color w:val="auto"/>
              </w:rPr>
            </w:pPr>
            <w:r>
              <w:rPr>
                <w:rFonts w:ascii="Arial" w:cs="Arial" w:eastAsia="Arial" w:hAnsi="Arial"/>
                <w:sz w:val="20"/>
                <w:szCs w:val="20"/>
                <w:color w:val="auto"/>
              </w:rPr>
              <w:t>Existing L/Cs and Scheduled Debt</w:t>
            </w:r>
          </w:p>
        </w:tc>
        <w:tc>
          <w:tcPr>
            <w:tcW w:w="0" w:type="dxa"/>
            <w:vAlign w:val="bottom"/>
          </w:tcPr>
          <w:p>
            <w:pPr>
              <w:spacing w:after="0"/>
              <w:rPr>
                <w:sz w:val="1"/>
                <w:szCs w:val="1"/>
                <w:color w:val="auto"/>
              </w:rPr>
            </w:pPr>
          </w:p>
        </w:tc>
      </w:tr>
      <w:tr>
        <w:trPr>
          <w:trHeight w:val="311"/>
        </w:trPr>
        <w:tc>
          <w:tcPr>
            <w:tcW w:w="1520" w:type="dxa"/>
            <w:vAlign w:val="bottom"/>
          </w:tcPr>
          <w:p>
            <w:pPr>
              <w:spacing w:after="0"/>
              <w:rPr>
                <w:sz w:val="20"/>
                <w:szCs w:val="20"/>
                <w:color w:val="auto"/>
              </w:rPr>
            </w:pPr>
            <w:r>
              <w:rPr>
                <w:rFonts w:ascii="Arial" w:cs="Arial" w:eastAsia="Arial" w:hAnsi="Arial"/>
                <w:sz w:val="20"/>
                <w:szCs w:val="20"/>
                <w:color w:val="auto"/>
              </w:rPr>
              <w:t>Schedule 7.1</w:t>
            </w:r>
          </w:p>
        </w:tc>
        <w:tc>
          <w:tcPr>
            <w:tcW w:w="9160" w:type="dxa"/>
            <w:vAlign w:val="bottom"/>
          </w:tcPr>
          <w:p>
            <w:pPr>
              <w:ind w:left="380"/>
              <w:spacing w:after="0"/>
              <w:rPr>
                <w:sz w:val="20"/>
                <w:szCs w:val="20"/>
                <w:color w:val="auto"/>
              </w:rPr>
            </w:pPr>
            <w:r>
              <w:rPr>
                <w:rFonts w:ascii="Arial" w:cs="Arial" w:eastAsia="Arial" w:hAnsi="Arial"/>
                <w:sz w:val="20"/>
                <w:szCs w:val="20"/>
                <w:color w:val="auto"/>
              </w:rPr>
              <w:t>Post-Closing Items</w:t>
            </w:r>
          </w:p>
        </w:tc>
        <w:tc>
          <w:tcPr>
            <w:tcW w:w="0" w:type="dxa"/>
            <w:vAlign w:val="bottom"/>
          </w:tcPr>
          <w:p>
            <w:pPr>
              <w:spacing w:after="0"/>
              <w:rPr>
                <w:sz w:val="1"/>
                <w:szCs w:val="1"/>
                <w:color w:val="auto"/>
              </w:rPr>
            </w:pPr>
          </w:p>
        </w:tc>
      </w:tr>
      <w:tr>
        <w:trPr>
          <w:trHeight w:val="311"/>
        </w:trPr>
        <w:tc>
          <w:tcPr>
            <w:tcW w:w="1520" w:type="dxa"/>
            <w:vAlign w:val="bottom"/>
          </w:tcPr>
          <w:p>
            <w:pPr>
              <w:spacing w:after="0"/>
              <w:rPr>
                <w:sz w:val="20"/>
                <w:szCs w:val="20"/>
                <w:color w:val="auto"/>
              </w:rPr>
            </w:pPr>
            <w:r>
              <w:rPr>
                <w:rFonts w:ascii="Arial" w:cs="Arial" w:eastAsia="Arial" w:hAnsi="Arial"/>
                <w:sz w:val="20"/>
                <w:szCs w:val="20"/>
                <w:color w:val="auto"/>
              </w:rPr>
              <w:t>Schedule 8.2</w:t>
            </w:r>
          </w:p>
        </w:tc>
        <w:tc>
          <w:tcPr>
            <w:tcW w:w="9160" w:type="dxa"/>
            <w:vAlign w:val="bottom"/>
          </w:tcPr>
          <w:p>
            <w:pPr>
              <w:ind w:left="380"/>
              <w:spacing w:after="0"/>
              <w:rPr>
                <w:sz w:val="20"/>
                <w:szCs w:val="20"/>
                <w:color w:val="auto"/>
              </w:rPr>
            </w:pPr>
            <w:r>
              <w:rPr>
                <w:rFonts w:ascii="Arial" w:cs="Arial" w:eastAsia="Arial" w:hAnsi="Arial"/>
                <w:sz w:val="20"/>
                <w:szCs w:val="20"/>
                <w:color w:val="auto"/>
              </w:rPr>
              <w:t>Corporate Organization and Structure</w:t>
            </w:r>
          </w:p>
        </w:tc>
        <w:tc>
          <w:tcPr>
            <w:tcW w:w="0" w:type="dxa"/>
            <w:vAlign w:val="bottom"/>
          </w:tcPr>
          <w:p>
            <w:pPr>
              <w:spacing w:after="0"/>
              <w:rPr>
                <w:sz w:val="1"/>
                <w:szCs w:val="1"/>
                <w:color w:val="auto"/>
              </w:rPr>
            </w:pPr>
          </w:p>
        </w:tc>
      </w:tr>
      <w:tr>
        <w:trPr>
          <w:trHeight w:val="311"/>
        </w:trPr>
        <w:tc>
          <w:tcPr>
            <w:tcW w:w="1520" w:type="dxa"/>
            <w:vAlign w:val="bottom"/>
          </w:tcPr>
          <w:p>
            <w:pPr>
              <w:spacing w:after="0"/>
              <w:rPr>
                <w:sz w:val="20"/>
                <w:szCs w:val="20"/>
                <w:color w:val="auto"/>
              </w:rPr>
            </w:pPr>
            <w:r>
              <w:rPr>
                <w:rFonts w:ascii="Arial" w:cs="Arial" w:eastAsia="Arial" w:hAnsi="Arial"/>
                <w:sz w:val="20"/>
                <w:szCs w:val="20"/>
                <w:color w:val="auto"/>
              </w:rPr>
              <w:t>Schedule 8.7</w:t>
            </w:r>
          </w:p>
        </w:tc>
        <w:tc>
          <w:tcPr>
            <w:tcW w:w="9160" w:type="dxa"/>
            <w:vAlign w:val="bottom"/>
          </w:tcPr>
          <w:p>
            <w:pPr>
              <w:ind w:left="380"/>
              <w:spacing w:after="0"/>
              <w:rPr>
                <w:sz w:val="20"/>
                <w:szCs w:val="20"/>
                <w:color w:val="auto"/>
              </w:rPr>
            </w:pPr>
            <w:r>
              <w:rPr>
                <w:rFonts w:ascii="Arial" w:cs="Arial" w:eastAsia="Arial" w:hAnsi="Arial"/>
                <w:sz w:val="20"/>
                <w:szCs w:val="20"/>
                <w:color w:val="auto"/>
              </w:rPr>
              <w:t>Material Litigation Summary</w:t>
            </w:r>
          </w:p>
        </w:tc>
        <w:tc>
          <w:tcPr>
            <w:tcW w:w="0" w:type="dxa"/>
            <w:vAlign w:val="bottom"/>
          </w:tcPr>
          <w:p>
            <w:pPr>
              <w:spacing w:after="0"/>
              <w:rPr>
                <w:sz w:val="1"/>
                <w:szCs w:val="1"/>
                <w:color w:val="auto"/>
              </w:rPr>
            </w:pPr>
          </w:p>
        </w:tc>
      </w:tr>
      <w:tr>
        <w:trPr>
          <w:trHeight w:val="311"/>
        </w:trPr>
        <w:tc>
          <w:tcPr>
            <w:tcW w:w="1520" w:type="dxa"/>
            <w:vAlign w:val="bottom"/>
          </w:tcPr>
          <w:p>
            <w:pPr>
              <w:spacing w:after="0"/>
              <w:rPr>
                <w:sz w:val="20"/>
                <w:szCs w:val="20"/>
                <w:color w:val="auto"/>
              </w:rPr>
            </w:pPr>
            <w:r>
              <w:rPr>
                <w:rFonts w:ascii="Arial" w:cs="Arial" w:eastAsia="Arial" w:hAnsi="Arial"/>
                <w:sz w:val="20"/>
                <w:szCs w:val="20"/>
                <w:color w:val="auto"/>
              </w:rPr>
              <w:t>Schedule 8.9</w:t>
            </w:r>
          </w:p>
        </w:tc>
        <w:tc>
          <w:tcPr>
            <w:tcW w:w="9160" w:type="dxa"/>
            <w:vAlign w:val="bottom"/>
          </w:tcPr>
          <w:p>
            <w:pPr>
              <w:ind w:left="380"/>
              <w:spacing w:after="0"/>
              <w:rPr>
                <w:sz w:val="20"/>
                <w:szCs w:val="20"/>
                <w:color w:val="auto"/>
              </w:rPr>
            </w:pPr>
            <w:r>
              <w:rPr>
                <w:rFonts w:ascii="Arial" w:cs="Arial" w:eastAsia="Arial" w:hAnsi="Arial"/>
                <w:sz w:val="20"/>
                <w:szCs w:val="20"/>
                <w:color w:val="auto"/>
              </w:rPr>
              <w:t>Material Environmental Matters</w:t>
            </w:r>
          </w:p>
        </w:tc>
        <w:tc>
          <w:tcPr>
            <w:tcW w:w="0" w:type="dxa"/>
            <w:vAlign w:val="bottom"/>
          </w:tcPr>
          <w:p>
            <w:pPr>
              <w:spacing w:after="0"/>
              <w:rPr>
                <w:sz w:val="1"/>
                <w:szCs w:val="1"/>
                <w:color w:val="auto"/>
              </w:rPr>
            </w:pPr>
          </w:p>
        </w:tc>
      </w:tr>
      <w:tr>
        <w:trPr>
          <w:trHeight w:val="311"/>
        </w:trPr>
        <w:tc>
          <w:tcPr>
            <w:tcW w:w="1520" w:type="dxa"/>
            <w:vAlign w:val="bottom"/>
          </w:tcPr>
          <w:p>
            <w:pPr>
              <w:spacing w:after="0"/>
              <w:rPr>
                <w:sz w:val="20"/>
                <w:szCs w:val="20"/>
                <w:color w:val="auto"/>
              </w:rPr>
            </w:pPr>
            <w:r>
              <w:rPr>
                <w:rFonts w:ascii="Arial" w:cs="Arial" w:eastAsia="Arial" w:hAnsi="Arial"/>
                <w:sz w:val="20"/>
                <w:szCs w:val="20"/>
                <w:color w:val="auto"/>
              </w:rPr>
              <w:t>Schedule 8.11</w:t>
            </w:r>
          </w:p>
        </w:tc>
        <w:tc>
          <w:tcPr>
            <w:tcW w:w="9160" w:type="dxa"/>
            <w:vAlign w:val="bottom"/>
          </w:tcPr>
          <w:p>
            <w:pPr>
              <w:ind w:left="380"/>
              <w:spacing w:after="0"/>
              <w:rPr>
                <w:sz w:val="20"/>
                <w:szCs w:val="20"/>
                <w:color w:val="auto"/>
              </w:rPr>
            </w:pPr>
            <w:r>
              <w:rPr>
                <w:rFonts w:ascii="Arial" w:cs="Arial" w:eastAsia="Arial" w:hAnsi="Arial"/>
                <w:sz w:val="20"/>
                <w:szCs w:val="20"/>
                <w:color w:val="auto"/>
              </w:rPr>
              <w:t>Existing Critical Assets</w:t>
            </w:r>
          </w:p>
        </w:tc>
        <w:tc>
          <w:tcPr>
            <w:tcW w:w="0" w:type="dxa"/>
            <w:vAlign w:val="bottom"/>
          </w:tcPr>
          <w:p>
            <w:pPr>
              <w:spacing w:after="0"/>
              <w:rPr>
                <w:sz w:val="1"/>
                <w:szCs w:val="1"/>
                <w:color w:val="auto"/>
              </w:rPr>
            </w:pPr>
          </w:p>
        </w:tc>
      </w:tr>
      <w:tr>
        <w:trPr>
          <w:trHeight w:val="311"/>
        </w:trPr>
        <w:tc>
          <w:tcPr>
            <w:tcW w:w="1520" w:type="dxa"/>
            <w:vAlign w:val="bottom"/>
          </w:tcPr>
          <w:p>
            <w:pPr>
              <w:spacing w:after="0"/>
              <w:rPr>
                <w:sz w:val="20"/>
                <w:szCs w:val="20"/>
                <w:color w:val="auto"/>
              </w:rPr>
            </w:pPr>
            <w:r>
              <w:rPr>
                <w:rFonts w:ascii="Arial" w:cs="Arial" w:eastAsia="Arial" w:hAnsi="Arial"/>
                <w:sz w:val="20"/>
                <w:szCs w:val="20"/>
                <w:color w:val="auto"/>
              </w:rPr>
              <w:t>Schedule 8.13</w:t>
            </w:r>
          </w:p>
        </w:tc>
        <w:tc>
          <w:tcPr>
            <w:tcW w:w="9160" w:type="dxa"/>
            <w:vAlign w:val="bottom"/>
          </w:tcPr>
          <w:p>
            <w:pPr>
              <w:ind w:left="380"/>
              <w:spacing w:after="0"/>
              <w:rPr>
                <w:sz w:val="20"/>
                <w:szCs w:val="20"/>
                <w:color w:val="auto"/>
              </w:rPr>
            </w:pPr>
            <w:r>
              <w:rPr>
                <w:rFonts w:ascii="Arial" w:cs="Arial" w:eastAsia="Arial" w:hAnsi="Arial"/>
                <w:sz w:val="20"/>
                <w:szCs w:val="20"/>
                <w:color w:val="auto"/>
              </w:rPr>
              <w:t>Non-Standard Transactions with Affiliates</w:t>
            </w:r>
          </w:p>
        </w:tc>
        <w:tc>
          <w:tcPr>
            <w:tcW w:w="0" w:type="dxa"/>
            <w:vAlign w:val="bottom"/>
          </w:tcPr>
          <w:p>
            <w:pPr>
              <w:spacing w:after="0"/>
              <w:rPr>
                <w:sz w:val="1"/>
                <w:szCs w:val="1"/>
                <w:color w:val="auto"/>
              </w:rPr>
            </w:pPr>
          </w:p>
        </w:tc>
      </w:tr>
      <w:tr>
        <w:trPr>
          <w:trHeight w:val="311"/>
        </w:trPr>
        <w:tc>
          <w:tcPr>
            <w:tcW w:w="1520" w:type="dxa"/>
            <w:vAlign w:val="bottom"/>
          </w:tcPr>
          <w:p>
            <w:pPr>
              <w:spacing w:after="0"/>
              <w:rPr>
                <w:sz w:val="20"/>
                <w:szCs w:val="20"/>
                <w:color w:val="auto"/>
              </w:rPr>
            </w:pPr>
            <w:r>
              <w:rPr>
                <w:rFonts w:ascii="Arial" w:cs="Arial" w:eastAsia="Arial" w:hAnsi="Arial"/>
                <w:sz w:val="20"/>
                <w:szCs w:val="20"/>
                <w:color w:val="auto"/>
              </w:rPr>
              <w:t>Schedule 8.24</w:t>
            </w:r>
          </w:p>
        </w:tc>
        <w:tc>
          <w:tcPr>
            <w:tcW w:w="9160" w:type="dxa"/>
            <w:vAlign w:val="bottom"/>
          </w:tcPr>
          <w:p>
            <w:pPr>
              <w:ind w:left="380"/>
              <w:spacing w:after="0"/>
              <w:rPr>
                <w:sz w:val="20"/>
                <w:szCs w:val="20"/>
                <w:color w:val="auto"/>
              </w:rPr>
            </w:pPr>
            <w:r>
              <w:rPr>
                <w:rFonts w:ascii="Arial" w:cs="Arial" w:eastAsia="Arial" w:hAnsi="Arial"/>
                <w:sz w:val="20"/>
                <w:szCs w:val="20"/>
                <w:color w:val="auto"/>
              </w:rPr>
              <w:t>Taxpayer Identification</w:t>
            </w:r>
          </w:p>
        </w:tc>
        <w:tc>
          <w:tcPr>
            <w:tcW w:w="0" w:type="dxa"/>
            <w:vAlign w:val="bottom"/>
          </w:tcPr>
          <w:p>
            <w:pPr>
              <w:spacing w:after="0"/>
              <w:rPr>
                <w:sz w:val="1"/>
                <w:szCs w:val="1"/>
                <w:color w:val="auto"/>
              </w:rPr>
            </w:pPr>
          </w:p>
        </w:tc>
      </w:tr>
      <w:tr>
        <w:trPr>
          <w:trHeight w:val="311"/>
        </w:trPr>
        <w:tc>
          <w:tcPr>
            <w:tcW w:w="1520" w:type="dxa"/>
            <w:vAlign w:val="bottom"/>
          </w:tcPr>
          <w:p>
            <w:pPr>
              <w:spacing w:after="0"/>
              <w:rPr>
                <w:sz w:val="20"/>
                <w:szCs w:val="20"/>
                <w:color w:val="auto"/>
              </w:rPr>
            </w:pPr>
            <w:r>
              <w:rPr>
                <w:rFonts w:ascii="Arial" w:cs="Arial" w:eastAsia="Arial" w:hAnsi="Arial"/>
                <w:sz w:val="20"/>
                <w:szCs w:val="20"/>
                <w:color w:val="auto"/>
              </w:rPr>
              <w:t>Schedule10.8</w:t>
            </w:r>
          </w:p>
        </w:tc>
        <w:tc>
          <w:tcPr>
            <w:tcW w:w="9160" w:type="dxa"/>
            <w:vAlign w:val="bottom"/>
          </w:tcPr>
          <w:p>
            <w:pPr>
              <w:ind w:left="380"/>
              <w:spacing w:after="0"/>
              <w:rPr>
                <w:sz w:val="20"/>
                <w:szCs w:val="20"/>
                <w:color w:val="auto"/>
              </w:rPr>
            </w:pPr>
            <w:r>
              <w:rPr>
                <w:rFonts w:ascii="Arial" w:cs="Arial" w:eastAsia="Arial" w:hAnsi="Arial"/>
                <w:sz w:val="20"/>
                <w:szCs w:val="20"/>
                <w:color w:val="auto"/>
              </w:rPr>
              <w:t>Loans, Advances and Investments</w:t>
            </w:r>
          </w:p>
        </w:tc>
        <w:tc>
          <w:tcPr>
            <w:tcW w:w="0" w:type="dxa"/>
            <w:vAlign w:val="bottom"/>
          </w:tcPr>
          <w:p>
            <w:pPr>
              <w:spacing w:after="0"/>
              <w:rPr>
                <w:sz w:val="1"/>
                <w:szCs w:val="1"/>
                <w:color w:val="auto"/>
              </w:rPr>
            </w:pPr>
          </w:p>
        </w:tc>
      </w:tr>
      <w:tr>
        <w:trPr>
          <w:trHeight w:val="311"/>
        </w:trPr>
        <w:tc>
          <w:tcPr>
            <w:tcW w:w="1520" w:type="dxa"/>
            <w:vAlign w:val="bottom"/>
          </w:tcPr>
          <w:p>
            <w:pPr>
              <w:spacing w:after="0"/>
              <w:rPr>
                <w:sz w:val="20"/>
                <w:szCs w:val="20"/>
                <w:color w:val="auto"/>
              </w:rPr>
            </w:pPr>
            <w:r>
              <w:rPr>
                <w:rFonts w:ascii="Arial" w:cs="Arial" w:eastAsia="Arial" w:hAnsi="Arial"/>
                <w:sz w:val="20"/>
                <w:szCs w:val="20"/>
                <w:color w:val="auto"/>
              </w:rPr>
              <w:t>Schedule10.9</w:t>
            </w:r>
          </w:p>
        </w:tc>
        <w:tc>
          <w:tcPr>
            <w:tcW w:w="9160" w:type="dxa"/>
            <w:vAlign w:val="bottom"/>
          </w:tcPr>
          <w:p>
            <w:pPr>
              <w:ind w:left="380"/>
              <w:spacing w:after="0"/>
              <w:rPr>
                <w:sz w:val="20"/>
                <w:szCs w:val="20"/>
                <w:color w:val="auto"/>
              </w:rPr>
            </w:pPr>
            <w:r>
              <w:rPr>
                <w:rFonts w:ascii="Arial" w:cs="Arial" w:eastAsia="Arial" w:hAnsi="Arial"/>
                <w:sz w:val="20"/>
                <w:szCs w:val="20"/>
                <w:color w:val="auto"/>
              </w:rPr>
              <w:t>Permitted Distributions</w:t>
            </w:r>
          </w:p>
        </w:tc>
        <w:tc>
          <w:tcPr>
            <w:tcW w:w="0" w:type="dxa"/>
            <w:vAlign w:val="bottom"/>
          </w:tcPr>
          <w:p>
            <w:pPr>
              <w:spacing w:after="0"/>
              <w:rPr>
                <w:sz w:val="1"/>
                <w:szCs w:val="1"/>
                <w:color w:val="auto"/>
              </w:rPr>
            </w:pPr>
          </w:p>
        </w:tc>
      </w:tr>
      <w:tr>
        <w:trPr>
          <w:trHeight w:val="311"/>
        </w:trPr>
        <w:tc>
          <w:tcPr>
            <w:tcW w:w="1520" w:type="dxa"/>
            <w:vAlign w:val="bottom"/>
          </w:tcPr>
          <w:p>
            <w:pPr>
              <w:spacing w:after="0"/>
              <w:rPr>
                <w:sz w:val="20"/>
                <w:szCs w:val="20"/>
                <w:color w:val="auto"/>
              </w:rPr>
            </w:pPr>
            <w:r>
              <w:rPr>
                <w:rFonts w:ascii="Arial" w:cs="Arial" w:eastAsia="Arial" w:hAnsi="Arial"/>
                <w:sz w:val="20"/>
                <w:szCs w:val="20"/>
                <w:color w:val="auto"/>
              </w:rPr>
              <w:t>Schedule10.16</w:t>
            </w:r>
          </w:p>
        </w:tc>
        <w:tc>
          <w:tcPr>
            <w:tcW w:w="9160" w:type="dxa"/>
            <w:vAlign w:val="bottom"/>
          </w:tcPr>
          <w:p>
            <w:pPr>
              <w:ind w:left="380"/>
              <w:spacing w:after="0"/>
              <w:rPr>
                <w:sz w:val="20"/>
                <w:szCs w:val="20"/>
                <w:color w:val="auto"/>
              </w:rPr>
            </w:pPr>
            <w:r>
              <w:rPr>
                <w:rFonts w:ascii="Arial" w:cs="Arial" w:eastAsia="Arial" w:hAnsi="Arial"/>
                <w:sz w:val="20"/>
                <w:szCs w:val="20"/>
                <w:color w:val="auto"/>
              </w:rPr>
              <w:t>Existing Burdensome Agreements</w:t>
            </w:r>
          </w:p>
        </w:tc>
        <w:tc>
          <w:tcPr>
            <w:tcW w:w="0" w:type="dxa"/>
            <w:vAlign w:val="bottom"/>
          </w:tcPr>
          <w:p>
            <w:pPr>
              <w:spacing w:after="0"/>
              <w:rPr>
                <w:sz w:val="1"/>
                <w:szCs w:val="1"/>
                <w:color w:val="auto"/>
              </w:rPr>
            </w:pPr>
          </w:p>
        </w:tc>
      </w:tr>
      <w:tr>
        <w:trPr>
          <w:trHeight w:val="716"/>
        </w:trPr>
        <w:tc>
          <w:tcPr>
            <w:tcW w:w="1520" w:type="dxa"/>
            <w:vAlign w:val="bottom"/>
          </w:tcPr>
          <w:p>
            <w:pPr>
              <w:spacing w:after="0"/>
              <w:rPr>
                <w:sz w:val="20"/>
                <w:szCs w:val="20"/>
                <w:color w:val="auto"/>
              </w:rPr>
            </w:pPr>
            <w:r>
              <w:rPr>
                <w:rFonts w:ascii="Arial" w:cs="Arial" w:eastAsia="Arial" w:hAnsi="Arial"/>
                <w:sz w:val="20"/>
                <w:szCs w:val="20"/>
                <w:color w:val="auto"/>
              </w:rPr>
              <w:t>Exhibit A-1</w:t>
            </w:r>
          </w:p>
        </w:tc>
        <w:tc>
          <w:tcPr>
            <w:tcW w:w="9160" w:type="dxa"/>
            <w:vAlign w:val="bottom"/>
          </w:tcPr>
          <w:p>
            <w:pPr>
              <w:ind w:left="380"/>
              <w:spacing w:after="0"/>
              <w:rPr>
                <w:sz w:val="20"/>
                <w:szCs w:val="20"/>
                <w:color w:val="auto"/>
              </w:rPr>
            </w:pPr>
            <w:r>
              <w:rPr>
                <w:rFonts w:ascii="Arial" w:cs="Arial" w:eastAsia="Arial" w:hAnsi="Arial"/>
                <w:sz w:val="20"/>
                <w:szCs w:val="20"/>
                <w:color w:val="auto"/>
              </w:rPr>
              <w:t>Form of Revolver Note</w:t>
            </w:r>
          </w:p>
        </w:tc>
        <w:tc>
          <w:tcPr>
            <w:tcW w:w="0" w:type="dxa"/>
            <w:vAlign w:val="bottom"/>
          </w:tcPr>
          <w:p>
            <w:pPr>
              <w:spacing w:after="0"/>
              <w:rPr>
                <w:sz w:val="1"/>
                <w:szCs w:val="1"/>
                <w:color w:val="auto"/>
              </w:rPr>
            </w:pPr>
          </w:p>
        </w:tc>
      </w:tr>
      <w:tr>
        <w:trPr>
          <w:trHeight w:val="311"/>
        </w:trPr>
        <w:tc>
          <w:tcPr>
            <w:tcW w:w="1520" w:type="dxa"/>
            <w:vAlign w:val="bottom"/>
          </w:tcPr>
          <w:p>
            <w:pPr>
              <w:spacing w:after="0"/>
              <w:rPr>
                <w:sz w:val="20"/>
                <w:szCs w:val="20"/>
                <w:color w:val="auto"/>
              </w:rPr>
            </w:pPr>
            <w:r>
              <w:rPr>
                <w:rFonts w:ascii="Arial" w:cs="Arial" w:eastAsia="Arial" w:hAnsi="Arial"/>
                <w:sz w:val="20"/>
                <w:szCs w:val="20"/>
                <w:color w:val="auto"/>
              </w:rPr>
              <w:t>Exhibit A-2</w:t>
            </w:r>
          </w:p>
        </w:tc>
        <w:tc>
          <w:tcPr>
            <w:tcW w:w="9160" w:type="dxa"/>
            <w:vAlign w:val="bottom"/>
          </w:tcPr>
          <w:p>
            <w:pPr>
              <w:ind w:left="380"/>
              <w:spacing w:after="0"/>
              <w:rPr>
                <w:sz w:val="20"/>
                <w:szCs w:val="20"/>
                <w:color w:val="auto"/>
              </w:rPr>
            </w:pPr>
            <w:r>
              <w:rPr>
                <w:rFonts w:ascii="Arial" w:cs="Arial" w:eastAsia="Arial" w:hAnsi="Arial"/>
                <w:sz w:val="20"/>
                <w:szCs w:val="20"/>
                <w:color w:val="auto"/>
              </w:rPr>
              <w:t>Form of Swing Line Note</w:t>
            </w:r>
          </w:p>
        </w:tc>
        <w:tc>
          <w:tcPr>
            <w:tcW w:w="0" w:type="dxa"/>
            <w:vAlign w:val="bottom"/>
          </w:tcPr>
          <w:p>
            <w:pPr>
              <w:spacing w:after="0"/>
              <w:rPr>
                <w:sz w:val="1"/>
                <w:szCs w:val="1"/>
                <w:color w:val="auto"/>
              </w:rPr>
            </w:pPr>
          </w:p>
        </w:tc>
      </w:tr>
      <w:tr>
        <w:trPr>
          <w:trHeight w:val="311"/>
        </w:trPr>
        <w:tc>
          <w:tcPr>
            <w:tcW w:w="1520" w:type="dxa"/>
            <w:vAlign w:val="bottom"/>
          </w:tcPr>
          <w:p>
            <w:pPr>
              <w:spacing w:after="0"/>
              <w:rPr>
                <w:sz w:val="20"/>
                <w:szCs w:val="20"/>
                <w:color w:val="auto"/>
              </w:rPr>
            </w:pPr>
            <w:r>
              <w:rPr>
                <w:rFonts w:ascii="Arial" w:cs="Arial" w:eastAsia="Arial" w:hAnsi="Arial"/>
                <w:sz w:val="20"/>
                <w:szCs w:val="20"/>
                <w:color w:val="auto"/>
              </w:rPr>
              <w:t>Exhibit A-3</w:t>
            </w:r>
          </w:p>
        </w:tc>
        <w:tc>
          <w:tcPr>
            <w:tcW w:w="9160" w:type="dxa"/>
            <w:vAlign w:val="bottom"/>
          </w:tcPr>
          <w:p>
            <w:pPr>
              <w:ind w:left="380"/>
              <w:spacing w:after="0"/>
              <w:rPr>
                <w:sz w:val="20"/>
                <w:szCs w:val="20"/>
                <w:color w:val="auto"/>
              </w:rPr>
            </w:pPr>
            <w:r>
              <w:rPr>
                <w:rFonts w:ascii="Arial" w:cs="Arial" w:eastAsia="Arial" w:hAnsi="Arial"/>
                <w:sz w:val="20"/>
                <w:szCs w:val="20"/>
                <w:color w:val="auto"/>
              </w:rPr>
              <w:t>Form of Term Loan Note</w:t>
            </w:r>
          </w:p>
        </w:tc>
        <w:tc>
          <w:tcPr>
            <w:tcW w:w="0" w:type="dxa"/>
            <w:vAlign w:val="bottom"/>
          </w:tcPr>
          <w:p>
            <w:pPr>
              <w:spacing w:after="0"/>
              <w:rPr>
                <w:sz w:val="1"/>
                <w:szCs w:val="1"/>
                <w:color w:val="auto"/>
              </w:rPr>
            </w:pPr>
          </w:p>
        </w:tc>
      </w:tr>
      <w:tr>
        <w:trPr>
          <w:trHeight w:val="311"/>
        </w:trPr>
        <w:tc>
          <w:tcPr>
            <w:tcW w:w="1520" w:type="dxa"/>
            <w:vAlign w:val="bottom"/>
          </w:tcPr>
          <w:p>
            <w:pPr>
              <w:spacing w:after="0"/>
              <w:rPr>
                <w:sz w:val="20"/>
                <w:szCs w:val="20"/>
                <w:color w:val="auto"/>
              </w:rPr>
            </w:pPr>
            <w:r>
              <w:rPr>
                <w:rFonts w:ascii="Arial" w:cs="Arial" w:eastAsia="Arial" w:hAnsi="Arial"/>
                <w:sz w:val="20"/>
                <w:szCs w:val="20"/>
                <w:color w:val="auto"/>
              </w:rPr>
              <w:t>Exhibit B-1</w:t>
            </w:r>
          </w:p>
        </w:tc>
        <w:tc>
          <w:tcPr>
            <w:tcW w:w="9160" w:type="dxa"/>
            <w:vAlign w:val="bottom"/>
          </w:tcPr>
          <w:p>
            <w:pPr>
              <w:ind w:left="380"/>
              <w:spacing w:after="0"/>
              <w:rPr>
                <w:sz w:val="20"/>
                <w:szCs w:val="20"/>
                <w:color w:val="auto"/>
              </w:rPr>
            </w:pPr>
            <w:r>
              <w:rPr>
                <w:rFonts w:ascii="Arial" w:cs="Arial" w:eastAsia="Arial" w:hAnsi="Arial"/>
                <w:sz w:val="20"/>
                <w:szCs w:val="20"/>
                <w:color w:val="auto"/>
              </w:rPr>
              <w:t>Form of Guaranty</w:t>
            </w:r>
          </w:p>
        </w:tc>
        <w:tc>
          <w:tcPr>
            <w:tcW w:w="0" w:type="dxa"/>
            <w:vAlign w:val="bottom"/>
          </w:tcPr>
          <w:p>
            <w:pPr>
              <w:spacing w:after="0"/>
              <w:rPr>
                <w:sz w:val="1"/>
                <w:szCs w:val="1"/>
                <w:color w:val="auto"/>
              </w:rPr>
            </w:pPr>
          </w:p>
        </w:tc>
      </w:tr>
      <w:tr>
        <w:trPr>
          <w:trHeight w:val="311"/>
        </w:trPr>
        <w:tc>
          <w:tcPr>
            <w:tcW w:w="1520" w:type="dxa"/>
            <w:vAlign w:val="bottom"/>
          </w:tcPr>
          <w:p>
            <w:pPr>
              <w:spacing w:after="0"/>
              <w:rPr>
                <w:sz w:val="20"/>
                <w:szCs w:val="20"/>
                <w:color w:val="auto"/>
              </w:rPr>
            </w:pPr>
            <w:r>
              <w:rPr>
                <w:rFonts w:ascii="Arial" w:cs="Arial" w:eastAsia="Arial" w:hAnsi="Arial"/>
                <w:sz w:val="20"/>
                <w:szCs w:val="20"/>
                <w:color w:val="auto"/>
              </w:rPr>
              <w:t>Exhibit B-2</w:t>
            </w:r>
          </w:p>
        </w:tc>
        <w:tc>
          <w:tcPr>
            <w:tcW w:w="9160" w:type="dxa"/>
            <w:vAlign w:val="bottom"/>
          </w:tcPr>
          <w:p>
            <w:pPr>
              <w:ind w:left="380"/>
              <w:spacing w:after="0"/>
              <w:rPr>
                <w:sz w:val="20"/>
                <w:szCs w:val="20"/>
                <w:color w:val="auto"/>
              </w:rPr>
            </w:pPr>
            <w:r>
              <w:rPr>
                <w:rFonts w:ascii="Arial" w:cs="Arial" w:eastAsia="Arial" w:hAnsi="Arial"/>
                <w:sz w:val="20"/>
                <w:szCs w:val="20"/>
                <w:color w:val="auto"/>
              </w:rPr>
              <w:t>Form of Confirmation of Guaranty</w:t>
            </w:r>
          </w:p>
        </w:tc>
        <w:tc>
          <w:tcPr>
            <w:tcW w:w="0" w:type="dxa"/>
            <w:vAlign w:val="bottom"/>
          </w:tcPr>
          <w:p>
            <w:pPr>
              <w:spacing w:after="0"/>
              <w:rPr>
                <w:sz w:val="1"/>
                <w:szCs w:val="1"/>
                <w:color w:val="auto"/>
              </w:rPr>
            </w:pPr>
          </w:p>
        </w:tc>
      </w:tr>
      <w:tr>
        <w:trPr>
          <w:trHeight w:val="311"/>
        </w:trPr>
        <w:tc>
          <w:tcPr>
            <w:tcW w:w="1520" w:type="dxa"/>
            <w:vAlign w:val="bottom"/>
          </w:tcPr>
          <w:p>
            <w:pPr>
              <w:spacing w:after="0"/>
              <w:rPr>
                <w:sz w:val="20"/>
                <w:szCs w:val="20"/>
                <w:color w:val="auto"/>
              </w:rPr>
            </w:pPr>
            <w:r>
              <w:rPr>
                <w:rFonts w:ascii="Arial" w:cs="Arial" w:eastAsia="Arial" w:hAnsi="Arial"/>
                <w:sz w:val="20"/>
                <w:szCs w:val="20"/>
                <w:color w:val="auto"/>
              </w:rPr>
              <w:t>Exhibit C-1</w:t>
            </w:r>
          </w:p>
        </w:tc>
        <w:tc>
          <w:tcPr>
            <w:tcW w:w="9160" w:type="dxa"/>
            <w:vAlign w:val="bottom"/>
          </w:tcPr>
          <w:p>
            <w:pPr>
              <w:ind w:left="380"/>
              <w:spacing w:after="0"/>
              <w:rPr>
                <w:sz w:val="20"/>
                <w:szCs w:val="20"/>
                <w:color w:val="auto"/>
              </w:rPr>
            </w:pPr>
            <w:r>
              <w:rPr>
                <w:rFonts w:ascii="Arial" w:cs="Arial" w:eastAsia="Arial" w:hAnsi="Arial"/>
                <w:sz w:val="20"/>
                <w:szCs w:val="20"/>
                <w:color w:val="auto"/>
              </w:rPr>
              <w:t>Form of Loan Notice</w:t>
            </w:r>
          </w:p>
        </w:tc>
        <w:tc>
          <w:tcPr>
            <w:tcW w:w="0" w:type="dxa"/>
            <w:vAlign w:val="bottom"/>
          </w:tcPr>
          <w:p>
            <w:pPr>
              <w:spacing w:after="0"/>
              <w:rPr>
                <w:sz w:val="1"/>
                <w:szCs w:val="1"/>
                <w:color w:val="auto"/>
              </w:rPr>
            </w:pPr>
          </w:p>
        </w:tc>
      </w:tr>
      <w:tr>
        <w:trPr>
          <w:trHeight w:val="311"/>
        </w:trPr>
        <w:tc>
          <w:tcPr>
            <w:tcW w:w="1520" w:type="dxa"/>
            <w:vAlign w:val="bottom"/>
          </w:tcPr>
          <w:p>
            <w:pPr>
              <w:spacing w:after="0"/>
              <w:rPr>
                <w:sz w:val="20"/>
                <w:szCs w:val="20"/>
                <w:color w:val="auto"/>
              </w:rPr>
            </w:pPr>
            <w:r>
              <w:rPr>
                <w:rFonts w:ascii="Arial" w:cs="Arial" w:eastAsia="Arial" w:hAnsi="Arial"/>
                <w:sz w:val="20"/>
                <w:szCs w:val="20"/>
                <w:color w:val="auto"/>
              </w:rPr>
              <w:t>Exhibit C-2</w:t>
            </w:r>
          </w:p>
        </w:tc>
        <w:tc>
          <w:tcPr>
            <w:tcW w:w="9160" w:type="dxa"/>
            <w:vAlign w:val="bottom"/>
          </w:tcPr>
          <w:p>
            <w:pPr>
              <w:ind w:left="380"/>
              <w:spacing w:after="0"/>
              <w:rPr>
                <w:sz w:val="20"/>
                <w:szCs w:val="20"/>
                <w:color w:val="auto"/>
              </w:rPr>
            </w:pPr>
            <w:r>
              <w:rPr>
                <w:rFonts w:ascii="Arial" w:cs="Arial" w:eastAsia="Arial" w:hAnsi="Arial"/>
                <w:sz w:val="20"/>
                <w:szCs w:val="20"/>
                <w:color w:val="auto"/>
              </w:rPr>
              <w:t>Form of Swing Line Loan Notice</w:t>
            </w:r>
          </w:p>
        </w:tc>
        <w:tc>
          <w:tcPr>
            <w:tcW w:w="0" w:type="dxa"/>
            <w:vAlign w:val="bottom"/>
          </w:tcPr>
          <w:p>
            <w:pPr>
              <w:spacing w:after="0"/>
              <w:rPr>
                <w:sz w:val="1"/>
                <w:szCs w:val="1"/>
                <w:color w:val="auto"/>
              </w:rPr>
            </w:pPr>
          </w:p>
        </w:tc>
      </w:tr>
      <w:tr>
        <w:trPr>
          <w:trHeight w:val="311"/>
        </w:trPr>
        <w:tc>
          <w:tcPr>
            <w:tcW w:w="1520" w:type="dxa"/>
            <w:vAlign w:val="bottom"/>
          </w:tcPr>
          <w:p>
            <w:pPr>
              <w:spacing w:after="0"/>
              <w:rPr>
                <w:sz w:val="20"/>
                <w:szCs w:val="20"/>
                <w:color w:val="auto"/>
              </w:rPr>
            </w:pPr>
            <w:r>
              <w:rPr>
                <w:rFonts w:ascii="Arial" w:cs="Arial" w:eastAsia="Arial" w:hAnsi="Arial"/>
                <w:sz w:val="20"/>
                <w:szCs w:val="20"/>
                <w:color w:val="auto"/>
              </w:rPr>
              <w:t>Exhibit D</w:t>
            </w:r>
          </w:p>
        </w:tc>
        <w:tc>
          <w:tcPr>
            <w:tcW w:w="9160" w:type="dxa"/>
            <w:vAlign w:val="bottom"/>
          </w:tcPr>
          <w:p>
            <w:pPr>
              <w:ind w:left="380"/>
              <w:spacing w:after="0"/>
              <w:rPr>
                <w:sz w:val="20"/>
                <w:szCs w:val="20"/>
                <w:color w:val="auto"/>
              </w:rPr>
            </w:pPr>
            <w:r>
              <w:rPr>
                <w:rFonts w:ascii="Arial" w:cs="Arial" w:eastAsia="Arial" w:hAnsi="Arial"/>
                <w:sz w:val="20"/>
                <w:szCs w:val="20"/>
                <w:color w:val="auto"/>
              </w:rPr>
              <w:t>Form of Compliance Certificate</w:t>
            </w:r>
          </w:p>
        </w:tc>
        <w:tc>
          <w:tcPr>
            <w:tcW w:w="0" w:type="dxa"/>
            <w:vAlign w:val="bottom"/>
          </w:tcPr>
          <w:p>
            <w:pPr>
              <w:spacing w:after="0"/>
              <w:rPr>
                <w:sz w:val="1"/>
                <w:szCs w:val="1"/>
                <w:color w:val="auto"/>
              </w:rPr>
            </w:pPr>
          </w:p>
        </w:tc>
      </w:tr>
      <w:tr>
        <w:trPr>
          <w:trHeight w:val="311"/>
        </w:trPr>
        <w:tc>
          <w:tcPr>
            <w:tcW w:w="1520" w:type="dxa"/>
            <w:vAlign w:val="bottom"/>
          </w:tcPr>
          <w:p>
            <w:pPr>
              <w:spacing w:after="0"/>
              <w:rPr>
                <w:sz w:val="20"/>
                <w:szCs w:val="20"/>
                <w:color w:val="auto"/>
              </w:rPr>
            </w:pPr>
            <w:r>
              <w:rPr>
                <w:rFonts w:ascii="Arial" w:cs="Arial" w:eastAsia="Arial" w:hAnsi="Arial"/>
                <w:sz w:val="20"/>
                <w:szCs w:val="20"/>
                <w:color w:val="auto"/>
              </w:rPr>
              <w:t>Exhibit E</w:t>
            </w:r>
          </w:p>
        </w:tc>
        <w:tc>
          <w:tcPr>
            <w:tcW w:w="9160" w:type="dxa"/>
            <w:vAlign w:val="bottom"/>
          </w:tcPr>
          <w:p>
            <w:pPr>
              <w:ind w:left="380"/>
              <w:spacing w:after="0"/>
              <w:rPr>
                <w:sz w:val="20"/>
                <w:szCs w:val="20"/>
                <w:color w:val="auto"/>
              </w:rPr>
            </w:pPr>
            <w:r>
              <w:rPr>
                <w:rFonts w:ascii="Arial" w:cs="Arial" w:eastAsia="Arial" w:hAnsi="Arial"/>
                <w:sz w:val="20"/>
                <w:szCs w:val="20"/>
                <w:color w:val="auto"/>
              </w:rPr>
              <w:t>Form of Assignment and Assumption</w:t>
            </w:r>
          </w:p>
        </w:tc>
        <w:tc>
          <w:tcPr>
            <w:tcW w:w="0" w:type="dxa"/>
            <w:vAlign w:val="bottom"/>
          </w:tcPr>
          <w:p>
            <w:pPr>
              <w:spacing w:after="0"/>
              <w:rPr>
                <w:sz w:val="1"/>
                <w:szCs w:val="1"/>
                <w:color w:val="auto"/>
              </w:rPr>
            </w:pPr>
          </w:p>
        </w:tc>
      </w:tr>
      <w:tr>
        <w:trPr>
          <w:trHeight w:val="311"/>
        </w:trPr>
        <w:tc>
          <w:tcPr>
            <w:tcW w:w="1520" w:type="dxa"/>
            <w:vAlign w:val="bottom"/>
          </w:tcPr>
          <w:p>
            <w:pPr>
              <w:spacing w:after="0"/>
              <w:rPr>
                <w:sz w:val="20"/>
                <w:szCs w:val="20"/>
                <w:color w:val="auto"/>
              </w:rPr>
            </w:pPr>
            <w:r>
              <w:rPr>
                <w:rFonts w:ascii="Arial" w:cs="Arial" w:eastAsia="Arial" w:hAnsi="Arial"/>
                <w:sz w:val="20"/>
                <w:szCs w:val="20"/>
                <w:color w:val="auto"/>
              </w:rPr>
              <w:t>Exhibit F-1</w:t>
            </w:r>
          </w:p>
        </w:tc>
        <w:tc>
          <w:tcPr>
            <w:tcW w:w="9160" w:type="dxa"/>
            <w:vAlign w:val="bottom"/>
          </w:tcPr>
          <w:p>
            <w:pPr>
              <w:ind w:left="380"/>
              <w:spacing w:after="0"/>
              <w:rPr>
                <w:sz w:val="20"/>
                <w:szCs w:val="20"/>
                <w:color w:val="auto"/>
              </w:rPr>
            </w:pPr>
            <w:r>
              <w:rPr>
                <w:rFonts w:ascii="Arial" w:cs="Arial" w:eastAsia="Arial" w:hAnsi="Arial"/>
                <w:sz w:val="20"/>
                <w:szCs w:val="20"/>
                <w:color w:val="auto"/>
              </w:rPr>
              <w:t>Form of Pledge Agreement</w:t>
            </w:r>
          </w:p>
        </w:tc>
        <w:tc>
          <w:tcPr>
            <w:tcW w:w="0" w:type="dxa"/>
            <w:vAlign w:val="bottom"/>
          </w:tcPr>
          <w:p>
            <w:pPr>
              <w:spacing w:after="0"/>
              <w:rPr>
                <w:sz w:val="1"/>
                <w:szCs w:val="1"/>
                <w:color w:val="auto"/>
              </w:rPr>
            </w:pPr>
          </w:p>
        </w:tc>
      </w:tr>
      <w:tr>
        <w:trPr>
          <w:trHeight w:val="311"/>
        </w:trPr>
        <w:tc>
          <w:tcPr>
            <w:tcW w:w="1520" w:type="dxa"/>
            <w:vAlign w:val="bottom"/>
          </w:tcPr>
          <w:p>
            <w:pPr>
              <w:spacing w:after="0"/>
              <w:rPr>
                <w:sz w:val="20"/>
                <w:szCs w:val="20"/>
                <w:color w:val="auto"/>
              </w:rPr>
            </w:pPr>
            <w:r>
              <w:rPr>
                <w:rFonts w:ascii="Arial" w:cs="Arial" w:eastAsia="Arial" w:hAnsi="Arial"/>
                <w:sz w:val="20"/>
                <w:szCs w:val="20"/>
                <w:color w:val="auto"/>
              </w:rPr>
              <w:t>Exhibit F-2</w:t>
            </w:r>
          </w:p>
        </w:tc>
        <w:tc>
          <w:tcPr>
            <w:tcW w:w="9160" w:type="dxa"/>
            <w:vAlign w:val="bottom"/>
          </w:tcPr>
          <w:p>
            <w:pPr>
              <w:ind w:left="380"/>
              <w:spacing w:after="0"/>
              <w:rPr>
                <w:sz w:val="20"/>
                <w:szCs w:val="20"/>
                <w:color w:val="auto"/>
              </w:rPr>
            </w:pPr>
            <w:r>
              <w:rPr>
                <w:rFonts w:ascii="Arial" w:cs="Arial" w:eastAsia="Arial" w:hAnsi="Arial"/>
                <w:sz w:val="20"/>
                <w:szCs w:val="20"/>
                <w:color w:val="auto"/>
              </w:rPr>
              <w:t>Form of Confirmation of Pledge Agreement</w:t>
            </w:r>
          </w:p>
        </w:tc>
        <w:tc>
          <w:tcPr>
            <w:tcW w:w="0" w:type="dxa"/>
            <w:vAlign w:val="bottom"/>
          </w:tcPr>
          <w:p>
            <w:pPr>
              <w:spacing w:after="0"/>
              <w:rPr>
                <w:sz w:val="1"/>
                <w:szCs w:val="1"/>
                <w:color w:val="auto"/>
              </w:rPr>
            </w:pPr>
          </w:p>
        </w:tc>
      </w:tr>
      <w:tr>
        <w:trPr>
          <w:trHeight w:val="290"/>
        </w:trPr>
        <w:tc>
          <w:tcPr>
            <w:tcW w:w="1520" w:type="dxa"/>
            <w:vAlign w:val="bottom"/>
            <w:vMerge w:val="restart"/>
          </w:tcPr>
          <w:p>
            <w:pPr>
              <w:spacing w:after="0"/>
              <w:rPr>
                <w:sz w:val="20"/>
                <w:szCs w:val="20"/>
                <w:color w:val="auto"/>
              </w:rPr>
            </w:pPr>
            <w:r>
              <w:rPr>
                <w:rFonts w:ascii="Arial" w:cs="Arial" w:eastAsia="Arial" w:hAnsi="Arial"/>
                <w:sz w:val="20"/>
                <w:szCs w:val="20"/>
                <w:color w:val="auto"/>
              </w:rPr>
              <w:t>Exhibit G-1:</w:t>
            </w:r>
          </w:p>
        </w:tc>
        <w:tc>
          <w:tcPr>
            <w:tcW w:w="9160" w:type="dxa"/>
            <w:vAlign w:val="bottom"/>
          </w:tcPr>
          <w:p>
            <w:pPr>
              <w:ind w:left="380"/>
              <w:spacing w:after="0"/>
              <w:rPr>
                <w:sz w:val="20"/>
                <w:szCs w:val="20"/>
                <w:color w:val="auto"/>
              </w:rPr>
            </w:pPr>
            <w:r>
              <w:rPr>
                <w:rFonts w:ascii="Arial" w:cs="Arial" w:eastAsia="Arial" w:hAnsi="Arial"/>
                <w:sz w:val="20"/>
                <w:szCs w:val="20"/>
                <w:color w:val="auto"/>
                <w:w w:val="93"/>
              </w:rPr>
              <w:t>Form of U.S. Tax Compliance Certificate (For Foreign Lenders That Are Not Partnerships for U.S. Federal</w:t>
            </w:r>
          </w:p>
        </w:tc>
        <w:tc>
          <w:tcPr>
            <w:tcW w:w="0" w:type="dxa"/>
            <w:vAlign w:val="bottom"/>
          </w:tcPr>
          <w:p>
            <w:pPr>
              <w:spacing w:after="0"/>
              <w:rPr>
                <w:sz w:val="1"/>
                <w:szCs w:val="1"/>
                <w:color w:val="auto"/>
              </w:rPr>
            </w:pPr>
          </w:p>
        </w:tc>
      </w:tr>
      <w:tr>
        <w:trPr>
          <w:trHeight w:val="250"/>
        </w:trPr>
        <w:tc>
          <w:tcPr>
            <w:tcW w:w="1520" w:type="dxa"/>
            <w:vAlign w:val="bottom"/>
            <w:vMerge w:val="continue"/>
          </w:tcPr>
          <w:p>
            <w:pPr>
              <w:spacing w:after="0"/>
              <w:rPr>
                <w:sz w:val="21"/>
                <w:szCs w:val="21"/>
                <w:color w:val="auto"/>
              </w:rPr>
            </w:pPr>
          </w:p>
        </w:tc>
        <w:tc>
          <w:tcPr>
            <w:tcW w:w="9160" w:type="dxa"/>
            <w:vAlign w:val="bottom"/>
          </w:tcPr>
          <w:p>
            <w:pPr>
              <w:ind w:left="380"/>
              <w:spacing w:after="0"/>
              <w:rPr>
                <w:sz w:val="20"/>
                <w:szCs w:val="20"/>
                <w:color w:val="auto"/>
              </w:rPr>
            </w:pPr>
            <w:r>
              <w:rPr>
                <w:rFonts w:ascii="Arial" w:cs="Arial" w:eastAsia="Arial" w:hAnsi="Arial"/>
                <w:sz w:val="20"/>
                <w:szCs w:val="20"/>
                <w:color w:val="auto"/>
              </w:rPr>
              <w:t>Income Tax Purposes)</w:t>
            </w:r>
          </w:p>
        </w:tc>
        <w:tc>
          <w:tcPr>
            <w:tcW w:w="0" w:type="dxa"/>
            <w:vAlign w:val="bottom"/>
          </w:tcPr>
          <w:p>
            <w:pPr>
              <w:spacing w:after="0"/>
              <w:rPr>
                <w:sz w:val="1"/>
                <w:szCs w:val="1"/>
                <w:color w:val="auto"/>
              </w:rPr>
            </w:pPr>
          </w:p>
        </w:tc>
      </w:tr>
      <w:tr>
        <w:trPr>
          <w:trHeight w:val="263"/>
        </w:trPr>
        <w:tc>
          <w:tcPr>
            <w:tcW w:w="1520" w:type="dxa"/>
            <w:vAlign w:val="bottom"/>
            <w:vMerge w:val="restart"/>
          </w:tcPr>
          <w:p>
            <w:pPr>
              <w:spacing w:after="0"/>
              <w:rPr>
                <w:sz w:val="20"/>
                <w:szCs w:val="20"/>
                <w:color w:val="auto"/>
              </w:rPr>
            </w:pPr>
            <w:r>
              <w:rPr>
                <w:rFonts w:ascii="Arial" w:cs="Arial" w:eastAsia="Arial" w:hAnsi="Arial"/>
                <w:sz w:val="20"/>
                <w:szCs w:val="20"/>
                <w:color w:val="auto"/>
              </w:rPr>
              <w:t>Exhibit G-2:</w:t>
            </w:r>
          </w:p>
        </w:tc>
        <w:tc>
          <w:tcPr>
            <w:tcW w:w="9160" w:type="dxa"/>
            <w:vAlign w:val="bottom"/>
          </w:tcPr>
          <w:p>
            <w:pPr>
              <w:ind w:left="380"/>
              <w:spacing w:after="0"/>
              <w:rPr>
                <w:sz w:val="20"/>
                <w:szCs w:val="20"/>
                <w:color w:val="auto"/>
              </w:rPr>
            </w:pPr>
            <w:r>
              <w:rPr>
                <w:rFonts w:ascii="Arial" w:cs="Arial" w:eastAsia="Arial" w:hAnsi="Arial"/>
                <w:sz w:val="20"/>
                <w:szCs w:val="20"/>
                <w:color w:val="auto"/>
                <w:w w:val="90"/>
              </w:rPr>
              <w:t>Form of U.S. Tax Compliance Certificate (For Foreign Participants That Are Not Partnerships for U.S. Federal</w:t>
            </w:r>
          </w:p>
        </w:tc>
        <w:tc>
          <w:tcPr>
            <w:tcW w:w="0" w:type="dxa"/>
            <w:vAlign w:val="bottom"/>
          </w:tcPr>
          <w:p>
            <w:pPr>
              <w:spacing w:after="0"/>
              <w:rPr>
                <w:sz w:val="1"/>
                <w:szCs w:val="1"/>
                <w:color w:val="auto"/>
              </w:rPr>
            </w:pPr>
          </w:p>
        </w:tc>
      </w:tr>
      <w:tr>
        <w:trPr>
          <w:trHeight w:val="250"/>
        </w:trPr>
        <w:tc>
          <w:tcPr>
            <w:tcW w:w="1520" w:type="dxa"/>
            <w:vAlign w:val="bottom"/>
            <w:vMerge w:val="continue"/>
          </w:tcPr>
          <w:p>
            <w:pPr>
              <w:spacing w:after="0"/>
              <w:rPr>
                <w:sz w:val="21"/>
                <w:szCs w:val="21"/>
                <w:color w:val="auto"/>
              </w:rPr>
            </w:pPr>
          </w:p>
        </w:tc>
        <w:tc>
          <w:tcPr>
            <w:tcW w:w="9160" w:type="dxa"/>
            <w:vAlign w:val="bottom"/>
          </w:tcPr>
          <w:p>
            <w:pPr>
              <w:ind w:left="380"/>
              <w:spacing w:after="0"/>
              <w:rPr>
                <w:sz w:val="20"/>
                <w:szCs w:val="20"/>
                <w:color w:val="auto"/>
              </w:rPr>
            </w:pPr>
            <w:r>
              <w:rPr>
                <w:rFonts w:ascii="Arial" w:cs="Arial" w:eastAsia="Arial" w:hAnsi="Arial"/>
                <w:sz w:val="20"/>
                <w:szCs w:val="20"/>
                <w:color w:val="auto"/>
              </w:rPr>
              <w:t>Income Tax Purposes)</w:t>
            </w:r>
          </w:p>
        </w:tc>
        <w:tc>
          <w:tcPr>
            <w:tcW w:w="0" w:type="dxa"/>
            <w:vAlign w:val="bottom"/>
          </w:tcPr>
          <w:p>
            <w:pPr>
              <w:spacing w:after="0"/>
              <w:rPr>
                <w:sz w:val="1"/>
                <w:szCs w:val="1"/>
                <w:color w:val="auto"/>
              </w:rPr>
            </w:pPr>
          </w:p>
        </w:tc>
      </w:tr>
      <w:tr>
        <w:trPr>
          <w:trHeight w:val="263"/>
        </w:trPr>
        <w:tc>
          <w:tcPr>
            <w:tcW w:w="1520" w:type="dxa"/>
            <w:vAlign w:val="bottom"/>
            <w:vMerge w:val="restart"/>
          </w:tcPr>
          <w:p>
            <w:pPr>
              <w:spacing w:after="0"/>
              <w:rPr>
                <w:sz w:val="20"/>
                <w:szCs w:val="20"/>
                <w:color w:val="auto"/>
              </w:rPr>
            </w:pPr>
            <w:r>
              <w:rPr>
                <w:rFonts w:ascii="Arial" w:cs="Arial" w:eastAsia="Arial" w:hAnsi="Arial"/>
                <w:sz w:val="20"/>
                <w:szCs w:val="20"/>
                <w:color w:val="auto"/>
              </w:rPr>
              <w:t>Exhibit G-3:</w:t>
            </w:r>
          </w:p>
        </w:tc>
        <w:tc>
          <w:tcPr>
            <w:tcW w:w="9160" w:type="dxa"/>
            <w:vAlign w:val="bottom"/>
          </w:tcPr>
          <w:p>
            <w:pPr>
              <w:ind w:left="380"/>
              <w:spacing w:after="0"/>
              <w:rPr>
                <w:sz w:val="20"/>
                <w:szCs w:val="20"/>
                <w:color w:val="auto"/>
              </w:rPr>
            </w:pPr>
            <w:r>
              <w:rPr>
                <w:rFonts w:ascii="Arial" w:cs="Arial" w:eastAsia="Arial" w:hAnsi="Arial"/>
                <w:sz w:val="20"/>
                <w:szCs w:val="20"/>
                <w:color w:val="auto"/>
                <w:w w:val="94"/>
              </w:rPr>
              <w:t>Form of U.S. Tax Compliance Certificate (For Foreign Participants That Are Partnerships for U.S. Federal</w:t>
            </w:r>
          </w:p>
        </w:tc>
        <w:tc>
          <w:tcPr>
            <w:tcW w:w="0" w:type="dxa"/>
            <w:vAlign w:val="bottom"/>
          </w:tcPr>
          <w:p>
            <w:pPr>
              <w:spacing w:after="0"/>
              <w:rPr>
                <w:sz w:val="1"/>
                <w:szCs w:val="1"/>
                <w:color w:val="auto"/>
              </w:rPr>
            </w:pPr>
          </w:p>
        </w:tc>
      </w:tr>
      <w:tr>
        <w:trPr>
          <w:trHeight w:val="250"/>
        </w:trPr>
        <w:tc>
          <w:tcPr>
            <w:tcW w:w="1520" w:type="dxa"/>
            <w:vAlign w:val="bottom"/>
            <w:vMerge w:val="continue"/>
          </w:tcPr>
          <w:p>
            <w:pPr>
              <w:spacing w:after="0"/>
              <w:rPr>
                <w:sz w:val="21"/>
                <w:szCs w:val="21"/>
                <w:color w:val="auto"/>
              </w:rPr>
            </w:pPr>
          </w:p>
        </w:tc>
        <w:tc>
          <w:tcPr>
            <w:tcW w:w="9160" w:type="dxa"/>
            <w:vAlign w:val="bottom"/>
          </w:tcPr>
          <w:p>
            <w:pPr>
              <w:ind w:left="380"/>
              <w:spacing w:after="0"/>
              <w:rPr>
                <w:sz w:val="20"/>
                <w:szCs w:val="20"/>
                <w:color w:val="auto"/>
              </w:rPr>
            </w:pPr>
            <w:r>
              <w:rPr>
                <w:rFonts w:ascii="Arial" w:cs="Arial" w:eastAsia="Arial" w:hAnsi="Arial"/>
                <w:sz w:val="20"/>
                <w:szCs w:val="20"/>
                <w:color w:val="auto"/>
              </w:rPr>
              <w:t>Income Tax Purposes)</w:t>
            </w:r>
          </w:p>
        </w:tc>
        <w:tc>
          <w:tcPr>
            <w:tcW w:w="0" w:type="dxa"/>
            <w:vAlign w:val="bottom"/>
          </w:tcPr>
          <w:p>
            <w:pPr>
              <w:spacing w:after="0"/>
              <w:rPr>
                <w:sz w:val="1"/>
                <w:szCs w:val="1"/>
                <w:color w:val="auto"/>
              </w:rPr>
            </w:pPr>
          </w:p>
        </w:tc>
      </w:tr>
      <w:tr>
        <w:trPr>
          <w:trHeight w:val="263"/>
        </w:trPr>
        <w:tc>
          <w:tcPr>
            <w:tcW w:w="1520" w:type="dxa"/>
            <w:vAlign w:val="bottom"/>
            <w:vMerge w:val="restart"/>
          </w:tcPr>
          <w:p>
            <w:pPr>
              <w:spacing w:after="0"/>
              <w:rPr>
                <w:sz w:val="20"/>
                <w:szCs w:val="20"/>
                <w:color w:val="auto"/>
              </w:rPr>
            </w:pPr>
            <w:r>
              <w:rPr>
                <w:rFonts w:ascii="Arial" w:cs="Arial" w:eastAsia="Arial" w:hAnsi="Arial"/>
                <w:sz w:val="20"/>
                <w:szCs w:val="20"/>
                <w:color w:val="auto"/>
              </w:rPr>
              <w:t>Exhibit G-4:</w:t>
            </w:r>
          </w:p>
        </w:tc>
        <w:tc>
          <w:tcPr>
            <w:tcW w:w="9160" w:type="dxa"/>
            <w:vAlign w:val="bottom"/>
          </w:tcPr>
          <w:p>
            <w:pPr>
              <w:ind w:left="380"/>
              <w:spacing w:after="0"/>
              <w:rPr>
                <w:sz w:val="20"/>
                <w:szCs w:val="20"/>
                <w:color w:val="auto"/>
              </w:rPr>
            </w:pPr>
            <w:r>
              <w:rPr>
                <w:rFonts w:ascii="Arial" w:cs="Arial" w:eastAsia="Arial" w:hAnsi="Arial"/>
                <w:sz w:val="20"/>
                <w:szCs w:val="20"/>
                <w:color w:val="auto"/>
                <w:w w:val="90"/>
              </w:rPr>
              <w:t>Form of U.S. Tax Compliance Certificate (For Foreign Lenders That Are Partnerships for U.S. Federal Income</w:t>
            </w:r>
          </w:p>
        </w:tc>
        <w:tc>
          <w:tcPr>
            <w:tcW w:w="0" w:type="dxa"/>
            <w:vAlign w:val="bottom"/>
          </w:tcPr>
          <w:p>
            <w:pPr>
              <w:spacing w:after="0"/>
              <w:rPr>
                <w:sz w:val="1"/>
                <w:szCs w:val="1"/>
                <w:color w:val="auto"/>
              </w:rPr>
            </w:pPr>
          </w:p>
        </w:tc>
      </w:tr>
      <w:tr>
        <w:trPr>
          <w:trHeight w:val="250"/>
        </w:trPr>
        <w:tc>
          <w:tcPr>
            <w:tcW w:w="1520" w:type="dxa"/>
            <w:vAlign w:val="bottom"/>
            <w:vMerge w:val="continue"/>
          </w:tcPr>
          <w:p>
            <w:pPr>
              <w:spacing w:after="0"/>
              <w:rPr>
                <w:sz w:val="21"/>
                <w:szCs w:val="21"/>
                <w:color w:val="auto"/>
              </w:rPr>
            </w:pPr>
          </w:p>
        </w:tc>
        <w:tc>
          <w:tcPr>
            <w:tcW w:w="9160" w:type="dxa"/>
            <w:vAlign w:val="bottom"/>
          </w:tcPr>
          <w:p>
            <w:pPr>
              <w:ind w:left="380"/>
              <w:spacing w:after="0"/>
              <w:rPr>
                <w:sz w:val="20"/>
                <w:szCs w:val="20"/>
                <w:color w:val="auto"/>
              </w:rPr>
            </w:pPr>
            <w:r>
              <w:rPr>
                <w:rFonts w:ascii="Arial" w:cs="Arial" w:eastAsia="Arial" w:hAnsi="Arial"/>
                <w:sz w:val="20"/>
                <w:szCs w:val="20"/>
                <w:color w:val="auto"/>
              </w:rPr>
              <w:t>Tax Purposes)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680"/>
          </w:cols>
          <w:pgMar w:left="460" w:top="1139" w:right="75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20"/>
          <w:szCs w:val="20"/>
          <w:b w:val="1"/>
          <w:bCs w:val="1"/>
          <w:color w:val="auto"/>
        </w:rPr>
        <w:t>EIGHTH AMENDED AND RESTATED CREDIT AGREEMENT</w:t>
      </w:r>
    </w:p>
    <w:p>
      <w:pPr>
        <w:spacing w:after="0" w:line="3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Eighth Amended and Restated Credit Agreement is entered into as of August 15, 2018, among Vail Holdings, Inc., a Colorado corporation (“</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Lenders (defined below), and Bank of America, N.A., as Administrative Agent (as defined below) for itself and the other Lenders.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ind w:right="20" w:firstLine="656"/>
        <w:spacing w:after="0" w:line="287" w:lineRule="auto"/>
        <w:tabs>
          <w:tab w:leader="none" w:pos="1182" w:val="left"/>
        </w:tabs>
        <w:numPr>
          <w:ilvl w:val="0"/>
          <w:numId w:val="25"/>
        </w:numPr>
        <w:rPr>
          <w:rFonts w:ascii="Arial" w:cs="Arial" w:eastAsia="Arial" w:hAnsi="Arial"/>
          <w:sz w:val="19"/>
          <w:szCs w:val="19"/>
          <w:color w:val="auto"/>
        </w:rPr>
      </w:pPr>
      <w:r>
        <w:rPr>
          <w:rFonts w:ascii="Arial" w:cs="Arial" w:eastAsia="Arial" w:hAnsi="Arial"/>
          <w:sz w:val="19"/>
          <w:szCs w:val="19"/>
          <w:color w:val="auto"/>
        </w:rPr>
        <w:t>Reference is made to that certain Seventh Amended and Restated Credit Agreement dated as of May 1, 2015, among the Borrower, Bank of America, N.A., as administrative agent, and the lenders therein named (the “</w:t>
      </w:r>
      <w:r>
        <w:rPr>
          <w:rFonts w:ascii="Arial" w:cs="Arial" w:eastAsia="Arial" w:hAnsi="Arial"/>
          <w:sz w:val="19"/>
          <w:szCs w:val="19"/>
          <w:b w:val="1"/>
          <w:bCs w:val="1"/>
          <w:i w:val="1"/>
          <w:iCs w:val="1"/>
          <w:color w:val="auto"/>
        </w:rPr>
        <w:t>Existing Credit Agreement</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ind w:left="1040" w:hanging="384"/>
        <w:spacing w:after="0"/>
        <w:tabs>
          <w:tab w:leader="none" w:pos="10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parties wish to amend and restate the Existing Credit Agreement on the terms and conditions of this Agreement.</w:t>
      </w:r>
    </w:p>
    <w:p>
      <w:pPr>
        <w:spacing w:after="0" w:line="216" w:lineRule="exact"/>
        <w:rPr>
          <w:sz w:val="20"/>
          <w:szCs w:val="20"/>
          <w:color w:val="auto"/>
        </w:rPr>
      </w:pPr>
    </w:p>
    <w:p>
      <w:pPr>
        <w:ind w:right="20" w:firstLine="648"/>
        <w:spacing w:after="0" w:line="316" w:lineRule="auto"/>
        <w:rPr>
          <w:sz w:val="20"/>
          <w:szCs w:val="20"/>
          <w:color w:val="auto"/>
        </w:rPr>
      </w:pPr>
      <w:r>
        <w:rPr>
          <w:rFonts w:ascii="Arial" w:cs="Arial" w:eastAsia="Arial" w:hAnsi="Arial"/>
          <w:sz w:val="18"/>
          <w:szCs w:val="18"/>
          <w:color w:val="auto"/>
        </w:rPr>
        <w:t>In consideration of the mutual covenants contained herein, and for other good and valuable consideration, the receipt and adequacy of which are hereby acknowledged, the Existing Credit Agreement is hereby amended and restated to read in its entirety as follows: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576" w:right="239" w:bottom="1440" w:gutter="0" w:footer="0" w:header="0"/>
        </w:sectPr>
      </w:pPr>
    </w:p>
    <w:bookmarkStart w:id="65" w:name="page66"/>
    <w:bookmarkEnd w:id="65"/>
    <w:p>
      <w:pPr>
        <w:spacing w:after="0"/>
        <w:tabs>
          <w:tab w:leader="none" w:pos="1200" w:val="left"/>
        </w:tabs>
        <w:rPr>
          <w:sz w:val="20"/>
          <w:szCs w:val="20"/>
          <w:color w:val="auto"/>
        </w:rPr>
      </w:pPr>
      <w:r>
        <w:rPr>
          <w:rFonts w:ascii="Arial" w:cs="Arial" w:eastAsia="Arial" w:hAnsi="Arial"/>
          <w:sz w:val="20"/>
          <w:szCs w:val="20"/>
          <w:b w:val="1"/>
          <w:bCs w:val="1"/>
          <w:u w:val="single" w:color="auto"/>
          <w:color w:val="auto"/>
        </w:rPr>
        <w:t>SECTION 1</w:t>
      </w:r>
      <w:r>
        <w:rPr>
          <w:sz w:val="20"/>
          <w:szCs w:val="20"/>
          <w:color w:val="auto"/>
        </w:rPr>
        <w:tab/>
      </w:r>
      <w:r>
        <w:rPr>
          <w:rFonts w:ascii="Arial" w:cs="Arial" w:eastAsia="Arial" w:hAnsi="Arial"/>
          <w:sz w:val="20"/>
          <w:szCs w:val="20"/>
          <w:b w:val="1"/>
          <w:bCs w:val="1"/>
          <w:u w:val="single" w:color="auto"/>
          <w:color w:val="auto"/>
        </w:rPr>
        <w:t>DEFINITIONS AND TERMS</w:t>
      </w:r>
      <w:r>
        <w:rPr>
          <w:rFonts w:ascii="Arial" w:cs="Arial" w:eastAsia="Arial" w:hAnsi="Arial"/>
          <w:sz w:val="20"/>
          <w:szCs w:val="20"/>
          <w:color w:val="auto"/>
        </w:rPr>
        <w:t>.</w:t>
      </w:r>
    </w:p>
    <w:p>
      <w:pPr>
        <w:spacing w:after="0" w:line="200" w:lineRule="exact"/>
        <w:rPr>
          <w:sz w:val="20"/>
          <w:szCs w:val="20"/>
          <w:color w:val="auto"/>
        </w:rPr>
      </w:pPr>
    </w:p>
    <w:p>
      <w:pPr>
        <w:spacing w:after="0" w:line="238"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color w:val="auto"/>
        </w:rPr>
        <w:t>Definitions.</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i w:val="1"/>
          <w:iCs w:val="1"/>
          <w:color w:val="auto"/>
        </w:rPr>
        <w:t xml:space="preserve">2018 Acquisitions </w:t>
      </w:r>
      <w:r>
        <w:rPr>
          <w:rFonts w:ascii="Arial" w:cs="Arial" w:eastAsia="Arial" w:hAnsi="Arial"/>
          <w:sz w:val="20"/>
          <w:szCs w:val="20"/>
          <w:color w:val="auto"/>
        </w:rPr>
        <w:t>means, collectively, the acquisition of Triple Peaks, LLC by VR NE Holdings, LLC pursuant to the Purchase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Agreement, dated June 4, 2018, among VR NE Holdings, LLC, Triple Peaks Finance, LLC, Jackson Gore Development, LLC, Okemo Land Holdings, LLC, Okemo Golf, LLC and Resort Asset Management, LLC; and the acquisition of all of the assets of Stevens Pass Resort by VR NW Holdings, Inc. pursuant to the Purchase and Sale Contract, dated as of June 4, 2018, between CLP Stevens Pass, LLC and VR NW Holdings, Inc.</w:t>
      </w:r>
    </w:p>
    <w:p>
      <w:pPr>
        <w:spacing w:after="0" w:line="19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b w:val="1"/>
          <w:bCs w:val="1"/>
          <w:i w:val="1"/>
          <w:iCs w:val="1"/>
          <w:color w:val="auto"/>
        </w:rPr>
        <w:t xml:space="preserve">2019 VRI Senior Subordinated Indenture </w:t>
      </w:r>
      <w:r>
        <w:rPr>
          <w:rFonts w:ascii="Arial" w:cs="Arial" w:eastAsia="Arial" w:hAnsi="Arial"/>
          <w:sz w:val="19"/>
          <w:szCs w:val="19"/>
          <w:color w:val="auto"/>
        </w:rPr>
        <w:t>means the Indenture, dated as of April 25, 2011, among VRI, as issuer, The Bank of New</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York Mellon Trust Company, N.A. as trustee, and certain of VRI’s Subsidiaries, as guarantors, as supplemented from time to time.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2019 VRI Subordinated Notes </w:t>
      </w:r>
      <w:r>
        <w:rPr>
          <w:rFonts w:ascii="Arial" w:cs="Arial" w:eastAsia="Arial" w:hAnsi="Arial"/>
          <w:sz w:val="16"/>
          <w:szCs w:val="16"/>
          <w:color w:val="auto"/>
        </w:rPr>
        <w:t>means the 6.50% Senior Subordinated Notes issued under the 2019 VRI Senior Subordinated Indenture.</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Act </w:t>
      </w:r>
      <w:r>
        <w:rPr>
          <w:rFonts w:ascii="Arial" w:cs="Arial" w:eastAsia="Arial" w:hAnsi="Arial"/>
          <w:sz w:val="20"/>
          <w:szCs w:val="20"/>
          <w:color w:val="auto"/>
        </w:rPr>
        <w:t>has the meaning specified in</w:t>
      </w:r>
      <w:r>
        <w:rPr>
          <w:rFonts w:ascii="Arial" w:cs="Arial" w:eastAsia="Arial" w:hAnsi="Arial"/>
          <w:sz w:val="20"/>
          <w:szCs w:val="20"/>
          <w:b w:val="1"/>
          <w:bCs w:val="1"/>
          <w:i w:val="1"/>
          <w:iCs w:val="1"/>
          <w:color w:val="auto"/>
        </w:rPr>
        <w:t xml:space="preserve"> Section 15.17</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Additional Critical Assets </w:t>
      </w:r>
      <w:r>
        <w:rPr>
          <w:rFonts w:ascii="Arial" w:cs="Arial" w:eastAsia="Arial" w:hAnsi="Arial"/>
          <w:sz w:val="20"/>
          <w:szCs w:val="20"/>
          <w:color w:val="auto"/>
        </w:rPr>
        <w:t>means Critical Assets acquired by the Companies after the Closing Date.</w:t>
      </w:r>
    </w:p>
    <w:p>
      <w:pPr>
        <w:spacing w:after="0" w:line="21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means, without duplication, for any period of determination, the sum of (a) EBITDA of the Restricted Companies,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plus </w:t>
      </w:r>
      <w:r>
        <w:rPr>
          <w:rFonts w:ascii="Arial" w:cs="Arial" w:eastAsia="Arial" w:hAnsi="Arial"/>
          <w:sz w:val="18"/>
          <w:szCs w:val="18"/>
          <w:color w:val="auto"/>
        </w:rPr>
        <w:t>(b) insurance proceeds received in cash by the Restricted Companies under policies of business interruption insurance (or under policies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insurance which cover losses or claims of the same character or type) in a maximum amount not to exceed the EBITDA of the Restricted Companies for the most-recently-ended four fiscal quarters attributable to the applicable property or asset (as agreed upon by Administrative Agent and pro rated over a period of determination as deemed appropriate by Administrative Agent), </w:t>
      </w:r>
      <w:r>
        <w:rPr>
          <w:rFonts w:ascii="Arial" w:cs="Arial" w:eastAsia="Arial" w:hAnsi="Arial"/>
          <w:sz w:val="18"/>
          <w:szCs w:val="18"/>
          <w:i w:val="1"/>
          <w:iCs w:val="1"/>
          <w:color w:val="auto"/>
        </w:rPr>
        <w:t>plus</w:t>
      </w:r>
      <w:r>
        <w:rPr>
          <w:rFonts w:ascii="Arial" w:cs="Arial" w:eastAsia="Arial" w:hAnsi="Arial"/>
          <w:sz w:val="18"/>
          <w:szCs w:val="18"/>
          <w:color w:val="auto"/>
        </w:rPr>
        <w:t xml:space="preserve"> (c) non-cash losses of the Restricted Companies from foreign exchange conversions and mark-to-market adjustments to foreign exchange hedge agreements (or other derivatives), </w:t>
      </w:r>
      <w:r>
        <w:rPr>
          <w:rFonts w:ascii="Arial" w:cs="Arial" w:eastAsia="Arial" w:hAnsi="Arial"/>
          <w:sz w:val="18"/>
          <w:szCs w:val="18"/>
          <w:i w:val="1"/>
          <w:iCs w:val="1"/>
          <w:color w:val="auto"/>
        </w:rPr>
        <w:t xml:space="preserve">plus </w:t>
      </w:r>
      <w:r>
        <w:rPr>
          <w:rFonts w:ascii="Arial" w:cs="Arial" w:eastAsia="Arial" w:hAnsi="Arial"/>
          <w:sz w:val="18"/>
          <w:szCs w:val="18"/>
          <w:color w:val="auto"/>
        </w:rPr>
        <w:t>(d) cash dividends or distributions based on income from any Unrestricted Subsidiary to a Restricted Subsidiary in an amount not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exceed the EBITDA of such Unrestricted Subsidiary for the most-recently-ended four fiscal quarters, </w:t>
      </w:r>
      <w:r>
        <w:rPr>
          <w:rFonts w:ascii="Arial" w:cs="Arial" w:eastAsia="Arial" w:hAnsi="Arial"/>
          <w:sz w:val="18"/>
          <w:szCs w:val="18"/>
          <w:i w:val="1"/>
          <w:iCs w:val="1"/>
          <w:color w:val="auto"/>
        </w:rPr>
        <w:t>plus</w:t>
      </w:r>
      <w:r>
        <w:rPr>
          <w:rFonts w:ascii="Arial" w:cs="Arial" w:eastAsia="Arial" w:hAnsi="Arial"/>
          <w:sz w:val="18"/>
          <w:szCs w:val="18"/>
          <w:color w:val="auto"/>
        </w:rPr>
        <w:t xml:space="preserve"> (e) extraordinary, unusual, or non-recurring charges, costs, and expenses of the Restricted Companies, including, without limitation, such charges, costs, and expenses for (i) financing fees, financial, and other advisory fees, accounting fees, legal fees (and similar advisory and consulting fees), and related costs and expenses incurred by the Restricted Companies in connection with permitted acquisitions and permitted asset sales (whether or not consummated), (ii) the restructuring, integration or reorganization of any Restricted Company or the Restricted Companies, (iii) the settlement of litigation or other claims against any Restricted Company, (iv) the severance of employees of any Restricted Company (in an aggregate amount for any such expenses in </w:t>
      </w:r>
      <w:r>
        <w:rPr>
          <w:rFonts w:ascii="Arial" w:cs="Arial" w:eastAsia="Arial" w:hAnsi="Arial"/>
          <w:sz w:val="18"/>
          <w:szCs w:val="18"/>
          <w:b w:val="1"/>
          <w:bCs w:val="1"/>
          <w:i w:val="1"/>
          <w:iCs w:val="1"/>
          <w:color w:val="auto"/>
        </w:rPr>
        <w:t>clauses (i)</w:t>
      </w:r>
      <w:r>
        <w:rPr>
          <w:rFonts w:ascii="Arial" w:cs="Arial" w:eastAsia="Arial" w:hAnsi="Arial"/>
          <w:sz w:val="18"/>
          <w:szCs w:val="18"/>
          <w:color w:val="auto"/>
        </w:rPr>
        <w:t xml:space="preserve"> through </w:t>
      </w:r>
      <w:r>
        <w:rPr>
          <w:rFonts w:ascii="Arial" w:cs="Arial" w:eastAsia="Arial" w:hAnsi="Arial"/>
          <w:sz w:val="18"/>
          <w:szCs w:val="18"/>
          <w:b w:val="1"/>
          <w:bCs w:val="1"/>
          <w:i w:val="1"/>
          <w:iCs w:val="1"/>
          <w:color w:val="auto"/>
        </w:rPr>
        <w:t>(iv)</w:t>
      </w:r>
      <w:r>
        <w:rPr>
          <w:rFonts w:ascii="Arial" w:cs="Arial" w:eastAsia="Arial" w:hAnsi="Arial"/>
          <w:sz w:val="18"/>
          <w:szCs w:val="18"/>
          <w:color w:val="auto"/>
        </w:rPr>
        <w:t xml:space="preserve"> of this </w:t>
      </w:r>
      <w:r>
        <w:rPr>
          <w:rFonts w:ascii="Arial" w:cs="Arial" w:eastAsia="Arial" w:hAnsi="Arial"/>
          <w:sz w:val="18"/>
          <w:szCs w:val="18"/>
          <w:b w:val="1"/>
          <w:bCs w:val="1"/>
          <w:i w:val="1"/>
          <w:iCs w:val="1"/>
          <w:color w:val="auto"/>
        </w:rPr>
        <w:t>clause (e)</w:t>
      </w:r>
      <w:r>
        <w:rPr>
          <w:rFonts w:ascii="Arial" w:cs="Arial" w:eastAsia="Arial" w:hAnsi="Arial"/>
          <w:sz w:val="18"/>
          <w:szCs w:val="18"/>
          <w:color w:val="auto"/>
        </w:rPr>
        <w:t xml:space="preserve"> with respect to the most-recently-ended four fiscal quarters not to exceed 10% of EBITDA of the Restricted Companies for the most-recently-ended four fiscal quarters), and (v) charges, costs and expenses associated with the PCMR Litigation (including ongoing litigation expenses and settlement costs), </w:t>
      </w:r>
      <w:r>
        <w:rPr>
          <w:rFonts w:ascii="Arial" w:cs="Arial" w:eastAsia="Arial" w:hAnsi="Arial"/>
          <w:sz w:val="18"/>
          <w:szCs w:val="18"/>
          <w:i w:val="1"/>
          <w:iCs w:val="1"/>
          <w:color w:val="auto"/>
        </w:rPr>
        <w:t>plus</w:t>
      </w:r>
      <w:r>
        <w:rPr>
          <w:rFonts w:ascii="Arial" w:cs="Arial" w:eastAsia="Arial" w:hAnsi="Arial"/>
          <w:sz w:val="18"/>
          <w:szCs w:val="18"/>
          <w:color w:val="auto"/>
        </w:rPr>
        <w:t xml:space="preserve"> (f) non-cash costs of sales of real estate by the Restricted Companies in an amount not to exceed negative real estate EBITDA of Restricted Companies for such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(g) non-recurring losses included in the calculation of EBITDA of the Restricted Companies, </w:t>
      </w:r>
      <w:r>
        <w:rPr>
          <w:rFonts w:ascii="Arial" w:cs="Arial" w:eastAsia="Arial" w:hAnsi="Arial"/>
          <w:sz w:val="18"/>
          <w:szCs w:val="18"/>
          <w:i w:val="1"/>
          <w:iCs w:val="1"/>
          <w:color w:val="auto"/>
        </w:rPr>
        <w:t>minus</w:t>
      </w:r>
      <w:r>
        <w:rPr>
          <w:rFonts w:ascii="Arial" w:cs="Arial" w:eastAsia="Arial" w:hAnsi="Arial"/>
          <w:sz w:val="18"/>
          <w:szCs w:val="18"/>
          <w:color w:val="auto"/>
        </w:rPr>
        <w:t xml:space="preserve"> (h) non-recurring gains included in the calculation of EBITDA of the Restricted Companies, </w:t>
      </w:r>
      <w:r>
        <w:rPr>
          <w:rFonts w:ascii="Arial" w:cs="Arial" w:eastAsia="Arial" w:hAnsi="Arial"/>
          <w:sz w:val="18"/>
          <w:szCs w:val="18"/>
          <w:i w:val="1"/>
          <w:iCs w:val="1"/>
          <w:color w:val="auto"/>
        </w:rPr>
        <w:t>minus</w:t>
      </w:r>
      <w:r>
        <w:rPr>
          <w:rFonts w:ascii="Arial" w:cs="Arial" w:eastAsia="Arial" w:hAnsi="Arial"/>
          <w:sz w:val="18"/>
          <w:szCs w:val="18"/>
          <w:color w:val="auto"/>
        </w:rPr>
        <w:t xml:space="preserve"> (i) non-cash gains of the Restricted Companies from foreign exchange conversions and mark-to-market adjustments to foreign exchange hedge agreements (or other derivatives), </w:t>
      </w:r>
      <w:r>
        <w:rPr>
          <w:rFonts w:ascii="Arial" w:cs="Arial" w:eastAsia="Arial" w:hAnsi="Arial"/>
          <w:sz w:val="18"/>
          <w:szCs w:val="18"/>
          <w:i w:val="1"/>
          <w:iCs w:val="1"/>
          <w:color w:val="auto"/>
        </w:rPr>
        <w:t>minus</w:t>
      </w:r>
      <w:r>
        <w:rPr>
          <w:rFonts w:ascii="Arial" w:cs="Arial" w:eastAsia="Arial" w:hAnsi="Arial"/>
          <w:sz w:val="18"/>
          <w:szCs w:val="18"/>
          <w:color w:val="auto"/>
        </w:rPr>
        <w:t xml:space="preserve"> (j) for any payments by the Northstar Subsidiaries in respect of the portion of the Northstar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576" w:right="239" w:bottom="1440" w:gutter="0" w:footer="0" w:header="0"/>
        </w:sectPr>
      </w:pPr>
    </w:p>
    <w:bookmarkStart w:id="66" w:name="page67"/>
    <w:bookmarkEnd w:id="66"/>
    <w:p>
      <w:pPr>
        <w:spacing w:after="0" w:line="309" w:lineRule="auto"/>
        <w:rPr>
          <w:sz w:val="20"/>
          <w:szCs w:val="20"/>
          <w:color w:val="auto"/>
        </w:rPr>
      </w:pPr>
      <w:r>
        <w:rPr>
          <w:rFonts w:ascii="Arial" w:cs="Arial" w:eastAsia="Arial" w:hAnsi="Arial"/>
          <w:sz w:val="16"/>
          <w:szCs w:val="16"/>
          <w:color w:val="auto"/>
        </w:rPr>
        <w:t xml:space="preserve">Leases, if any, that is classified as a Capital Lease, the amount of such payment that would have been recorded as an operating lease expense had such portion of the Northstar Leases been classified as an operating lease. </w:t>
      </w:r>
      <w:r>
        <w:rPr>
          <w:rFonts w:ascii="Arial" w:cs="Arial" w:eastAsia="Arial" w:hAnsi="Arial"/>
          <w:sz w:val="16"/>
          <w:szCs w:val="16"/>
          <w:b w:val="1"/>
          <w:bCs w:val="1"/>
          <w:i w:val="1"/>
          <w:iCs w:val="1"/>
          <w:color w:val="auto"/>
        </w:rPr>
        <w:t>Adjusted EBITDA</w:t>
      </w:r>
      <w:r>
        <w:rPr>
          <w:rFonts w:ascii="Arial" w:cs="Arial" w:eastAsia="Arial" w:hAnsi="Arial"/>
          <w:sz w:val="16"/>
          <w:szCs w:val="16"/>
          <w:color w:val="auto"/>
        </w:rPr>
        <w:t>, for all purposes under this Agreement, shall</w:t>
      </w:r>
    </w:p>
    <w:p>
      <w:pPr>
        <w:spacing w:after="0" w:line="1" w:lineRule="exact"/>
        <w:rPr>
          <w:sz w:val="20"/>
          <w:szCs w:val="20"/>
          <w:color w:val="auto"/>
        </w:rPr>
      </w:pPr>
    </w:p>
    <w:p>
      <w:pPr>
        <w:jc w:val="both"/>
        <w:ind w:firstLine="8"/>
        <w:spacing w:after="0" w:line="253" w:lineRule="auto"/>
        <w:tabs>
          <w:tab w:leader="none" w:pos="295" w:val="left"/>
        </w:tabs>
        <w:numPr>
          <w:ilvl w:val="0"/>
          <w:numId w:val="26"/>
        </w:numPr>
        <w:rPr>
          <w:rFonts w:ascii="Arial" w:cs="Arial" w:eastAsia="Arial" w:hAnsi="Arial"/>
          <w:sz w:val="19"/>
          <w:szCs w:val="19"/>
          <w:color w:val="auto"/>
        </w:rPr>
      </w:pPr>
      <w:r>
        <w:rPr>
          <w:rFonts w:ascii="Arial" w:cs="Arial" w:eastAsia="Arial" w:hAnsi="Arial"/>
          <w:sz w:val="19"/>
          <w:szCs w:val="19"/>
          <w:color w:val="auto"/>
        </w:rPr>
        <w:t xml:space="preserve">include, on a pro forma basis without duplication, all EBITDA of the Restricted Companies from assets acquired in accordance with this Agreement (including, without limitation, Restricted Subsidiaries formed or acquired in accordance with </w:t>
      </w:r>
      <w:r>
        <w:rPr>
          <w:rFonts w:ascii="Arial" w:cs="Arial" w:eastAsia="Arial" w:hAnsi="Arial"/>
          <w:sz w:val="19"/>
          <w:szCs w:val="19"/>
          <w:b w:val="1"/>
          <w:bCs w:val="1"/>
          <w:i w:val="1"/>
          <w:iCs w:val="1"/>
          <w:color w:val="auto"/>
        </w:rPr>
        <w:t>Section 9.10</w:t>
      </w:r>
      <w:r>
        <w:rPr>
          <w:rFonts w:ascii="Arial" w:cs="Arial" w:eastAsia="Arial" w:hAnsi="Arial"/>
          <w:sz w:val="19"/>
          <w:szCs w:val="19"/>
          <w:color w:val="auto"/>
        </w:rPr>
        <w:t xml:space="preserve"> hereof, and Unrestricted Subsidiaries re-designated as Restricted Subsidiaries in accordance with </w:t>
      </w:r>
      <w:r>
        <w:rPr>
          <w:rFonts w:ascii="Arial" w:cs="Arial" w:eastAsia="Arial" w:hAnsi="Arial"/>
          <w:sz w:val="19"/>
          <w:szCs w:val="19"/>
          <w:b w:val="1"/>
          <w:bCs w:val="1"/>
          <w:i w:val="1"/>
          <w:iCs w:val="1"/>
          <w:color w:val="auto"/>
        </w:rPr>
        <w:t>Section 9.11(b)</w:t>
      </w:r>
      <w:r>
        <w:rPr>
          <w:rFonts w:ascii="Arial" w:cs="Arial" w:eastAsia="Arial" w:hAnsi="Arial"/>
          <w:sz w:val="19"/>
          <w:szCs w:val="19"/>
          <w:color w:val="auto"/>
        </w:rPr>
        <w:t xml:space="preserve"> hereof, and if Borrower or any Restricted Company acquires, leases or otherwise gains control of the Park City base area from Park City Mountain Resort or the land subject to the PCMR Litigation, such event shall be treated as an acquisition for purposes of the definition of Adjusted EBITDA) during any applicable period, calculated as if such assets were acquired on the first day of such period and including actual and identifiable cost synergies (provided by Borrower to Administrative Agent in writing) from acquisitions in an aggregate amount for such period not to exceed 10% of the EBITDA of the Restricted Companies for the most-recently-ended four fiscal quarters, and (y) exclude, on a pro forma basis, all EBITDA of the Restricted Companies from assets disposed in accordance with this Agreement during such period (including, without limitation, Restricted Subsidiaries re-designated as Unrestricted Subsidiaries in accordance with </w:t>
      </w:r>
      <w:r>
        <w:rPr>
          <w:rFonts w:ascii="Arial" w:cs="Arial" w:eastAsia="Arial" w:hAnsi="Arial"/>
          <w:sz w:val="19"/>
          <w:szCs w:val="19"/>
          <w:b w:val="1"/>
          <w:bCs w:val="1"/>
          <w:i w:val="1"/>
          <w:iCs w:val="1"/>
          <w:color w:val="auto"/>
        </w:rPr>
        <w:t>Section 9.11(a)</w:t>
      </w:r>
      <w:r>
        <w:rPr>
          <w:rFonts w:ascii="Arial" w:cs="Arial" w:eastAsia="Arial" w:hAnsi="Arial"/>
          <w:sz w:val="19"/>
          <w:szCs w:val="19"/>
          <w:color w:val="auto"/>
        </w:rPr>
        <w:t xml:space="preserve"> hereof), calculated as if such assets were disposed on the first day of such period.</w:t>
      </w:r>
    </w:p>
    <w:p>
      <w:pPr>
        <w:spacing w:after="0" w:line="19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b w:val="1"/>
          <w:bCs w:val="1"/>
          <w:i w:val="1"/>
          <w:iCs w:val="1"/>
          <w:color w:val="auto"/>
        </w:rPr>
        <w:t xml:space="preserve">Administrative Agent </w:t>
      </w:r>
      <w:r>
        <w:rPr>
          <w:rFonts w:ascii="Arial" w:cs="Arial" w:eastAsia="Arial" w:hAnsi="Arial"/>
          <w:sz w:val="20"/>
          <w:szCs w:val="20"/>
          <w:color w:val="auto"/>
        </w:rPr>
        <w:t>means Bank of America, N.A., a national banking association, and its permitted successor as administrative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agent for Lenders under this Agreement.</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b w:val="1"/>
          <w:bCs w:val="1"/>
          <w:i w:val="1"/>
          <w:iCs w:val="1"/>
          <w:color w:val="auto"/>
        </w:rPr>
        <w:t xml:space="preserve">Administrative Agent’s Office </w:t>
      </w:r>
      <w:r>
        <w:rPr>
          <w:rFonts w:ascii="Arial" w:cs="Arial" w:eastAsia="Arial" w:hAnsi="Arial"/>
          <w:sz w:val="20"/>
          <w:szCs w:val="20"/>
          <w:color w:val="auto"/>
        </w:rPr>
        <w:t>means Administrative Agent’s address and, as appropriate, account as set forth on</w:t>
      </w:r>
      <w:r>
        <w:rPr>
          <w:rFonts w:ascii="Arial" w:cs="Arial" w:eastAsia="Arial" w:hAnsi="Arial"/>
          <w:sz w:val="20"/>
          <w:szCs w:val="20"/>
          <w:b w:val="1"/>
          <w:bCs w:val="1"/>
          <w:i w:val="1"/>
          <w:iCs w:val="1"/>
          <w:color w:val="auto"/>
        </w:rPr>
        <w:t xml:space="preserve"> Schedule 1</w:t>
      </w:r>
      <w:r>
        <w:rPr>
          <w:rFonts w:ascii="Arial" w:cs="Arial" w:eastAsia="Arial" w:hAnsi="Arial"/>
          <w:sz w:val="20"/>
          <w:szCs w:val="20"/>
          <w:color w:val="auto"/>
        </w:rPr>
        <w:t>, or such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other address or account as Administrative Agent may from time to time notify to Borrower and Lenders.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Administrative Questionnaire </w:t>
      </w:r>
      <w:r>
        <w:rPr>
          <w:rFonts w:ascii="Arial" w:cs="Arial" w:eastAsia="Arial" w:hAnsi="Arial"/>
          <w:sz w:val="20"/>
          <w:szCs w:val="20"/>
          <w:color w:val="auto"/>
        </w:rPr>
        <w:t>means an Administrative Questionnaire in a form supplied by Administrative Agent.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i w:val="1"/>
          <w:iCs w:val="1"/>
          <w:color w:val="auto"/>
        </w:rPr>
        <w:t xml:space="preserve">Affiliate </w:t>
      </w:r>
      <w:r>
        <w:rPr>
          <w:rFonts w:ascii="Arial" w:cs="Arial" w:eastAsia="Arial" w:hAnsi="Arial"/>
          <w:sz w:val="20"/>
          <w:szCs w:val="20"/>
          <w:color w:val="auto"/>
        </w:rPr>
        <w:t>means with respect to any Person (the “</w:t>
      </w:r>
      <w:r>
        <w:rPr>
          <w:rFonts w:ascii="Arial" w:cs="Arial" w:eastAsia="Arial" w:hAnsi="Arial"/>
          <w:sz w:val="20"/>
          <w:szCs w:val="20"/>
          <w:b w:val="1"/>
          <w:bCs w:val="1"/>
          <w:i w:val="1"/>
          <w:iCs w:val="1"/>
          <w:color w:val="auto"/>
        </w:rPr>
        <w:t>Relevant Person</w:t>
      </w:r>
      <w:r>
        <w:rPr>
          <w:rFonts w:ascii="Arial" w:cs="Arial" w:eastAsia="Arial" w:hAnsi="Arial"/>
          <w:sz w:val="20"/>
          <w:szCs w:val="20"/>
          <w:color w:val="auto"/>
        </w:rPr>
        <w:t>”) (a) any other Person that directly, or indirectly through one or more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intermediaries, controls the relevant Person (a “</w:t>
      </w:r>
      <w:r>
        <w:rPr>
          <w:rFonts w:ascii="Arial" w:cs="Arial" w:eastAsia="Arial" w:hAnsi="Arial"/>
          <w:sz w:val="20"/>
          <w:szCs w:val="20"/>
          <w:b w:val="1"/>
          <w:bCs w:val="1"/>
          <w:i w:val="1"/>
          <w:iCs w:val="1"/>
          <w:color w:val="auto"/>
        </w:rPr>
        <w:t>Controlling Person</w:t>
      </w:r>
      <w:r>
        <w:rPr>
          <w:rFonts w:ascii="Arial" w:cs="Arial" w:eastAsia="Arial" w:hAnsi="Arial"/>
          <w:sz w:val="20"/>
          <w:szCs w:val="20"/>
          <w:color w:val="auto"/>
        </w:rPr>
        <w:t>”), or (b) any Person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the Relevant Person) which is controlled by or is under common control with a Controlling Person. As used herein, the term “</w:t>
      </w:r>
      <w:r>
        <w:rPr>
          <w:rFonts w:ascii="Arial" w:cs="Arial" w:eastAsia="Arial" w:hAnsi="Arial"/>
          <w:sz w:val="20"/>
          <w:szCs w:val="20"/>
          <w:i w:val="1"/>
          <w:iCs w:val="1"/>
          <w:color w:val="auto"/>
        </w:rPr>
        <w:t>control</w:t>
      </w:r>
      <w:r>
        <w:rPr>
          <w:rFonts w:ascii="Arial" w:cs="Arial" w:eastAsia="Arial" w:hAnsi="Arial"/>
          <w:sz w:val="20"/>
          <w:szCs w:val="20"/>
          <w:color w:val="auto"/>
        </w:rPr>
        <w:t>” means possession, directly or indirectly, of the power to direct or cause the direction of the management or policies of a Person, whether through the ownership of voting securities, by contract, or otherwise.</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Agreement </w:t>
      </w:r>
      <w:r>
        <w:rPr>
          <w:rFonts w:ascii="Arial" w:cs="Arial" w:eastAsia="Arial" w:hAnsi="Arial"/>
          <w:sz w:val="20"/>
          <w:szCs w:val="20"/>
          <w:color w:val="auto"/>
        </w:rPr>
        <w:t>means this Eighth Amended and Restated Credit Agreement, and all schedules and exhibits thereto, as renewed, extended,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amended, supplemented, or restated from time to time.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Agreement Currency </w:t>
      </w:r>
      <w:r>
        <w:rPr>
          <w:rFonts w:ascii="Arial" w:cs="Arial" w:eastAsia="Arial" w:hAnsi="Arial"/>
          <w:sz w:val="20"/>
          <w:szCs w:val="20"/>
          <w:color w:val="auto"/>
        </w:rPr>
        <w:t>has the meaning specified in</w:t>
      </w:r>
      <w:r>
        <w:rPr>
          <w:rFonts w:ascii="Arial" w:cs="Arial" w:eastAsia="Arial" w:hAnsi="Arial"/>
          <w:sz w:val="20"/>
          <w:szCs w:val="20"/>
          <w:b w:val="1"/>
          <w:bCs w:val="1"/>
          <w:i w:val="1"/>
          <w:iCs w:val="1"/>
          <w:color w:val="auto"/>
        </w:rPr>
        <w:t xml:space="preserve"> Section 15.22</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 xml:space="preserve">Alternative Currency </w:t>
      </w:r>
      <w:r>
        <w:rPr>
          <w:rFonts w:ascii="Arial" w:cs="Arial" w:eastAsia="Arial" w:hAnsi="Arial"/>
          <w:sz w:val="19"/>
          <w:szCs w:val="19"/>
          <w:color w:val="auto"/>
        </w:rPr>
        <w:t>means (a) with respect to L/Cs, Australian Dollars, and (b) with respect to Term Loans, Canadian Dollars.</w:t>
      </w:r>
    </w:p>
    <w:p>
      <w:pPr>
        <w:spacing w:after="0" w:line="22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b w:val="1"/>
          <w:bCs w:val="1"/>
          <w:i w:val="1"/>
          <w:iCs w:val="1"/>
          <w:color w:val="auto"/>
        </w:rPr>
        <w:t xml:space="preserve">Alternative Currency Equivalent </w:t>
      </w:r>
      <w:r>
        <w:rPr>
          <w:rFonts w:ascii="Arial" w:cs="Arial" w:eastAsia="Arial" w:hAnsi="Arial"/>
          <w:sz w:val="18"/>
          <w:szCs w:val="18"/>
          <w:color w:val="auto"/>
        </w:rPr>
        <w:t>means, at any time, with respect to any amount denominated in Dollars, the equivalent amount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thereof in the Alternative Currency as determined by Administrative Agent or the Australian L/C Issuer, as the case may be, at such time on the basis of the Spot Rate (determined in respect of the most recent Revaluation Date) for the purchase of the Alternative Currency with Dollars.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582" w:right="239" w:bottom="1440" w:gutter="0" w:footer="0" w:header="0"/>
        </w:sectPr>
      </w:pPr>
    </w:p>
    <w:bookmarkStart w:id="67" w:name="page68"/>
    <w:bookmarkEnd w:id="67"/>
    <w:p>
      <w:pPr>
        <w:jc w:val="both"/>
        <w:ind w:right="20" w:firstLine="648"/>
        <w:spacing w:after="0" w:line="260" w:lineRule="auto"/>
        <w:rPr>
          <w:sz w:val="20"/>
          <w:szCs w:val="20"/>
          <w:color w:val="auto"/>
        </w:rPr>
      </w:pPr>
      <w:r>
        <w:rPr>
          <w:rFonts w:ascii="Arial" w:cs="Arial" w:eastAsia="Arial" w:hAnsi="Arial"/>
          <w:sz w:val="20"/>
          <w:szCs w:val="20"/>
          <w:b w:val="1"/>
          <w:bCs w:val="1"/>
          <w:i w:val="1"/>
          <w:iCs w:val="1"/>
          <w:color w:val="auto"/>
        </w:rPr>
        <w:t xml:space="preserve">Anti-Corruption Laws </w:t>
      </w:r>
      <w:r>
        <w:rPr>
          <w:rFonts w:ascii="Arial" w:cs="Arial" w:eastAsia="Arial" w:hAnsi="Arial"/>
          <w:sz w:val="20"/>
          <w:szCs w:val="20"/>
          <w:color w:val="auto"/>
        </w:rPr>
        <w:t>means the United States Foreign Corrupt Practices Act of 1977, the United Kingdom Bribery Act 2010 and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other applicable U.S. federal or state laws concerning or related to bribery or corruption.</w:t>
      </w:r>
    </w:p>
    <w:p>
      <w:pPr>
        <w:spacing w:after="0" w:line="177"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b w:val="1"/>
          <w:bCs w:val="1"/>
          <w:i w:val="1"/>
          <w:iCs w:val="1"/>
          <w:color w:val="auto"/>
        </w:rPr>
        <w:t xml:space="preserve">Applicable Margin </w:t>
      </w:r>
      <w:r>
        <w:rPr>
          <w:rFonts w:ascii="Arial" w:cs="Arial" w:eastAsia="Arial" w:hAnsi="Arial"/>
          <w:sz w:val="20"/>
          <w:szCs w:val="20"/>
          <w:color w:val="auto"/>
        </w:rPr>
        <w:t>means, for any day, the margin of interest over the Base Rate or Eurocurrency Rate, as the case may be, that 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applicable when any interest rate is determined under this Agreement. The Applicable Margin is subject to adjustment (upwards or downwards, as appropriate) based on the ratio of Net Funded Debt to Adjusted EBITDA, as follows:</w:t>
      </w:r>
    </w:p>
    <w:p>
      <w:pPr>
        <w:spacing w:after="0" w:line="200" w:lineRule="exact"/>
        <w:rPr>
          <w:sz w:val="20"/>
          <w:szCs w:val="20"/>
          <w:color w:val="auto"/>
        </w:rPr>
      </w:pPr>
    </w:p>
    <w:p>
      <w:pPr>
        <w:spacing w:after="0" w:line="240" w:lineRule="exact"/>
        <w:rPr>
          <w:sz w:val="20"/>
          <w:szCs w:val="20"/>
          <w:color w:val="auto"/>
        </w:rPr>
      </w:pPr>
    </w:p>
    <w:tbl>
      <w:tblPr>
        <w:tblLayout w:type="fixed"/>
        <w:tblInd w:w="70" w:type="dxa"/>
        <w:tblCellMar>
          <w:top w:w="0" w:type="dxa"/>
          <w:left w:w="0" w:type="dxa"/>
          <w:bottom w:w="0" w:type="dxa"/>
          <w:right w:w="0" w:type="dxa"/>
        </w:tblCellMar>
      </w:tblPr>
      <w:tr>
        <w:trPr>
          <w:trHeight w:val="166"/>
        </w:trPr>
        <w:tc>
          <w:tcPr>
            <w:tcW w:w="940" w:type="dxa"/>
            <w:vAlign w:val="bottom"/>
            <w:tcBorders>
              <w:top w:val="single" w:sz="8" w:color="00000A"/>
              <w:left w:val="single" w:sz="8" w:color="00000A"/>
              <w:right w:val="single" w:sz="8" w:color="00000A"/>
            </w:tcBorders>
          </w:tcPr>
          <w:p>
            <w:pPr>
              <w:spacing w:after="0"/>
              <w:rPr>
                <w:sz w:val="14"/>
                <w:szCs w:val="14"/>
                <w:color w:val="auto"/>
              </w:rPr>
            </w:pPr>
          </w:p>
        </w:tc>
        <w:tc>
          <w:tcPr>
            <w:tcW w:w="5560" w:type="dxa"/>
            <w:vAlign w:val="bottom"/>
            <w:tcBorders>
              <w:top w:val="single" w:sz="8" w:color="00000A"/>
              <w:right w:val="single" w:sz="8" w:color="00000A"/>
            </w:tcBorders>
            <w:vMerge w:val="restart"/>
          </w:tcPr>
          <w:p>
            <w:pPr>
              <w:ind w:left="1340"/>
              <w:spacing w:after="0"/>
              <w:rPr>
                <w:sz w:val="20"/>
                <w:szCs w:val="20"/>
                <w:color w:val="auto"/>
              </w:rPr>
            </w:pPr>
            <w:r>
              <w:rPr>
                <w:rFonts w:ascii="Arial" w:cs="Arial" w:eastAsia="Arial" w:hAnsi="Arial"/>
                <w:sz w:val="14"/>
                <w:szCs w:val="14"/>
                <w:b w:val="1"/>
                <w:bCs w:val="1"/>
                <w:color w:val="auto"/>
              </w:rPr>
              <w:t>Ratio of Net Funded Debt to Adjusted EBITDA</w:t>
            </w:r>
          </w:p>
        </w:tc>
        <w:tc>
          <w:tcPr>
            <w:tcW w:w="25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b w:val="1"/>
                <w:bCs w:val="1"/>
                <w:color w:val="auto"/>
                <w:w w:val="96"/>
              </w:rPr>
              <w:t>Applicable Margin for</w:t>
            </w:r>
          </w:p>
        </w:tc>
        <w:tc>
          <w:tcPr>
            <w:tcW w:w="23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b w:val="1"/>
                <w:bCs w:val="1"/>
                <w:color w:val="auto"/>
                <w:w w:val="96"/>
              </w:rPr>
              <w:t>Applicable Margin</w:t>
            </w:r>
          </w:p>
        </w:tc>
        <w:tc>
          <w:tcPr>
            <w:tcW w:w="0" w:type="dxa"/>
            <w:vAlign w:val="bottom"/>
          </w:tcPr>
          <w:p>
            <w:pPr>
              <w:spacing w:after="0"/>
              <w:rPr>
                <w:sz w:val="1"/>
                <w:szCs w:val="1"/>
                <w:color w:val="auto"/>
              </w:rPr>
            </w:pPr>
          </w:p>
        </w:tc>
      </w:tr>
      <w:tr>
        <w:trPr>
          <w:trHeight w:val="186"/>
        </w:trPr>
        <w:tc>
          <w:tcPr>
            <w:tcW w:w="940" w:type="dxa"/>
            <w:vAlign w:val="bottom"/>
            <w:tcBorders>
              <w:left w:val="single" w:sz="8" w:color="00000A"/>
              <w:right w:val="single" w:sz="8" w:color="00000A"/>
            </w:tcBorders>
          </w:tcPr>
          <w:p>
            <w:pPr>
              <w:spacing w:after="0"/>
              <w:rPr>
                <w:sz w:val="16"/>
                <w:szCs w:val="16"/>
                <w:color w:val="auto"/>
              </w:rPr>
            </w:pPr>
          </w:p>
        </w:tc>
        <w:tc>
          <w:tcPr>
            <w:tcW w:w="5560" w:type="dxa"/>
            <w:vAlign w:val="bottom"/>
            <w:tcBorders>
              <w:right w:val="single" w:sz="8" w:color="00000A"/>
            </w:tcBorders>
            <w:vMerge w:val="continue"/>
          </w:tcPr>
          <w:p>
            <w:pPr>
              <w:spacing w:after="0"/>
              <w:rPr>
                <w:sz w:val="16"/>
                <w:szCs w:val="16"/>
                <w:color w:val="auto"/>
              </w:rPr>
            </w:pPr>
          </w:p>
        </w:tc>
        <w:tc>
          <w:tcPr>
            <w:tcW w:w="2500" w:type="dxa"/>
            <w:vAlign w:val="bottom"/>
            <w:tcBorders>
              <w:right w:val="single" w:sz="8" w:color="00000A"/>
            </w:tcBorders>
          </w:tcPr>
          <w:p>
            <w:pPr>
              <w:jc w:val="center"/>
              <w:spacing w:after="0"/>
              <w:rPr>
                <w:sz w:val="20"/>
                <w:szCs w:val="20"/>
                <w:color w:val="auto"/>
              </w:rPr>
            </w:pPr>
            <w:r>
              <w:rPr>
                <w:rFonts w:ascii="Arial" w:cs="Arial" w:eastAsia="Arial" w:hAnsi="Arial"/>
                <w:sz w:val="14"/>
                <w:szCs w:val="14"/>
                <w:b w:val="1"/>
                <w:bCs w:val="1"/>
                <w:color w:val="auto"/>
                <w:w w:val="92"/>
              </w:rPr>
              <w:t>Eurocurrency Rate Loans</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14"/>
                <w:szCs w:val="14"/>
                <w:b w:val="1"/>
                <w:bCs w:val="1"/>
                <w:color w:val="auto"/>
                <w:w w:val="90"/>
              </w:rPr>
              <w:t>Base Rate Loans</w:t>
            </w:r>
          </w:p>
        </w:tc>
        <w:tc>
          <w:tcPr>
            <w:tcW w:w="0" w:type="dxa"/>
            <w:vAlign w:val="bottom"/>
          </w:tcPr>
          <w:p>
            <w:pPr>
              <w:spacing w:after="0"/>
              <w:rPr>
                <w:sz w:val="1"/>
                <w:szCs w:val="1"/>
                <w:color w:val="auto"/>
              </w:rPr>
            </w:pPr>
          </w:p>
        </w:tc>
      </w:tr>
      <w:tr>
        <w:trPr>
          <w:trHeight w:val="39"/>
        </w:trPr>
        <w:tc>
          <w:tcPr>
            <w:tcW w:w="940" w:type="dxa"/>
            <w:vAlign w:val="bottom"/>
            <w:tcBorders>
              <w:left w:val="single" w:sz="8" w:color="00000A"/>
              <w:bottom w:val="single" w:sz="8" w:color="00000A"/>
              <w:right w:val="single" w:sz="8" w:color="00000A"/>
            </w:tcBorders>
          </w:tcPr>
          <w:p>
            <w:pPr>
              <w:spacing w:after="0"/>
              <w:rPr>
                <w:sz w:val="3"/>
                <w:szCs w:val="3"/>
                <w:color w:val="auto"/>
              </w:rPr>
            </w:pPr>
          </w:p>
        </w:tc>
        <w:tc>
          <w:tcPr>
            <w:tcW w:w="5560" w:type="dxa"/>
            <w:vAlign w:val="bottom"/>
            <w:tcBorders>
              <w:bottom w:val="single" w:sz="8" w:color="00000A"/>
              <w:right w:val="single" w:sz="8" w:color="00000A"/>
            </w:tcBorders>
          </w:tcPr>
          <w:p>
            <w:pPr>
              <w:spacing w:after="0"/>
              <w:rPr>
                <w:sz w:val="3"/>
                <w:szCs w:val="3"/>
                <w:color w:val="auto"/>
              </w:rPr>
            </w:pPr>
          </w:p>
        </w:tc>
        <w:tc>
          <w:tcPr>
            <w:tcW w:w="2500" w:type="dxa"/>
            <w:vAlign w:val="bottom"/>
            <w:tcBorders>
              <w:bottom w:val="single" w:sz="8" w:color="00000A"/>
              <w:right w:val="single" w:sz="8" w:color="00000A"/>
            </w:tcBorders>
          </w:tcPr>
          <w:p>
            <w:pPr>
              <w:spacing w:after="0"/>
              <w:rPr>
                <w:sz w:val="3"/>
                <w:szCs w:val="3"/>
                <w:color w:val="auto"/>
              </w:rPr>
            </w:pPr>
          </w:p>
        </w:tc>
        <w:tc>
          <w:tcPr>
            <w:tcW w:w="2380" w:type="dxa"/>
            <w:vAlign w:val="bottom"/>
            <w:tcBorders>
              <w:bottom w:val="single" w:sz="8" w:color="00000A"/>
              <w:right w:val="single" w:sz="8" w:color="00000A"/>
            </w:tcBorders>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9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I</w:t>
            </w:r>
          </w:p>
        </w:tc>
        <w:tc>
          <w:tcPr>
            <w:tcW w:w="5560" w:type="dxa"/>
            <w:vAlign w:val="bottom"/>
            <w:tcBorders>
              <w:right w:val="single" w:sz="8" w:color="00000A"/>
            </w:tcBorders>
          </w:tcPr>
          <w:p>
            <w:pPr>
              <w:ind w:left="80"/>
              <w:spacing w:after="0"/>
              <w:rPr>
                <w:sz w:val="20"/>
                <w:szCs w:val="20"/>
                <w:color w:val="auto"/>
              </w:rPr>
            </w:pPr>
            <w:r>
              <w:rPr>
                <w:rFonts w:ascii="Arial" w:cs="Arial" w:eastAsia="Arial" w:hAnsi="Arial"/>
                <w:sz w:val="20"/>
                <w:szCs w:val="20"/>
                <w:color w:val="auto"/>
              </w:rPr>
              <w:t>Less than 1.50 to 1.00</w:t>
            </w:r>
          </w:p>
        </w:tc>
        <w:tc>
          <w:tcPr>
            <w:tcW w:w="25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1"/>
              </w:rPr>
              <w:t>1.125%</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1"/>
              </w:rPr>
              <w:t>0.125%</w:t>
            </w:r>
          </w:p>
        </w:tc>
        <w:tc>
          <w:tcPr>
            <w:tcW w:w="0" w:type="dxa"/>
            <w:vAlign w:val="bottom"/>
          </w:tcPr>
          <w:p>
            <w:pPr>
              <w:spacing w:after="0"/>
              <w:rPr>
                <w:sz w:val="1"/>
                <w:szCs w:val="1"/>
                <w:color w:val="auto"/>
              </w:rPr>
            </w:pPr>
          </w:p>
        </w:tc>
      </w:tr>
      <w:tr>
        <w:trPr>
          <w:trHeight w:val="50"/>
        </w:trPr>
        <w:tc>
          <w:tcPr>
            <w:tcW w:w="940" w:type="dxa"/>
            <w:vAlign w:val="bottom"/>
            <w:tcBorders>
              <w:left w:val="single" w:sz="8" w:color="00000A"/>
              <w:bottom w:val="single" w:sz="8" w:color="00000A"/>
              <w:right w:val="single" w:sz="8" w:color="00000A"/>
            </w:tcBorders>
          </w:tcPr>
          <w:p>
            <w:pPr>
              <w:spacing w:after="0"/>
              <w:rPr>
                <w:sz w:val="4"/>
                <w:szCs w:val="4"/>
                <w:color w:val="auto"/>
              </w:rPr>
            </w:pPr>
          </w:p>
        </w:tc>
        <w:tc>
          <w:tcPr>
            <w:tcW w:w="5560" w:type="dxa"/>
            <w:vAlign w:val="bottom"/>
            <w:tcBorders>
              <w:bottom w:val="single" w:sz="8" w:color="00000A"/>
              <w:right w:val="single" w:sz="8" w:color="00000A"/>
            </w:tcBorders>
          </w:tcPr>
          <w:p>
            <w:pPr>
              <w:spacing w:after="0"/>
              <w:rPr>
                <w:sz w:val="4"/>
                <w:szCs w:val="4"/>
                <w:color w:val="auto"/>
              </w:rPr>
            </w:pPr>
          </w:p>
        </w:tc>
        <w:tc>
          <w:tcPr>
            <w:tcW w:w="2500" w:type="dxa"/>
            <w:vAlign w:val="bottom"/>
            <w:tcBorders>
              <w:bottom w:val="single" w:sz="8" w:color="00000A"/>
              <w:right w:val="single" w:sz="8" w:color="00000A"/>
            </w:tcBorders>
          </w:tcPr>
          <w:p>
            <w:pPr>
              <w:spacing w:after="0"/>
              <w:rPr>
                <w:sz w:val="4"/>
                <w:szCs w:val="4"/>
                <w:color w:val="auto"/>
              </w:rPr>
            </w:pPr>
          </w:p>
        </w:tc>
        <w:tc>
          <w:tcPr>
            <w:tcW w:w="2380" w:type="dxa"/>
            <w:vAlign w:val="bottom"/>
            <w:tcBorders>
              <w:bottom w:val="single" w:sz="8" w:color="00000A"/>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9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II</w:t>
            </w:r>
          </w:p>
        </w:tc>
        <w:tc>
          <w:tcPr>
            <w:tcW w:w="5560" w:type="dxa"/>
            <w:vAlign w:val="bottom"/>
            <w:tcBorders>
              <w:right w:val="single" w:sz="8" w:color="00000A"/>
            </w:tcBorders>
          </w:tcPr>
          <w:p>
            <w:pPr>
              <w:ind w:left="80"/>
              <w:spacing w:after="0"/>
              <w:rPr>
                <w:sz w:val="20"/>
                <w:szCs w:val="20"/>
                <w:color w:val="auto"/>
              </w:rPr>
            </w:pPr>
            <w:r>
              <w:rPr>
                <w:rFonts w:ascii="Arial" w:cs="Arial" w:eastAsia="Arial" w:hAnsi="Arial"/>
                <w:sz w:val="20"/>
                <w:szCs w:val="20"/>
                <w:color w:val="auto"/>
                <w:w w:val="97"/>
              </w:rPr>
              <w:t>Greater than or equal to 1.50 to 1.00, but less than 2.00 to 1.00</w:t>
            </w:r>
          </w:p>
        </w:tc>
        <w:tc>
          <w:tcPr>
            <w:tcW w:w="25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1"/>
              </w:rPr>
              <w:t>1.250%</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1"/>
              </w:rPr>
              <w:t>0.250%</w:t>
            </w:r>
          </w:p>
        </w:tc>
        <w:tc>
          <w:tcPr>
            <w:tcW w:w="0" w:type="dxa"/>
            <w:vAlign w:val="bottom"/>
          </w:tcPr>
          <w:p>
            <w:pPr>
              <w:spacing w:after="0"/>
              <w:rPr>
                <w:sz w:val="1"/>
                <w:szCs w:val="1"/>
                <w:color w:val="auto"/>
              </w:rPr>
            </w:pPr>
          </w:p>
        </w:tc>
      </w:tr>
      <w:tr>
        <w:trPr>
          <w:trHeight w:val="50"/>
        </w:trPr>
        <w:tc>
          <w:tcPr>
            <w:tcW w:w="940" w:type="dxa"/>
            <w:vAlign w:val="bottom"/>
            <w:tcBorders>
              <w:left w:val="single" w:sz="8" w:color="00000A"/>
              <w:bottom w:val="single" w:sz="8" w:color="00000A"/>
              <w:right w:val="single" w:sz="8" w:color="00000A"/>
            </w:tcBorders>
          </w:tcPr>
          <w:p>
            <w:pPr>
              <w:spacing w:after="0"/>
              <w:rPr>
                <w:sz w:val="4"/>
                <w:szCs w:val="4"/>
                <w:color w:val="auto"/>
              </w:rPr>
            </w:pPr>
          </w:p>
        </w:tc>
        <w:tc>
          <w:tcPr>
            <w:tcW w:w="5560" w:type="dxa"/>
            <w:vAlign w:val="bottom"/>
            <w:tcBorders>
              <w:bottom w:val="single" w:sz="8" w:color="00000A"/>
              <w:right w:val="single" w:sz="8" w:color="00000A"/>
            </w:tcBorders>
          </w:tcPr>
          <w:p>
            <w:pPr>
              <w:spacing w:after="0"/>
              <w:rPr>
                <w:sz w:val="4"/>
                <w:szCs w:val="4"/>
                <w:color w:val="auto"/>
              </w:rPr>
            </w:pPr>
          </w:p>
        </w:tc>
        <w:tc>
          <w:tcPr>
            <w:tcW w:w="2500" w:type="dxa"/>
            <w:vAlign w:val="bottom"/>
            <w:tcBorders>
              <w:bottom w:val="single" w:sz="8" w:color="00000A"/>
              <w:right w:val="single" w:sz="8" w:color="00000A"/>
            </w:tcBorders>
          </w:tcPr>
          <w:p>
            <w:pPr>
              <w:spacing w:after="0"/>
              <w:rPr>
                <w:sz w:val="4"/>
                <w:szCs w:val="4"/>
                <w:color w:val="auto"/>
              </w:rPr>
            </w:pPr>
          </w:p>
        </w:tc>
        <w:tc>
          <w:tcPr>
            <w:tcW w:w="2380" w:type="dxa"/>
            <w:vAlign w:val="bottom"/>
            <w:tcBorders>
              <w:bottom w:val="single" w:sz="8" w:color="00000A"/>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9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III</w:t>
            </w:r>
          </w:p>
        </w:tc>
        <w:tc>
          <w:tcPr>
            <w:tcW w:w="5560" w:type="dxa"/>
            <w:vAlign w:val="bottom"/>
            <w:tcBorders>
              <w:right w:val="single" w:sz="8" w:color="00000A"/>
            </w:tcBorders>
          </w:tcPr>
          <w:p>
            <w:pPr>
              <w:ind w:left="80"/>
              <w:spacing w:after="0"/>
              <w:rPr>
                <w:sz w:val="20"/>
                <w:szCs w:val="20"/>
                <w:color w:val="auto"/>
              </w:rPr>
            </w:pPr>
            <w:r>
              <w:rPr>
                <w:rFonts w:ascii="Arial" w:cs="Arial" w:eastAsia="Arial" w:hAnsi="Arial"/>
                <w:sz w:val="20"/>
                <w:szCs w:val="20"/>
                <w:color w:val="auto"/>
                <w:w w:val="97"/>
              </w:rPr>
              <w:t>Greater than or equal to 2.00 to 1.00, but less than 3.00 to 1.00</w:t>
            </w:r>
          </w:p>
        </w:tc>
        <w:tc>
          <w:tcPr>
            <w:tcW w:w="25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1"/>
              </w:rPr>
              <w:t>1.500%</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1"/>
              </w:rPr>
              <w:t>0.500%</w:t>
            </w:r>
          </w:p>
        </w:tc>
        <w:tc>
          <w:tcPr>
            <w:tcW w:w="0" w:type="dxa"/>
            <w:vAlign w:val="bottom"/>
          </w:tcPr>
          <w:p>
            <w:pPr>
              <w:spacing w:after="0"/>
              <w:rPr>
                <w:sz w:val="1"/>
                <w:szCs w:val="1"/>
                <w:color w:val="auto"/>
              </w:rPr>
            </w:pPr>
          </w:p>
        </w:tc>
      </w:tr>
      <w:tr>
        <w:trPr>
          <w:trHeight w:val="50"/>
        </w:trPr>
        <w:tc>
          <w:tcPr>
            <w:tcW w:w="940" w:type="dxa"/>
            <w:vAlign w:val="bottom"/>
            <w:tcBorders>
              <w:left w:val="single" w:sz="8" w:color="00000A"/>
              <w:bottom w:val="single" w:sz="8" w:color="00000A"/>
              <w:right w:val="single" w:sz="8" w:color="00000A"/>
            </w:tcBorders>
          </w:tcPr>
          <w:p>
            <w:pPr>
              <w:spacing w:after="0"/>
              <w:rPr>
                <w:sz w:val="4"/>
                <w:szCs w:val="4"/>
                <w:color w:val="auto"/>
              </w:rPr>
            </w:pPr>
          </w:p>
        </w:tc>
        <w:tc>
          <w:tcPr>
            <w:tcW w:w="5560" w:type="dxa"/>
            <w:vAlign w:val="bottom"/>
            <w:tcBorders>
              <w:bottom w:val="single" w:sz="8" w:color="00000A"/>
              <w:right w:val="single" w:sz="8" w:color="00000A"/>
            </w:tcBorders>
          </w:tcPr>
          <w:p>
            <w:pPr>
              <w:spacing w:after="0"/>
              <w:rPr>
                <w:sz w:val="4"/>
                <w:szCs w:val="4"/>
                <w:color w:val="auto"/>
              </w:rPr>
            </w:pPr>
          </w:p>
        </w:tc>
        <w:tc>
          <w:tcPr>
            <w:tcW w:w="2500" w:type="dxa"/>
            <w:vAlign w:val="bottom"/>
            <w:tcBorders>
              <w:bottom w:val="single" w:sz="8" w:color="00000A"/>
              <w:right w:val="single" w:sz="8" w:color="00000A"/>
            </w:tcBorders>
          </w:tcPr>
          <w:p>
            <w:pPr>
              <w:spacing w:after="0"/>
              <w:rPr>
                <w:sz w:val="4"/>
                <w:szCs w:val="4"/>
                <w:color w:val="auto"/>
              </w:rPr>
            </w:pPr>
          </w:p>
        </w:tc>
        <w:tc>
          <w:tcPr>
            <w:tcW w:w="2380" w:type="dxa"/>
            <w:vAlign w:val="bottom"/>
            <w:tcBorders>
              <w:bottom w:val="single" w:sz="8" w:color="00000A"/>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9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IV</w:t>
            </w:r>
          </w:p>
        </w:tc>
        <w:tc>
          <w:tcPr>
            <w:tcW w:w="5560" w:type="dxa"/>
            <w:vAlign w:val="bottom"/>
            <w:tcBorders>
              <w:right w:val="single" w:sz="8" w:color="00000A"/>
            </w:tcBorders>
          </w:tcPr>
          <w:p>
            <w:pPr>
              <w:ind w:left="40"/>
              <w:spacing w:after="0"/>
              <w:rPr>
                <w:sz w:val="20"/>
                <w:szCs w:val="20"/>
                <w:color w:val="auto"/>
              </w:rPr>
            </w:pPr>
            <w:r>
              <w:rPr>
                <w:rFonts w:ascii="Arial" w:cs="Arial" w:eastAsia="Arial" w:hAnsi="Arial"/>
                <w:sz w:val="20"/>
                <w:szCs w:val="20"/>
                <w:color w:val="auto"/>
                <w:w w:val="97"/>
              </w:rPr>
              <w:t>Greater than or equal to 3.00 to 1.00, but less than 4.00 to 1.00</w:t>
            </w:r>
          </w:p>
        </w:tc>
        <w:tc>
          <w:tcPr>
            <w:tcW w:w="25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1"/>
              </w:rPr>
              <w:t>2.000%</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1"/>
              </w:rPr>
              <w:t>1.000%</w:t>
            </w:r>
          </w:p>
        </w:tc>
        <w:tc>
          <w:tcPr>
            <w:tcW w:w="0" w:type="dxa"/>
            <w:vAlign w:val="bottom"/>
          </w:tcPr>
          <w:p>
            <w:pPr>
              <w:spacing w:after="0"/>
              <w:rPr>
                <w:sz w:val="1"/>
                <w:szCs w:val="1"/>
                <w:color w:val="auto"/>
              </w:rPr>
            </w:pPr>
          </w:p>
        </w:tc>
      </w:tr>
      <w:tr>
        <w:trPr>
          <w:trHeight w:val="50"/>
        </w:trPr>
        <w:tc>
          <w:tcPr>
            <w:tcW w:w="940" w:type="dxa"/>
            <w:vAlign w:val="bottom"/>
            <w:tcBorders>
              <w:left w:val="single" w:sz="8" w:color="00000A"/>
              <w:bottom w:val="single" w:sz="8" w:color="00000A"/>
              <w:right w:val="single" w:sz="8" w:color="00000A"/>
            </w:tcBorders>
          </w:tcPr>
          <w:p>
            <w:pPr>
              <w:spacing w:after="0"/>
              <w:rPr>
                <w:sz w:val="4"/>
                <w:szCs w:val="4"/>
                <w:color w:val="auto"/>
              </w:rPr>
            </w:pPr>
          </w:p>
        </w:tc>
        <w:tc>
          <w:tcPr>
            <w:tcW w:w="5560" w:type="dxa"/>
            <w:vAlign w:val="bottom"/>
            <w:tcBorders>
              <w:bottom w:val="single" w:sz="8" w:color="00000A"/>
              <w:right w:val="single" w:sz="8" w:color="00000A"/>
            </w:tcBorders>
          </w:tcPr>
          <w:p>
            <w:pPr>
              <w:spacing w:after="0"/>
              <w:rPr>
                <w:sz w:val="4"/>
                <w:szCs w:val="4"/>
                <w:color w:val="auto"/>
              </w:rPr>
            </w:pPr>
          </w:p>
        </w:tc>
        <w:tc>
          <w:tcPr>
            <w:tcW w:w="2500" w:type="dxa"/>
            <w:vAlign w:val="bottom"/>
            <w:tcBorders>
              <w:bottom w:val="single" w:sz="8" w:color="00000A"/>
              <w:right w:val="single" w:sz="8" w:color="00000A"/>
            </w:tcBorders>
          </w:tcPr>
          <w:p>
            <w:pPr>
              <w:spacing w:after="0"/>
              <w:rPr>
                <w:sz w:val="4"/>
                <w:szCs w:val="4"/>
                <w:color w:val="auto"/>
              </w:rPr>
            </w:pPr>
          </w:p>
        </w:tc>
        <w:tc>
          <w:tcPr>
            <w:tcW w:w="2380" w:type="dxa"/>
            <w:vAlign w:val="bottom"/>
            <w:tcBorders>
              <w:bottom w:val="single" w:sz="8" w:color="00000A"/>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9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V</w:t>
            </w:r>
          </w:p>
        </w:tc>
        <w:tc>
          <w:tcPr>
            <w:tcW w:w="5560" w:type="dxa"/>
            <w:vAlign w:val="bottom"/>
            <w:tcBorders>
              <w:right w:val="single" w:sz="8" w:color="00000A"/>
            </w:tcBorders>
          </w:tcPr>
          <w:p>
            <w:pPr>
              <w:ind w:left="40"/>
              <w:spacing w:after="0"/>
              <w:rPr>
                <w:sz w:val="20"/>
                <w:szCs w:val="20"/>
                <w:color w:val="auto"/>
              </w:rPr>
            </w:pPr>
            <w:r>
              <w:rPr>
                <w:rFonts w:ascii="Arial" w:cs="Arial" w:eastAsia="Arial" w:hAnsi="Arial"/>
                <w:sz w:val="20"/>
                <w:szCs w:val="20"/>
                <w:color w:val="auto"/>
              </w:rPr>
              <w:t>Greater than or equal to 4.00 to 1.00</w:t>
            </w:r>
          </w:p>
        </w:tc>
        <w:tc>
          <w:tcPr>
            <w:tcW w:w="25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1"/>
              </w:rPr>
              <w:t>2.500%</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1"/>
              </w:rPr>
              <w:t>1.500%</w:t>
            </w:r>
          </w:p>
        </w:tc>
        <w:tc>
          <w:tcPr>
            <w:tcW w:w="0" w:type="dxa"/>
            <w:vAlign w:val="bottom"/>
          </w:tcPr>
          <w:p>
            <w:pPr>
              <w:spacing w:after="0"/>
              <w:rPr>
                <w:sz w:val="1"/>
                <w:szCs w:val="1"/>
                <w:color w:val="auto"/>
              </w:rPr>
            </w:pPr>
          </w:p>
        </w:tc>
      </w:tr>
      <w:tr>
        <w:trPr>
          <w:trHeight w:val="50"/>
        </w:trPr>
        <w:tc>
          <w:tcPr>
            <w:tcW w:w="940" w:type="dxa"/>
            <w:vAlign w:val="bottom"/>
            <w:tcBorders>
              <w:left w:val="single" w:sz="8" w:color="00000A"/>
              <w:bottom w:val="single" w:sz="8" w:color="00000A"/>
              <w:right w:val="single" w:sz="8" w:color="00000A"/>
            </w:tcBorders>
          </w:tcPr>
          <w:p>
            <w:pPr>
              <w:spacing w:after="0"/>
              <w:rPr>
                <w:sz w:val="4"/>
                <w:szCs w:val="4"/>
                <w:color w:val="auto"/>
              </w:rPr>
            </w:pPr>
          </w:p>
        </w:tc>
        <w:tc>
          <w:tcPr>
            <w:tcW w:w="5560" w:type="dxa"/>
            <w:vAlign w:val="bottom"/>
            <w:tcBorders>
              <w:bottom w:val="single" w:sz="8" w:color="00000A"/>
              <w:right w:val="single" w:sz="8" w:color="00000A"/>
            </w:tcBorders>
          </w:tcPr>
          <w:p>
            <w:pPr>
              <w:spacing w:after="0"/>
              <w:rPr>
                <w:sz w:val="4"/>
                <w:szCs w:val="4"/>
                <w:color w:val="auto"/>
              </w:rPr>
            </w:pPr>
          </w:p>
        </w:tc>
        <w:tc>
          <w:tcPr>
            <w:tcW w:w="2500" w:type="dxa"/>
            <w:vAlign w:val="bottom"/>
            <w:tcBorders>
              <w:bottom w:val="single" w:sz="8" w:color="00000A"/>
              <w:right w:val="single" w:sz="8" w:color="00000A"/>
            </w:tcBorders>
          </w:tcPr>
          <w:p>
            <w:pPr>
              <w:spacing w:after="0"/>
              <w:rPr>
                <w:sz w:val="4"/>
                <w:szCs w:val="4"/>
                <w:color w:val="auto"/>
              </w:rPr>
            </w:pPr>
          </w:p>
        </w:tc>
        <w:tc>
          <w:tcPr>
            <w:tcW w:w="2380" w:type="dxa"/>
            <w:vAlign w:val="bottom"/>
            <w:tcBorders>
              <w:bottom w:val="single" w:sz="8" w:color="00000A"/>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75" w:lineRule="exact"/>
        <w:rPr>
          <w:sz w:val="20"/>
          <w:szCs w:val="20"/>
          <w:color w:val="auto"/>
        </w:rPr>
      </w:pPr>
    </w:p>
    <w:p>
      <w:pPr>
        <w:jc w:val="both"/>
        <w:ind w:right="20"/>
        <w:spacing w:after="0" w:line="256" w:lineRule="auto"/>
        <w:rPr>
          <w:sz w:val="20"/>
          <w:szCs w:val="20"/>
          <w:color w:val="auto"/>
        </w:rPr>
      </w:pPr>
      <w:r>
        <w:rPr>
          <w:rFonts w:ascii="Arial" w:cs="Arial" w:eastAsia="Arial" w:hAnsi="Arial"/>
          <w:sz w:val="19"/>
          <w:szCs w:val="19"/>
          <w:color w:val="auto"/>
        </w:rPr>
        <w:t xml:space="preserve">Prior to Administrative Agent’s receipt of the Companies’ consolidated Financial Statements for the Companies’ fiscal quarter ended July 31, 2018, the ratio of Net Funded Debt to Adjusted EBITDA shall be fixed at Level I. Thereafter, the ratio of Net Funded Debt to Adjusted EBITDA shall be calculated on a consolidated basis for the Companies in accordance with GAAP for the most recently completed fiscal quarter of the Companies for which results are available. The ratio shall be determined from the Current Financials and any related Compliance Certificate and any change in the Applicable Margin resulting from a change in such ratio shall be effective as of the date of delivery of such Compliance Certificate. However, if Borrower fails to furnish to Administrative Agent the Current Financials and any related Compliance Certificate when required pursuant to </w:t>
      </w:r>
      <w:r>
        <w:rPr>
          <w:rFonts w:ascii="Arial" w:cs="Arial" w:eastAsia="Arial" w:hAnsi="Arial"/>
          <w:sz w:val="19"/>
          <w:szCs w:val="19"/>
          <w:b w:val="1"/>
          <w:bCs w:val="1"/>
          <w:i w:val="1"/>
          <w:iCs w:val="1"/>
          <w:color w:val="auto"/>
        </w:rPr>
        <w:t>Section 9.1</w:t>
      </w:r>
      <w:r>
        <w:rPr>
          <w:rFonts w:ascii="Arial" w:cs="Arial" w:eastAsia="Arial" w:hAnsi="Arial"/>
          <w:sz w:val="19"/>
          <w:szCs w:val="19"/>
          <w:color w:val="auto"/>
        </w:rPr>
        <w:t xml:space="preserve">, then the ratio shall be deemed to be at Level V until Borrower furnishes the required Current Financials and any related Compliance Certificate to Administrative Agent. Furthermore, if the Companies’ audited Financial Statements delivered to Administrative Agent for any fiscal year pursuant to </w:t>
      </w:r>
      <w:r>
        <w:rPr>
          <w:rFonts w:ascii="Arial" w:cs="Arial" w:eastAsia="Arial" w:hAnsi="Arial"/>
          <w:sz w:val="19"/>
          <w:szCs w:val="19"/>
          <w:b w:val="1"/>
          <w:bCs w:val="1"/>
          <w:i w:val="1"/>
          <w:iCs w:val="1"/>
          <w:color w:val="auto"/>
        </w:rPr>
        <w:t>Section 9.1(a)</w:t>
      </w:r>
      <w:r>
        <w:rPr>
          <w:rFonts w:ascii="Arial" w:cs="Arial" w:eastAsia="Arial" w:hAnsi="Arial"/>
          <w:sz w:val="19"/>
          <w:szCs w:val="19"/>
          <w:color w:val="auto"/>
        </w:rPr>
        <w:t xml:space="preserve"> result in a different ratio, such revised ratio (whether higher or lower) shall govern effective as of the date of such delivery.</w:t>
      </w:r>
    </w:p>
    <w:p>
      <w:pPr>
        <w:spacing w:after="0" w:line="181"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b w:val="1"/>
          <w:bCs w:val="1"/>
          <w:i w:val="1"/>
          <w:iCs w:val="1"/>
          <w:color w:val="auto"/>
        </w:rPr>
        <w:t xml:space="preserve">Applicable Percentage </w:t>
      </w:r>
      <w:r>
        <w:rPr>
          <w:rFonts w:ascii="Arial" w:cs="Arial" w:eastAsia="Arial" w:hAnsi="Arial"/>
          <w:sz w:val="20"/>
          <w:szCs w:val="20"/>
          <w:color w:val="auto"/>
        </w:rPr>
        <w:t>means, for any day, the commitment fee percentage applicable under</w:t>
      </w:r>
      <w:r>
        <w:rPr>
          <w:rFonts w:ascii="Arial" w:cs="Arial" w:eastAsia="Arial" w:hAnsi="Arial"/>
          <w:sz w:val="20"/>
          <w:szCs w:val="20"/>
          <w:b w:val="1"/>
          <w:bCs w:val="1"/>
          <w:i w:val="1"/>
          <w:iCs w:val="1"/>
          <w:color w:val="auto"/>
        </w:rPr>
        <w:t xml:space="preserve"> Section 5.4 </w:t>
      </w:r>
      <w:r>
        <w:rPr>
          <w:rFonts w:ascii="Arial" w:cs="Arial" w:eastAsia="Arial" w:hAnsi="Arial"/>
          <w:sz w:val="20"/>
          <w:szCs w:val="20"/>
          <w:color w:val="auto"/>
        </w:rPr>
        <w:t>when commitment fees are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determined under this Agreement. The Applicable Percentage is subject to adjustment (upwards or downwards, as appropriate) based on the ratio of Net Funded Debt to Adjusted EBITDA, as follows:</w:t>
      </w: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40"/>
          </w:cols>
          <w:pgMar w:left="240" w:top="582" w:right="219" w:bottom="1440" w:gutter="0" w:footer="0" w:header="0"/>
        </w:sectPr>
      </w:pPr>
    </w:p>
    <w:bookmarkStart w:id="68" w:name="page69"/>
    <w:bookmarkEnd w:id="68"/>
    <w:tbl>
      <w:tblPr>
        <w:tblLayout w:type="fixed"/>
        <w:tblInd w:w="910" w:type="dxa"/>
        <w:tblCellMar>
          <w:top w:w="0" w:type="dxa"/>
          <w:left w:w="0" w:type="dxa"/>
          <w:bottom w:w="0" w:type="dxa"/>
          <w:right w:w="0" w:type="dxa"/>
        </w:tblCellMar>
      </w:tblPr>
      <w:tr>
        <w:trPr>
          <w:trHeight w:val="245"/>
        </w:trPr>
        <w:tc>
          <w:tcPr>
            <w:tcW w:w="960" w:type="dxa"/>
            <w:vAlign w:val="bottom"/>
            <w:tcBorders>
              <w:top w:val="single" w:sz="8" w:color="00000A"/>
              <w:left w:val="single" w:sz="8" w:color="00000A"/>
              <w:right w:val="single" w:sz="8" w:color="00000A"/>
            </w:tcBorders>
          </w:tcPr>
          <w:p>
            <w:pPr>
              <w:spacing w:after="0"/>
              <w:rPr>
                <w:sz w:val="21"/>
                <w:szCs w:val="21"/>
                <w:color w:val="auto"/>
              </w:rPr>
            </w:pPr>
          </w:p>
        </w:tc>
        <w:tc>
          <w:tcPr>
            <w:tcW w:w="5100" w:type="dxa"/>
            <w:vAlign w:val="bottom"/>
            <w:tcBorders>
              <w:top w:val="single" w:sz="8" w:color="00000A"/>
              <w:right w:val="single" w:sz="8" w:color="00000A"/>
            </w:tcBorders>
          </w:tcPr>
          <w:p>
            <w:pPr>
              <w:ind w:left="1100"/>
              <w:spacing w:after="0"/>
              <w:rPr>
                <w:sz w:val="20"/>
                <w:szCs w:val="20"/>
                <w:color w:val="auto"/>
              </w:rPr>
            </w:pPr>
            <w:r>
              <w:rPr>
                <w:rFonts w:ascii="Arial" w:cs="Arial" w:eastAsia="Arial" w:hAnsi="Arial"/>
                <w:sz w:val="14"/>
                <w:szCs w:val="14"/>
                <w:b w:val="1"/>
                <w:bCs w:val="1"/>
                <w:color w:val="auto"/>
              </w:rPr>
              <w:t>Ratio of Net Funded Debt to Adjusted EBITDA</w:t>
            </w:r>
          </w:p>
        </w:tc>
        <w:tc>
          <w:tcPr>
            <w:tcW w:w="24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b w:val="1"/>
                <w:bCs w:val="1"/>
                <w:color w:val="auto"/>
                <w:w w:val="90"/>
              </w:rPr>
              <w:t>Applicable Percentage</w:t>
            </w:r>
          </w:p>
        </w:tc>
      </w:tr>
      <w:tr>
        <w:trPr>
          <w:trHeight w:val="39"/>
        </w:trPr>
        <w:tc>
          <w:tcPr>
            <w:tcW w:w="960" w:type="dxa"/>
            <w:vAlign w:val="bottom"/>
            <w:tcBorders>
              <w:left w:val="single" w:sz="8" w:color="00000A"/>
              <w:bottom w:val="single" w:sz="8" w:color="00000A"/>
              <w:right w:val="single" w:sz="8" w:color="00000A"/>
            </w:tcBorders>
          </w:tcPr>
          <w:p>
            <w:pPr>
              <w:spacing w:after="0"/>
              <w:rPr>
                <w:sz w:val="3"/>
                <w:szCs w:val="3"/>
                <w:color w:val="auto"/>
              </w:rPr>
            </w:pPr>
          </w:p>
        </w:tc>
        <w:tc>
          <w:tcPr>
            <w:tcW w:w="5100" w:type="dxa"/>
            <w:vAlign w:val="bottom"/>
            <w:tcBorders>
              <w:bottom w:val="single" w:sz="8" w:color="00000A"/>
              <w:right w:val="single" w:sz="8" w:color="00000A"/>
            </w:tcBorders>
          </w:tcPr>
          <w:p>
            <w:pPr>
              <w:spacing w:after="0"/>
              <w:rPr>
                <w:sz w:val="3"/>
                <w:szCs w:val="3"/>
                <w:color w:val="auto"/>
              </w:rPr>
            </w:pPr>
          </w:p>
        </w:tc>
        <w:tc>
          <w:tcPr>
            <w:tcW w:w="2460" w:type="dxa"/>
            <w:vAlign w:val="bottom"/>
            <w:tcBorders>
              <w:bottom w:val="single" w:sz="8" w:color="00000A"/>
              <w:right w:val="single" w:sz="8" w:color="00000A"/>
            </w:tcBorders>
          </w:tcPr>
          <w:p>
            <w:pPr>
              <w:spacing w:after="0"/>
              <w:rPr>
                <w:sz w:val="3"/>
                <w:szCs w:val="3"/>
                <w:color w:val="auto"/>
              </w:rPr>
            </w:pPr>
          </w:p>
        </w:tc>
      </w:tr>
      <w:tr>
        <w:trPr>
          <w:trHeight w:val="254"/>
        </w:trPr>
        <w:tc>
          <w:tcPr>
            <w:tcW w:w="9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I</w:t>
            </w:r>
          </w:p>
        </w:tc>
        <w:tc>
          <w:tcPr>
            <w:tcW w:w="5100" w:type="dxa"/>
            <w:vAlign w:val="bottom"/>
            <w:tcBorders>
              <w:right w:val="single" w:sz="8" w:color="00000A"/>
            </w:tcBorders>
          </w:tcPr>
          <w:p>
            <w:pPr>
              <w:ind w:left="80"/>
              <w:spacing w:after="0"/>
              <w:rPr>
                <w:sz w:val="20"/>
                <w:szCs w:val="20"/>
                <w:color w:val="auto"/>
              </w:rPr>
            </w:pPr>
            <w:r>
              <w:rPr>
                <w:rFonts w:ascii="Arial" w:cs="Arial" w:eastAsia="Arial" w:hAnsi="Arial"/>
                <w:sz w:val="20"/>
                <w:szCs w:val="20"/>
                <w:color w:val="auto"/>
              </w:rPr>
              <w:t>Less than 1.50 to 1.00</w:t>
            </w:r>
          </w:p>
        </w:tc>
        <w:tc>
          <w:tcPr>
            <w:tcW w:w="24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0.200%</w:t>
            </w:r>
          </w:p>
        </w:tc>
      </w:tr>
      <w:tr>
        <w:trPr>
          <w:trHeight w:val="50"/>
        </w:trPr>
        <w:tc>
          <w:tcPr>
            <w:tcW w:w="960" w:type="dxa"/>
            <w:vAlign w:val="bottom"/>
            <w:tcBorders>
              <w:left w:val="single" w:sz="8" w:color="00000A"/>
              <w:bottom w:val="single" w:sz="8" w:color="00000A"/>
              <w:right w:val="single" w:sz="8" w:color="00000A"/>
            </w:tcBorders>
          </w:tcPr>
          <w:p>
            <w:pPr>
              <w:spacing w:after="0"/>
              <w:rPr>
                <w:sz w:val="4"/>
                <w:szCs w:val="4"/>
                <w:color w:val="auto"/>
              </w:rPr>
            </w:pPr>
          </w:p>
        </w:tc>
        <w:tc>
          <w:tcPr>
            <w:tcW w:w="5100" w:type="dxa"/>
            <w:vAlign w:val="bottom"/>
            <w:tcBorders>
              <w:bottom w:val="single" w:sz="8" w:color="00000A"/>
              <w:right w:val="single" w:sz="8" w:color="00000A"/>
            </w:tcBorders>
          </w:tcPr>
          <w:p>
            <w:pPr>
              <w:spacing w:after="0"/>
              <w:rPr>
                <w:sz w:val="4"/>
                <w:szCs w:val="4"/>
                <w:color w:val="auto"/>
              </w:rPr>
            </w:pPr>
          </w:p>
        </w:tc>
        <w:tc>
          <w:tcPr>
            <w:tcW w:w="2460" w:type="dxa"/>
            <w:vAlign w:val="bottom"/>
            <w:tcBorders>
              <w:bottom w:val="single" w:sz="8" w:color="00000A"/>
              <w:right w:val="single" w:sz="8" w:color="00000A"/>
            </w:tcBorders>
          </w:tcPr>
          <w:p>
            <w:pPr>
              <w:spacing w:after="0"/>
              <w:rPr>
                <w:sz w:val="4"/>
                <w:szCs w:val="4"/>
                <w:color w:val="auto"/>
              </w:rPr>
            </w:pPr>
          </w:p>
        </w:tc>
      </w:tr>
      <w:tr>
        <w:trPr>
          <w:trHeight w:val="254"/>
        </w:trPr>
        <w:tc>
          <w:tcPr>
            <w:tcW w:w="9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II</w:t>
            </w:r>
          </w:p>
        </w:tc>
        <w:tc>
          <w:tcPr>
            <w:tcW w:w="5100" w:type="dxa"/>
            <w:vAlign w:val="bottom"/>
            <w:tcBorders>
              <w:right w:val="single" w:sz="8" w:color="00000A"/>
            </w:tcBorders>
          </w:tcPr>
          <w:p>
            <w:pPr>
              <w:ind w:left="80"/>
              <w:spacing w:after="0"/>
              <w:rPr>
                <w:sz w:val="20"/>
                <w:szCs w:val="20"/>
                <w:color w:val="auto"/>
              </w:rPr>
            </w:pPr>
            <w:r>
              <w:rPr>
                <w:rFonts w:ascii="Arial" w:cs="Arial" w:eastAsia="Arial" w:hAnsi="Arial"/>
                <w:sz w:val="20"/>
                <w:szCs w:val="20"/>
                <w:color w:val="auto"/>
                <w:w w:val="89"/>
              </w:rPr>
              <w:t>Greater than or equal to 1.50 to 1.00, but less than 2.00 to 1.00</w:t>
            </w:r>
          </w:p>
        </w:tc>
        <w:tc>
          <w:tcPr>
            <w:tcW w:w="24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0.250%</w:t>
            </w:r>
          </w:p>
        </w:tc>
      </w:tr>
      <w:tr>
        <w:trPr>
          <w:trHeight w:val="50"/>
        </w:trPr>
        <w:tc>
          <w:tcPr>
            <w:tcW w:w="960" w:type="dxa"/>
            <w:vAlign w:val="bottom"/>
            <w:tcBorders>
              <w:left w:val="single" w:sz="8" w:color="00000A"/>
              <w:bottom w:val="single" w:sz="8" w:color="00000A"/>
              <w:right w:val="single" w:sz="8" w:color="00000A"/>
            </w:tcBorders>
          </w:tcPr>
          <w:p>
            <w:pPr>
              <w:spacing w:after="0"/>
              <w:rPr>
                <w:sz w:val="4"/>
                <w:szCs w:val="4"/>
                <w:color w:val="auto"/>
              </w:rPr>
            </w:pPr>
          </w:p>
        </w:tc>
        <w:tc>
          <w:tcPr>
            <w:tcW w:w="5100" w:type="dxa"/>
            <w:vAlign w:val="bottom"/>
            <w:tcBorders>
              <w:bottom w:val="single" w:sz="8" w:color="00000A"/>
              <w:right w:val="single" w:sz="8" w:color="00000A"/>
            </w:tcBorders>
          </w:tcPr>
          <w:p>
            <w:pPr>
              <w:spacing w:after="0"/>
              <w:rPr>
                <w:sz w:val="4"/>
                <w:szCs w:val="4"/>
                <w:color w:val="auto"/>
              </w:rPr>
            </w:pPr>
          </w:p>
        </w:tc>
        <w:tc>
          <w:tcPr>
            <w:tcW w:w="2460" w:type="dxa"/>
            <w:vAlign w:val="bottom"/>
            <w:tcBorders>
              <w:bottom w:val="single" w:sz="8" w:color="00000A"/>
              <w:right w:val="single" w:sz="8" w:color="00000A"/>
            </w:tcBorders>
          </w:tcPr>
          <w:p>
            <w:pPr>
              <w:spacing w:after="0"/>
              <w:rPr>
                <w:sz w:val="4"/>
                <w:szCs w:val="4"/>
                <w:color w:val="auto"/>
              </w:rPr>
            </w:pPr>
          </w:p>
        </w:tc>
      </w:tr>
      <w:tr>
        <w:trPr>
          <w:trHeight w:val="254"/>
        </w:trPr>
        <w:tc>
          <w:tcPr>
            <w:tcW w:w="9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III</w:t>
            </w:r>
          </w:p>
        </w:tc>
        <w:tc>
          <w:tcPr>
            <w:tcW w:w="5100" w:type="dxa"/>
            <w:vAlign w:val="bottom"/>
            <w:tcBorders>
              <w:right w:val="single" w:sz="8" w:color="00000A"/>
            </w:tcBorders>
          </w:tcPr>
          <w:p>
            <w:pPr>
              <w:ind w:left="80"/>
              <w:spacing w:after="0"/>
              <w:rPr>
                <w:sz w:val="20"/>
                <w:szCs w:val="20"/>
                <w:color w:val="auto"/>
              </w:rPr>
            </w:pPr>
            <w:r>
              <w:rPr>
                <w:rFonts w:ascii="Arial" w:cs="Arial" w:eastAsia="Arial" w:hAnsi="Arial"/>
                <w:sz w:val="20"/>
                <w:szCs w:val="20"/>
                <w:color w:val="auto"/>
                <w:w w:val="89"/>
              </w:rPr>
              <w:t>Greater than or equal to 2.00 to 1.00, but less than 3.00 to 1.00</w:t>
            </w:r>
          </w:p>
        </w:tc>
        <w:tc>
          <w:tcPr>
            <w:tcW w:w="24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0.300%</w:t>
            </w:r>
          </w:p>
        </w:tc>
      </w:tr>
      <w:tr>
        <w:trPr>
          <w:trHeight w:val="50"/>
        </w:trPr>
        <w:tc>
          <w:tcPr>
            <w:tcW w:w="960" w:type="dxa"/>
            <w:vAlign w:val="bottom"/>
            <w:tcBorders>
              <w:left w:val="single" w:sz="8" w:color="00000A"/>
              <w:bottom w:val="single" w:sz="8" w:color="00000A"/>
              <w:right w:val="single" w:sz="8" w:color="00000A"/>
            </w:tcBorders>
          </w:tcPr>
          <w:p>
            <w:pPr>
              <w:spacing w:after="0"/>
              <w:rPr>
                <w:sz w:val="4"/>
                <w:szCs w:val="4"/>
                <w:color w:val="auto"/>
              </w:rPr>
            </w:pPr>
          </w:p>
        </w:tc>
        <w:tc>
          <w:tcPr>
            <w:tcW w:w="5100" w:type="dxa"/>
            <w:vAlign w:val="bottom"/>
            <w:tcBorders>
              <w:bottom w:val="single" w:sz="8" w:color="00000A"/>
              <w:right w:val="single" w:sz="8" w:color="00000A"/>
            </w:tcBorders>
          </w:tcPr>
          <w:p>
            <w:pPr>
              <w:spacing w:after="0"/>
              <w:rPr>
                <w:sz w:val="4"/>
                <w:szCs w:val="4"/>
                <w:color w:val="auto"/>
              </w:rPr>
            </w:pPr>
          </w:p>
        </w:tc>
        <w:tc>
          <w:tcPr>
            <w:tcW w:w="2460" w:type="dxa"/>
            <w:vAlign w:val="bottom"/>
            <w:tcBorders>
              <w:bottom w:val="single" w:sz="8" w:color="00000A"/>
              <w:right w:val="single" w:sz="8" w:color="00000A"/>
            </w:tcBorders>
          </w:tcPr>
          <w:p>
            <w:pPr>
              <w:spacing w:after="0"/>
              <w:rPr>
                <w:sz w:val="4"/>
                <w:szCs w:val="4"/>
                <w:color w:val="auto"/>
              </w:rPr>
            </w:pPr>
          </w:p>
        </w:tc>
      </w:tr>
      <w:tr>
        <w:trPr>
          <w:trHeight w:val="254"/>
        </w:trPr>
        <w:tc>
          <w:tcPr>
            <w:tcW w:w="9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IV</w:t>
            </w:r>
          </w:p>
        </w:tc>
        <w:tc>
          <w:tcPr>
            <w:tcW w:w="5100" w:type="dxa"/>
            <w:vAlign w:val="bottom"/>
            <w:tcBorders>
              <w:right w:val="single" w:sz="8" w:color="00000A"/>
            </w:tcBorders>
          </w:tcPr>
          <w:p>
            <w:pPr>
              <w:ind w:left="60"/>
              <w:spacing w:after="0"/>
              <w:rPr>
                <w:sz w:val="20"/>
                <w:szCs w:val="20"/>
                <w:color w:val="auto"/>
              </w:rPr>
            </w:pPr>
            <w:r>
              <w:rPr>
                <w:rFonts w:ascii="Arial" w:cs="Arial" w:eastAsia="Arial" w:hAnsi="Arial"/>
                <w:sz w:val="20"/>
                <w:szCs w:val="20"/>
                <w:color w:val="auto"/>
                <w:w w:val="89"/>
              </w:rPr>
              <w:t>Greater than or equal to 3.00 to 1.00, but less than 4.00 to 1.00</w:t>
            </w:r>
          </w:p>
        </w:tc>
        <w:tc>
          <w:tcPr>
            <w:tcW w:w="24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0.350%</w:t>
            </w:r>
          </w:p>
        </w:tc>
      </w:tr>
      <w:tr>
        <w:trPr>
          <w:trHeight w:val="50"/>
        </w:trPr>
        <w:tc>
          <w:tcPr>
            <w:tcW w:w="960" w:type="dxa"/>
            <w:vAlign w:val="bottom"/>
            <w:tcBorders>
              <w:left w:val="single" w:sz="8" w:color="00000A"/>
              <w:bottom w:val="single" w:sz="8" w:color="00000A"/>
              <w:right w:val="single" w:sz="8" w:color="00000A"/>
            </w:tcBorders>
          </w:tcPr>
          <w:p>
            <w:pPr>
              <w:spacing w:after="0"/>
              <w:rPr>
                <w:sz w:val="4"/>
                <w:szCs w:val="4"/>
                <w:color w:val="auto"/>
              </w:rPr>
            </w:pPr>
          </w:p>
        </w:tc>
        <w:tc>
          <w:tcPr>
            <w:tcW w:w="5100" w:type="dxa"/>
            <w:vAlign w:val="bottom"/>
            <w:tcBorders>
              <w:bottom w:val="single" w:sz="8" w:color="00000A"/>
              <w:right w:val="single" w:sz="8" w:color="00000A"/>
            </w:tcBorders>
          </w:tcPr>
          <w:p>
            <w:pPr>
              <w:spacing w:after="0"/>
              <w:rPr>
                <w:sz w:val="4"/>
                <w:szCs w:val="4"/>
                <w:color w:val="auto"/>
              </w:rPr>
            </w:pPr>
          </w:p>
        </w:tc>
        <w:tc>
          <w:tcPr>
            <w:tcW w:w="2460" w:type="dxa"/>
            <w:vAlign w:val="bottom"/>
            <w:tcBorders>
              <w:bottom w:val="single" w:sz="8" w:color="00000A"/>
              <w:right w:val="single" w:sz="8" w:color="00000A"/>
            </w:tcBorders>
          </w:tcPr>
          <w:p>
            <w:pPr>
              <w:spacing w:after="0"/>
              <w:rPr>
                <w:sz w:val="4"/>
                <w:szCs w:val="4"/>
                <w:color w:val="auto"/>
              </w:rPr>
            </w:pPr>
          </w:p>
        </w:tc>
      </w:tr>
      <w:tr>
        <w:trPr>
          <w:trHeight w:val="254"/>
        </w:trPr>
        <w:tc>
          <w:tcPr>
            <w:tcW w:w="9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V</w:t>
            </w:r>
          </w:p>
        </w:tc>
        <w:tc>
          <w:tcPr>
            <w:tcW w:w="5100" w:type="dxa"/>
            <w:vAlign w:val="bottom"/>
            <w:tcBorders>
              <w:right w:val="single" w:sz="8" w:color="00000A"/>
            </w:tcBorders>
          </w:tcPr>
          <w:p>
            <w:pPr>
              <w:ind w:left="60"/>
              <w:spacing w:after="0"/>
              <w:rPr>
                <w:sz w:val="20"/>
                <w:szCs w:val="20"/>
                <w:color w:val="auto"/>
              </w:rPr>
            </w:pPr>
            <w:r>
              <w:rPr>
                <w:rFonts w:ascii="Arial" w:cs="Arial" w:eastAsia="Arial" w:hAnsi="Arial"/>
                <w:sz w:val="20"/>
                <w:szCs w:val="20"/>
                <w:color w:val="auto"/>
              </w:rPr>
              <w:t>Greater than or equal to 4.00 to 1.00</w:t>
            </w:r>
          </w:p>
        </w:tc>
        <w:tc>
          <w:tcPr>
            <w:tcW w:w="24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0.400%</w:t>
            </w:r>
          </w:p>
        </w:tc>
      </w:tr>
      <w:tr>
        <w:trPr>
          <w:trHeight w:val="50"/>
        </w:trPr>
        <w:tc>
          <w:tcPr>
            <w:tcW w:w="960" w:type="dxa"/>
            <w:vAlign w:val="bottom"/>
            <w:tcBorders>
              <w:left w:val="single" w:sz="8" w:color="00000A"/>
              <w:bottom w:val="single" w:sz="8" w:color="00000A"/>
              <w:right w:val="single" w:sz="8" w:color="00000A"/>
            </w:tcBorders>
          </w:tcPr>
          <w:p>
            <w:pPr>
              <w:spacing w:after="0"/>
              <w:rPr>
                <w:sz w:val="4"/>
                <w:szCs w:val="4"/>
                <w:color w:val="auto"/>
              </w:rPr>
            </w:pPr>
          </w:p>
        </w:tc>
        <w:tc>
          <w:tcPr>
            <w:tcW w:w="5100" w:type="dxa"/>
            <w:vAlign w:val="bottom"/>
            <w:tcBorders>
              <w:bottom w:val="single" w:sz="8" w:color="00000A"/>
              <w:right w:val="single" w:sz="8" w:color="00000A"/>
            </w:tcBorders>
          </w:tcPr>
          <w:p>
            <w:pPr>
              <w:spacing w:after="0"/>
              <w:rPr>
                <w:sz w:val="4"/>
                <w:szCs w:val="4"/>
                <w:color w:val="auto"/>
              </w:rPr>
            </w:pPr>
          </w:p>
        </w:tc>
        <w:tc>
          <w:tcPr>
            <w:tcW w:w="2460" w:type="dxa"/>
            <w:vAlign w:val="bottom"/>
            <w:tcBorders>
              <w:bottom w:val="single" w:sz="8" w:color="00000A"/>
              <w:right w:val="single" w:sz="8" w:color="00000A"/>
            </w:tcBorders>
          </w:tcPr>
          <w:p>
            <w:pPr>
              <w:spacing w:after="0"/>
              <w:rPr>
                <w:sz w:val="4"/>
                <w:szCs w:val="4"/>
                <w:color w:val="auto"/>
              </w:rPr>
            </w:pPr>
          </w:p>
        </w:tc>
      </w:tr>
    </w:tbl>
    <w:p>
      <w:pPr>
        <w:spacing w:after="0" w:line="3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Prior to Administrative Agent’s receipt of the Companies’ consolidated Financial Statements for the Companies’ fiscal quarter ended July 31, 2018, the ratio of Net Funded Debt to Adjusted EBITDA (which shall be determined as described in the definition of Applicable Margin) shall be fixed at Level I.</w:t>
      </w:r>
    </w:p>
    <w:p>
      <w:pPr>
        <w:spacing w:after="0" w:line="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Applicable Time </w:t>
      </w:r>
      <w:r>
        <w:rPr>
          <w:rFonts w:ascii="Arial" w:cs="Arial" w:eastAsia="Arial" w:hAnsi="Arial"/>
          <w:sz w:val="20"/>
          <w:szCs w:val="20"/>
          <w:color w:val="auto"/>
        </w:rPr>
        <w:t>means, with respect to any Loan or L/C in Alternative Currency, the local time in the place of settlement for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Alternative Currency as may be determined by Administrative Agent or the Australian L/C Issuer, as the case may be, to be necessary for timely settlement on the relevant date in accordance with normal banking procedures in the place of payment.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Approved Fund </w:t>
      </w:r>
      <w:r>
        <w:rPr>
          <w:rFonts w:ascii="Arial" w:cs="Arial" w:eastAsia="Arial" w:hAnsi="Arial"/>
          <w:sz w:val="20"/>
          <w:szCs w:val="20"/>
          <w:color w:val="auto"/>
        </w:rPr>
        <w:t>means any Fund that is administered or managed by (a) a Lender, (b) an Affiliate of a Lender, or (c) an entity or 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Affiliate of an entity that administers or manages a Lender.</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Approved Jurisdictions </w:t>
      </w:r>
      <w:r>
        <w:rPr>
          <w:rFonts w:ascii="Arial" w:cs="Arial" w:eastAsia="Arial" w:hAnsi="Arial"/>
          <w:sz w:val="20"/>
          <w:szCs w:val="20"/>
          <w:color w:val="auto"/>
        </w:rPr>
        <w:t>means the U.S., Australia, the Netherlands, Canada and such other jurisdiction approved in writing by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Administrative Agent from time to time.</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b w:val="1"/>
          <w:bCs w:val="1"/>
          <w:i w:val="1"/>
          <w:iCs w:val="1"/>
          <w:color w:val="auto"/>
        </w:rPr>
        <w:t xml:space="preserve">Assignee Group </w:t>
      </w:r>
      <w:r>
        <w:rPr>
          <w:rFonts w:ascii="Arial" w:cs="Arial" w:eastAsia="Arial" w:hAnsi="Arial"/>
          <w:sz w:val="20"/>
          <w:szCs w:val="20"/>
          <w:color w:val="auto"/>
        </w:rPr>
        <w:t>means two or more Eligible Assignees that are Affiliates of one another or two or more Approved Funds managed by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same investment advisor.</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i w:val="1"/>
          <w:iCs w:val="1"/>
          <w:color w:val="auto"/>
        </w:rPr>
        <w:t xml:space="preserve">Assignment and Assumption </w:t>
      </w:r>
      <w:r>
        <w:rPr>
          <w:rFonts w:ascii="Arial" w:cs="Arial" w:eastAsia="Arial" w:hAnsi="Arial"/>
          <w:sz w:val="19"/>
          <w:szCs w:val="19"/>
          <w:color w:val="auto"/>
        </w:rPr>
        <w:t>means an Assignment and Assumption substantially in the form of</w:t>
      </w:r>
      <w:r>
        <w:rPr>
          <w:rFonts w:ascii="Arial" w:cs="Arial" w:eastAsia="Arial" w:hAnsi="Arial"/>
          <w:sz w:val="19"/>
          <w:szCs w:val="19"/>
          <w:b w:val="1"/>
          <w:bCs w:val="1"/>
          <w:i w:val="1"/>
          <w:iCs w:val="1"/>
          <w:color w:val="auto"/>
        </w:rPr>
        <w:t xml:space="preserve"> Exhibit E </w:t>
      </w:r>
      <w:r>
        <w:rPr>
          <w:rFonts w:ascii="Arial" w:cs="Arial" w:eastAsia="Arial" w:hAnsi="Arial"/>
          <w:sz w:val="19"/>
          <w:szCs w:val="19"/>
          <w:color w:val="auto"/>
        </w:rPr>
        <w:t>hereto or any other form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(including electronic documentation generated by use of an electronic platform) approved by Administrative Agent.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Attorney Costs </w:t>
      </w:r>
      <w:r>
        <w:rPr>
          <w:rFonts w:ascii="Arial" w:cs="Arial" w:eastAsia="Arial" w:hAnsi="Arial"/>
          <w:sz w:val="20"/>
          <w:szCs w:val="20"/>
          <w:color w:val="auto"/>
        </w:rPr>
        <w:t>has the meaning set forth in</w:t>
      </w:r>
      <w:r>
        <w:rPr>
          <w:rFonts w:ascii="Arial" w:cs="Arial" w:eastAsia="Arial" w:hAnsi="Arial"/>
          <w:sz w:val="20"/>
          <w:szCs w:val="20"/>
          <w:b w:val="1"/>
          <w:bCs w:val="1"/>
          <w:i w:val="1"/>
          <w:iCs w:val="1"/>
          <w:color w:val="auto"/>
        </w:rPr>
        <w:t xml:space="preserve"> Section 7.1(m)</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Australian Dollar </w:t>
      </w:r>
      <w:r>
        <w:rPr>
          <w:rFonts w:ascii="Arial" w:cs="Arial" w:eastAsia="Arial" w:hAnsi="Arial"/>
          <w:sz w:val="20"/>
          <w:szCs w:val="20"/>
          <w:color w:val="auto"/>
        </w:rPr>
        <w:t>means the lawful currency of Australia.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Australian L/C Issuer </w:t>
      </w:r>
      <w:r>
        <w:rPr>
          <w:rFonts w:ascii="Arial" w:cs="Arial" w:eastAsia="Arial" w:hAnsi="Arial"/>
          <w:sz w:val="20"/>
          <w:szCs w:val="20"/>
          <w:color w:val="auto"/>
        </w:rPr>
        <w:t>means Bank of America, N.A.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Auto-Extension L/C </w:t>
      </w:r>
      <w:r>
        <w:rPr>
          <w:rFonts w:ascii="Arial" w:cs="Arial" w:eastAsia="Arial" w:hAnsi="Arial"/>
          <w:sz w:val="20"/>
          <w:szCs w:val="20"/>
          <w:color w:val="auto"/>
        </w:rPr>
        <w:t>has the meaning set forth in</w:t>
      </w:r>
      <w:r>
        <w:rPr>
          <w:rFonts w:ascii="Arial" w:cs="Arial" w:eastAsia="Arial" w:hAnsi="Arial"/>
          <w:sz w:val="20"/>
          <w:szCs w:val="20"/>
          <w:b w:val="1"/>
          <w:bCs w:val="1"/>
          <w:i w:val="1"/>
          <w:iCs w:val="1"/>
          <w:color w:val="auto"/>
        </w:rPr>
        <w:t xml:space="preserve"> Section 2.3(b)(iii)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Availability </w:t>
      </w:r>
      <w:r>
        <w:rPr>
          <w:rFonts w:ascii="Arial" w:cs="Arial" w:eastAsia="Arial" w:hAnsi="Arial"/>
          <w:sz w:val="20"/>
          <w:szCs w:val="20"/>
          <w:color w:val="auto"/>
        </w:rPr>
        <w:t>means, on any date of determination, (a) the Revolver Commitment on such date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minus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 the Revolver Commitment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Usage on such date.</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Bail-In Action </w:t>
      </w:r>
      <w:r>
        <w:rPr>
          <w:rFonts w:ascii="Arial" w:cs="Arial" w:eastAsia="Arial" w:hAnsi="Arial"/>
          <w:sz w:val="20"/>
          <w:szCs w:val="20"/>
          <w:color w:val="auto"/>
        </w:rPr>
        <w:t>means the exercise of any Write-Down and Conversion Powers by the applicable EEA Resolution Authority in respect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any liability of an EEA Financial Institution.</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Bail-In Legislation </w:t>
      </w:r>
      <w:r>
        <w:rPr>
          <w:rFonts w:ascii="Arial" w:cs="Arial" w:eastAsia="Arial" w:hAnsi="Arial"/>
          <w:sz w:val="20"/>
          <w:szCs w:val="20"/>
          <w:color w:val="auto"/>
        </w:rPr>
        <w:t>means, with respect to any EEA Member Country implementing Article 55 of Directive 2014/59/EU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European Parliament and of the Council of the European Union, the implementing law for such EEA Member Country from time to time which is described in the EU Bail-In Legislation Schedule.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714" w:right="239" w:bottom="1440" w:gutter="0" w:footer="0" w:header="0"/>
        </w:sectPr>
      </w:pPr>
    </w:p>
    <w:bookmarkStart w:id="69" w:name="page70"/>
    <w:bookmarkEnd w:id="69"/>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Bank of America </w:t>
      </w:r>
      <w:r>
        <w:rPr>
          <w:rFonts w:ascii="Arial" w:cs="Arial" w:eastAsia="Arial" w:hAnsi="Arial"/>
          <w:sz w:val="20"/>
          <w:szCs w:val="20"/>
          <w:color w:val="auto"/>
        </w:rPr>
        <w:t>means Bank of America, N.A., a national banking association, in its individual capacity and not as Administrative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Agent, and its permitted successors and assigns.</w:t>
      </w:r>
    </w:p>
    <w:p>
      <w:pPr>
        <w:spacing w:after="0" w:line="17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i w:val="1"/>
          <w:iCs w:val="1"/>
          <w:color w:val="auto"/>
        </w:rPr>
        <w:t xml:space="preserve">Base Rate </w:t>
      </w:r>
      <w:r>
        <w:rPr>
          <w:rFonts w:ascii="Arial" w:cs="Arial" w:eastAsia="Arial" w:hAnsi="Arial"/>
          <w:sz w:val="19"/>
          <w:szCs w:val="19"/>
          <w:color w:val="auto"/>
        </w:rPr>
        <w:t>means, for any day, a fluctuating rate per annum equal to the highest of (a) the Federal Funds Rate</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plus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1/2 of 1%, (b)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rate of interest in effect for such day as publicly announced from time to time by Bank of America as its “</w:t>
      </w:r>
      <w:r>
        <w:rPr>
          <w:rFonts w:ascii="Arial" w:cs="Arial" w:eastAsia="Arial" w:hAnsi="Arial"/>
          <w:sz w:val="19"/>
          <w:szCs w:val="19"/>
          <w:i w:val="1"/>
          <w:iCs w:val="1"/>
          <w:color w:val="auto"/>
        </w:rPr>
        <w:t>prime rate</w:t>
      </w:r>
      <w:r>
        <w:rPr>
          <w:rFonts w:ascii="Arial" w:cs="Arial" w:eastAsia="Arial" w:hAnsi="Arial"/>
          <w:sz w:val="19"/>
          <w:szCs w:val="19"/>
          <w:color w:val="auto"/>
        </w:rPr>
        <w:t xml:space="preserve">,” and (c) Eurocurrency Rate for an interest period of one month </w:t>
      </w:r>
      <w:r>
        <w:rPr>
          <w:rFonts w:ascii="Arial" w:cs="Arial" w:eastAsia="Arial" w:hAnsi="Arial"/>
          <w:sz w:val="19"/>
          <w:szCs w:val="19"/>
          <w:i w:val="1"/>
          <w:iCs w:val="1"/>
          <w:color w:val="auto"/>
        </w:rPr>
        <w:t>plus</w:t>
      </w:r>
      <w:r>
        <w:rPr>
          <w:rFonts w:ascii="Arial" w:cs="Arial" w:eastAsia="Arial" w:hAnsi="Arial"/>
          <w:sz w:val="19"/>
          <w:szCs w:val="19"/>
          <w:color w:val="auto"/>
        </w:rPr>
        <w:t xml:space="preserve"> 1%; and if the Base Rate shall be less than zero, such rate shall be deemed zero for purposes of this Agreement. The “</w:t>
      </w:r>
      <w:r>
        <w:rPr>
          <w:rFonts w:ascii="Arial" w:cs="Arial" w:eastAsia="Arial" w:hAnsi="Arial"/>
          <w:sz w:val="19"/>
          <w:szCs w:val="19"/>
          <w:i w:val="1"/>
          <w:iCs w:val="1"/>
          <w:color w:val="auto"/>
        </w:rPr>
        <w:t>prime rate</w:t>
      </w:r>
      <w:r>
        <w:rPr>
          <w:rFonts w:ascii="Arial" w:cs="Arial" w:eastAsia="Arial" w:hAnsi="Arial"/>
          <w:sz w:val="19"/>
          <w:szCs w:val="19"/>
          <w:color w:val="auto"/>
        </w:rPr>
        <w:t>”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rate announced by Bank of America shall take effect at the opening of business on the day specified in the public announcement of such change.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Base Rate Loan </w:t>
      </w:r>
      <w:r>
        <w:rPr>
          <w:rFonts w:ascii="Arial" w:cs="Arial" w:eastAsia="Arial" w:hAnsi="Arial"/>
          <w:sz w:val="20"/>
          <w:szCs w:val="20"/>
          <w:color w:val="auto"/>
        </w:rPr>
        <w:t>means a Loan bearing interest at the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sum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the Base Rate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plus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Applicable Margin.</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Beneficial Ownership Certification </w:t>
      </w:r>
      <w:r>
        <w:rPr>
          <w:rFonts w:ascii="Arial" w:cs="Arial" w:eastAsia="Arial" w:hAnsi="Arial"/>
          <w:sz w:val="20"/>
          <w:szCs w:val="20"/>
          <w:color w:val="auto"/>
        </w:rPr>
        <w:t>means a certification regarding beneficial ownership required by the Beneficial Ownership</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Regulation.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Beneficial Ownership Regulation </w:t>
      </w:r>
      <w:r>
        <w:rPr>
          <w:rFonts w:ascii="Arial" w:cs="Arial" w:eastAsia="Arial" w:hAnsi="Arial"/>
          <w:sz w:val="20"/>
          <w:szCs w:val="20"/>
          <w:color w:val="auto"/>
        </w:rPr>
        <w:t>means</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31 C.F.R. § 1010.230</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b w:val="1"/>
          <w:bCs w:val="1"/>
          <w:i w:val="1"/>
          <w:iCs w:val="1"/>
          <w:color w:val="auto"/>
        </w:rPr>
        <w:t xml:space="preserve">Bond Documents </w:t>
      </w:r>
      <w:r>
        <w:rPr>
          <w:rFonts w:ascii="Arial" w:cs="Arial" w:eastAsia="Arial" w:hAnsi="Arial"/>
          <w:sz w:val="19"/>
          <w:szCs w:val="19"/>
          <w:color w:val="auto"/>
        </w:rPr>
        <w:t>means (a) when used in connection with any Bond L/C, those certain Bonds or other certificates of indebtedness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respect to which such Bond L/C has been issued as credit support, together with any remarketing agreement, trust indenture, purchased bond custody agreement, funding agreement, pledge agreement, and other documents executed pursuant to or in connection with such bonds or other certificates of indebtedness, and all amendments or supplements thereto, and (b) in all other cases, collectively, all Bond Documents as defined in the preceding </w:t>
      </w:r>
      <w:r>
        <w:rPr>
          <w:rFonts w:ascii="Arial" w:cs="Arial" w:eastAsia="Arial" w:hAnsi="Arial"/>
          <w:sz w:val="19"/>
          <w:szCs w:val="19"/>
          <w:b w:val="1"/>
          <w:bCs w:val="1"/>
          <w:i w:val="1"/>
          <w:iCs w:val="1"/>
          <w:color w:val="auto"/>
        </w:rPr>
        <w:t>clause (a)</w:t>
      </w:r>
      <w:r>
        <w:rPr>
          <w:rFonts w:ascii="Arial" w:cs="Arial" w:eastAsia="Arial" w:hAnsi="Arial"/>
          <w:sz w:val="19"/>
          <w:szCs w:val="19"/>
          <w:color w:val="auto"/>
        </w:rPr>
        <w:t xml:space="preserve"> relating to Bond L/Cs then outstanding.</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Bond L/Cs </w:t>
      </w:r>
      <w:r>
        <w:rPr>
          <w:rFonts w:ascii="Arial" w:cs="Arial" w:eastAsia="Arial" w:hAnsi="Arial"/>
          <w:sz w:val="20"/>
          <w:szCs w:val="20"/>
          <w:color w:val="auto"/>
        </w:rPr>
        <w:t>means all L/Cs issued by any L/C Issuer at the request of (a) Borrower and any Housing District in support of Bonds issued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by such Housing District, or (b) Borrower and any Metro District in support of Bonds issued by such Metro District, which L/Cs satisfy the conditions set forth in </w:t>
      </w:r>
      <w:r>
        <w:rPr>
          <w:rFonts w:ascii="Arial" w:cs="Arial" w:eastAsia="Arial" w:hAnsi="Arial"/>
          <w:sz w:val="20"/>
          <w:szCs w:val="20"/>
          <w:b w:val="1"/>
          <w:bCs w:val="1"/>
          <w:i w:val="1"/>
          <w:iCs w:val="1"/>
          <w:color w:val="auto"/>
        </w:rPr>
        <w:t>Section 2.3(i)(i)</w:t>
      </w:r>
      <w:r>
        <w:rPr>
          <w:rFonts w:ascii="Arial" w:cs="Arial" w:eastAsia="Arial" w:hAnsi="Arial"/>
          <w:sz w:val="20"/>
          <w:szCs w:val="20"/>
          <w:color w:val="auto"/>
        </w:rPr>
        <w:t xml:space="preserve"> herein, and renewals or extensions thereof.</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Bond Purchase Drawing </w:t>
      </w:r>
      <w:r>
        <w:rPr>
          <w:rFonts w:ascii="Arial" w:cs="Arial" w:eastAsia="Arial" w:hAnsi="Arial"/>
          <w:sz w:val="20"/>
          <w:szCs w:val="20"/>
          <w:color w:val="auto"/>
        </w:rPr>
        <w:t>has the meaning set forth in</w:t>
      </w:r>
      <w:r>
        <w:rPr>
          <w:rFonts w:ascii="Arial" w:cs="Arial" w:eastAsia="Arial" w:hAnsi="Arial"/>
          <w:sz w:val="20"/>
          <w:szCs w:val="20"/>
          <w:b w:val="1"/>
          <w:bCs w:val="1"/>
          <w:i w:val="1"/>
          <w:iCs w:val="1"/>
          <w:color w:val="auto"/>
        </w:rPr>
        <w:t xml:space="preserve"> Section 2.3(i)(ii)</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Bond Rights </w:t>
      </w:r>
      <w:r>
        <w:rPr>
          <w:rFonts w:ascii="Arial" w:cs="Arial" w:eastAsia="Arial" w:hAnsi="Arial"/>
          <w:sz w:val="20"/>
          <w:szCs w:val="20"/>
          <w:color w:val="auto"/>
        </w:rPr>
        <w:t>has the meaning set forth in</w:t>
      </w:r>
      <w:r>
        <w:rPr>
          <w:rFonts w:ascii="Arial" w:cs="Arial" w:eastAsia="Arial" w:hAnsi="Arial"/>
          <w:sz w:val="20"/>
          <w:szCs w:val="20"/>
          <w:b w:val="1"/>
          <w:bCs w:val="1"/>
          <w:i w:val="1"/>
          <w:iCs w:val="1"/>
          <w:color w:val="auto"/>
        </w:rPr>
        <w:t xml:space="preserve"> Section 2.3(i)(iv)</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i w:val="1"/>
          <w:iCs w:val="1"/>
          <w:color w:val="auto"/>
        </w:rPr>
        <w:t xml:space="preserve">Bonds </w:t>
      </w:r>
      <w:r>
        <w:rPr>
          <w:rFonts w:ascii="Arial" w:cs="Arial" w:eastAsia="Arial" w:hAnsi="Arial"/>
          <w:sz w:val="20"/>
          <w:szCs w:val="20"/>
          <w:color w:val="auto"/>
        </w:rPr>
        <w:t>means revenue bonds issued by (a) any Housing District or other Person for the purpose of financing, directly or indirectly,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development of housing projects designated for employees of the Companies, or (b) any Metro District or other Person for the purpose of financing, directly or indirectly, the operation, construction, and maintenance of infrastructure projects, which projects are related to the Companies’ business activities in the region in which the projects are being developed, and for which a Restricted Company has issued credit support in the form of a Bond L/C for such revenue bonds.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Borrower </w:t>
      </w:r>
      <w:r>
        <w:rPr>
          <w:rFonts w:ascii="Arial" w:cs="Arial" w:eastAsia="Arial" w:hAnsi="Arial"/>
          <w:sz w:val="20"/>
          <w:szCs w:val="20"/>
          <w:color w:val="auto"/>
        </w:rPr>
        <w:t>is defined in the preamble to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Borrower Materials </w:t>
      </w:r>
      <w:r>
        <w:rPr>
          <w:rFonts w:ascii="Arial" w:cs="Arial" w:eastAsia="Arial" w:hAnsi="Arial"/>
          <w:sz w:val="20"/>
          <w:szCs w:val="20"/>
          <w:color w:val="auto"/>
        </w:rPr>
        <w:t>has the meaning specified in</w:t>
      </w:r>
      <w:r>
        <w:rPr>
          <w:rFonts w:ascii="Arial" w:cs="Arial" w:eastAsia="Arial" w:hAnsi="Arial"/>
          <w:sz w:val="20"/>
          <w:szCs w:val="20"/>
          <w:b w:val="1"/>
          <w:bCs w:val="1"/>
          <w:i w:val="1"/>
          <w:iCs w:val="1"/>
          <w:color w:val="auto"/>
        </w:rPr>
        <w:t xml:space="preserve"> Section 9.1</w:t>
      </w:r>
      <w:r>
        <w:rPr>
          <w:rFonts w:ascii="Arial" w:cs="Arial" w:eastAsia="Arial" w:hAnsi="Arial"/>
          <w:sz w:val="20"/>
          <w:szCs w:val="20"/>
          <w:color w:val="auto"/>
        </w:rPr>
        <w: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582" w:right="239" w:bottom="1440" w:gutter="0" w:footer="0" w:header="0"/>
        </w:sectPr>
      </w:pPr>
    </w:p>
    <w:bookmarkStart w:id="70" w:name="page71"/>
    <w:bookmarkEnd w:id="70"/>
    <w:p>
      <w:pPr>
        <w:jc w:val="both"/>
        <w:ind w:firstLine="648"/>
        <w:spacing w:after="0" w:line="291" w:lineRule="auto"/>
        <w:rPr>
          <w:sz w:val="20"/>
          <w:szCs w:val="20"/>
          <w:color w:val="auto"/>
        </w:rPr>
      </w:pPr>
      <w:r>
        <w:rPr>
          <w:rFonts w:ascii="Arial" w:cs="Arial" w:eastAsia="Arial" w:hAnsi="Arial"/>
          <w:sz w:val="18"/>
          <w:szCs w:val="18"/>
          <w:b w:val="1"/>
          <w:bCs w:val="1"/>
          <w:i w:val="1"/>
          <w:iCs w:val="1"/>
          <w:color w:val="auto"/>
        </w:rPr>
        <w:t xml:space="preserve">Business Day </w:t>
      </w:r>
      <w:r>
        <w:rPr>
          <w:rFonts w:ascii="Arial" w:cs="Arial" w:eastAsia="Arial" w:hAnsi="Arial"/>
          <w:sz w:val="18"/>
          <w:szCs w:val="18"/>
          <w:color w:val="auto"/>
        </w:rPr>
        <w:t>means any day other than a Saturday, Sunday, or other day on which commercial banks are authorized to be closed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Laws of, or are in fact closed in, Dallas, Texas or New York, New York, or if such day relates to any Eurocurrency Rate Loan, means any such day on which dealings in Dollar deposits are conducted by and between banks in the London interbank eurodollar market.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Canadian Dollar </w:t>
      </w:r>
      <w:r>
        <w:rPr>
          <w:rFonts w:ascii="Arial" w:cs="Arial" w:eastAsia="Arial" w:hAnsi="Arial"/>
          <w:sz w:val="20"/>
          <w:szCs w:val="20"/>
          <w:color w:val="auto"/>
        </w:rPr>
        <w:t>means the lawful currency of Canada.</w:t>
      </w:r>
    </w:p>
    <w:p>
      <w:pPr>
        <w:spacing w:after="0" w:line="21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b w:val="1"/>
          <w:bCs w:val="1"/>
          <w:i w:val="1"/>
          <w:iCs w:val="1"/>
          <w:color w:val="auto"/>
        </w:rPr>
        <w:t xml:space="preserve">Canyons-Park City Lease </w:t>
      </w:r>
      <w:r>
        <w:rPr>
          <w:rFonts w:ascii="Arial" w:cs="Arial" w:eastAsia="Arial" w:hAnsi="Arial"/>
          <w:sz w:val="19"/>
          <w:szCs w:val="19"/>
          <w:color w:val="auto"/>
        </w:rPr>
        <w:t>means that certain Master Agreement of Lease, dated as of May 29, 2013, by and between Talisker Canyons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LeaseCo LLC, as lessor, and VR CPC Holdings, Inc., as lessee, as the same may be amended from time to time.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 xml:space="preserve">Capital Lease </w:t>
      </w:r>
      <w:r>
        <w:rPr>
          <w:rFonts w:ascii="Arial" w:cs="Arial" w:eastAsia="Arial" w:hAnsi="Arial"/>
          <w:sz w:val="19"/>
          <w:szCs w:val="19"/>
          <w:color w:val="auto"/>
        </w:rPr>
        <w:t>means any capital lease or sublease that has been (or under GAAP should be) capitalized on a balance sheet.</w:t>
      </w:r>
    </w:p>
    <w:p>
      <w:pPr>
        <w:spacing w:after="0" w:line="22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i w:val="1"/>
          <w:iCs w:val="1"/>
          <w:color w:val="auto"/>
        </w:rPr>
        <w:t xml:space="preserve">Cash Collateralize </w:t>
      </w:r>
      <w:r>
        <w:rPr>
          <w:rFonts w:ascii="Arial" w:cs="Arial" w:eastAsia="Arial" w:hAnsi="Arial"/>
          <w:sz w:val="20"/>
          <w:szCs w:val="20"/>
          <w:color w:val="auto"/>
        </w:rPr>
        <w:t>means to pledge and deposit with or deliver to Administrative Agent, for the benefit of Administrative Agent, L/C</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Issuers or Swing Line Lenders (as applicable), and the Lenders, as collateral for L/C Exposure, Obligations in respect of Swing Line Loans, or obligations of Lenders to fund participations in respect of either thereof (as the context may require), cash or deposit account balances, or if the applicable L/C Issuer or Swing Line Lender benefitting from such collateral shall agree in its sole discretion, other credit support, in each case pursuant to documentation in form and substance satisfactory to Administrative Agent and such L/C Issuer or Swing Line Lender (as applicable). Cash Collateral shall have a meaning correlative to the foregoing and shall include the proceeds of such cash collateral and other credit support.</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i w:val="1"/>
          <w:iCs w:val="1"/>
          <w:color w:val="auto"/>
        </w:rPr>
        <w:t xml:space="preserve">Change in Law </w:t>
      </w:r>
      <w:r>
        <w:rPr>
          <w:rFonts w:ascii="Arial" w:cs="Arial" w:eastAsia="Arial" w:hAnsi="Arial"/>
          <w:sz w:val="18"/>
          <w:szCs w:val="18"/>
          <w:color w:val="auto"/>
        </w:rPr>
        <w:t>means the occurrence, after the Closing Date, of any of the following: (a) the adoption or taking effect of any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rule, regulation, or treaty, (b) any change in any Law, rule, regulation, or treaty or in the administration, interpretation, implementation or application thereof by any Governmental Authority, or (c) the making or issuance of any request, guideline, or directive (whether or not having the force of Law) by any Governmental Authority; </w:t>
      </w:r>
      <w:r>
        <w:rPr>
          <w:rFonts w:ascii="Arial" w:cs="Arial" w:eastAsia="Arial" w:hAnsi="Arial"/>
          <w:sz w:val="18"/>
          <w:szCs w:val="18"/>
          <w:i w:val="1"/>
          <w:iCs w:val="1"/>
          <w:color w:val="auto"/>
        </w:rPr>
        <w:t>provided</w:t>
      </w:r>
      <w:r>
        <w:rPr>
          <w:rFonts w:ascii="Arial" w:cs="Arial" w:eastAsia="Arial" w:hAnsi="Arial"/>
          <w:sz w:val="18"/>
          <w:szCs w:val="18"/>
          <w:color w:val="auto"/>
        </w:rPr>
        <w:t>, that notwithstanding anything herein to the contrary, (x) the Dodd-Frank Wall Street Reform and Consumer Protection Act and all requests, rules, guidelines, or directives thereunder or issued in connection therewith, and</w:t>
      </w:r>
    </w:p>
    <w:p>
      <w:pPr>
        <w:spacing w:after="0" w:line="4" w:lineRule="exact"/>
        <w:rPr>
          <w:sz w:val="20"/>
          <w:szCs w:val="20"/>
          <w:color w:val="auto"/>
        </w:rPr>
      </w:pPr>
    </w:p>
    <w:p>
      <w:pPr>
        <w:jc w:val="both"/>
        <w:ind w:firstLine="8"/>
        <w:spacing w:after="0" w:line="241" w:lineRule="auto"/>
        <w:tabs>
          <w:tab w:leader="none" w:pos="319" w:val="left"/>
        </w:tabs>
        <w:numPr>
          <w:ilvl w:val="0"/>
          <w:numId w:val="27"/>
        </w:numPr>
        <w:rPr>
          <w:rFonts w:ascii="Arial" w:cs="Arial" w:eastAsia="Arial" w:hAnsi="Arial"/>
          <w:sz w:val="20"/>
          <w:szCs w:val="20"/>
          <w:color w:val="auto"/>
        </w:rPr>
      </w:pPr>
      <w:r>
        <w:rPr>
          <w:rFonts w:ascii="Arial" w:cs="Arial" w:eastAsia="Arial" w:hAnsi="Arial"/>
          <w:sz w:val="20"/>
          <w:szCs w:val="20"/>
          <w:color w:val="auto"/>
        </w:rPr>
        <w:t>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w:t>
      </w:r>
      <w:r>
        <w:rPr>
          <w:rFonts w:ascii="Arial" w:cs="Arial" w:eastAsia="Arial" w:hAnsi="Arial"/>
          <w:sz w:val="20"/>
          <w:szCs w:val="20"/>
          <w:i w:val="1"/>
          <w:iCs w:val="1"/>
          <w:color w:val="auto"/>
        </w:rPr>
        <w:t>Change in Law</w:t>
      </w:r>
      <w:r>
        <w:rPr>
          <w:rFonts w:ascii="Arial" w:cs="Arial" w:eastAsia="Arial" w:hAnsi="Arial"/>
          <w:sz w:val="20"/>
          <w:szCs w:val="20"/>
          <w:color w:val="auto"/>
        </w:rPr>
        <w:t>”, regardless of the date enacted, adopted, or issued.</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Change of Control Transaction </w:t>
      </w:r>
      <w:r>
        <w:rPr>
          <w:rFonts w:ascii="Arial" w:cs="Arial" w:eastAsia="Arial" w:hAnsi="Arial"/>
          <w:sz w:val="20"/>
          <w:szCs w:val="20"/>
          <w:color w:val="auto"/>
        </w:rPr>
        <w:t>means an event or series of events by which:</w:t>
      </w:r>
    </w:p>
    <w:p>
      <w:pPr>
        <w:spacing w:after="0" w:line="216" w:lineRule="exact"/>
        <w:rPr>
          <w:sz w:val="20"/>
          <w:szCs w:val="20"/>
          <w:color w:val="auto"/>
        </w:rPr>
      </w:pPr>
    </w:p>
    <w:p>
      <w:pPr>
        <w:jc w:val="both"/>
        <w:ind w:left="660" w:firstLine="645"/>
        <w:spacing w:after="0" w:line="260" w:lineRule="auto"/>
        <w:tabs>
          <w:tab w:leader="none" w:pos="1737" w:val="left"/>
        </w:tabs>
        <w:numPr>
          <w:ilvl w:val="0"/>
          <w:numId w:val="28"/>
        </w:numPr>
        <w:rPr>
          <w:rFonts w:ascii="Arial" w:cs="Arial" w:eastAsia="Arial" w:hAnsi="Arial"/>
          <w:sz w:val="19"/>
          <w:szCs w:val="19"/>
          <w:color w:val="auto"/>
        </w:rPr>
      </w:pPr>
      <w:r>
        <w:rPr>
          <w:rFonts w:ascii="Arial" w:cs="Arial" w:eastAsia="Arial" w:hAnsi="Arial"/>
          <w:sz w:val="19"/>
          <w:szCs w:val="19"/>
          <w:color w:val="auto"/>
        </w:rPr>
        <w:t>any “</w:t>
      </w:r>
      <w:r>
        <w:rPr>
          <w:rFonts w:ascii="Arial" w:cs="Arial" w:eastAsia="Arial" w:hAnsi="Arial"/>
          <w:sz w:val="19"/>
          <w:szCs w:val="19"/>
          <w:i w:val="1"/>
          <w:iCs w:val="1"/>
          <w:color w:val="auto"/>
        </w:rPr>
        <w:t>person</w:t>
      </w:r>
      <w:r>
        <w:rPr>
          <w:rFonts w:ascii="Arial" w:cs="Arial" w:eastAsia="Arial" w:hAnsi="Arial"/>
          <w:sz w:val="19"/>
          <w:szCs w:val="19"/>
          <w:color w:val="auto"/>
        </w:rPr>
        <w:t>” or “</w:t>
      </w:r>
      <w:r>
        <w:rPr>
          <w:rFonts w:ascii="Arial" w:cs="Arial" w:eastAsia="Arial" w:hAnsi="Arial"/>
          <w:sz w:val="19"/>
          <w:szCs w:val="19"/>
          <w:i w:val="1"/>
          <w:iCs w:val="1"/>
          <w:color w:val="auto"/>
        </w:rPr>
        <w:t>group</w:t>
      </w:r>
      <w:r>
        <w:rPr>
          <w:rFonts w:ascii="Arial" w:cs="Arial" w:eastAsia="Arial" w:hAnsi="Arial"/>
          <w:sz w:val="19"/>
          <w:szCs w:val="19"/>
          <w:color w:val="auto"/>
        </w:rPr>
        <w:t>”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w:t>
      </w:r>
      <w:r>
        <w:rPr>
          <w:rFonts w:ascii="Arial" w:cs="Arial" w:eastAsia="Arial" w:hAnsi="Arial"/>
          <w:sz w:val="19"/>
          <w:szCs w:val="19"/>
          <w:i w:val="1"/>
          <w:iCs w:val="1"/>
          <w:color w:val="auto"/>
        </w:rPr>
        <w:t>beneficial owner</w:t>
      </w:r>
      <w:r>
        <w:rPr>
          <w:rFonts w:ascii="Arial" w:cs="Arial" w:eastAsia="Arial" w:hAnsi="Arial"/>
          <w:sz w:val="19"/>
          <w:szCs w:val="19"/>
          <w:color w:val="auto"/>
        </w:rPr>
        <w:t>” (as defined in Rules 13d-3 and 13d-5 under the Securities Exchange Act of 1934), directly or indirectly, of 40% or more of the equity securities of VRI entitled to vote for members of the board of directors or equivalent governing body of VRI on a fully-diluted basis;</w:t>
      </w:r>
    </w:p>
    <w:p>
      <w:pPr>
        <w:spacing w:after="0" w:line="180" w:lineRule="exact"/>
        <w:rPr>
          <w:rFonts w:ascii="Arial" w:cs="Arial" w:eastAsia="Arial" w:hAnsi="Arial"/>
          <w:sz w:val="19"/>
          <w:szCs w:val="19"/>
          <w:color w:val="auto"/>
        </w:rPr>
      </w:pPr>
    </w:p>
    <w:p>
      <w:pPr>
        <w:jc w:val="both"/>
        <w:ind w:left="660" w:firstLine="645"/>
        <w:spacing w:after="0" w:line="263" w:lineRule="auto"/>
        <w:tabs>
          <w:tab w:leader="none" w:pos="1824"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during any period of 24 consecutive months, a majority of the members of the board of directors or other equivalent governing body of VRI cease to be composed of individuals (i) who were members of that board or equivalent governing body on the first day of such period, (ii) whose election or nomination to that board or equivalent governing body was approved by individuals referred to in </w:t>
      </w:r>
      <w:r>
        <w:rPr>
          <w:rFonts w:ascii="Arial" w:cs="Arial" w:eastAsia="Arial" w:hAnsi="Arial"/>
          <w:sz w:val="19"/>
          <w:szCs w:val="19"/>
          <w:b w:val="1"/>
          <w:bCs w:val="1"/>
          <w:i w:val="1"/>
          <w:iCs w:val="1"/>
          <w:color w:val="auto"/>
        </w:rPr>
        <w:t>clause (i)</w:t>
      </w:r>
      <w:r>
        <w:rPr>
          <w:rFonts w:ascii="Arial" w:cs="Arial" w:eastAsia="Arial" w:hAnsi="Arial"/>
          <w:sz w:val="19"/>
          <w:szCs w:val="19"/>
          <w:color w:val="auto"/>
        </w:rPr>
        <w:t xml:space="preserve"> above constituting at the time of such election or nomination at least a</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582" w:right="239" w:bottom="1440" w:gutter="0" w:footer="0" w:header="0"/>
        </w:sectPr>
      </w:pPr>
    </w:p>
    <w:bookmarkStart w:id="71" w:name="page72"/>
    <w:bookmarkEnd w:id="71"/>
    <w:p>
      <w:pPr>
        <w:jc w:val="both"/>
        <w:ind w:left="660"/>
        <w:spacing w:after="0" w:line="250" w:lineRule="auto"/>
        <w:rPr>
          <w:sz w:val="20"/>
          <w:szCs w:val="20"/>
          <w:color w:val="auto"/>
        </w:rPr>
      </w:pPr>
      <w:r>
        <w:rPr>
          <w:rFonts w:ascii="Arial" w:cs="Arial" w:eastAsia="Arial" w:hAnsi="Arial"/>
          <w:sz w:val="20"/>
          <w:szCs w:val="20"/>
          <w:color w:val="auto"/>
        </w:rPr>
        <w:t xml:space="preserve">majority of that board or equivalent governing body, or (iii) whose election or nomination to that board or other equivalent governing body was approved by individuals referred to in </w:t>
      </w:r>
      <w:r>
        <w:rPr>
          <w:rFonts w:ascii="Arial" w:cs="Arial" w:eastAsia="Arial" w:hAnsi="Arial"/>
          <w:sz w:val="20"/>
          <w:szCs w:val="20"/>
          <w:b w:val="1"/>
          <w:bCs w:val="1"/>
          <w:i w:val="1"/>
          <w:iCs w:val="1"/>
          <w:color w:val="auto"/>
        </w:rPr>
        <w:t>clauses (i)</w:t>
      </w:r>
      <w:r>
        <w:rPr>
          <w:rFonts w:ascii="Arial" w:cs="Arial" w:eastAsia="Arial" w:hAnsi="Arial"/>
          <w:sz w:val="20"/>
          <w:szCs w:val="20"/>
          <w:color w:val="auto"/>
        </w:rPr>
        <w:t xml:space="preserve"> and </w:t>
      </w:r>
      <w:r>
        <w:rPr>
          <w:rFonts w:ascii="Arial" w:cs="Arial" w:eastAsia="Arial" w:hAnsi="Arial"/>
          <w:sz w:val="20"/>
          <w:szCs w:val="20"/>
          <w:b w:val="1"/>
          <w:bCs w:val="1"/>
          <w:i w:val="1"/>
          <w:iCs w:val="1"/>
          <w:color w:val="auto"/>
        </w:rPr>
        <w:t>(ii)</w:t>
      </w:r>
      <w:r>
        <w:rPr>
          <w:rFonts w:ascii="Arial" w:cs="Arial" w:eastAsia="Arial" w:hAnsi="Arial"/>
          <w:sz w:val="20"/>
          <w:szCs w:val="20"/>
          <w:color w:val="auto"/>
        </w:rPr>
        <w:t xml:space="preserve"> above constituting at the time of such election or nomination at least a majority of that board or equivalent governing body; or</w:t>
      </w:r>
    </w:p>
    <w:p>
      <w:pPr>
        <w:spacing w:after="0" w:line="186" w:lineRule="exact"/>
        <w:rPr>
          <w:sz w:val="20"/>
          <w:szCs w:val="20"/>
          <w:color w:val="auto"/>
        </w:rPr>
      </w:pPr>
    </w:p>
    <w:p>
      <w:pPr>
        <w:jc w:val="both"/>
        <w:ind w:left="660" w:firstLine="645"/>
        <w:spacing w:after="0" w:line="246" w:lineRule="auto"/>
        <w:tabs>
          <w:tab w:leader="none" w:pos="1737"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any Person or two or more Persons acting in concert shall have acquired, by contract or otherwise, control over the equity securities of VRI entitled to vote for members of the board of directors or equivalent governing body of VRI on a fully-diluted basis (and taking into account all such securities that such Person or group has the right to acquire pursuant to any option right) representing 51% or more of the combined voting power of such securities.</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Closing Date </w:t>
      </w:r>
      <w:r>
        <w:rPr>
          <w:rFonts w:ascii="Arial" w:cs="Arial" w:eastAsia="Arial" w:hAnsi="Arial"/>
          <w:sz w:val="20"/>
          <w:szCs w:val="20"/>
          <w:color w:val="auto"/>
        </w:rPr>
        <w:t>means the first date that all conditions precedent set forth in</w:t>
      </w:r>
      <w:r>
        <w:rPr>
          <w:rFonts w:ascii="Arial" w:cs="Arial" w:eastAsia="Arial" w:hAnsi="Arial"/>
          <w:sz w:val="20"/>
          <w:szCs w:val="20"/>
          <w:b w:val="1"/>
          <w:bCs w:val="1"/>
          <w:i w:val="1"/>
          <w:iCs w:val="1"/>
          <w:color w:val="auto"/>
        </w:rPr>
        <w:t xml:space="preserve"> Section 7.1 </w:t>
      </w:r>
      <w:r>
        <w:rPr>
          <w:rFonts w:ascii="Arial" w:cs="Arial" w:eastAsia="Arial" w:hAnsi="Arial"/>
          <w:sz w:val="20"/>
          <w:szCs w:val="20"/>
          <w:color w:val="auto"/>
        </w:rPr>
        <w:t>have been satisfied or waived in accordance with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such Section.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Code </w:t>
      </w:r>
      <w:r>
        <w:rPr>
          <w:rFonts w:ascii="Arial" w:cs="Arial" w:eastAsia="Arial" w:hAnsi="Arial"/>
          <w:sz w:val="18"/>
          <w:szCs w:val="18"/>
          <w:color w:val="auto"/>
        </w:rPr>
        <w:t>means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Internal Revenue Code of 1986</w:t>
      </w:r>
      <w:r>
        <w:rPr>
          <w:rFonts w:ascii="Arial" w:cs="Arial" w:eastAsia="Arial" w:hAnsi="Arial"/>
          <w:sz w:val="18"/>
          <w:szCs w:val="18"/>
          <w:color w:val="auto"/>
        </w:rPr>
        <w:t>, as amended from time to time, and related rules and regulations from time to time in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effect.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Collateral </w:t>
      </w:r>
      <w:r>
        <w:rPr>
          <w:rFonts w:ascii="Arial" w:cs="Arial" w:eastAsia="Arial" w:hAnsi="Arial"/>
          <w:sz w:val="20"/>
          <w:szCs w:val="20"/>
          <w:color w:val="auto"/>
        </w:rPr>
        <w:t>means the property and assets described in</w:t>
      </w:r>
      <w:r>
        <w:rPr>
          <w:rFonts w:ascii="Arial" w:cs="Arial" w:eastAsia="Arial" w:hAnsi="Arial"/>
          <w:sz w:val="20"/>
          <w:szCs w:val="20"/>
          <w:b w:val="1"/>
          <w:bCs w:val="1"/>
          <w:i w:val="1"/>
          <w:iCs w:val="1"/>
          <w:color w:val="auto"/>
        </w:rPr>
        <w:t xml:space="preserve"> Sections 6.2 </w:t>
      </w:r>
      <w:r>
        <w:rPr>
          <w:rFonts w:ascii="Arial" w:cs="Arial" w:eastAsia="Arial" w:hAnsi="Arial"/>
          <w:sz w:val="20"/>
          <w:szCs w:val="20"/>
          <w:color w:val="auto"/>
        </w:rPr>
        <w:t>and</w:t>
      </w:r>
      <w:r>
        <w:rPr>
          <w:rFonts w:ascii="Arial" w:cs="Arial" w:eastAsia="Arial" w:hAnsi="Arial"/>
          <w:sz w:val="20"/>
          <w:szCs w:val="20"/>
          <w:b w:val="1"/>
          <w:bCs w:val="1"/>
          <w:i w:val="1"/>
          <w:iCs w:val="1"/>
          <w:color w:val="auto"/>
        </w:rPr>
        <w:t xml:space="preserve"> 6.3</w:t>
      </w:r>
      <w:r>
        <w:rPr>
          <w:rFonts w:ascii="Arial" w:cs="Arial" w:eastAsia="Arial" w:hAnsi="Arial"/>
          <w:sz w:val="20"/>
          <w:szCs w:val="20"/>
          <w:i w:val="1"/>
          <w:iCs w:val="1"/>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Commitment </w:t>
      </w:r>
      <w:r>
        <w:rPr>
          <w:rFonts w:ascii="Arial" w:cs="Arial" w:eastAsia="Arial" w:hAnsi="Arial"/>
          <w:sz w:val="20"/>
          <w:szCs w:val="20"/>
          <w:color w:val="auto"/>
        </w:rPr>
        <w:t>means a Term Loan Commitment, L/C Commitment, Swing Line Commitment or a Revolver Commitment, as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context may require.</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i w:val="1"/>
          <w:iCs w:val="1"/>
          <w:color w:val="auto"/>
        </w:rPr>
        <w:t xml:space="preserve">Commitment Percentage </w:t>
      </w:r>
      <w:r>
        <w:rPr>
          <w:rFonts w:ascii="Arial" w:cs="Arial" w:eastAsia="Arial" w:hAnsi="Arial"/>
          <w:sz w:val="18"/>
          <w:szCs w:val="18"/>
          <w:color w:val="auto"/>
        </w:rPr>
        <w:t>means (a) with respect to any Term Loan Lender at any time, the percentage (carried out to the ninth decimal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place) of the Term Loan Facility represented by (i) on or prior to the Closing Date, such Term Loan Lender’s Term Loan Commitment at such time, subject to adjustment as provided in </w:t>
      </w:r>
      <w:r>
        <w:rPr>
          <w:rFonts w:ascii="Arial" w:cs="Arial" w:eastAsia="Arial" w:hAnsi="Arial"/>
          <w:sz w:val="18"/>
          <w:szCs w:val="18"/>
          <w:b w:val="1"/>
          <w:bCs w:val="1"/>
          <w:i w:val="1"/>
          <w:iCs w:val="1"/>
          <w:color w:val="auto"/>
        </w:rPr>
        <w:t>Section 3.15</w:t>
      </w:r>
      <w:r>
        <w:rPr>
          <w:rFonts w:ascii="Arial" w:cs="Arial" w:eastAsia="Arial" w:hAnsi="Arial"/>
          <w:sz w:val="18"/>
          <w:szCs w:val="18"/>
          <w:color w:val="auto"/>
        </w:rPr>
        <w:t xml:space="preserve">, and (ii) thereafter, the principal amount of such Term Loan Lender’s Term Loans at such time, subject to adjustment as provided in </w:t>
      </w:r>
      <w:r>
        <w:rPr>
          <w:rFonts w:ascii="Arial" w:cs="Arial" w:eastAsia="Arial" w:hAnsi="Arial"/>
          <w:sz w:val="18"/>
          <w:szCs w:val="18"/>
          <w:b w:val="1"/>
          <w:bCs w:val="1"/>
          <w:i w:val="1"/>
          <w:iCs w:val="1"/>
          <w:color w:val="auto"/>
        </w:rPr>
        <w:t>Section 2.5</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Section 3.15</w:t>
      </w:r>
      <w:r>
        <w:rPr>
          <w:rFonts w:ascii="Arial" w:cs="Arial" w:eastAsia="Arial" w:hAnsi="Arial"/>
          <w:sz w:val="18"/>
          <w:szCs w:val="18"/>
          <w:color w:val="auto"/>
        </w:rPr>
        <w:t xml:space="preserve">, and (b) with respect to any Revolver Lender at any time, the percentage (carried out to the ninth decimal place) of the Revolver Facility represented by such Revolver Lender’s Revolver Commitment at such time, subject to adjustment as provided in </w:t>
      </w:r>
      <w:r>
        <w:rPr>
          <w:rFonts w:ascii="Arial" w:cs="Arial" w:eastAsia="Arial" w:hAnsi="Arial"/>
          <w:sz w:val="18"/>
          <w:szCs w:val="18"/>
          <w:b w:val="1"/>
          <w:bCs w:val="1"/>
          <w:i w:val="1"/>
          <w:iCs w:val="1"/>
          <w:color w:val="auto"/>
        </w:rPr>
        <w:t>Section 2.5</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Section 3.15</w:t>
      </w:r>
      <w:r>
        <w:rPr>
          <w:rFonts w:ascii="Arial" w:cs="Arial" w:eastAsia="Arial" w:hAnsi="Arial"/>
          <w:sz w:val="18"/>
          <w:szCs w:val="18"/>
          <w:color w:val="auto"/>
        </w:rPr>
        <w:t xml:space="preserve">. If the commitment of each Revolver Lender to make Revolver Loans and the obligation of each L/C Issuer to make L/C Credit Extensions have been terminated pursuant to </w:t>
      </w:r>
      <w:r>
        <w:rPr>
          <w:rFonts w:ascii="Arial" w:cs="Arial" w:eastAsia="Arial" w:hAnsi="Arial"/>
          <w:sz w:val="18"/>
          <w:szCs w:val="18"/>
          <w:b w:val="1"/>
          <w:bCs w:val="1"/>
          <w:i w:val="1"/>
          <w:iCs w:val="1"/>
          <w:color w:val="auto"/>
        </w:rPr>
        <w:t>Section 13.1</w:t>
      </w:r>
      <w:r>
        <w:rPr>
          <w:rFonts w:ascii="Arial" w:cs="Arial" w:eastAsia="Arial" w:hAnsi="Arial"/>
          <w:sz w:val="18"/>
          <w:szCs w:val="18"/>
          <w:color w:val="auto"/>
        </w:rPr>
        <w:t xml:space="preserve"> or if the Revolver Commitment has expired, then the Commitment Percentage of each Revolver Lender shall be determined based on the Commitment Percentage of such Revolver Lender most recently in effect, giving effect to any subsequent assignments. The initial Commitment Percentage of each Lender in respect of the Revolver Facility and the Term Loan Facility, as applicable, is set forth opposite the name of such Lender on </w:t>
      </w:r>
      <w:r>
        <w:rPr>
          <w:rFonts w:ascii="Arial" w:cs="Arial" w:eastAsia="Arial" w:hAnsi="Arial"/>
          <w:sz w:val="18"/>
          <w:szCs w:val="18"/>
          <w:b w:val="1"/>
          <w:bCs w:val="1"/>
          <w:i w:val="1"/>
          <w:iCs w:val="1"/>
          <w:color w:val="auto"/>
        </w:rPr>
        <w:t>Schedule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1 </w:t>
      </w:r>
      <w:r>
        <w:rPr>
          <w:rFonts w:ascii="Arial" w:cs="Arial" w:eastAsia="Arial" w:hAnsi="Arial"/>
          <w:sz w:val="18"/>
          <w:szCs w:val="18"/>
          <w:color w:val="auto"/>
        </w:rPr>
        <w:t>or in the Assignment and Assumption pursuant to which such Lender becomes a party hereto, as applicable.</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Commodity Exchange Act </w:t>
      </w:r>
      <w:r>
        <w:rPr>
          <w:rFonts w:ascii="Arial" w:cs="Arial" w:eastAsia="Arial" w:hAnsi="Arial"/>
          <w:sz w:val="20"/>
          <w:szCs w:val="20"/>
          <w:color w:val="auto"/>
        </w:rPr>
        <w:t>means the Commodity Exchange Act (7 U.S.C. § 1 et seq.), as amended from time to time, and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successor statute.</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Companies </w:t>
      </w:r>
      <w:r>
        <w:rPr>
          <w:rFonts w:ascii="Arial" w:cs="Arial" w:eastAsia="Arial" w:hAnsi="Arial"/>
          <w:sz w:val="20"/>
          <w:szCs w:val="20"/>
          <w:color w:val="auto"/>
        </w:rPr>
        <w:t>means VRI and each of VRI’s Restricted and Unrestricted Subsidiaries now or hereafter existing, and</w:t>
      </w:r>
      <w:r>
        <w:rPr>
          <w:rFonts w:ascii="Arial" w:cs="Arial" w:eastAsia="Arial" w:hAnsi="Arial"/>
          <w:sz w:val="20"/>
          <w:szCs w:val="20"/>
          <w:b w:val="1"/>
          <w:bCs w:val="1"/>
          <w:i w:val="1"/>
          <w:iCs w:val="1"/>
          <w:color w:val="auto"/>
        </w:rPr>
        <w:t xml:space="preserve"> Company </w:t>
      </w:r>
      <w:r>
        <w:rPr>
          <w:rFonts w:ascii="Arial" w:cs="Arial" w:eastAsia="Arial" w:hAnsi="Arial"/>
          <w:sz w:val="20"/>
          <w:szCs w:val="20"/>
          <w:color w:val="auto"/>
        </w:rPr>
        <w:t>means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the Companies.</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i w:val="1"/>
          <w:iCs w:val="1"/>
          <w:color w:val="auto"/>
        </w:rPr>
        <w:t xml:space="preserve">Completion Guaranty </w:t>
      </w:r>
      <w:r>
        <w:rPr>
          <w:rFonts w:ascii="Arial" w:cs="Arial" w:eastAsia="Arial" w:hAnsi="Arial"/>
          <w:sz w:val="20"/>
          <w:szCs w:val="20"/>
          <w:color w:val="auto"/>
        </w:rPr>
        <w:t>means, with respect to any Real Estate Project of an Unrestricted Subsidiary, a completion guaranty or similar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agreement entered into by a Restricted Company pursuant to which such Restricted Company (a) guarantees the timely completion of construction of such construction project in accordance with applicable plans and specifications, the payment of all costs incurred in connection with the construction of such construction project, the payment of the premiums of all insurance required to be maintained in connection with the Real Estate Project, or such other matters customarily included by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582" w:right="239" w:bottom="1440" w:gutter="0" w:footer="0" w:header="0"/>
        </w:sectPr>
      </w:pPr>
    </w:p>
    <w:bookmarkStart w:id="72" w:name="page73"/>
    <w:bookmarkEnd w:id="72"/>
    <w:p>
      <w:pPr>
        <w:jc w:val="both"/>
        <w:spacing w:after="0" w:line="250" w:lineRule="auto"/>
        <w:rPr>
          <w:sz w:val="20"/>
          <w:szCs w:val="20"/>
          <w:color w:val="auto"/>
        </w:rPr>
      </w:pPr>
      <w:r>
        <w:rPr>
          <w:rFonts w:ascii="Arial" w:cs="Arial" w:eastAsia="Arial" w:hAnsi="Arial"/>
          <w:sz w:val="20"/>
          <w:szCs w:val="20"/>
          <w:color w:val="auto"/>
        </w:rPr>
        <w:t>institutional lenders in a completion guaranty, or (b) otherwise indemnifies a construction lender or other party from loss resulting from a failure to timely complete and pay all costs incurred in connection with construction of any project financed by such lender or other party in accordance with the applicable plans and specifications.</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Compliance Certificate </w:t>
      </w:r>
      <w:r>
        <w:rPr>
          <w:rFonts w:ascii="Arial" w:cs="Arial" w:eastAsia="Arial" w:hAnsi="Arial"/>
          <w:sz w:val="20"/>
          <w:szCs w:val="20"/>
          <w:color w:val="auto"/>
        </w:rPr>
        <w:t>means a certificate substantially in the form of</w:t>
      </w:r>
      <w:r>
        <w:rPr>
          <w:rFonts w:ascii="Arial" w:cs="Arial" w:eastAsia="Arial" w:hAnsi="Arial"/>
          <w:sz w:val="20"/>
          <w:szCs w:val="20"/>
          <w:b w:val="1"/>
          <w:bCs w:val="1"/>
          <w:i w:val="1"/>
          <w:iCs w:val="1"/>
          <w:color w:val="auto"/>
        </w:rPr>
        <w:t xml:space="preserve"> Exhibit D </w:t>
      </w:r>
      <w:r>
        <w:rPr>
          <w:rFonts w:ascii="Arial" w:cs="Arial" w:eastAsia="Arial" w:hAnsi="Arial"/>
          <w:sz w:val="20"/>
          <w:szCs w:val="20"/>
          <w:color w:val="auto"/>
        </w:rPr>
        <w:t>and signed by Borrower’s Chief Financial Officer,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together with the calculation worksheet described therein.</w:t>
      </w:r>
    </w:p>
    <w:p>
      <w:pPr>
        <w:spacing w:after="0" w:line="177"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6"/>
          <w:szCs w:val="16"/>
          <w:b w:val="1"/>
          <w:bCs w:val="1"/>
          <w:i w:val="1"/>
          <w:iCs w:val="1"/>
          <w:color w:val="auto"/>
        </w:rPr>
        <w:t xml:space="preserve">Concessioner Subsidiaries </w:t>
      </w:r>
      <w:r>
        <w:rPr>
          <w:rFonts w:ascii="Arial" w:cs="Arial" w:eastAsia="Arial" w:hAnsi="Arial"/>
          <w:sz w:val="16"/>
          <w:szCs w:val="16"/>
          <w:color w:val="auto"/>
        </w:rPr>
        <w:t>means, collectively, (a) Grand Teton Lodge Company, a Wyoming corporation, (b) Flagg Ranch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Colorado corporation, and (c) each other Restricted Subsidiary (other than Borrower) that is awarded a concession contract or similar agreement by the National Park Service (each, a “</w:t>
      </w:r>
      <w:r>
        <w:rPr>
          <w:rFonts w:ascii="Arial" w:cs="Arial" w:eastAsia="Arial" w:hAnsi="Arial"/>
          <w:sz w:val="16"/>
          <w:szCs w:val="16"/>
          <w:b w:val="1"/>
          <w:bCs w:val="1"/>
          <w:i w:val="1"/>
          <w:iCs w:val="1"/>
          <w:color w:val="auto"/>
        </w:rPr>
        <w:t>Concession Contract</w:t>
      </w:r>
      <w:r>
        <w:rPr>
          <w:rFonts w:ascii="Arial" w:cs="Arial" w:eastAsia="Arial" w:hAnsi="Arial"/>
          <w:sz w:val="16"/>
          <w:szCs w:val="16"/>
          <w:color w:val="auto"/>
        </w:rPr>
        <w:t>”) that prohibits the Equity Interests of such Restricted Subsidiary from being pledged to Administrative Agent under the Loan Papers; provided, that (i) a true and correct copy of the applicable Concession Contract has been delivered to Administrative Agent and such Concession Contract has not expired or been terminated, (ii) the Equity Interests of such Restricted Subsidiary have not, and will not, be pledged to any other Person, (iii) such Restricted Subsidiary does not, and will not own, any material assets or property other than the Concession Contract, the revenues generated by such Concession Contract, and the improvements, assets, and Rights necessary to perform its obligations under such Concession Contract, (iv) such Restricted Subsidiary has executed a Guaranty, and (v) Administrative Agent has agreed to the designation of such Restricted Subsidiary as a Concessioner Subsidiary in writing.</w:t>
      </w:r>
    </w:p>
    <w:p>
      <w:pPr>
        <w:spacing w:after="0" w:line="14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Confirmation of Guaranty </w:t>
      </w:r>
      <w:r>
        <w:rPr>
          <w:rFonts w:ascii="Arial" w:cs="Arial" w:eastAsia="Arial" w:hAnsi="Arial"/>
          <w:sz w:val="20"/>
          <w:szCs w:val="20"/>
          <w:color w:val="auto"/>
        </w:rPr>
        <w:t>means a Confirmation of Guaranty executed and delivered by any Guarantor that has executed a Guaranty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in favor of Administrative Agent, for the benefit of Lenders (including, without limitation, a Confirmation of Guaranty, dated of even date herewith and substantially in the form of </w:t>
      </w:r>
      <w:r>
        <w:rPr>
          <w:rFonts w:ascii="Arial" w:cs="Arial" w:eastAsia="Arial" w:hAnsi="Arial"/>
          <w:sz w:val="20"/>
          <w:szCs w:val="20"/>
          <w:b w:val="1"/>
          <w:bCs w:val="1"/>
          <w:i w:val="1"/>
          <w:iCs w:val="1"/>
          <w:color w:val="auto"/>
        </w:rPr>
        <w:t>Exhibit B-2</w:t>
      </w:r>
      <w:r>
        <w:rPr>
          <w:rFonts w:ascii="Arial" w:cs="Arial" w:eastAsia="Arial" w:hAnsi="Arial"/>
          <w:sz w:val="20"/>
          <w:szCs w:val="20"/>
          <w:color w:val="auto"/>
        </w:rPr>
        <w:t xml:space="preserve"> hereto).</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b w:val="1"/>
          <w:bCs w:val="1"/>
          <w:i w:val="1"/>
          <w:iCs w:val="1"/>
          <w:color w:val="auto"/>
        </w:rPr>
        <w:t xml:space="preserve">Confirmation of Pledge Agreement </w:t>
      </w:r>
      <w:r>
        <w:rPr>
          <w:rFonts w:ascii="Arial" w:cs="Arial" w:eastAsia="Arial" w:hAnsi="Arial"/>
          <w:sz w:val="19"/>
          <w:szCs w:val="19"/>
          <w:color w:val="auto"/>
        </w:rPr>
        <w:t>means a Confirmation of Pledge Agreement executed and delivered by any Restricted Company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that has executed a Pledge Agreement in favor of Administrative Agent, for the benefit of Lenders (including, without limitation, a Confirmation of Pledge Agreement, dated of even date herewith and substantially in the form of </w:t>
      </w:r>
      <w:r>
        <w:rPr>
          <w:rFonts w:ascii="Arial" w:cs="Arial" w:eastAsia="Arial" w:hAnsi="Arial"/>
          <w:sz w:val="19"/>
          <w:szCs w:val="19"/>
          <w:b w:val="1"/>
          <w:bCs w:val="1"/>
          <w:i w:val="1"/>
          <w:iCs w:val="1"/>
          <w:color w:val="auto"/>
        </w:rPr>
        <w:t>Exhibit F-2</w:t>
      </w:r>
      <w:r>
        <w:rPr>
          <w:rFonts w:ascii="Arial" w:cs="Arial" w:eastAsia="Arial" w:hAnsi="Arial"/>
          <w:sz w:val="19"/>
          <w:szCs w:val="19"/>
          <w:color w:val="auto"/>
        </w:rPr>
        <w:t xml:space="preserve"> hereto).</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Connection Income Taxes </w:t>
      </w:r>
      <w:r>
        <w:rPr>
          <w:rFonts w:ascii="Arial" w:cs="Arial" w:eastAsia="Arial" w:hAnsi="Arial"/>
          <w:sz w:val="20"/>
          <w:szCs w:val="20"/>
          <w:color w:val="auto"/>
        </w:rPr>
        <w:t>means Other Connection Taxes that are imposed on or measured by net income (however denominated)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that are franchise Taxes or branch profits Taxes.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b w:val="1"/>
          <w:bCs w:val="1"/>
          <w:i w:val="1"/>
          <w:iCs w:val="1"/>
          <w:color w:val="auto"/>
        </w:rPr>
        <w:t xml:space="preserve">Consolidated Net Income </w:t>
      </w:r>
      <w:r>
        <w:rPr>
          <w:rFonts w:ascii="Arial" w:cs="Arial" w:eastAsia="Arial" w:hAnsi="Arial"/>
          <w:sz w:val="19"/>
          <w:szCs w:val="19"/>
          <w:color w:val="auto"/>
        </w:rPr>
        <w:t>means, with respect to any Person, the aggregate of the</w:t>
      </w:r>
      <w:r>
        <w:rPr>
          <w:rFonts w:ascii="Arial" w:cs="Arial" w:eastAsia="Arial" w:hAnsi="Arial"/>
          <w:sz w:val="19"/>
          <w:szCs w:val="19"/>
          <w:b w:val="1"/>
          <w:bCs w:val="1"/>
          <w:i w:val="1"/>
          <w:iCs w:val="1"/>
          <w:color w:val="auto"/>
        </w:rPr>
        <w:t xml:space="preserve"> Section 10.9 </w:t>
      </w:r>
      <w:r>
        <w:rPr>
          <w:rFonts w:ascii="Arial" w:cs="Arial" w:eastAsia="Arial" w:hAnsi="Arial"/>
          <w:sz w:val="19"/>
          <w:szCs w:val="19"/>
          <w:color w:val="auto"/>
        </w:rPr>
        <w:t>Net Income of such Person and its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Restricted Subsidiaries for such period, on a consolidated basis, determined in accordance with GAAP;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(a) the net income (but not loss) of any Person that is not a Restricted Subsidiary of such Person or that is accounted for by the equity method of accounting shall be included only to the extent of the amount of dividends or distributions paid in cash by such Person during such period to the referent Person or a Restricted Subsidiary thereof, (b) premiums paid and the write-off of any unamortized balance of original issue discount in connection with a redemption of, or tender offer for, the 2019 VRI Subordinated Notes and amortization of debt issuance costs shall be excluded, (c) the cumulative effect of a change in accounting principles shall be excluded and (d) non-cash compensation expenses incurred in respect of stock option plans shall be excluded.</w:t>
      </w:r>
    </w:p>
    <w:p>
      <w:pPr>
        <w:spacing w:after="0" w:line="18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Critical Assets </w:t>
      </w:r>
      <w:r>
        <w:rPr>
          <w:rFonts w:ascii="Arial" w:cs="Arial" w:eastAsia="Arial" w:hAnsi="Arial"/>
          <w:sz w:val="20"/>
          <w:szCs w:val="20"/>
          <w:color w:val="auto"/>
        </w:rPr>
        <w:t>means all improvements, assets, and Rights essential to ski resort operations owned or acquired by any Company;</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 xml:space="preserve">provided that </w:t>
      </w:r>
      <w:r>
        <w:rPr>
          <w:rFonts w:ascii="Arial" w:cs="Arial" w:eastAsia="Arial" w:hAnsi="Arial"/>
          <w:sz w:val="20"/>
          <w:szCs w:val="20"/>
          <w:color w:val="auto"/>
        </w:rPr>
        <w:t>the assets of the Whistler Acquisition Subsidiaries shall not be deemed “Critical Assets”.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582" w:right="239" w:bottom="1440" w:gutter="0" w:footer="0" w:header="0"/>
        </w:sectPr>
      </w:pPr>
    </w:p>
    <w:bookmarkStart w:id="73" w:name="page74"/>
    <w:bookmarkEnd w:id="73"/>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Current Financials </w:t>
      </w:r>
      <w:r>
        <w:rPr>
          <w:rFonts w:ascii="Arial" w:cs="Arial" w:eastAsia="Arial" w:hAnsi="Arial"/>
          <w:sz w:val="20"/>
          <w:szCs w:val="20"/>
          <w:color w:val="auto"/>
        </w:rPr>
        <w:t>means, initially, the consolidated Financial Statements of the Companies for the period ended April 30, 2018,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thereafter, the consolidated Financial Statements of the Companies most recently delivered to Administrative Agent under </w:t>
      </w:r>
      <w:r>
        <w:rPr>
          <w:rFonts w:ascii="Arial" w:cs="Arial" w:eastAsia="Arial" w:hAnsi="Arial"/>
          <w:sz w:val="20"/>
          <w:szCs w:val="20"/>
          <w:b w:val="1"/>
          <w:bCs w:val="1"/>
          <w:i w:val="1"/>
          <w:iCs w:val="1"/>
          <w:color w:val="auto"/>
        </w:rPr>
        <w:t>Sections 9.1(a)</w:t>
      </w:r>
      <w:r>
        <w:rPr>
          <w:rFonts w:ascii="Arial" w:cs="Arial" w:eastAsia="Arial" w:hAnsi="Arial"/>
          <w:sz w:val="20"/>
          <w:szCs w:val="20"/>
          <w:color w:val="auto"/>
        </w:rPr>
        <w:t xml:space="preserve"> or </w:t>
      </w:r>
      <w:r>
        <w:rPr>
          <w:rFonts w:ascii="Arial" w:cs="Arial" w:eastAsia="Arial" w:hAnsi="Arial"/>
          <w:sz w:val="20"/>
          <w:szCs w:val="20"/>
          <w:b w:val="1"/>
          <w:bCs w:val="1"/>
          <w:i w:val="1"/>
          <w:iCs w:val="1"/>
          <w:color w:val="auto"/>
        </w:rPr>
        <w:t>9.1(b)</w:t>
      </w:r>
      <w:r>
        <w:rPr>
          <w:rFonts w:ascii="Arial" w:cs="Arial" w:eastAsia="Arial" w:hAnsi="Arial"/>
          <w:sz w:val="20"/>
          <w:szCs w:val="20"/>
          <w:color w:val="auto"/>
        </w:rPr>
        <w:t>, as the case may be.</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b w:val="1"/>
          <w:bCs w:val="1"/>
          <w:i w:val="1"/>
          <w:iCs w:val="1"/>
          <w:color w:val="auto"/>
        </w:rPr>
        <w:t xml:space="preserve">Customary Recourse Exceptions </w:t>
      </w:r>
      <w:r>
        <w:rPr>
          <w:rFonts w:ascii="Arial" w:cs="Arial" w:eastAsia="Arial" w:hAnsi="Arial"/>
          <w:sz w:val="19"/>
          <w:szCs w:val="19"/>
          <w:color w:val="auto"/>
        </w:rPr>
        <w:t>means, with respect to any Non-Recourse Debt of an Unrestricted Subsidiary, exclusions from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exculpation provisions with respect to such Non-Recourse Debt for the bankruptcy of such Unrestricted Subsidiary, fraud, misapplication of cash, environmental claims, waste, willful destruction, and other circumstances customarily excluded by institutional lenders from exculpation provisions and/or included in separate indemnification agreements in non-recourse financings of real estate.</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i w:val="1"/>
          <w:iCs w:val="1"/>
          <w:color w:val="auto"/>
        </w:rPr>
        <w:t xml:space="preserve">Daily Floating LIBOR </w:t>
      </w:r>
      <w:r>
        <w:rPr>
          <w:rFonts w:ascii="Arial" w:cs="Arial" w:eastAsia="Arial" w:hAnsi="Arial"/>
          <w:sz w:val="18"/>
          <w:szCs w:val="18"/>
          <w:color w:val="auto"/>
        </w:rPr>
        <w:t>means, for any day, a fluctuating rate per annum equal to the LIBO Rate or a comparable or successor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which rate is approved by Administrative Agent, as published on the applicable Bloomberg screen page (or other commercially available source providing such quotations as designated by Administrative Agent from time to time) at approximately 11:00 a.m., London time, on such day for Dollar deposits with a term equivalent to one (1) month;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to the extent a comparable or successor rate is approved by Administrative Agent in connection herewith, the approved rate shall be applied in a manner consistent with market practice;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to the extent such market practice is not administratively feasible for Administrative Agent, such approved rate shall be applied in a manner as otherwise reasonably determined by Administrative Agent and disclosed to Borrower;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and if Daily Floating LIBOR shall be less than zero, such rate shall be deemed zero for purposes of this Agreement.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Daily Floating LIBOR Loan </w:t>
      </w:r>
      <w:r>
        <w:rPr>
          <w:rFonts w:ascii="Arial" w:cs="Arial" w:eastAsia="Arial" w:hAnsi="Arial"/>
          <w:sz w:val="18"/>
          <w:szCs w:val="18"/>
          <w:color w:val="auto"/>
        </w:rPr>
        <w:t>means a Loan at such time as it is made and/or maintained at a rate of interest based upon Daily Floating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LIBOR.</w:t>
      </w:r>
    </w:p>
    <w:p>
      <w:pPr>
        <w:spacing w:after="0" w:line="20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b w:val="1"/>
          <w:bCs w:val="1"/>
          <w:i w:val="1"/>
          <w:iCs w:val="1"/>
          <w:color w:val="auto"/>
        </w:rPr>
        <w:t xml:space="preserve">Debt </w:t>
      </w:r>
      <w:r>
        <w:rPr>
          <w:rFonts w:ascii="Arial" w:cs="Arial" w:eastAsia="Arial" w:hAnsi="Arial"/>
          <w:sz w:val="18"/>
          <w:szCs w:val="18"/>
          <w:color w:val="auto"/>
        </w:rPr>
        <w:t>of any Person means at any date, without duplication (and calculated in accordance with GAAP), (a) all obligations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 for borrowed money (whether as a direct obligation on a promissory note, bond, zero coupon bond, debenture, or other similar instrument, or as an unfulfilled reimbursement obligation on a drawn letter of credit or similar instrument, or otherwise), including, without duplication, all Capital Lease obligations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the interest component of such obligations) of such Person, (b) all obligations of such Person to pay the deferred purchase price of property or services,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(i) obligations under employment contracts or deferred employee compensation plans and (ii) trade accounts payable and other expenses or payables arising in the ordinary course of business, (c) all Debt of others secured by a Lien on any asset of such Person (or for which the holder of the Debt has an existing Right, contingent or otherwise, to be so secured), whether or not such Debt is assumed by such Person, and (d) all guaranties and other contingent obligations (as a general partner or otherwise) of such Person with respect to Debt of others;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repayment or reimbursement obligations of the Restricted Companies with respect to Permitted Recourse Obligations shall not be considered Debt unless and until an event or circumstance occurs that triggers such Restricted Company’s direct payment liability or reimbursement obligation (as opposed to contingent or performance obligations) to the lender or other party to whom such Permitted Recourse Obligation is actually owed, in which case the amount of such direct payment liability to such lender or other party shall constitute Debt;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the satisfaction of performance obligations by any Restricted Company on behalf of any Unrestricted Subsidiary under a Completion Guaranty shall not constitute Debt.</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Debtor Relief Laws </w:t>
      </w:r>
      <w:r>
        <w:rPr>
          <w:rFonts w:ascii="Arial" w:cs="Arial" w:eastAsia="Arial" w:hAnsi="Arial"/>
          <w:sz w:val="20"/>
          <w:szCs w:val="20"/>
          <w:color w:val="auto"/>
        </w:rPr>
        <w:t>means the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Bankruptcy Reform Act of 1978</w:t>
      </w:r>
      <w:r>
        <w:rPr>
          <w:rFonts w:ascii="Arial" w:cs="Arial" w:eastAsia="Arial" w:hAnsi="Arial"/>
          <w:sz w:val="20"/>
          <w:szCs w:val="20"/>
          <w:color w:val="auto"/>
        </w:rPr>
        <w:t>, as amended from time to time, and all other applicable liquidation,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conservatorship, bankruptcy, moratorium, rearrangement, receivership, insolvency, reorganization, suspension of payments, or similar Laws affecting creditors’ Rights from time to time in effect.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582" w:right="239" w:bottom="1440" w:gutter="0" w:footer="0" w:header="0"/>
        </w:sectPr>
      </w:pPr>
    </w:p>
    <w:bookmarkStart w:id="74" w:name="page75"/>
    <w:bookmarkEnd w:id="74"/>
    <w:p>
      <w:pPr>
        <w:ind w:left="660"/>
        <w:spacing w:after="0"/>
        <w:rPr>
          <w:sz w:val="20"/>
          <w:szCs w:val="20"/>
          <w:color w:val="auto"/>
        </w:rPr>
      </w:pPr>
      <w:r>
        <w:rPr>
          <w:rFonts w:ascii="Arial" w:cs="Arial" w:eastAsia="Arial" w:hAnsi="Arial"/>
          <w:sz w:val="20"/>
          <w:szCs w:val="20"/>
          <w:b w:val="1"/>
          <w:bCs w:val="1"/>
          <w:i w:val="1"/>
          <w:iCs w:val="1"/>
          <w:color w:val="auto"/>
        </w:rPr>
        <w:t xml:space="preserve">Default </w:t>
      </w:r>
      <w:r>
        <w:rPr>
          <w:rFonts w:ascii="Arial" w:cs="Arial" w:eastAsia="Arial" w:hAnsi="Arial"/>
          <w:sz w:val="20"/>
          <w:szCs w:val="20"/>
          <w:color w:val="auto"/>
        </w:rPr>
        <w:t>is defined in</w:t>
      </w:r>
      <w:r>
        <w:rPr>
          <w:rFonts w:ascii="Arial" w:cs="Arial" w:eastAsia="Arial" w:hAnsi="Arial"/>
          <w:sz w:val="20"/>
          <w:szCs w:val="20"/>
          <w:b w:val="1"/>
          <w:bCs w:val="1"/>
          <w:i w:val="1"/>
          <w:iCs w:val="1"/>
          <w:color w:val="auto"/>
        </w:rPr>
        <w:t xml:space="preserve"> Section 12</w:t>
      </w:r>
      <w:r>
        <w:rPr>
          <w:rFonts w:ascii="Arial" w:cs="Arial" w:eastAsia="Arial" w:hAnsi="Arial"/>
          <w:sz w:val="20"/>
          <w:szCs w:val="20"/>
          <w:i w:val="1"/>
          <w:iCs w:val="1"/>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i w:val="1"/>
          <w:iCs w:val="1"/>
          <w:color w:val="auto"/>
        </w:rPr>
        <w:t xml:space="preserve">Default Rate </w:t>
      </w:r>
      <w:r>
        <w:rPr>
          <w:rFonts w:ascii="Arial" w:cs="Arial" w:eastAsia="Arial" w:hAnsi="Arial"/>
          <w:sz w:val="20"/>
          <w:szCs w:val="20"/>
          <w:color w:val="auto"/>
        </w:rPr>
        <w:t>means (a) when used with respect to Obligations other than L/C Fees, an interest rate equal to (i) the Base Rate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plus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(ii)</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the Applicable Margin, if any, applicable to Base Rate Loans </w:t>
      </w:r>
      <w:r>
        <w:rPr>
          <w:rFonts w:ascii="Arial" w:cs="Arial" w:eastAsia="Arial" w:hAnsi="Arial"/>
          <w:sz w:val="20"/>
          <w:szCs w:val="20"/>
          <w:i w:val="1"/>
          <w:iCs w:val="1"/>
          <w:color w:val="auto"/>
        </w:rPr>
        <w:t>plus</w:t>
      </w:r>
      <w:r>
        <w:rPr>
          <w:rFonts w:ascii="Arial" w:cs="Arial" w:eastAsia="Arial" w:hAnsi="Arial"/>
          <w:sz w:val="20"/>
          <w:szCs w:val="20"/>
          <w:color w:val="auto"/>
        </w:rPr>
        <w:t xml:space="preserve"> (iii) 2% per annum; </w:t>
      </w:r>
      <w:r>
        <w:rPr>
          <w:rFonts w:ascii="Arial" w:cs="Arial" w:eastAsia="Arial" w:hAnsi="Arial"/>
          <w:sz w:val="20"/>
          <w:szCs w:val="20"/>
          <w:i w:val="1"/>
          <w:iCs w:val="1"/>
          <w:color w:val="auto"/>
        </w:rPr>
        <w:t>provided however</w:t>
      </w:r>
      <w:r>
        <w:rPr>
          <w:rFonts w:ascii="Arial" w:cs="Arial" w:eastAsia="Arial" w:hAnsi="Arial"/>
          <w:sz w:val="20"/>
          <w:szCs w:val="20"/>
          <w:color w:val="auto"/>
        </w:rPr>
        <w:t>, that with respect to a Eurocurrency Rate Loan, the Default Rate shall be an interest rate equal to the interest rate (including any Applicable Margin) otherwise applicable to such Loan plus 2% per annum, and (b) when used with respect to L/C Fees calculated based on the Applicable Margin, a rate equal to the Applicable Margin plus 2% per annum.</w:t>
      </w:r>
    </w:p>
    <w:p>
      <w:pPr>
        <w:spacing w:after="0" w:line="19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 xml:space="preserve">Defaulting Lender </w:t>
      </w:r>
      <w:r>
        <w:rPr>
          <w:rFonts w:ascii="Arial" w:cs="Arial" w:eastAsia="Arial" w:hAnsi="Arial"/>
          <w:sz w:val="18"/>
          <w:szCs w:val="18"/>
          <w:color w:val="auto"/>
        </w:rPr>
        <w:t>means, subject to</w:t>
      </w:r>
      <w:r>
        <w:rPr>
          <w:rFonts w:ascii="Arial" w:cs="Arial" w:eastAsia="Arial" w:hAnsi="Arial"/>
          <w:sz w:val="18"/>
          <w:szCs w:val="18"/>
          <w:b w:val="1"/>
          <w:bCs w:val="1"/>
          <w:i w:val="1"/>
          <w:iCs w:val="1"/>
          <w:color w:val="auto"/>
        </w:rPr>
        <w:t xml:space="preserve"> Section 3.15(b)</w:t>
      </w:r>
      <w:r>
        <w:rPr>
          <w:rFonts w:ascii="Arial" w:cs="Arial" w:eastAsia="Arial" w:hAnsi="Arial"/>
          <w:sz w:val="18"/>
          <w:szCs w:val="18"/>
          <w:color w:val="auto"/>
        </w:rPr>
        <w:t>, any Lender that (a) has failed to fund any portion of the Revolver Loans 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Term Loans, unless such Lender notifies Administrative Agent in writing that such failure is the result of such Lender’s determination that a condition precedent to funding (which condition precedent, together with the applicable default, if any, shall be specifically identified in such writing) has not been satisfied, participations in L/C Exposure, or participations in Swing Line Loans required to be funded by it hereunder within two Business Days of the date required to be funded by it hereunder, (b) has otherwise failed to pay over to Administrative Agent or any other Lender any other amount required to be paid by it hereunder within two Business Days of the date when due, unless the subject of a good faith dispute, (c) has notified Borrower or Administrative Agent in writing that it does not intend to comply with its funding obligations or has made a public statement to that effect with respect to its funding obligations hereunder (unless such writing or public statement relates to such Lender’s obligation to fund a Revolver Loan or a Term Loan hereunder and states that such position is based on such Lender’s determination that a condition precedent to funding (which condition precedent, together with the applicable default, if any, shall be specifically identified in such writing or public statement) cannot be satisfied) or under other agreements in which it commits to extend credit, (d) has failed, within three Business Days after request by Administrative Agent, to confirm in writing to Administrative Agent that it will comply with its funding obligations (provided, that such Lender shall cease to be a Defaulting Lender pursuant to this </w:t>
      </w:r>
      <w:r>
        <w:rPr>
          <w:rFonts w:ascii="Arial" w:cs="Arial" w:eastAsia="Arial" w:hAnsi="Arial"/>
          <w:sz w:val="18"/>
          <w:szCs w:val="18"/>
          <w:b w:val="1"/>
          <w:bCs w:val="1"/>
          <w:i w:val="1"/>
          <w:iCs w:val="1"/>
          <w:color w:val="auto"/>
        </w:rPr>
        <w:t>clause (d)</w:t>
      </w:r>
      <w:r>
        <w:rPr>
          <w:rFonts w:ascii="Arial" w:cs="Arial" w:eastAsia="Arial" w:hAnsi="Arial"/>
          <w:sz w:val="18"/>
          <w:szCs w:val="18"/>
          <w:color w:val="auto"/>
        </w:rPr>
        <w:t xml:space="preserve"> upon Administrative Agent’s receipt of such written confirmation), or (e)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jurisdiction of courts within the United States from enforcement of judgments or writs of attachment on assets or permit such Lender (or such Governmental Authority or instrumentality) to reject, repudiate, disavow, or disaffirm any contract or agreement made with such Lender. Any determination by Administrative Agent that a Lender is a Defaulting Lender under any one or more of </w:t>
      </w:r>
      <w:r>
        <w:rPr>
          <w:rFonts w:ascii="Arial" w:cs="Arial" w:eastAsia="Arial" w:hAnsi="Arial"/>
          <w:sz w:val="18"/>
          <w:szCs w:val="18"/>
          <w:b w:val="1"/>
          <w:bCs w:val="1"/>
          <w:i w:val="1"/>
          <w:iCs w:val="1"/>
          <w:color w:val="auto"/>
        </w:rPr>
        <w:t>clauses (a)</w:t>
      </w:r>
      <w:r>
        <w:rPr>
          <w:rFonts w:ascii="Arial" w:cs="Arial" w:eastAsia="Arial" w:hAnsi="Arial"/>
          <w:sz w:val="18"/>
          <w:szCs w:val="18"/>
          <w:color w:val="auto"/>
        </w:rPr>
        <w:t xml:space="preserve"> through </w:t>
      </w:r>
      <w:r>
        <w:rPr>
          <w:rFonts w:ascii="Arial" w:cs="Arial" w:eastAsia="Arial" w:hAnsi="Arial"/>
          <w:sz w:val="18"/>
          <w:szCs w:val="18"/>
          <w:b w:val="1"/>
          <w:bCs w:val="1"/>
          <w:i w:val="1"/>
          <w:iCs w:val="1"/>
          <w:color w:val="auto"/>
        </w:rPr>
        <w:t>(e)</w:t>
      </w:r>
      <w:r>
        <w:rPr>
          <w:rFonts w:ascii="Arial" w:cs="Arial" w:eastAsia="Arial" w:hAnsi="Arial"/>
          <w:sz w:val="18"/>
          <w:szCs w:val="18"/>
          <w:color w:val="auto"/>
        </w:rPr>
        <w:t xml:space="preserve"> above, and of the effective date of such status, shall be conclusive and binding absent manifest error, and such Lender shall be deemed to be a Defaulting Lender (subject to </w:t>
      </w:r>
      <w:r>
        <w:rPr>
          <w:rFonts w:ascii="Arial" w:cs="Arial" w:eastAsia="Arial" w:hAnsi="Arial"/>
          <w:sz w:val="18"/>
          <w:szCs w:val="18"/>
          <w:b w:val="1"/>
          <w:bCs w:val="1"/>
          <w:i w:val="1"/>
          <w:iCs w:val="1"/>
          <w:color w:val="auto"/>
        </w:rPr>
        <w:t>Section 3.15(b)</w:t>
      </w:r>
      <w:r>
        <w:rPr>
          <w:rFonts w:ascii="Arial" w:cs="Arial" w:eastAsia="Arial" w:hAnsi="Arial"/>
          <w:sz w:val="18"/>
          <w:szCs w:val="18"/>
          <w:color w:val="auto"/>
        </w:rPr>
        <w:t>) as of the date established therefor by Administrative Agent in a written notice of such determination, which shall be delivered by Administrative Agent to Borrower, the L/C Issuers, the Swing Line Lenders and each other Lender promptly following such determination.</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Delayed Draw Availability Period </w:t>
      </w:r>
      <w:r>
        <w:rPr>
          <w:rFonts w:ascii="Arial" w:cs="Arial" w:eastAsia="Arial" w:hAnsi="Arial"/>
          <w:sz w:val="20"/>
          <w:szCs w:val="20"/>
          <w:color w:val="auto"/>
        </w:rPr>
        <w:t>means the period from the Closing Date to the earlier of (a) December 31, 2018 and (b) the date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Term Loan Lenders make any additional Term Loan in connection with the 2018 Acquisitions.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582" w:right="239" w:bottom="1440" w:gutter="0" w:footer="0" w:header="0"/>
        </w:sectPr>
      </w:pPr>
    </w:p>
    <w:bookmarkStart w:id="75" w:name="page76"/>
    <w:bookmarkEnd w:id="75"/>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Designated Condominium Sale </w:t>
      </w:r>
      <w:r>
        <w:rPr>
          <w:rFonts w:ascii="Arial" w:cs="Arial" w:eastAsia="Arial" w:hAnsi="Arial"/>
          <w:sz w:val="20"/>
          <w:szCs w:val="20"/>
          <w:color w:val="auto"/>
        </w:rPr>
        <w:t>means the sale or other disposition of any condominium unit owned on the Closing Date, or prior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Closing Date if the proceeds from such sale or other disposition have not been distributed as of the Closing Date, by any Company situated in the Ritz-Carlton Residences, Vail, Colorado and One Ski Hill Place, Breckenridge, Colorado.</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Designated Jurisdiction </w:t>
      </w:r>
      <w:r>
        <w:rPr>
          <w:rFonts w:ascii="Arial" w:cs="Arial" w:eastAsia="Arial" w:hAnsi="Arial"/>
          <w:sz w:val="20"/>
          <w:szCs w:val="20"/>
          <w:color w:val="auto"/>
        </w:rPr>
        <w:t>means any country that is the subject of a Sanction.</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Disqualified Equity Interests </w:t>
      </w:r>
      <w:r>
        <w:rPr>
          <w:rFonts w:ascii="Arial" w:cs="Arial" w:eastAsia="Arial" w:hAnsi="Arial"/>
          <w:sz w:val="20"/>
          <w:szCs w:val="20"/>
          <w:color w:val="auto"/>
        </w:rPr>
        <w:t>means capital stock or other Equity Interests that by their terms (or by the terms of any debt or security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into which they are convertible or for which they are exchangeable) or upon the happening of any event, mature or are mandatorily redeemable pursuant to a sinking fund, demand of the holder, or otherwise, in whole or in part, including, without limitation, any Equity Interests issued in exchange for or in redemption of any Subordinated Debt.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Distribution </w:t>
      </w:r>
      <w:r>
        <w:rPr>
          <w:rFonts w:ascii="Arial" w:cs="Arial" w:eastAsia="Arial" w:hAnsi="Arial"/>
          <w:sz w:val="18"/>
          <w:szCs w:val="18"/>
          <w:color w:val="auto"/>
        </w:rPr>
        <w:t>means, with respect to any shares of any capital stock or other Equity Interests issued by VRI or any Subsidiary of VRI,</w:t>
      </w:r>
    </w:p>
    <w:p>
      <w:pPr>
        <w:spacing w:after="0" w:line="39" w:lineRule="exact"/>
        <w:rPr>
          <w:sz w:val="20"/>
          <w:szCs w:val="20"/>
          <w:color w:val="auto"/>
        </w:rPr>
      </w:pPr>
    </w:p>
    <w:p>
      <w:pPr>
        <w:jc w:val="both"/>
        <w:ind w:firstLine="8"/>
        <w:spacing w:after="0" w:line="254" w:lineRule="auto"/>
        <w:tabs>
          <w:tab w:leader="none" w:pos="27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retirement, redemption, purchase, or other acquisition for value of such capital stock or other Equity Interests by such Person (including, without limitation, in connection with the merger or consolidation of any Company), (b) the payment of any dividend (whether in cash, securities, or property) on or with respect to such capital stock or other Equity Interests by such Person (including, without limitation, in connection with the merger or consolidation of any Company), (c) any loan or advance by that Person to, or other investment by that Person in, the holder of any such capital stock or other Equity Interests, and (d) any other payment by that Person with respect to such capital stock or other Equity Interests, including any sinking fund or general deposit, on account of the purchase, redemption, retirement, acquisition, cancellation, or termination of any such capital stock or other Equity Interests, or on account of any return of capital to such Person’s stockholders, partners, or members (or the equivalent Person), if 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Dollars </w:t>
      </w:r>
      <w:r>
        <w:rPr>
          <w:rFonts w:ascii="Arial" w:cs="Arial" w:eastAsia="Arial" w:hAnsi="Arial"/>
          <w:sz w:val="20"/>
          <w:szCs w:val="20"/>
          <w:color w:val="auto"/>
        </w:rPr>
        <w:t>and</w:t>
      </w:r>
      <w:r>
        <w:rPr>
          <w:rFonts w:ascii="Arial" w:cs="Arial" w:eastAsia="Arial" w:hAnsi="Arial"/>
          <w:sz w:val="20"/>
          <w:szCs w:val="20"/>
          <w:b w:val="1"/>
          <w:bCs w:val="1"/>
          <w:i w:val="1"/>
          <w:iCs w:val="1"/>
          <w:color w:val="auto"/>
        </w:rPr>
        <w:t xml:space="preserve"> $ </w:t>
      </w:r>
      <w:r>
        <w:rPr>
          <w:rFonts w:ascii="Arial" w:cs="Arial" w:eastAsia="Arial" w:hAnsi="Arial"/>
          <w:sz w:val="20"/>
          <w:szCs w:val="20"/>
          <w:color w:val="auto"/>
        </w:rPr>
        <w:t>mean lawful money of the United States.</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Dollar Equivalent </w:t>
      </w:r>
      <w:r>
        <w:rPr>
          <w:rFonts w:ascii="Arial" w:cs="Arial" w:eastAsia="Arial" w:hAnsi="Arial"/>
          <w:sz w:val="20"/>
          <w:szCs w:val="20"/>
          <w:color w:val="auto"/>
        </w:rPr>
        <w:t>means, at any time, (a) with respect to any amount denominated in Dollars, such amount, and (b) with respect to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amount denominated in the Alternative Currency, the equivalent amount thereof in Dollars as determined by Administrative Agent or the Australian L/C Issuer, as the case may be, at such time on the basis of the Spot Rate (determined in respect of the most recent Revaluation Date) for the purchase of Dollars with the Alternative Currency.</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EBITDA </w:t>
      </w:r>
      <w:r>
        <w:rPr>
          <w:rFonts w:ascii="Arial" w:cs="Arial" w:eastAsia="Arial" w:hAnsi="Arial"/>
          <w:sz w:val="20"/>
          <w:szCs w:val="20"/>
          <w:color w:val="auto"/>
        </w:rPr>
        <w:t>means, for any period of calculation with respect to any Person (or group of Persons whose Financial Statements are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consolidated in accordance with GAAP), Net Income before interest expense, Taxes based on or measured by income, and Non-Cash Operating Charges, in each case to the extent deducted in determining Net Income.</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b w:val="1"/>
          <w:bCs w:val="1"/>
          <w:i w:val="1"/>
          <w:iCs w:val="1"/>
          <w:color w:val="auto"/>
        </w:rPr>
        <w:t xml:space="preserve">EEA Financial Institution </w:t>
      </w:r>
      <w:r>
        <w:rPr>
          <w:rFonts w:ascii="Arial" w:cs="Arial" w:eastAsia="Arial" w:hAnsi="Arial"/>
          <w:sz w:val="19"/>
          <w:szCs w:val="19"/>
          <w:color w:val="auto"/>
        </w:rPr>
        <w:t>means (a) any credit institution or investment firm established in any EEA Member Country which 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EEA Member Country </w:t>
      </w:r>
      <w:r>
        <w:rPr>
          <w:rFonts w:ascii="Arial" w:cs="Arial" w:eastAsia="Arial" w:hAnsi="Arial"/>
          <w:sz w:val="20"/>
          <w:szCs w:val="20"/>
          <w:color w:val="auto"/>
        </w:rPr>
        <w:t>means any of the member states of the European Union, Iceland, Liechtenstein, and Norway.</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582" w:right="239" w:bottom="1440" w:gutter="0" w:footer="0" w:header="0"/>
        </w:sectPr>
      </w:pPr>
    </w:p>
    <w:bookmarkStart w:id="76" w:name="page77"/>
    <w:bookmarkEnd w:id="76"/>
    <w:p>
      <w:pPr>
        <w:jc w:val="both"/>
        <w:ind w:firstLine="648"/>
        <w:spacing w:after="0" w:line="287" w:lineRule="auto"/>
        <w:rPr>
          <w:sz w:val="20"/>
          <w:szCs w:val="20"/>
          <w:color w:val="auto"/>
        </w:rPr>
      </w:pPr>
      <w:r>
        <w:rPr>
          <w:rFonts w:ascii="Arial" w:cs="Arial" w:eastAsia="Arial" w:hAnsi="Arial"/>
          <w:sz w:val="19"/>
          <w:szCs w:val="19"/>
          <w:b w:val="1"/>
          <w:bCs w:val="1"/>
          <w:i w:val="1"/>
          <w:iCs w:val="1"/>
          <w:color w:val="auto"/>
        </w:rPr>
        <w:t xml:space="preserve">EEA Resolution Authority </w:t>
      </w:r>
      <w:r>
        <w:rPr>
          <w:rFonts w:ascii="Arial" w:cs="Arial" w:eastAsia="Arial" w:hAnsi="Arial"/>
          <w:sz w:val="19"/>
          <w:szCs w:val="19"/>
          <w:color w:val="auto"/>
        </w:rPr>
        <w:t>means any public administrative authority or any person entrusted with public administrative authority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any EEA Member Country (including any delegee) having responsibility for the resolution of any EEA Financial Institution.</w:t>
      </w:r>
    </w:p>
    <w:p>
      <w:pPr>
        <w:spacing w:after="0" w:line="15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Eligible Assignee </w:t>
      </w:r>
      <w:r>
        <w:rPr>
          <w:rFonts w:ascii="Arial" w:cs="Arial" w:eastAsia="Arial" w:hAnsi="Arial"/>
          <w:sz w:val="20"/>
          <w:szCs w:val="20"/>
          <w:color w:val="auto"/>
        </w:rPr>
        <w:t>means (a) a Lender; (b) an Affiliate of a Lender; (c) an Approved Fund; and (d) any other Person (other than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natural person) approved by (i) Administrative Agent, the L/C Issuers, and the Swing Line Lenders, and (ii) unless a Default has occurred and is continuing, Borrower (each such approval not to be unreasonably withheld or delayed);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notwithstanding the foregoing, </w:t>
      </w:r>
      <w:r>
        <w:rPr>
          <w:rFonts w:ascii="Arial" w:cs="Arial" w:eastAsia="Arial" w:hAnsi="Arial"/>
          <w:sz w:val="20"/>
          <w:szCs w:val="20"/>
          <w:b w:val="1"/>
          <w:bCs w:val="1"/>
          <w:i w:val="1"/>
          <w:iCs w:val="1"/>
          <w:color w:val="auto"/>
        </w:rPr>
        <w:t>Eligible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Assignee </w:t>
      </w:r>
      <w:r>
        <w:rPr>
          <w:rFonts w:ascii="Arial" w:cs="Arial" w:eastAsia="Arial" w:hAnsi="Arial"/>
          <w:sz w:val="20"/>
          <w:szCs w:val="20"/>
          <w:color w:val="auto"/>
        </w:rPr>
        <w:t>shall not include Borrower, any of Borrower’s Affiliates, or the Companies.</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Employee Plan </w:t>
      </w:r>
      <w:r>
        <w:rPr>
          <w:rFonts w:ascii="Arial" w:cs="Arial" w:eastAsia="Arial" w:hAnsi="Arial"/>
          <w:sz w:val="20"/>
          <w:szCs w:val="20"/>
          <w:color w:val="auto"/>
        </w:rPr>
        <w:t>means an employee pension benefit plan covered by</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Title IV</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ERISA and established or maintained by any Company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 any ERISA Affiliate.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Environmental Law </w:t>
      </w:r>
      <w:r>
        <w:rPr>
          <w:rFonts w:ascii="Arial" w:cs="Arial" w:eastAsia="Arial" w:hAnsi="Arial"/>
          <w:sz w:val="16"/>
          <w:szCs w:val="16"/>
          <w:color w:val="auto"/>
        </w:rPr>
        <w:t>means any Law that relates to the pollution or protection of ambient air, water or land or to Hazardous Substances.</w:t>
      </w:r>
    </w:p>
    <w:p>
      <w:pPr>
        <w:spacing w:after="0" w:line="2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i w:val="1"/>
          <w:iCs w:val="1"/>
          <w:color w:val="auto"/>
        </w:rPr>
        <w:t xml:space="preserve">Equity Interests </w:t>
      </w:r>
      <w:r>
        <w:rPr>
          <w:rFonts w:ascii="Arial" w:cs="Arial" w:eastAsia="Arial" w:hAnsi="Arial"/>
          <w:sz w:val="19"/>
          <w:szCs w:val="19"/>
          <w:color w:val="auto"/>
        </w:rPr>
        <w:t>means, with respect to any Person, all of the shares of capital stock of (or other ownership or profit interests in) such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Person, all of the warrants, options, or other rights for the purchase or acquisition from such Person of shares of capital stock of (or other ownership or profit interests in) such Person, all of the securities (other than debt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ERISA </w:t>
      </w:r>
      <w:r>
        <w:rPr>
          <w:rFonts w:ascii="Arial" w:cs="Arial" w:eastAsia="Arial" w:hAnsi="Arial"/>
          <w:sz w:val="20"/>
          <w:szCs w:val="20"/>
          <w:color w:val="auto"/>
        </w:rPr>
        <w:t>means the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Employee Retirement Income Security Act of 1974</w:t>
      </w:r>
      <w:r>
        <w:rPr>
          <w:rFonts w:ascii="Arial" w:cs="Arial" w:eastAsia="Arial" w:hAnsi="Arial"/>
          <w:sz w:val="20"/>
          <w:szCs w:val="20"/>
          <w:color w:val="auto"/>
        </w:rPr>
        <w:t>, as amended, and related rules and regulations.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ERISA Affiliate </w:t>
      </w:r>
      <w:r>
        <w:rPr>
          <w:rFonts w:ascii="Arial" w:cs="Arial" w:eastAsia="Arial" w:hAnsi="Arial"/>
          <w:sz w:val="20"/>
          <w:szCs w:val="20"/>
          <w:color w:val="auto"/>
        </w:rPr>
        <w:t>means any trade or business (whether or not incorporated) that, together with any Company, is treated as a single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employer under </w:t>
      </w:r>
      <w:r>
        <w:rPr>
          <w:rFonts w:ascii="Arial" w:cs="Arial" w:eastAsia="Arial" w:hAnsi="Arial"/>
          <w:sz w:val="20"/>
          <w:szCs w:val="20"/>
          <w:i w:val="1"/>
          <w:iCs w:val="1"/>
          <w:color w:val="auto"/>
        </w:rPr>
        <w:t>section 414(b)</w:t>
      </w:r>
      <w:r>
        <w:rPr>
          <w:rFonts w:ascii="Arial" w:cs="Arial" w:eastAsia="Arial" w:hAnsi="Arial"/>
          <w:sz w:val="20"/>
          <w:szCs w:val="20"/>
          <w:color w:val="auto"/>
        </w:rPr>
        <w:t xml:space="preserve"> or </w:t>
      </w:r>
      <w:r>
        <w:rPr>
          <w:rFonts w:ascii="Arial" w:cs="Arial" w:eastAsia="Arial" w:hAnsi="Arial"/>
          <w:sz w:val="20"/>
          <w:szCs w:val="20"/>
          <w:i w:val="1"/>
          <w:iCs w:val="1"/>
          <w:color w:val="auto"/>
        </w:rPr>
        <w:t>(c)</w:t>
      </w:r>
      <w:r>
        <w:rPr>
          <w:rFonts w:ascii="Arial" w:cs="Arial" w:eastAsia="Arial" w:hAnsi="Arial"/>
          <w:sz w:val="20"/>
          <w:szCs w:val="20"/>
          <w:color w:val="auto"/>
        </w:rPr>
        <w:t xml:space="preserve"> of the Code or, solely for purposes of </w:t>
      </w:r>
      <w:r>
        <w:rPr>
          <w:rFonts w:ascii="Arial" w:cs="Arial" w:eastAsia="Arial" w:hAnsi="Arial"/>
          <w:sz w:val="20"/>
          <w:szCs w:val="20"/>
          <w:i w:val="1"/>
          <w:iCs w:val="1"/>
          <w:color w:val="auto"/>
        </w:rPr>
        <w:t>section 302</w:t>
      </w:r>
      <w:r>
        <w:rPr>
          <w:rFonts w:ascii="Arial" w:cs="Arial" w:eastAsia="Arial" w:hAnsi="Arial"/>
          <w:sz w:val="20"/>
          <w:szCs w:val="20"/>
          <w:color w:val="auto"/>
        </w:rPr>
        <w:t xml:space="preserve"> of ERISA and </w:t>
      </w:r>
      <w:r>
        <w:rPr>
          <w:rFonts w:ascii="Arial" w:cs="Arial" w:eastAsia="Arial" w:hAnsi="Arial"/>
          <w:sz w:val="20"/>
          <w:szCs w:val="20"/>
          <w:i w:val="1"/>
          <w:iCs w:val="1"/>
          <w:color w:val="auto"/>
        </w:rPr>
        <w:t>section 412</w:t>
      </w:r>
      <w:r>
        <w:rPr>
          <w:rFonts w:ascii="Arial" w:cs="Arial" w:eastAsia="Arial" w:hAnsi="Arial"/>
          <w:sz w:val="20"/>
          <w:szCs w:val="20"/>
          <w:color w:val="auto"/>
        </w:rPr>
        <w:t xml:space="preserve"> of the Code, is treated as a single employer under </w:t>
      </w:r>
      <w:r>
        <w:rPr>
          <w:rFonts w:ascii="Arial" w:cs="Arial" w:eastAsia="Arial" w:hAnsi="Arial"/>
          <w:sz w:val="20"/>
          <w:szCs w:val="20"/>
          <w:i w:val="1"/>
          <w:iCs w:val="1"/>
          <w:color w:val="auto"/>
        </w:rPr>
        <w:t>section 414</w:t>
      </w:r>
      <w:r>
        <w:rPr>
          <w:rFonts w:ascii="Arial" w:cs="Arial" w:eastAsia="Arial" w:hAnsi="Arial"/>
          <w:sz w:val="20"/>
          <w:szCs w:val="20"/>
          <w:color w:val="auto"/>
        </w:rPr>
        <w:t xml:space="preserve"> of the Code.</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b w:val="1"/>
          <w:bCs w:val="1"/>
          <w:i w:val="1"/>
          <w:iCs w:val="1"/>
          <w:color w:val="auto"/>
        </w:rPr>
        <w:t xml:space="preserve">EU Bail-In Legislation Schedule </w:t>
      </w:r>
      <w:r>
        <w:rPr>
          <w:rFonts w:ascii="Arial" w:cs="Arial" w:eastAsia="Arial" w:hAnsi="Arial"/>
          <w:sz w:val="20"/>
          <w:szCs w:val="20"/>
          <w:color w:val="auto"/>
        </w:rPr>
        <w:t>means the EU Bail-In Legislation Schedule published by the Loan Market Association (or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successor person), as in effect from time to time.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Eurocurrency Rate </w:t>
      </w:r>
      <w:r>
        <w:rPr>
          <w:rFonts w:ascii="Arial" w:cs="Arial" w:eastAsia="Arial" w:hAnsi="Arial"/>
          <w:sz w:val="20"/>
          <w:szCs w:val="20"/>
          <w:color w:val="auto"/>
        </w:rPr>
        <w:t>means:</w:t>
      </w:r>
    </w:p>
    <w:p>
      <w:pPr>
        <w:spacing w:after="0" w:line="216" w:lineRule="exact"/>
        <w:rPr>
          <w:sz w:val="20"/>
          <w:szCs w:val="20"/>
          <w:color w:val="auto"/>
        </w:rPr>
      </w:pPr>
    </w:p>
    <w:p>
      <w:pPr>
        <w:ind w:left="1700" w:hanging="395"/>
        <w:spacing w:after="0"/>
        <w:tabs>
          <w:tab w:leader="none" w:pos="17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for Loans denominated in Dollars:</w:t>
      </w:r>
    </w:p>
    <w:p>
      <w:pPr>
        <w:spacing w:after="0" w:line="215" w:lineRule="exact"/>
        <w:rPr>
          <w:rFonts w:ascii="Arial" w:cs="Arial" w:eastAsia="Arial" w:hAnsi="Arial"/>
          <w:sz w:val="20"/>
          <w:szCs w:val="20"/>
          <w:color w:val="auto"/>
        </w:rPr>
      </w:pPr>
    </w:p>
    <w:p>
      <w:pPr>
        <w:jc w:val="both"/>
        <w:ind w:left="1960" w:firstLine="641"/>
        <w:spacing w:after="0" w:line="279" w:lineRule="auto"/>
        <w:tabs>
          <w:tab w:leader="none" w:pos="2989" w:val="left"/>
        </w:tabs>
        <w:numPr>
          <w:ilvl w:val="1"/>
          <w:numId w:val="31"/>
        </w:numPr>
        <w:rPr>
          <w:rFonts w:ascii="Arial" w:cs="Arial" w:eastAsia="Arial" w:hAnsi="Arial"/>
          <w:sz w:val="18"/>
          <w:szCs w:val="18"/>
          <w:color w:val="auto"/>
        </w:rPr>
      </w:pPr>
      <w:r>
        <w:rPr>
          <w:rFonts w:ascii="Arial" w:cs="Arial" w:eastAsia="Arial" w:hAnsi="Arial"/>
          <w:sz w:val="18"/>
          <w:szCs w:val="18"/>
          <w:color w:val="auto"/>
        </w:rPr>
        <w:t>for any Interest Period with respect to a Eurocurrency Rate Loan, the rate per annum equal to the London Interbank Offered Rate (“</w:t>
      </w:r>
      <w:r>
        <w:rPr>
          <w:rFonts w:ascii="Arial" w:cs="Arial" w:eastAsia="Arial" w:hAnsi="Arial"/>
          <w:sz w:val="18"/>
          <w:szCs w:val="18"/>
          <w:b w:val="1"/>
          <w:bCs w:val="1"/>
          <w:i w:val="1"/>
          <w:iCs w:val="1"/>
          <w:color w:val="auto"/>
        </w:rPr>
        <w:t>LIBO Rate</w:t>
      </w:r>
      <w:r>
        <w:rPr>
          <w:rFonts w:ascii="Arial" w:cs="Arial" w:eastAsia="Arial" w:hAnsi="Arial"/>
          <w:sz w:val="18"/>
          <w:szCs w:val="18"/>
          <w:color w:val="auto"/>
        </w:rPr>
        <w:t>”) or a comparable or successor rate, which rate is approved by Administrative Agent, as published on the applicable Bloomberg screen page (or such other commercially available source providing such quotations as may be designated by Administrative Agent from time to time) at approximately 11:00 a.m., London time, two (2) Business Days prior to the commencement of such Interest Period, for Dollar deposits (for delivery on the first (1</w:t>
      </w:r>
      <w:r>
        <w:rPr>
          <w:rFonts w:ascii="Arial" w:cs="Arial" w:eastAsia="Arial" w:hAnsi="Arial"/>
          <w:sz w:val="23"/>
          <w:szCs w:val="23"/>
          <w:color w:val="auto"/>
          <w:vertAlign w:val="superscript"/>
        </w:rPr>
        <w:t>st</w:t>
      </w:r>
      <w:r>
        <w:rPr>
          <w:rFonts w:ascii="Arial" w:cs="Arial" w:eastAsia="Arial" w:hAnsi="Arial"/>
          <w:sz w:val="18"/>
          <w:szCs w:val="18"/>
          <w:color w:val="auto"/>
        </w:rPr>
        <w:t>) day of such Interest Period) with a term equivalent to such Interest Period; and</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582" w:right="239" w:bottom="1440" w:gutter="0" w:footer="0" w:header="0"/>
        </w:sectPr>
      </w:pPr>
    </w:p>
    <w:bookmarkStart w:id="77" w:name="page78"/>
    <w:bookmarkEnd w:id="77"/>
    <w:p>
      <w:pPr>
        <w:ind w:left="3100" w:hanging="499"/>
        <w:spacing w:after="0"/>
        <w:tabs>
          <w:tab w:leader="none" w:pos="3100" w:val="left"/>
        </w:tabs>
        <w:numPr>
          <w:ilvl w:val="2"/>
          <w:numId w:val="32"/>
        </w:numPr>
        <w:rPr>
          <w:rFonts w:ascii="Arial" w:cs="Arial" w:eastAsia="Arial" w:hAnsi="Arial"/>
          <w:sz w:val="18"/>
          <w:szCs w:val="18"/>
          <w:color w:val="auto"/>
        </w:rPr>
      </w:pPr>
      <w:r>
        <w:rPr>
          <w:rFonts w:ascii="Arial" w:cs="Arial" w:eastAsia="Arial" w:hAnsi="Arial"/>
          <w:sz w:val="18"/>
          <w:szCs w:val="18"/>
          <w:color w:val="auto"/>
        </w:rPr>
        <w:t>for any interest calculation with respect to a Base Rate Loan on any date, the rate per annum equal to</w:t>
      </w:r>
    </w:p>
    <w:p>
      <w:pPr>
        <w:spacing w:after="0" w:line="38" w:lineRule="exact"/>
        <w:rPr>
          <w:rFonts w:ascii="Arial" w:cs="Arial" w:eastAsia="Arial" w:hAnsi="Arial"/>
          <w:sz w:val="18"/>
          <w:szCs w:val="18"/>
          <w:color w:val="auto"/>
        </w:rPr>
      </w:pPr>
    </w:p>
    <w:p>
      <w:pPr>
        <w:ind w:left="1960" w:hanging="7"/>
        <w:spacing w:after="0" w:line="298" w:lineRule="auto"/>
        <w:tabs>
          <w:tab w:leader="none" w:pos="22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LIBO Rate, at approximately 11:00 a.m., London time determined two Business Days prior to such date for Dollar deposits being delivered in the London interbank market for a term of one month commencing that day;</w:t>
      </w:r>
    </w:p>
    <w:p>
      <w:pPr>
        <w:spacing w:after="0" w:line="145" w:lineRule="exact"/>
        <w:rPr>
          <w:rFonts w:ascii="Arial" w:cs="Arial" w:eastAsia="Arial" w:hAnsi="Arial"/>
          <w:sz w:val="18"/>
          <w:szCs w:val="18"/>
          <w:color w:val="auto"/>
        </w:rPr>
      </w:pPr>
    </w:p>
    <w:p>
      <w:pPr>
        <w:jc w:val="both"/>
        <w:ind w:left="1300" w:firstLine="5"/>
        <w:spacing w:after="0" w:line="260" w:lineRule="auto"/>
        <w:tabs>
          <w:tab w:leader="none" w:pos="1778" w:val="left"/>
        </w:tabs>
        <w:numPr>
          <w:ilvl w:val="0"/>
          <w:numId w:val="34"/>
        </w:numPr>
        <w:rPr>
          <w:rFonts w:ascii="Arial" w:cs="Arial" w:eastAsia="Arial" w:hAnsi="Arial"/>
          <w:sz w:val="19"/>
          <w:szCs w:val="19"/>
          <w:color w:val="auto"/>
        </w:rPr>
      </w:pPr>
      <w:r>
        <w:rPr>
          <w:rFonts w:ascii="Arial" w:cs="Arial" w:eastAsia="Arial" w:hAnsi="Arial"/>
          <w:sz w:val="19"/>
          <w:szCs w:val="19"/>
          <w:color w:val="auto"/>
        </w:rPr>
        <w:t>for Loans denominated in Canadian Dollars, for any Interest Period, the rate per annum equal to the Canadian Dealer Offered Rate (“</w:t>
      </w:r>
      <w:r>
        <w:rPr>
          <w:rFonts w:ascii="Arial" w:cs="Arial" w:eastAsia="Arial" w:hAnsi="Arial"/>
          <w:sz w:val="19"/>
          <w:szCs w:val="19"/>
          <w:b w:val="1"/>
          <w:bCs w:val="1"/>
          <w:i w:val="1"/>
          <w:iCs w:val="1"/>
          <w:color w:val="auto"/>
        </w:rPr>
        <w:t>CDOR</w:t>
      </w:r>
      <w:r>
        <w:rPr>
          <w:rFonts w:ascii="Arial" w:cs="Arial" w:eastAsia="Arial" w:hAnsi="Arial"/>
          <w:sz w:val="19"/>
          <w:szCs w:val="19"/>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or about 10:00 a.m. (Toronto, Ontario time) on the Rate Determination Date with a term equivalent to such Interest Period</w:t>
      </w:r>
    </w:p>
    <w:p>
      <w:pPr>
        <w:spacing w:after="0" w:line="18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that </w:t>
      </w:r>
      <w:r>
        <w:rPr>
          <w:rFonts w:ascii="Arial" w:cs="Arial" w:eastAsia="Arial" w:hAnsi="Arial"/>
          <w:sz w:val="20"/>
          <w:szCs w:val="20"/>
          <w:color w:val="auto"/>
        </w:rPr>
        <w:t>to the extent a comparable or successor rate is approved by Administrative Agent in connection herewith, the approved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rate shall be applied in a manner consistent with market practice;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further</w:t>
      </w:r>
      <w:r>
        <w:rPr>
          <w:rFonts w:ascii="Arial" w:cs="Arial" w:eastAsia="Arial" w:hAnsi="Arial"/>
          <w:sz w:val="20"/>
          <w:szCs w:val="20"/>
          <w:color w:val="auto"/>
        </w:rPr>
        <w:t xml:space="preserve"> that to the extent such market practice is not administratively feasible for Administrative Agent, such approved rate shall be applied in a manner as otherwise reasonably determined by Administrative Agent and disclosed to Borrower; and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and if Eurocurrency Rate shall be less than zero, such rate shall be deemed zero for purposes of this Agreement.</w:t>
      </w:r>
    </w:p>
    <w:p>
      <w:pPr>
        <w:spacing w:after="0" w:line="19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b w:val="1"/>
          <w:bCs w:val="1"/>
          <w:i w:val="1"/>
          <w:iCs w:val="1"/>
          <w:color w:val="auto"/>
        </w:rPr>
        <w:t xml:space="preserve">Eurocurrency Rate Loan </w:t>
      </w:r>
      <w:r>
        <w:rPr>
          <w:rFonts w:ascii="Arial" w:cs="Arial" w:eastAsia="Arial" w:hAnsi="Arial"/>
          <w:sz w:val="18"/>
          <w:szCs w:val="18"/>
          <w:color w:val="auto"/>
        </w:rPr>
        <w:t>means (a) with respect to Loans (other than Swing Line Loans), a Loan bearing interest at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Eurocurrency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 and (b) with respect to Swing Line Loans (or participations therein), a Loan bearing interest at Daily Floating LIBOR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 All Loans denominated in an Alternative Currency must be Eurocurrency Rate Loans.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Exchangeco </w:t>
      </w:r>
      <w:r>
        <w:rPr>
          <w:rFonts w:ascii="Arial" w:cs="Arial" w:eastAsia="Arial" w:hAnsi="Arial"/>
          <w:sz w:val="20"/>
          <w:szCs w:val="20"/>
          <w:color w:val="auto"/>
        </w:rPr>
        <w:t>means 1068877 B.C. Ltd., a corporation existing under the Laws of the Province of British Columbia.</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i w:val="1"/>
          <w:iCs w:val="1"/>
          <w:color w:val="auto"/>
        </w:rPr>
        <w:t xml:space="preserve">Excluded Swap Obligation </w:t>
      </w:r>
      <w:r>
        <w:rPr>
          <w:rFonts w:ascii="Arial" w:cs="Arial" w:eastAsia="Arial" w:hAnsi="Arial"/>
          <w:sz w:val="18"/>
          <w:szCs w:val="18"/>
          <w:color w:val="auto"/>
        </w:rPr>
        <w:t>means, with respect to any Guarantor, any Swap Obligation if, and to the extent that, all or a portion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w:t>
      </w:r>
      <w:r>
        <w:rPr>
          <w:rFonts w:ascii="Arial" w:cs="Arial" w:eastAsia="Arial" w:hAnsi="Arial"/>
          <w:sz w:val="18"/>
          <w:szCs w:val="18"/>
          <w:i w:val="1"/>
          <w:iCs w:val="1"/>
          <w:color w:val="auto"/>
        </w:rPr>
        <w:t>eligible contract</w:t>
      </w:r>
      <w:r>
        <w:rPr>
          <w:rFonts w:ascii="Arial" w:cs="Arial" w:eastAsia="Arial" w:hAnsi="Arial"/>
          <w:sz w:val="18"/>
          <w:szCs w:val="18"/>
          <w:color w:val="auto"/>
        </w:rPr>
        <w:t xml:space="preserve"> </w:t>
      </w:r>
      <w:r>
        <w:rPr>
          <w:rFonts w:ascii="Arial" w:cs="Arial" w:eastAsia="Arial" w:hAnsi="Arial"/>
          <w:sz w:val="18"/>
          <w:szCs w:val="18"/>
          <w:i w:val="1"/>
          <w:iCs w:val="1"/>
          <w:color w:val="auto"/>
        </w:rPr>
        <w:t>participant</w:t>
      </w:r>
      <w:r>
        <w:rPr>
          <w:rFonts w:ascii="Arial" w:cs="Arial" w:eastAsia="Arial" w:hAnsi="Arial"/>
          <w:sz w:val="18"/>
          <w:szCs w:val="18"/>
          <w:color w:val="auto"/>
        </w:rPr>
        <w:t>” as defined in the Commodity Exchange Act (determined after giving effect to</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Section 9.12</w:t>
      </w:r>
      <w:r>
        <w:rPr>
          <w:rFonts w:ascii="Arial" w:cs="Arial" w:eastAsia="Arial" w:hAnsi="Arial"/>
          <w:sz w:val="18"/>
          <w:szCs w:val="18"/>
          <w:i w:val="1"/>
          <w:iCs w:val="1"/>
          <w:color w:val="auto"/>
        </w:rPr>
        <w:t xml:space="preserve"> </w:t>
      </w:r>
      <w:r>
        <w:rPr>
          <w:rFonts w:ascii="Arial" w:cs="Arial" w:eastAsia="Arial" w:hAnsi="Arial"/>
          <w:sz w:val="18"/>
          <w:szCs w:val="18"/>
          <w:color w:val="auto"/>
        </w:rPr>
        <w:t>and any other “</w:t>
      </w:r>
      <w:r>
        <w:rPr>
          <w:rFonts w:ascii="Arial" w:cs="Arial" w:eastAsia="Arial" w:hAnsi="Arial"/>
          <w:sz w:val="18"/>
          <w:szCs w:val="18"/>
          <w:i w:val="1"/>
          <w:iCs w:val="1"/>
          <w:color w:val="auto"/>
        </w:rPr>
        <w:t>keepwell, support or other agreement</w:t>
      </w:r>
      <w:r>
        <w:rPr>
          <w:rFonts w:ascii="Arial" w:cs="Arial" w:eastAsia="Arial" w:hAnsi="Arial"/>
          <w:sz w:val="18"/>
          <w:szCs w:val="18"/>
          <w:color w:val="auto"/>
        </w:rPr>
        <w:t>” for the benefit of such Guarantor and any and all guarantees of such Guarantor’s Swap Obligations by other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and the regulations thereunder at the time the Guaranty of such Guarantor, or the grant by such Guarantor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excluded in accordance with the first sentence of this definition.</w:t>
      </w:r>
    </w:p>
    <w:p>
      <w:pPr>
        <w:spacing w:after="0" w:line="17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i w:val="1"/>
          <w:iCs w:val="1"/>
          <w:color w:val="auto"/>
        </w:rPr>
        <w:t xml:space="preserve">Excluded Taxes </w:t>
      </w:r>
      <w:r>
        <w:rPr>
          <w:rFonts w:ascii="Arial" w:cs="Arial" w:eastAsia="Arial" w:hAnsi="Arial"/>
          <w:sz w:val="20"/>
          <w:szCs w:val="20"/>
          <w:color w:val="auto"/>
        </w:rPr>
        <w:t>means any of the following Taxes imposed on or with respect to a Recipient or required to be withheld or deducted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582" w:right="239" w:bottom="1440" w:gutter="0" w:footer="0" w:header="0"/>
        </w:sectPr>
      </w:pPr>
    </w:p>
    <w:bookmarkStart w:id="78" w:name="page79"/>
    <w:bookmarkEnd w:id="78"/>
    <w:p>
      <w:pPr>
        <w:jc w:val="both"/>
        <w:spacing w:after="0" w:line="243" w:lineRule="auto"/>
        <w:rPr>
          <w:sz w:val="20"/>
          <w:szCs w:val="20"/>
          <w:color w:val="auto"/>
        </w:rPr>
      </w:pPr>
      <w:r>
        <w:rPr>
          <w:rFonts w:ascii="Arial" w:cs="Arial" w:eastAsia="Arial" w:hAnsi="Arial"/>
          <w:sz w:val="20"/>
          <w:szCs w:val="20"/>
          <w:color w:val="auto"/>
        </w:rPr>
        <w:t xml:space="preserve">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Borrower under </w:t>
      </w:r>
      <w:r>
        <w:rPr>
          <w:rFonts w:ascii="Arial" w:cs="Arial" w:eastAsia="Arial" w:hAnsi="Arial"/>
          <w:sz w:val="20"/>
          <w:szCs w:val="20"/>
          <w:b w:val="1"/>
          <w:bCs w:val="1"/>
          <w:i w:val="1"/>
          <w:iCs w:val="1"/>
          <w:color w:val="auto"/>
        </w:rPr>
        <w:t>Section 15.14</w:t>
      </w:r>
      <w:r>
        <w:rPr>
          <w:rFonts w:ascii="Arial" w:cs="Arial" w:eastAsia="Arial" w:hAnsi="Arial"/>
          <w:sz w:val="20"/>
          <w:szCs w:val="20"/>
          <w:color w:val="auto"/>
        </w:rPr>
        <w:t xml:space="preserve">), or (ii) pursuant to </w:t>
      </w:r>
      <w:r>
        <w:rPr>
          <w:rFonts w:ascii="Arial" w:cs="Arial" w:eastAsia="Arial" w:hAnsi="Arial"/>
          <w:sz w:val="20"/>
          <w:szCs w:val="20"/>
          <w:b w:val="1"/>
          <w:bCs w:val="1"/>
          <w:i w:val="1"/>
          <w:iCs w:val="1"/>
          <w:color w:val="auto"/>
        </w:rPr>
        <w:t>Section 4.1(a)(ii)</w:t>
      </w:r>
      <w:r>
        <w:rPr>
          <w:rFonts w:ascii="Arial" w:cs="Arial" w:eastAsia="Arial" w:hAnsi="Arial"/>
          <w:sz w:val="20"/>
          <w:szCs w:val="20"/>
          <w:color w:val="auto"/>
        </w:rPr>
        <w:t xml:space="preserve">, or </w:t>
      </w:r>
      <w:r>
        <w:rPr>
          <w:rFonts w:ascii="Arial" w:cs="Arial" w:eastAsia="Arial" w:hAnsi="Arial"/>
          <w:sz w:val="20"/>
          <w:szCs w:val="20"/>
          <w:b w:val="1"/>
          <w:bCs w:val="1"/>
          <w:i w:val="1"/>
          <w:iCs w:val="1"/>
          <w:color w:val="auto"/>
        </w:rPr>
        <w:t>(c)</w:t>
      </w:r>
      <w:r>
        <w:rPr>
          <w:rFonts w:ascii="Arial" w:cs="Arial" w:eastAsia="Arial" w:hAnsi="Arial"/>
          <w:sz w:val="20"/>
          <w:szCs w:val="20"/>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20"/>
          <w:szCs w:val="20"/>
          <w:b w:val="1"/>
          <w:bCs w:val="1"/>
          <w:i w:val="1"/>
          <w:iCs w:val="1"/>
          <w:color w:val="auto"/>
        </w:rPr>
        <w:t>Section 4.1(e)</w:t>
      </w:r>
      <w:r>
        <w:rPr>
          <w:rFonts w:ascii="Arial" w:cs="Arial" w:eastAsia="Arial" w:hAnsi="Arial"/>
          <w:sz w:val="20"/>
          <w:szCs w:val="20"/>
          <w:color w:val="auto"/>
        </w:rPr>
        <w:t xml:space="preserve"> and (d) any U.S. federal withholding Taxes imposed pursuant to FATCA.</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Existing Credit Agreement </w:t>
      </w:r>
      <w:r>
        <w:rPr>
          <w:rFonts w:ascii="Arial" w:cs="Arial" w:eastAsia="Arial" w:hAnsi="Arial"/>
          <w:sz w:val="20"/>
          <w:szCs w:val="20"/>
          <w:color w:val="auto"/>
        </w:rPr>
        <w:t>is defined in the Recitals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Existing Critical Assets </w:t>
      </w:r>
      <w:r>
        <w:rPr>
          <w:rFonts w:ascii="Arial" w:cs="Arial" w:eastAsia="Arial" w:hAnsi="Arial"/>
          <w:sz w:val="20"/>
          <w:szCs w:val="20"/>
          <w:color w:val="auto"/>
        </w:rPr>
        <w:t>means each of the Critical Assets owned by the Companies on the Closing Date.</w:t>
      </w:r>
    </w:p>
    <w:p>
      <w:pPr>
        <w:spacing w:after="0" w:line="21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b w:val="1"/>
          <w:bCs w:val="1"/>
          <w:i w:val="1"/>
          <w:iCs w:val="1"/>
          <w:color w:val="auto"/>
        </w:rPr>
        <w:t xml:space="preserve">Existing Housing Bonds </w:t>
      </w:r>
      <w:r>
        <w:rPr>
          <w:rFonts w:ascii="Arial" w:cs="Arial" w:eastAsia="Arial" w:hAnsi="Arial"/>
          <w:sz w:val="20"/>
          <w:szCs w:val="20"/>
          <w:color w:val="auto"/>
        </w:rPr>
        <w:t>means the following Bonds issued by Housing Districts before June 10, 2003 (the date of the Third Amended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Restated Agreement), and re-issuances of such Housing Bonds in accordance with the related Bond Documents: (a) $10,600,000 of Eagle County, Colorado, Taxable Housing Facilities Revenue Bonds (BC Housing, LLC Project) Series 1997A and 1997B, (b) $19,980,000 of Breckenridge Terrace LLC Taxable Housing Facilities Revenue Notes (Breckenridge Terrace Project), Series 1999A and 1999B, (c) $10,410,000 of Eagle County, Colorado, Taxable Housing Facilities Revenue Bonds (The Tarnes at BC, LLC Project), Series 1999A and 1999B, and (d) $11,585,000 of the Tenderfoot Seasonal Housing, LLC Taxable Housing Facilities Revenue Notes (Tenderfoot Seasonal Housing, LLC Project), Series 2000A and 2000B, and renewals or extensions of each of the foregoing (but not increases thereof) on or after June 10, 2003.</w:t>
      </w:r>
    </w:p>
    <w:p>
      <w:pPr>
        <w:spacing w:after="0" w:line="198"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b w:val="1"/>
          <w:bCs w:val="1"/>
          <w:i w:val="1"/>
          <w:iCs w:val="1"/>
          <w:color w:val="auto"/>
        </w:rPr>
        <w:t xml:space="preserve">Existing Housing Districts </w:t>
      </w:r>
      <w:r>
        <w:rPr>
          <w:rFonts w:ascii="Arial" w:cs="Arial" w:eastAsia="Arial" w:hAnsi="Arial"/>
          <w:sz w:val="18"/>
          <w:szCs w:val="18"/>
          <w:color w:val="auto"/>
        </w:rPr>
        <w:t>means, collectively, Tenderfoot Seasonal Housing LLC, The Tarnes at BC Housing LLC, BC Housing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(Riveredge), and Breckenridge Terrace LLC, and </w:t>
      </w:r>
      <w:r>
        <w:rPr>
          <w:rFonts w:ascii="Arial" w:cs="Arial" w:eastAsia="Arial" w:hAnsi="Arial"/>
          <w:sz w:val="18"/>
          <w:szCs w:val="18"/>
          <w:b w:val="1"/>
          <w:bCs w:val="1"/>
          <w:i w:val="1"/>
          <w:iCs w:val="1"/>
          <w:color w:val="auto"/>
        </w:rPr>
        <w:t>Existing Housing District</w:t>
      </w:r>
      <w:r>
        <w:rPr>
          <w:rFonts w:ascii="Arial" w:cs="Arial" w:eastAsia="Arial" w:hAnsi="Arial"/>
          <w:sz w:val="18"/>
          <w:szCs w:val="18"/>
          <w:color w:val="auto"/>
        </w:rPr>
        <w:t xml:space="preserve"> means any one of the Existing Housing Districts.</w:t>
      </w:r>
    </w:p>
    <w:p>
      <w:pPr>
        <w:spacing w:after="0" w:line="13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b w:val="1"/>
          <w:bCs w:val="1"/>
          <w:i w:val="1"/>
          <w:iCs w:val="1"/>
          <w:color w:val="auto"/>
        </w:rPr>
        <w:t xml:space="preserve">Existing L/C </w:t>
      </w:r>
      <w:r>
        <w:rPr>
          <w:rFonts w:ascii="Arial" w:cs="Arial" w:eastAsia="Arial" w:hAnsi="Arial"/>
          <w:sz w:val="20"/>
          <w:szCs w:val="20"/>
          <w:color w:val="auto"/>
        </w:rPr>
        <w:t>means each Bond L/C and other letter of credit issued by an L/C Issuer for the account of any of the Companies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described on </w:t>
      </w:r>
      <w:r>
        <w:rPr>
          <w:rFonts w:ascii="Arial" w:cs="Arial" w:eastAsia="Arial" w:hAnsi="Arial"/>
          <w:sz w:val="20"/>
          <w:szCs w:val="20"/>
          <w:b w:val="1"/>
          <w:bCs w:val="1"/>
          <w:i w:val="1"/>
          <w:iCs w:val="1"/>
          <w:color w:val="auto"/>
        </w:rPr>
        <w:t>Part A</w:t>
      </w:r>
      <w:r>
        <w:rPr>
          <w:rFonts w:ascii="Arial" w:cs="Arial" w:eastAsia="Arial" w:hAnsi="Arial"/>
          <w:sz w:val="20"/>
          <w:szCs w:val="20"/>
          <w:color w:val="auto"/>
        </w:rPr>
        <w:t xml:space="preserve"> of </w:t>
      </w:r>
      <w:r>
        <w:rPr>
          <w:rFonts w:ascii="Arial" w:cs="Arial" w:eastAsia="Arial" w:hAnsi="Arial"/>
          <w:sz w:val="20"/>
          <w:szCs w:val="20"/>
          <w:b w:val="1"/>
          <w:bCs w:val="1"/>
          <w:i w:val="1"/>
          <w:iCs w:val="1"/>
          <w:color w:val="auto"/>
        </w:rPr>
        <w:t>Schedule 2.3</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Existing Metro Districts </w:t>
      </w:r>
      <w:r>
        <w:rPr>
          <w:rFonts w:ascii="Arial" w:cs="Arial" w:eastAsia="Arial" w:hAnsi="Arial"/>
          <w:sz w:val="20"/>
          <w:szCs w:val="20"/>
          <w:color w:val="auto"/>
        </w:rPr>
        <w:t>means, collectively, Holland Creek Metropolitan District and Red Sky Ranch Metropolitan District, and</w:t>
      </w:r>
      <w:r>
        <w:rPr>
          <w:rFonts w:ascii="Arial" w:cs="Arial" w:eastAsia="Arial" w:hAnsi="Arial"/>
          <w:sz w:val="20"/>
          <w:szCs w:val="20"/>
          <w:b w:val="1"/>
          <w:bCs w:val="1"/>
          <w:i w:val="1"/>
          <w:iCs w:val="1"/>
          <w:color w:val="auto"/>
        </w:rPr>
        <w:t xml:space="preserve"> Existing Metro District </w:t>
      </w:r>
      <w:r>
        <w:rPr>
          <w:rFonts w:ascii="Arial" w:cs="Arial" w:eastAsia="Arial" w:hAnsi="Arial"/>
          <w:sz w:val="20"/>
          <w:szCs w:val="20"/>
          <w:color w:val="auto"/>
        </w:rPr>
        <w:t>means any one of the Existing Metro Districts.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Facility Amount </w:t>
      </w:r>
      <w:r>
        <w:rPr>
          <w:rFonts w:ascii="Arial" w:cs="Arial" w:eastAsia="Arial" w:hAnsi="Arial"/>
          <w:sz w:val="20"/>
          <w:szCs w:val="20"/>
          <w:color w:val="auto"/>
        </w:rPr>
        <w:t>means the Total Commitment (including any increase in the aggregate Commitments pursuant to</w:t>
      </w:r>
      <w:r>
        <w:rPr>
          <w:rFonts w:ascii="Arial" w:cs="Arial" w:eastAsia="Arial" w:hAnsi="Arial"/>
          <w:sz w:val="20"/>
          <w:szCs w:val="20"/>
          <w:b w:val="1"/>
          <w:bCs w:val="1"/>
          <w:i w:val="1"/>
          <w:iCs w:val="1"/>
          <w:color w:val="auto"/>
        </w:rPr>
        <w:t xml:space="preserve"> Section 2.5</w:t>
      </w:r>
      <w:r>
        <w:rPr>
          <w:rFonts w:ascii="Arial" w:cs="Arial" w:eastAsia="Arial" w:hAnsi="Arial"/>
          <w:sz w:val="20"/>
          <w:szCs w:val="20"/>
          <w:color w:val="auto"/>
        </w:rPr>
        <w:t>) plus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aggregate amount of all Incremental Term Loan Facilities.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FATCA </w:t>
      </w:r>
      <w:r>
        <w:rPr>
          <w:rFonts w:ascii="Arial" w:cs="Arial" w:eastAsia="Arial" w:hAnsi="Arial"/>
          <w:sz w:val="20"/>
          <w:szCs w:val="20"/>
          <w:color w:val="auto"/>
        </w:rPr>
        <w:t>means</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Sections 1471</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through</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1474</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the Code, as of the date of this Agreement (or any amended or successor version that 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substantially comparable and not materially more onerous to comply with), and any current or future regulations or official interpretations thereof and any agreements entered into pursuant to </w:t>
      </w:r>
      <w:r>
        <w:rPr>
          <w:rFonts w:ascii="Arial" w:cs="Arial" w:eastAsia="Arial" w:hAnsi="Arial"/>
          <w:sz w:val="20"/>
          <w:szCs w:val="20"/>
          <w:i w:val="1"/>
          <w:iCs w:val="1"/>
          <w:color w:val="auto"/>
        </w:rPr>
        <w:t>Section 1471(b)(1)</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b w:val="1"/>
          <w:bCs w:val="1"/>
          <w:i w:val="1"/>
          <w:iCs w:val="1"/>
          <w:color w:val="auto"/>
        </w:rPr>
        <w:t xml:space="preserve">Federal Funds Rate </w:t>
      </w:r>
      <w:r>
        <w:rPr>
          <w:rFonts w:ascii="Arial" w:cs="Arial" w:eastAsia="Arial" w:hAnsi="Arial"/>
          <w:sz w:val="19"/>
          <w:szCs w:val="19"/>
          <w:color w:val="auto"/>
        </w:rPr>
        <w:t>means, for any day, the rate per annum equal to the weighted average of the rates on overnight Federal funds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transactions with members of the Federal Reserve System arranged by Federal funds brokers on such day, as published by the Federal Reserve Bank of New York on the Business Day next succeeding such day;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582" w:right="239" w:bottom="1440" w:gutter="0" w:footer="0" w:header="0"/>
        </w:sectPr>
      </w:pPr>
    </w:p>
    <w:bookmarkStart w:id="79" w:name="page80"/>
    <w:bookmarkEnd w:id="79"/>
    <w:p>
      <w:pPr>
        <w:spacing w:after="0"/>
        <w:rPr>
          <w:sz w:val="20"/>
          <w:szCs w:val="20"/>
          <w:color w:val="auto"/>
        </w:rPr>
      </w:pPr>
      <w:r>
        <w:rPr>
          <w:rFonts w:ascii="Arial" w:cs="Arial" w:eastAsia="Arial" w:hAnsi="Arial"/>
          <w:sz w:val="20"/>
          <w:szCs w:val="20"/>
          <w:color w:val="auto"/>
        </w:rPr>
        <w:t>multiple of 1/100 of 1%) charged to Bank of America on such day on such transactions as determined by Administrative Agent.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Fee Letter </w:t>
      </w:r>
      <w:r>
        <w:rPr>
          <w:rFonts w:ascii="Arial" w:cs="Arial" w:eastAsia="Arial" w:hAnsi="Arial"/>
          <w:sz w:val="20"/>
          <w:szCs w:val="20"/>
          <w:color w:val="auto"/>
        </w:rPr>
        <w:t>means the letter agreement dated August 15, 2018, among Borrower, Administrative Agent and MLPF&amp;S.</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b w:val="1"/>
          <w:bCs w:val="1"/>
          <w:i w:val="1"/>
          <w:iCs w:val="1"/>
          <w:color w:val="auto"/>
        </w:rPr>
        <w:t xml:space="preserve">Financial Hedge </w:t>
      </w:r>
      <w:r>
        <w:rPr>
          <w:rFonts w:ascii="Arial" w:cs="Arial" w:eastAsia="Arial" w:hAnsi="Arial"/>
          <w:sz w:val="19"/>
          <w:szCs w:val="19"/>
          <w:color w:val="auto"/>
        </w:rPr>
        <w:t>means a transaction between Borrower and any Lender or an Affiliate of any Lender (or another Person reasonably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acceptable to Administrative Agent), which is intended to reduce or eliminate the risk of fluctuations in one or more interest rates, foreign currencies, commodity prices, equity prices, or other financial measures, whether or not such transaction is governed by or subject to any master agreement conforming to ISDA standards and which is legal and enforceable under applicable Law.</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Financial Statements </w:t>
      </w:r>
      <w:r>
        <w:rPr>
          <w:rFonts w:ascii="Arial" w:cs="Arial" w:eastAsia="Arial" w:hAnsi="Arial"/>
          <w:sz w:val="20"/>
          <w:szCs w:val="20"/>
          <w:color w:val="auto"/>
        </w:rPr>
        <w:t>of a Person means balance sheets, profit and loss statements, reconciliations of capital and surplus,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statements of cash flow prepared (a) according to GAAP, and (b)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as stated in </w:t>
      </w:r>
      <w:r>
        <w:rPr>
          <w:rFonts w:ascii="Arial" w:cs="Arial" w:eastAsia="Arial" w:hAnsi="Arial"/>
          <w:sz w:val="20"/>
          <w:szCs w:val="20"/>
          <w:b w:val="1"/>
          <w:bCs w:val="1"/>
          <w:i w:val="1"/>
          <w:iCs w:val="1"/>
          <w:color w:val="auto"/>
        </w:rPr>
        <w:t>Section 1.3</w:t>
      </w:r>
      <w:r>
        <w:rPr>
          <w:rFonts w:ascii="Arial" w:cs="Arial" w:eastAsia="Arial" w:hAnsi="Arial"/>
          <w:sz w:val="20"/>
          <w:szCs w:val="20"/>
          <w:color w:val="auto"/>
        </w:rPr>
        <w:t>, in comparative form to prior year-end figures or corresponding periods of the preceding fiscal year, as applicable.</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Foreign Lender </w:t>
      </w:r>
      <w:r>
        <w:rPr>
          <w:rFonts w:ascii="Arial" w:cs="Arial" w:eastAsia="Arial" w:hAnsi="Arial"/>
          <w:sz w:val="20"/>
          <w:szCs w:val="20"/>
          <w:color w:val="auto"/>
        </w:rPr>
        <w:t>means a Lender that is not a U.S. Person. For purposes of this definition, the United States, each state thereof and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District of Columbia shall be deemed to constitute a single jurisdiction.</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i w:val="1"/>
          <w:iCs w:val="1"/>
          <w:color w:val="auto"/>
        </w:rPr>
        <w:t xml:space="preserve">Forest Service Permit Agreements </w:t>
      </w:r>
      <w:r>
        <w:rPr>
          <w:rFonts w:ascii="Arial" w:cs="Arial" w:eastAsia="Arial" w:hAnsi="Arial"/>
          <w:sz w:val="18"/>
          <w:szCs w:val="18"/>
          <w:color w:val="auto"/>
        </w:rPr>
        <w:t>means (a) that certain Second Amended and Restated Multiparty Agreement Regarding Forest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Special Use Permit No. 4056-01; (b) that certain Second Amended and Restated Multiparty Agreement Regarding Forest Service Special Use Permit No. 4065-03; (c) that certain Second Amended and Restated Multiparty Agreement Regarding Forest Service Special Use Permit No. 5289-01; (d) that certain Second Amended and Restated Multiparty Agreement Regarding Forest Service Special Use Permit No. 5289-04; (e) that certain Amended and Restated Multiparty Agreement Regarding Forest Service Special Use Permit No. ELD508901; (f) any similar agreement or instrument relating to Term Special Use Permit Holder No. AMA282; (g) any similar agreement or instrument relating to any Forest Service Permit and authorized or contemplated by the provisions of the documents executed in connection with the issuance of the Vail Bonds; and (h) all renewals, extensions and restatements of, and amendments and supplements to, any of the foregoing.</w:t>
      </w:r>
    </w:p>
    <w:p>
      <w:pPr>
        <w:spacing w:after="0" w:line="1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i w:val="1"/>
          <w:iCs w:val="1"/>
          <w:color w:val="auto"/>
        </w:rPr>
        <w:t xml:space="preserve">Forest Service Permits </w:t>
      </w:r>
      <w:r>
        <w:rPr>
          <w:rFonts w:ascii="Arial" w:cs="Arial" w:eastAsia="Arial" w:hAnsi="Arial"/>
          <w:sz w:val="19"/>
          <w:szCs w:val="19"/>
          <w:color w:val="auto"/>
        </w:rPr>
        <w:t>means (a) Ski Area Term Special Use Permit Holder No. 4056-01 issued by the Service to Borrower for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Vail ski area on November 23, 1993, and expiring on October 31, 2031; (b) Term Special Use Permit No. Holder 4065-03 issued by the Service to Borrower’s wholly-owned subsidiary, Beaver Creek Associates, Inc., for the Beaver Creek ski area on November 17, 1999, and expiring on December 31, 2038; (c) Term Special Use Permit Holder No. 5289-01 for Keystone ski area issued by the Service to Ralston Resorts, Inc., now known as Vail Summit Resorts, on December 30, 1996, and expiring on December 30, 2032; (d) Term Special Use Permit Holder No. 5289-04 for Breckenridge ski area issued by the Service to Ralston Resorts, Inc., now known as Vail Summit Resorts, on December 31, 1996, and expiring on December 31, 2029; (e) Term Special Use Permit Holder No. EDL508901 for Heavenly ski area issued by the Service to Heavenly Valley, Limited Partnership on May 7, 2002, and expiring on May 1, 2042; (f) Term Special Use Permit Holder No. AMA282 for Kirkwood ski area issued by the Service to Heavenly Valley, Limited Partnership, d/b/a Kirkwood Mountain Resort on April 11, 2012, and expiring on March 19, 2052; and (g) any replacements of any of the foregoing.</w:t>
      </w:r>
    </w:p>
    <w:p>
      <w:pPr>
        <w:spacing w:after="0" w:line="18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Fronting Exposure </w:t>
      </w:r>
      <w:r>
        <w:rPr>
          <w:rFonts w:ascii="Arial" w:cs="Arial" w:eastAsia="Arial" w:hAnsi="Arial"/>
          <w:sz w:val="20"/>
          <w:szCs w:val="20"/>
          <w:color w:val="auto"/>
        </w:rPr>
        <w:t>means, at any time there is a Defaulting Lender, (a) with respect to the applicable L/C Issuer, such Defaulting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Lender’s Commitment Percentage of the Dollar Equivalent of the outstanding L/C Exposure other than L/C Exposure as to which such Defaulting Lender’s participation obligation has been reallocated to other Lenders or Cash Collateralized in accordance with the terms hereof, and (b) with</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582" w:right="239" w:bottom="1440" w:gutter="0" w:footer="0" w:header="0"/>
        </w:sectPr>
      </w:pPr>
    </w:p>
    <w:bookmarkStart w:id="80" w:name="page81"/>
    <w:bookmarkEnd w:id="80"/>
    <w:p>
      <w:pPr>
        <w:jc w:val="both"/>
        <w:spacing w:after="0" w:line="250" w:lineRule="auto"/>
        <w:rPr>
          <w:sz w:val="20"/>
          <w:szCs w:val="20"/>
          <w:color w:val="auto"/>
        </w:rPr>
      </w:pPr>
      <w:r>
        <w:rPr>
          <w:rFonts w:ascii="Arial" w:cs="Arial" w:eastAsia="Arial" w:hAnsi="Arial"/>
          <w:sz w:val="20"/>
          <w:szCs w:val="20"/>
          <w:color w:val="auto"/>
        </w:rPr>
        <w:t>respect to the Swing Line Lender, such Defaulting Lender’s Applicable Percentage of Swing Line Loans other than Swing Line Loans as to which such Defaulting Lender’s participation obligation has been reallocated to other Lenders or Cash Collateralized in accordance with the terms hereof.</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Fund </w:t>
      </w:r>
      <w:r>
        <w:rPr>
          <w:rFonts w:ascii="Arial" w:cs="Arial" w:eastAsia="Arial" w:hAnsi="Arial"/>
          <w:sz w:val="20"/>
          <w:szCs w:val="20"/>
          <w:color w:val="auto"/>
        </w:rPr>
        <w:t>means any Person (other than a natural person) that is (or will be) engaged in making, purchasing, holding, or otherwise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investing in commercial loans and similar extensions of credit in the ordinary course of its activities.</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i w:val="1"/>
          <w:iCs w:val="1"/>
          <w:color w:val="auto"/>
        </w:rPr>
        <w:t xml:space="preserve">Funded Debt </w:t>
      </w:r>
      <w:r>
        <w:rPr>
          <w:rFonts w:ascii="Arial" w:cs="Arial" w:eastAsia="Arial" w:hAnsi="Arial"/>
          <w:sz w:val="19"/>
          <w:szCs w:val="19"/>
          <w:color w:val="auto"/>
        </w:rPr>
        <w:t>means, without duplication, on any date of determination,</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the sum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following, calculated on a consolidated basis for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the Restricted Companies in accordance with GAAP: (a) all obligations for borrowed money (whether as a direct obligation on a promissory note, bond, zero coupon bond, debenture, or other similar instrument, as a direct (as opposed to contingent) payment obligation arising under a guaranty, or as an unfulfilled reimbursement obligation on a drawn letter of credit or similar instrument, or otherwise), </w:t>
      </w:r>
      <w:r>
        <w:rPr>
          <w:rFonts w:ascii="Arial" w:cs="Arial" w:eastAsia="Arial" w:hAnsi="Arial"/>
          <w:sz w:val="19"/>
          <w:szCs w:val="19"/>
          <w:i w:val="1"/>
          <w:iCs w:val="1"/>
          <w:color w:val="auto"/>
        </w:rPr>
        <w:t>plus</w:t>
      </w:r>
      <w:r>
        <w:rPr>
          <w:rFonts w:ascii="Arial" w:cs="Arial" w:eastAsia="Arial" w:hAnsi="Arial"/>
          <w:sz w:val="19"/>
          <w:szCs w:val="19"/>
          <w:color w:val="auto"/>
        </w:rPr>
        <w:t xml:space="preserve"> (b) all Capital Lease obligations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(x) the interest component of such obligations and (y) obligations under the Northstar Leases (to the extent such leases constitute Capital Leases)) of any Restricted Company, </w:t>
      </w:r>
      <w:r>
        <w:rPr>
          <w:rFonts w:ascii="Arial" w:cs="Arial" w:eastAsia="Arial" w:hAnsi="Arial"/>
          <w:sz w:val="19"/>
          <w:szCs w:val="19"/>
          <w:i w:val="1"/>
          <w:iCs w:val="1"/>
          <w:color w:val="auto"/>
        </w:rPr>
        <w:t>plus</w:t>
      </w:r>
      <w:r>
        <w:rPr>
          <w:rFonts w:ascii="Arial" w:cs="Arial" w:eastAsia="Arial" w:hAnsi="Arial"/>
          <w:sz w:val="19"/>
          <w:szCs w:val="19"/>
          <w:color w:val="auto"/>
        </w:rPr>
        <w:t xml:space="preserve"> (c) reimbursement obligations and undrawn amounts under Bond L/Cs supporting Bonds (other than Existing Housing Bonds) issued by Unrestricted Subsidiaries, </w:t>
      </w:r>
      <w:r>
        <w:rPr>
          <w:rFonts w:ascii="Arial" w:cs="Arial" w:eastAsia="Arial" w:hAnsi="Arial"/>
          <w:sz w:val="19"/>
          <w:szCs w:val="19"/>
          <w:i w:val="1"/>
          <w:iCs w:val="1"/>
          <w:color w:val="auto"/>
        </w:rPr>
        <w:t>plus</w:t>
      </w:r>
      <w:r>
        <w:rPr>
          <w:rFonts w:ascii="Arial" w:cs="Arial" w:eastAsia="Arial" w:hAnsi="Arial"/>
          <w:sz w:val="19"/>
          <w:szCs w:val="19"/>
          <w:color w:val="auto"/>
        </w:rPr>
        <w:t xml:space="preserve"> (d) payment obligations with respect to Permitted Recourse Obligations which constitutes Debt hereunder,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Funded Debt</w:t>
      </w:r>
      <w:r>
        <w:rPr>
          <w:rFonts w:ascii="Arial" w:cs="Arial" w:eastAsia="Arial" w:hAnsi="Arial"/>
          <w:sz w:val="19"/>
          <w:szCs w:val="19"/>
          <w:color w:val="auto"/>
        </w:rPr>
        <w:t xml:space="preserve"> shall expressly exclude Debt under Existing Housing Bonds.</w:t>
      </w:r>
    </w:p>
    <w:p>
      <w:pPr>
        <w:spacing w:after="0" w:line="18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i w:val="1"/>
          <w:iCs w:val="1"/>
          <w:color w:val="auto"/>
        </w:rPr>
        <w:t xml:space="preserve">Funding Loss </w:t>
      </w:r>
      <w:r>
        <w:rPr>
          <w:rFonts w:ascii="Arial" w:cs="Arial" w:eastAsia="Arial" w:hAnsi="Arial"/>
          <w:sz w:val="18"/>
          <w:szCs w:val="18"/>
          <w:color w:val="auto"/>
        </w:rPr>
        <w:t>means any loss or expense that any Lender reasonably incurs because (a) Borrower fails or refuses (for any reason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whatsoever,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a default by Administrative Agent or Lender claiming such loss or expense) to take any Loan that it has requested under this Agreement, or (b) Borrower pays any Revolver Loan or Term Loan that is a Eurocurrency Rate Loan or converts any Revolver Loan or Term Loan that is a Eurocurrency Rate Loan to a Base Rate Loan, in each case, before the last day of the applicable Interest Period.</w:t>
      </w:r>
    </w:p>
    <w:p>
      <w:pPr>
        <w:spacing w:after="0" w:line="16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b w:val="1"/>
          <w:bCs w:val="1"/>
          <w:i w:val="1"/>
          <w:iCs w:val="1"/>
          <w:color w:val="auto"/>
        </w:rPr>
        <w:t xml:space="preserve">GAAP </w:t>
      </w:r>
      <w:r>
        <w:rPr>
          <w:rFonts w:ascii="Arial" w:cs="Arial" w:eastAsia="Arial" w:hAnsi="Arial"/>
          <w:sz w:val="20"/>
          <w:szCs w:val="20"/>
          <w:color w:val="auto"/>
        </w:rPr>
        <w:t>means generally accepted accounting principles of the Accounting Principles Board of the American Institute of Certified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Public Accountants and the Financial Accounting Standards Board (or agencies with similar functions of comparable stature and authority within the United States accounting profession) that are applicable from time to time.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Gillett </w:t>
      </w:r>
      <w:r>
        <w:rPr>
          <w:rFonts w:ascii="Arial" w:cs="Arial" w:eastAsia="Arial" w:hAnsi="Arial"/>
          <w:sz w:val="20"/>
          <w:szCs w:val="20"/>
          <w:color w:val="auto"/>
        </w:rPr>
        <w:t>means Gillett Broadcasting, Inc., a Delaware corporation, a direct Subsidiary of VRI.</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Governmental Authority </w:t>
      </w:r>
      <w:r>
        <w:rPr>
          <w:rFonts w:ascii="Arial" w:cs="Arial" w:eastAsia="Arial" w:hAnsi="Arial"/>
          <w:sz w:val="20"/>
          <w:szCs w:val="20"/>
          <w:color w:val="auto"/>
        </w:rPr>
        <w:t>means the government of the United States or any other nation, or of any political subdivision thereof,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Guarantor </w:t>
      </w:r>
      <w:r>
        <w:rPr>
          <w:rFonts w:ascii="Arial" w:cs="Arial" w:eastAsia="Arial" w:hAnsi="Arial"/>
          <w:sz w:val="20"/>
          <w:szCs w:val="20"/>
          <w:color w:val="auto"/>
        </w:rPr>
        <w:t>means each Person executing a Guaranty.</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b w:val="1"/>
          <w:bCs w:val="1"/>
          <w:i w:val="1"/>
          <w:iCs w:val="1"/>
          <w:color w:val="auto"/>
        </w:rPr>
        <w:t xml:space="preserve">Guaranty </w:t>
      </w:r>
      <w:r>
        <w:rPr>
          <w:rFonts w:ascii="Arial" w:cs="Arial" w:eastAsia="Arial" w:hAnsi="Arial"/>
          <w:sz w:val="18"/>
          <w:szCs w:val="18"/>
          <w:color w:val="auto"/>
        </w:rPr>
        <w:t>means, collectively, a guaranty substantially in the form of</w:t>
      </w:r>
      <w:r>
        <w:rPr>
          <w:rFonts w:ascii="Arial" w:cs="Arial" w:eastAsia="Arial" w:hAnsi="Arial"/>
          <w:sz w:val="18"/>
          <w:szCs w:val="18"/>
          <w:b w:val="1"/>
          <w:bCs w:val="1"/>
          <w:i w:val="1"/>
          <w:iCs w:val="1"/>
          <w:color w:val="auto"/>
        </w:rPr>
        <w:t xml:space="preserve"> Exhibit B-1</w:t>
      </w:r>
      <w:r>
        <w:rPr>
          <w:rFonts w:ascii="Arial" w:cs="Arial" w:eastAsia="Arial" w:hAnsi="Arial"/>
          <w:sz w:val="18"/>
          <w:szCs w:val="18"/>
          <w:color w:val="auto"/>
        </w:rPr>
        <w:t>, executed and delivered by any Person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requirements of the Loan Papers, each Confirmation of Guaranty executed in connection therewith, and any other amendment, modification, supplement, restatement, ratification, or reaffirmation of any Guaranty made in accordance with the Loan Papers.</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Hazardous Substance </w:t>
      </w:r>
      <w:r>
        <w:rPr>
          <w:rFonts w:ascii="Arial" w:cs="Arial" w:eastAsia="Arial" w:hAnsi="Arial"/>
          <w:sz w:val="20"/>
          <w:szCs w:val="20"/>
          <w:color w:val="auto"/>
        </w:rPr>
        <w:t>means any substance that is defined or classified as a hazardous waste, hazardous material, pollutant,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contaminant, or toxic or hazardous substance under any Environmental Law.</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20"/>
          </w:cols>
          <w:pgMar w:left="240" w:top="582" w:right="239" w:bottom="1440" w:gutter="0" w:footer="0" w:header="0"/>
        </w:sectPr>
      </w:pPr>
    </w:p>
    <w:bookmarkStart w:id="81" w:name="page82"/>
    <w:bookmarkEnd w:id="81"/>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High-Yield Debt </w:t>
      </w:r>
      <w:r>
        <w:rPr>
          <w:rFonts w:ascii="Arial" w:cs="Arial" w:eastAsia="Arial" w:hAnsi="Arial"/>
          <w:sz w:val="20"/>
          <w:szCs w:val="20"/>
          <w:color w:val="auto"/>
        </w:rPr>
        <w:t>means any senior unsecured indebtedness for borrowed money in the form of high-yield debt securities for which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Company is directly and primarily obligated and that is issued pursuant to documentation with terms that are no more restrictive upon such Company than the terms of this Agreement.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Honor Date </w:t>
      </w:r>
      <w:r>
        <w:rPr>
          <w:rFonts w:ascii="Arial" w:cs="Arial" w:eastAsia="Arial" w:hAnsi="Arial"/>
          <w:sz w:val="20"/>
          <w:szCs w:val="20"/>
          <w:color w:val="auto"/>
        </w:rPr>
        <w:t>has the meaning set forth in</w:t>
      </w:r>
      <w:r>
        <w:rPr>
          <w:rFonts w:ascii="Arial" w:cs="Arial" w:eastAsia="Arial" w:hAnsi="Arial"/>
          <w:sz w:val="20"/>
          <w:szCs w:val="20"/>
          <w:b w:val="1"/>
          <w:bCs w:val="1"/>
          <w:i w:val="1"/>
          <w:iCs w:val="1"/>
          <w:color w:val="auto"/>
        </w:rPr>
        <w:t xml:space="preserve"> Section 2.3(c)(i)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Housing Districts </w:t>
      </w:r>
      <w:r>
        <w:rPr>
          <w:rFonts w:ascii="Arial" w:cs="Arial" w:eastAsia="Arial" w:hAnsi="Arial"/>
          <w:sz w:val="20"/>
          <w:szCs w:val="20"/>
          <w:color w:val="auto"/>
        </w:rPr>
        <w:t>means, collectively, (a) the Existing Housing Districts, and (b) any other Person which issues Bonds after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Closing Date to finance the development of housing projects for employees of the Companies; and </w:t>
      </w:r>
      <w:r>
        <w:rPr>
          <w:rFonts w:ascii="Arial" w:cs="Arial" w:eastAsia="Arial" w:hAnsi="Arial"/>
          <w:sz w:val="20"/>
          <w:szCs w:val="20"/>
          <w:b w:val="1"/>
          <w:bCs w:val="1"/>
          <w:i w:val="1"/>
          <w:iCs w:val="1"/>
          <w:color w:val="auto"/>
        </w:rPr>
        <w:t>Housing District</w:t>
      </w:r>
      <w:r>
        <w:rPr>
          <w:rFonts w:ascii="Arial" w:cs="Arial" w:eastAsia="Arial" w:hAnsi="Arial"/>
          <w:sz w:val="20"/>
          <w:szCs w:val="20"/>
          <w:color w:val="auto"/>
        </w:rPr>
        <w:t xml:space="preserve"> means one of the Housing Districts.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Incremental Term Loan </w:t>
      </w:r>
      <w:r>
        <w:rPr>
          <w:rFonts w:ascii="Arial" w:cs="Arial" w:eastAsia="Arial" w:hAnsi="Arial"/>
          <w:sz w:val="18"/>
          <w:szCs w:val="18"/>
          <w:color w:val="auto"/>
        </w:rPr>
        <w:t>means any amount disbursed by any Lender to Borrower pursuant to the Incremental Term Loan Facility.</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Incremental Term Loan Facility </w:t>
      </w:r>
      <w:r>
        <w:rPr>
          <w:rFonts w:ascii="Arial" w:cs="Arial" w:eastAsia="Arial" w:hAnsi="Arial"/>
          <w:sz w:val="20"/>
          <w:szCs w:val="20"/>
          <w:color w:val="auto"/>
        </w:rPr>
        <w:t>has the meaning set forth in</w:t>
      </w:r>
      <w:r>
        <w:rPr>
          <w:rFonts w:ascii="Arial" w:cs="Arial" w:eastAsia="Arial" w:hAnsi="Arial"/>
          <w:sz w:val="20"/>
          <w:szCs w:val="20"/>
          <w:b w:val="1"/>
          <w:bCs w:val="1"/>
          <w:i w:val="1"/>
          <w:iCs w:val="1"/>
          <w:color w:val="auto"/>
        </w:rPr>
        <w:t xml:space="preserve"> Section 2.5</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b w:val="1"/>
          <w:bCs w:val="1"/>
          <w:i w:val="1"/>
          <w:iCs w:val="1"/>
          <w:color w:val="auto"/>
        </w:rPr>
        <w:t xml:space="preserve">Indemnified Taxes </w:t>
      </w:r>
      <w:r>
        <w:rPr>
          <w:rFonts w:ascii="Arial" w:cs="Arial" w:eastAsia="Arial" w:hAnsi="Arial"/>
          <w:sz w:val="18"/>
          <w:szCs w:val="18"/>
          <w:color w:val="auto"/>
        </w:rPr>
        <w:t>means (a) Taxes, other than Excluded Taxes, imposed on or with respect to any payment made by or on account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any obligation of any Restricted Company under any Loan Papers and (b) to the extent not otherwise described in </w:t>
      </w:r>
      <w:r>
        <w:rPr>
          <w:rFonts w:ascii="Arial" w:cs="Arial" w:eastAsia="Arial" w:hAnsi="Arial"/>
          <w:sz w:val="18"/>
          <w:szCs w:val="18"/>
          <w:b w:val="1"/>
          <w:bCs w:val="1"/>
          <w:i w:val="1"/>
          <w:iCs w:val="1"/>
          <w:color w:val="auto"/>
        </w:rPr>
        <w:t>clause (a)</w:t>
      </w:r>
      <w:r>
        <w:rPr>
          <w:rFonts w:ascii="Arial" w:cs="Arial" w:eastAsia="Arial" w:hAnsi="Arial"/>
          <w:sz w:val="18"/>
          <w:szCs w:val="18"/>
          <w:color w:val="auto"/>
        </w:rPr>
        <w:t>, Other Taxes.</w:t>
      </w:r>
    </w:p>
    <w:p>
      <w:pPr>
        <w:spacing w:after="0" w:line="13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i w:val="1"/>
          <w:iCs w:val="1"/>
          <w:color w:val="auto"/>
        </w:rPr>
        <w:t xml:space="preserve">Intellectual Property </w:t>
      </w:r>
      <w:r>
        <w:rPr>
          <w:rFonts w:ascii="Arial" w:cs="Arial" w:eastAsia="Arial" w:hAnsi="Arial"/>
          <w:sz w:val="19"/>
          <w:szCs w:val="19"/>
          <w:color w:val="auto"/>
        </w:rPr>
        <w:t>means (a) common law, federal statutory, state statutory, and foreign trademarks or service marks (including,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without limitation, all registrations and pending applications and the goodwill of the business symbolized by or conducted in connection with any such trademark or service mark), trademark or service mark licenses and all proceeds of trademarks or service marks (including, without limitation, license royalties and proceeds from infringement suits), (b) U.S. and foreign patents (including, without limitation, all pending applications, continuations, continuations-in-part, divisions, reissues, substitutions, and extensions of existing patents or applications), patent licenses, and all proceeds of patents (including, without limitation, license royalties and proceeds from infringement suits), (c) copyrights (including, without limitation, all registrations and pending applications), copyright licenses, and all proceeds of copyrights (including, without limitation, license royalties and proceeds from infringement suits), and (d) trade secrets, </w:t>
      </w:r>
      <w:r>
        <w:rPr>
          <w:rFonts w:ascii="Arial" w:cs="Arial" w:eastAsia="Arial" w:hAnsi="Arial"/>
          <w:sz w:val="19"/>
          <w:szCs w:val="19"/>
          <w:i w:val="1"/>
          <w:iCs w:val="1"/>
          <w:color w:val="auto"/>
        </w:rPr>
        <w:t>but does not include</w:t>
      </w:r>
      <w:r>
        <w:rPr>
          <w:rFonts w:ascii="Arial" w:cs="Arial" w:eastAsia="Arial" w:hAnsi="Arial"/>
          <w:sz w:val="19"/>
          <w:szCs w:val="19"/>
          <w:color w:val="auto"/>
        </w:rPr>
        <w:t xml:space="preserve"> (i) any licenses (including, without limitation, liquor licenses) or any permits (including, without limitation, sales Tax permits) issued by a Governmental Authority and in which (y) the licensee’s or permittee’s interest is defeasible by such Governmental Authority and (z) the licensee or permittee has no right beyond the terms, conditions, and periods of the license or permit, or (ii) trade names or “dba”s to the extent they do not constitute trademarks or service marks.</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b w:val="1"/>
          <w:bCs w:val="1"/>
          <w:i w:val="1"/>
          <w:iCs w:val="1"/>
          <w:color w:val="auto"/>
        </w:rPr>
        <w:t xml:space="preserve">Interest Period </w:t>
      </w:r>
      <w:r>
        <w:rPr>
          <w:rFonts w:ascii="Arial" w:cs="Arial" w:eastAsia="Arial" w:hAnsi="Arial"/>
          <w:sz w:val="18"/>
          <w:szCs w:val="18"/>
          <w:color w:val="auto"/>
        </w:rPr>
        <w:t>means, as to each Revolver Loan or Term Loan that is a Eurocurrency Rate Loan, the period commencing on the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such Revolver Loan or Term Loan is disbursed or converted to or continued as a Revolver Loan or Term Loan that is a Eurocurrency Rate Loan and ending on the date one, three, or six months thereafter, as selected by Borrower in its Loan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w:t>
      </w:r>
    </w:p>
    <w:p>
      <w:pPr>
        <w:spacing w:after="0" w:line="152" w:lineRule="exact"/>
        <w:rPr>
          <w:sz w:val="20"/>
          <w:szCs w:val="20"/>
          <w:color w:val="auto"/>
        </w:rPr>
      </w:pPr>
    </w:p>
    <w:p>
      <w:pPr>
        <w:jc w:val="both"/>
        <w:ind w:left="660" w:firstLine="645"/>
        <w:spacing w:after="0" w:line="250" w:lineRule="auto"/>
        <w:tabs>
          <w:tab w:leader="none" w:pos="1741" w:val="left"/>
        </w:tabs>
        <w:numPr>
          <w:ilvl w:val="0"/>
          <w:numId w:val="35"/>
        </w:numPr>
        <w:rPr>
          <w:rFonts w:ascii="Arial" w:cs="Arial" w:eastAsia="Arial" w:hAnsi="Arial"/>
          <w:sz w:val="20"/>
          <w:szCs w:val="20"/>
          <w:color w:val="auto"/>
        </w:rPr>
      </w:pPr>
      <w:r>
        <w:rPr>
          <w:rFonts w:ascii="Arial" w:cs="Arial" w:eastAsia="Arial" w:hAnsi="Arial"/>
          <w:sz w:val="20"/>
          <w:szCs w:val="20"/>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86" w:lineRule="exact"/>
        <w:rPr>
          <w:rFonts w:ascii="Arial" w:cs="Arial" w:eastAsia="Arial" w:hAnsi="Arial"/>
          <w:sz w:val="20"/>
          <w:szCs w:val="20"/>
          <w:color w:val="auto"/>
        </w:rPr>
      </w:pPr>
    </w:p>
    <w:p>
      <w:pPr>
        <w:jc w:val="both"/>
        <w:ind w:left="660" w:firstLine="645"/>
        <w:spacing w:after="0" w:line="250" w:lineRule="auto"/>
        <w:tabs>
          <w:tab w:leader="none" w:pos="1885" w:val="left"/>
        </w:tabs>
        <w:numPr>
          <w:ilvl w:val="0"/>
          <w:numId w:val="35"/>
        </w:numPr>
        <w:rPr>
          <w:rFonts w:ascii="Arial" w:cs="Arial" w:eastAsia="Arial" w:hAnsi="Arial"/>
          <w:sz w:val="20"/>
          <w:szCs w:val="20"/>
          <w:color w:val="auto"/>
        </w:rPr>
      </w:pPr>
      <w:r>
        <w:rPr>
          <w:rFonts w:ascii="Arial" w:cs="Arial" w:eastAsia="Arial" w:hAnsi="Arial"/>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6" w:lineRule="exact"/>
        <w:rPr>
          <w:rFonts w:ascii="Arial" w:cs="Arial" w:eastAsia="Arial" w:hAnsi="Arial"/>
          <w:sz w:val="20"/>
          <w:szCs w:val="20"/>
          <w:color w:val="auto"/>
        </w:rPr>
      </w:pPr>
    </w:p>
    <w:p>
      <w:pPr>
        <w:ind w:left="1720" w:hanging="415"/>
        <w:spacing w:after="0"/>
        <w:tabs>
          <w:tab w:leader="none" w:pos="17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no Interest Period shall extend beyond the Termination Date.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20"/>
          </w:cols>
          <w:pgMar w:left="240" w:top="582" w:right="239" w:bottom="1440" w:gutter="0" w:footer="0" w:header="0"/>
        </w:sectPr>
      </w:pPr>
    </w:p>
    <w:bookmarkStart w:id="82" w:name="page83"/>
    <w:bookmarkEnd w:id="82"/>
    <w:p>
      <w:pPr>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Internal Control Event </w:t>
      </w:r>
      <w:r>
        <w:rPr>
          <w:rFonts w:ascii="Arial" w:cs="Arial" w:eastAsia="Arial" w:hAnsi="Arial"/>
          <w:sz w:val="20"/>
          <w:szCs w:val="20"/>
          <w:color w:val="auto"/>
        </w:rPr>
        <w:t>means a material weakness in, or fraud that involves management or other employees who have a significant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role in, Borrower’s internal controls over financial reporting, in each case as described in the Securities Laws.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Investment Limit (Joint Ventures) </w:t>
      </w:r>
      <w:r>
        <w:rPr>
          <w:rFonts w:ascii="Arial" w:cs="Arial" w:eastAsia="Arial" w:hAnsi="Arial"/>
          <w:sz w:val="16"/>
          <w:szCs w:val="16"/>
          <w:color w:val="auto"/>
        </w:rPr>
        <w:t>means, on any date of determination, the sum of (a) $75,000,000,</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plus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 10% of Total Assets,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plus</w:t>
      </w:r>
    </w:p>
    <w:p>
      <w:pPr>
        <w:spacing w:after="0" w:line="62" w:lineRule="exact"/>
        <w:rPr>
          <w:sz w:val="20"/>
          <w:szCs w:val="20"/>
          <w:color w:val="auto"/>
        </w:rPr>
      </w:pPr>
    </w:p>
    <w:p>
      <w:pPr>
        <w:jc w:val="both"/>
        <w:ind w:firstLine="8"/>
        <w:spacing w:after="0" w:line="271" w:lineRule="auto"/>
        <w:tabs>
          <w:tab w:leader="none" w:pos="306"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net reductions in investments permitted by </w:t>
      </w:r>
      <w:r>
        <w:rPr>
          <w:rFonts w:ascii="Arial" w:cs="Arial" w:eastAsia="Arial" w:hAnsi="Arial"/>
          <w:sz w:val="18"/>
          <w:szCs w:val="18"/>
          <w:b w:val="1"/>
          <w:bCs w:val="1"/>
          <w:i w:val="1"/>
          <w:iCs w:val="1"/>
          <w:color w:val="auto"/>
        </w:rPr>
        <w:t>Section 10.8(m)</w:t>
      </w:r>
      <w:r>
        <w:rPr>
          <w:rFonts w:ascii="Arial" w:cs="Arial" w:eastAsia="Arial" w:hAnsi="Arial"/>
          <w:sz w:val="18"/>
          <w:szCs w:val="18"/>
          <w:color w:val="auto"/>
        </w:rPr>
        <w:t xml:space="preserve"> as a result of (i) dispositions of any such investments sold or otherwise liquidated or repaid to the extent of the net cash proceeds and the fair market value of any assets or property (as determined in good faith by the Board of Directors of VRI) received by a Restricted Company, or (ii) dividends reducing any such investment, repayment of the outstanding principal amount of loans or advances, or other transfers of assets to VRI or any Restricted Subsidiary of VRI, or (iii) the portion (proportionate to VRI’s direct or indirect interest in the equity therein) of the fair market value of the net assets of a joint venture in which a Restricted Company has made an investment permitted by </w:t>
      </w:r>
      <w:r>
        <w:rPr>
          <w:rFonts w:ascii="Arial" w:cs="Arial" w:eastAsia="Arial" w:hAnsi="Arial"/>
          <w:sz w:val="18"/>
          <w:szCs w:val="18"/>
          <w:b w:val="1"/>
          <w:bCs w:val="1"/>
          <w:i w:val="1"/>
          <w:iCs w:val="1"/>
          <w:color w:val="auto"/>
        </w:rPr>
        <w:t>Section 10.8(m)</w:t>
      </w:r>
      <w:r>
        <w:rPr>
          <w:rFonts w:ascii="Arial" w:cs="Arial" w:eastAsia="Arial" w:hAnsi="Arial"/>
          <w:sz w:val="18"/>
          <w:szCs w:val="18"/>
          <w:color w:val="auto"/>
        </w:rPr>
        <w:t xml:space="preserve"> immediately prior to the time such Person is designated or becomes a Restricted Subsidiary of VRI in accordance with </w:t>
      </w:r>
      <w:r>
        <w:rPr>
          <w:rFonts w:ascii="Arial" w:cs="Arial" w:eastAsia="Arial" w:hAnsi="Arial"/>
          <w:sz w:val="18"/>
          <w:szCs w:val="18"/>
          <w:b w:val="1"/>
          <w:bCs w:val="1"/>
          <w:i w:val="1"/>
          <w:iCs w:val="1"/>
          <w:color w:val="auto"/>
        </w:rPr>
        <w:t>Sections 9.10</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9.11(b)</w:t>
      </w:r>
      <w:r>
        <w:rPr>
          <w:rFonts w:ascii="Arial" w:cs="Arial" w:eastAsia="Arial" w:hAnsi="Arial"/>
          <w:sz w:val="18"/>
          <w:szCs w:val="18"/>
          <w:color w:val="auto"/>
        </w:rPr>
        <w:t xml:space="preserve">, </w:t>
      </w:r>
      <w:r>
        <w:rPr>
          <w:rFonts w:ascii="Arial" w:cs="Arial" w:eastAsia="Arial" w:hAnsi="Arial"/>
          <w:sz w:val="18"/>
          <w:szCs w:val="18"/>
          <w:i w:val="1"/>
          <w:iCs w:val="1"/>
          <w:color w:val="auto"/>
        </w:rPr>
        <w:t>minus</w:t>
      </w:r>
      <w:r>
        <w:rPr>
          <w:rFonts w:ascii="Arial" w:cs="Arial" w:eastAsia="Arial" w:hAnsi="Arial"/>
          <w:sz w:val="18"/>
          <w:szCs w:val="18"/>
          <w:color w:val="auto"/>
        </w:rPr>
        <w:t xml:space="preserve"> (d) loans made in accordance with </w:t>
      </w:r>
      <w:r>
        <w:rPr>
          <w:rFonts w:ascii="Arial" w:cs="Arial" w:eastAsia="Arial" w:hAnsi="Arial"/>
          <w:sz w:val="18"/>
          <w:szCs w:val="18"/>
          <w:b w:val="1"/>
          <w:bCs w:val="1"/>
          <w:i w:val="1"/>
          <w:iCs w:val="1"/>
          <w:color w:val="auto"/>
        </w:rPr>
        <w:t>Section 10.8(r)</w:t>
      </w:r>
      <w:r>
        <w:rPr>
          <w:rFonts w:ascii="Arial" w:cs="Arial" w:eastAsia="Arial" w:hAnsi="Arial"/>
          <w:sz w:val="18"/>
          <w:szCs w:val="18"/>
          <w:color w:val="auto"/>
        </w:rPr>
        <w:t>.</w:t>
      </w:r>
    </w:p>
    <w:p>
      <w:pPr>
        <w:spacing w:after="0" w:line="17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b w:val="1"/>
          <w:bCs w:val="1"/>
          <w:i w:val="1"/>
          <w:iCs w:val="1"/>
          <w:color w:val="auto"/>
        </w:rPr>
        <w:t xml:space="preserve">Investment Limit (Similar Businesses) </w:t>
      </w:r>
      <w:r>
        <w:rPr>
          <w:rFonts w:ascii="Arial" w:cs="Arial" w:eastAsia="Arial" w:hAnsi="Arial"/>
          <w:sz w:val="20"/>
          <w:szCs w:val="20"/>
          <w:color w:val="auto"/>
        </w:rPr>
        <w:t>means, on any date of determination, the sum of (a) $100,000,000,</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plus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 15% of Total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Assets, </w:t>
      </w:r>
      <w:r>
        <w:rPr>
          <w:rFonts w:ascii="Arial" w:cs="Arial" w:eastAsia="Arial" w:hAnsi="Arial"/>
          <w:sz w:val="20"/>
          <w:szCs w:val="20"/>
          <w:i w:val="1"/>
          <w:iCs w:val="1"/>
          <w:color w:val="auto"/>
        </w:rPr>
        <w:t>plus</w:t>
      </w:r>
      <w:r>
        <w:rPr>
          <w:rFonts w:ascii="Arial" w:cs="Arial" w:eastAsia="Arial" w:hAnsi="Arial"/>
          <w:sz w:val="20"/>
          <w:szCs w:val="20"/>
          <w:color w:val="auto"/>
        </w:rPr>
        <w:t xml:space="preserve"> (c) net reductions in investments permitted by </w:t>
      </w:r>
      <w:r>
        <w:rPr>
          <w:rFonts w:ascii="Arial" w:cs="Arial" w:eastAsia="Arial" w:hAnsi="Arial"/>
          <w:sz w:val="20"/>
          <w:szCs w:val="20"/>
          <w:b w:val="1"/>
          <w:bCs w:val="1"/>
          <w:i w:val="1"/>
          <w:iCs w:val="1"/>
          <w:color w:val="auto"/>
        </w:rPr>
        <w:t>Section 10.8(l)</w:t>
      </w:r>
      <w:r>
        <w:rPr>
          <w:rFonts w:ascii="Arial" w:cs="Arial" w:eastAsia="Arial" w:hAnsi="Arial"/>
          <w:sz w:val="20"/>
          <w:szCs w:val="20"/>
          <w:color w:val="auto"/>
        </w:rPr>
        <w:t xml:space="preserve"> as a result of (i) dispositions of any such investments sold or otherwise liquidated or repaid to the extent of the net cash proceeds and the fair market value of any assets or property (as determined in good faith by the Board of Directors of VRI) received by a Restricted Company, (ii) dividends reducing any such investment, repayment of the outstanding principal amount of loans or advances, or other transfers of assets to VRI or any Restricted Subsidiary of VRI, or (iii) the portion (proportionate to VRI’s direct or indirect interest in the equity of a Person) of the fair market value of the net assets of an Unrestricted Subsidiary immediately prior to the time such Unrestricted Subsidiary is designated or becomes a Restricted Subsidiary of VRI in accordance with </w:t>
      </w:r>
      <w:r>
        <w:rPr>
          <w:rFonts w:ascii="Arial" w:cs="Arial" w:eastAsia="Arial" w:hAnsi="Arial"/>
          <w:sz w:val="20"/>
          <w:szCs w:val="20"/>
          <w:b w:val="1"/>
          <w:bCs w:val="1"/>
          <w:i w:val="1"/>
          <w:iCs w:val="1"/>
          <w:color w:val="auto"/>
        </w:rPr>
        <w:t>Sections 9.10</w:t>
      </w:r>
      <w:r>
        <w:rPr>
          <w:rFonts w:ascii="Arial" w:cs="Arial" w:eastAsia="Arial" w:hAnsi="Arial"/>
          <w:sz w:val="20"/>
          <w:szCs w:val="20"/>
          <w:color w:val="auto"/>
        </w:rPr>
        <w:t xml:space="preserve"> or </w:t>
      </w:r>
      <w:r>
        <w:rPr>
          <w:rFonts w:ascii="Arial" w:cs="Arial" w:eastAsia="Arial" w:hAnsi="Arial"/>
          <w:sz w:val="20"/>
          <w:szCs w:val="20"/>
          <w:b w:val="1"/>
          <w:bCs w:val="1"/>
          <w:i w:val="1"/>
          <w:iCs w:val="1"/>
          <w:color w:val="auto"/>
        </w:rPr>
        <w:t>9.11(b)</w:t>
      </w:r>
      <w:r>
        <w:rPr>
          <w:rFonts w:ascii="Arial" w:cs="Arial" w:eastAsia="Arial" w:hAnsi="Arial"/>
          <w:sz w:val="20"/>
          <w:szCs w:val="20"/>
          <w:color w:val="auto"/>
        </w:rPr>
        <w:t>.</w:t>
      </w:r>
    </w:p>
    <w:p>
      <w:pPr>
        <w:spacing w:after="0" w:line="19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ISP </w:t>
      </w:r>
      <w:r>
        <w:rPr>
          <w:rFonts w:ascii="Arial" w:cs="Arial" w:eastAsia="Arial" w:hAnsi="Arial"/>
          <w:sz w:val="20"/>
          <w:szCs w:val="20"/>
          <w:color w:val="auto"/>
        </w:rPr>
        <w:t>means, with respect to any L/C, the “</w:t>
      </w:r>
      <w:r>
        <w:rPr>
          <w:rFonts w:ascii="Arial" w:cs="Arial" w:eastAsia="Arial" w:hAnsi="Arial"/>
          <w:sz w:val="20"/>
          <w:szCs w:val="20"/>
          <w:i w:val="1"/>
          <w:iCs w:val="1"/>
          <w:color w:val="auto"/>
        </w:rPr>
        <w:t>International Standby Practices 1998</w:t>
      </w:r>
      <w:r>
        <w:rPr>
          <w:rFonts w:ascii="Arial" w:cs="Arial" w:eastAsia="Arial" w:hAnsi="Arial"/>
          <w:sz w:val="20"/>
          <w:szCs w:val="20"/>
          <w:color w:val="auto"/>
        </w:rPr>
        <w:t>” published by the Institute of International Banking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Law &amp; Practice (or such later version thereof as may be in effect at the time of issuance).</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i w:val="1"/>
          <w:iCs w:val="1"/>
          <w:color w:val="auto"/>
        </w:rPr>
        <w:t xml:space="preserve">Issuer Documents </w:t>
      </w:r>
      <w:r>
        <w:rPr>
          <w:rFonts w:ascii="Arial" w:cs="Arial" w:eastAsia="Arial" w:hAnsi="Arial"/>
          <w:sz w:val="19"/>
          <w:szCs w:val="19"/>
          <w:color w:val="auto"/>
        </w:rPr>
        <w:t>means with respect to any L/C, the L/C Agreement and any other document, agreement, and instrument entered into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by the applicable L/C Issuer and Borrower (or any other Company) or in favor of such L/C Issuer and relating to such L/C.</w:t>
      </w:r>
    </w:p>
    <w:p>
      <w:pPr>
        <w:spacing w:after="0" w:line="15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Joint Lead Arrangers </w:t>
      </w:r>
      <w:r>
        <w:rPr>
          <w:rFonts w:ascii="Arial" w:cs="Arial" w:eastAsia="Arial" w:hAnsi="Arial"/>
          <w:sz w:val="20"/>
          <w:szCs w:val="20"/>
          <w:color w:val="auto"/>
        </w:rPr>
        <w:t>means MLPF&amp;S and U.S. Bank National Association, in their respective capacities as joint lead arrangers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joint bookrunners, and Wells Fargo Securities, LLC, it its capacity as joint lead arranger.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Laws </w:t>
      </w:r>
      <w:r>
        <w:rPr>
          <w:rFonts w:ascii="Arial" w:cs="Arial" w:eastAsia="Arial" w:hAnsi="Arial"/>
          <w:sz w:val="18"/>
          <w:szCs w:val="18"/>
          <w:color w:val="auto"/>
        </w:rPr>
        <w:t>means all applicable statutes, laws, treaties, ordinances, rules, regulations, orders, writs, injunctions, decrees, and judgments.</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L/C </w:t>
      </w:r>
      <w:r>
        <w:rPr>
          <w:rFonts w:ascii="Arial" w:cs="Arial" w:eastAsia="Arial" w:hAnsi="Arial"/>
          <w:sz w:val="20"/>
          <w:szCs w:val="20"/>
          <w:color w:val="auto"/>
        </w:rPr>
        <w:t>means each Existing L/C and other letter of credit issued by an L/C Issuer under this Agreement providing for the payment of cash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upon the honoring of a presentation thereunder. An L/C may be a standby or commercial letter of credit. L/Cs may be issued in Dollars or in the Alternative Currency.</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L/C Agreement </w:t>
      </w:r>
      <w:r>
        <w:rPr>
          <w:rFonts w:ascii="Arial" w:cs="Arial" w:eastAsia="Arial" w:hAnsi="Arial"/>
          <w:sz w:val="20"/>
          <w:szCs w:val="20"/>
          <w:color w:val="auto"/>
        </w:rPr>
        <w:t>means an application and agreement for the issuance or amendment of an L/C in the form from time to time in use by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applicable L/C Issuer.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20"/>
          </w:cols>
          <w:pgMar w:left="240" w:top="582" w:right="239" w:bottom="1440" w:gutter="0" w:footer="0" w:header="0"/>
        </w:sectPr>
      </w:pPr>
    </w:p>
    <w:bookmarkStart w:id="83" w:name="page84"/>
    <w:bookmarkEnd w:id="83"/>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L/C Borrowing </w:t>
      </w:r>
      <w:r>
        <w:rPr>
          <w:rFonts w:ascii="Arial" w:cs="Arial" w:eastAsia="Arial" w:hAnsi="Arial"/>
          <w:sz w:val="20"/>
          <w:szCs w:val="20"/>
          <w:color w:val="auto"/>
        </w:rPr>
        <w:t>means an extension of credit resulting from a drawing under any L/C that has not been reimbursed on the date when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made or refinanced as a Revolver Loan.</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L/C Commitment </w:t>
      </w:r>
      <w:r>
        <w:rPr>
          <w:rFonts w:ascii="Arial" w:cs="Arial" w:eastAsia="Arial" w:hAnsi="Arial"/>
          <w:sz w:val="20"/>
          <w:szCs w:val="20"/>
          <w:color w:val="auto"/>
        </w:rPr>
        <w:t>means, as to each L/C Issuer, the commitment of such L/C Issuer to issue Letters of Credit in an aggregate principal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amount at any one time outstanding not to exceed the amount set forth opposite such L/C Issuer’s name on </w:t>
      </w:r>
      <w:r>
        <w:rPr>
          <w:rFonts w:ascii="Arial" w:cs="Arial" w:eastAsia="Arial" w:hAnsi="Arial"/>
          <w:sz w:val="20"/>
          <w:szCs w:val="20"/>
          <w:b w:val="1"/>
          <w:bCs w:val="1"/>
          <w:i w:val="1"/>
          <w:iCs w:val="1"/>
          <w:color w:val="auto"/>
        </w:rPr>
        <w:t>Schedule 1</w:t>
      </w:r>
      <w:r>
        <w:rPr>
          <w:rFonts w:ascii="Arial" w:cs="Arial" w:eastAsia="Arial" w:hAnsi="Arial"/>
          <w:sz w:val="20"/>
          <w:szCs w:val="20"/>
          <w:color w:val="auto"/>
        </w:rPr>
        <w:t xml:space="preserve"> under the caption “</w:t>
      </w:r>
      <w:r>
        <w:rPr>
          <w:rFonts w:ascii="Arial" w:cs="Arial" w:eastAsia="Arial" w:hAnsi="Arial"/>
          <w:sz w:val="20"/>
          <w:szCs w:val="20"/>
          <w:i w:val="1"/>
          <w:iCs w:val="1"/>
          <w:color w:val="auto"/>
        </w:rPr>
        <w:t>Letter of Credit Sublimit</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L/C Credit Extension </w:t>
      </w:r>
      <w:r>
        <w:rPr>
          <w:rFonts w:ascii="Arial" w:cs="Arial" w:eastAsia="Arial" w:hAnsi="Arial"/>
          <w:sz w:val="20"/>
          <w:szCs w:val="20"/>
          <w:color w:val="auto"/>
        </w:rPr>
        <w:t>means, with respect to any L/C, the issuance thereof, the extension of the expiry date thereof, or the increase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amount thereof.</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b w:val="1"/>
          <w:bCs w:val="1"/>
          <w:i w:val="1"/>
          <w:iCs w:val="1"/>
          <w:color w:val="auto"/>
        </w:rPr>
        <w:t xml:space="preserve">L/C Expiration Date </w:t>
      </w:r>
      <w:r>
        <w:rPr>
          <w:rFonts w:ascii="Arial" w:cs="Arial" w:eastAsia="Arial" w:hAnsi="Arial"/>
          <w:sz w:val="20"/>
          <w:szCs w:val="20"/>
          <w:color w:val="auto"/>
        </w:rPr>
        <w:t>means the day that is seven (7) days prior to the Termination Date for the Revolver Facility then in effect (or, if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such day is not a Business Day, the next preceding Business Day).</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b w:val="1"/>
          <w:bCs w:val="1"/>
          <w:i w:val="1"/>
          <w:iCs w:val="1"/>
          <w:color w:val="auto"/>
        </w:rPr>
        <w:t xml:space="preserve">L/C Exposure </w:t>
      </w:r>
      <w:r>
        <w:rPr>
          <w:rFonts w:ascii="Arial" w:cs="Arial" w:eastAsia="Arial" w:hAnsi="Arial"/>
          <w:sz w:val="19"/>
          <w:szCs w:val="19"/>
          <w:color w:val="auto"/>
        </w:rPr>
        <w:t>means, on any date of determination, without duplication, the</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sum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(a) the aggregate amount available to be drawn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under all outstanding L/Cs (including, without limitation, any reinstatement of or increase in the face amount thereof effected pursuant to the terms of any Bond L/C), </w:t>
      </w:r>
      <w:r>
        <w:rPr>
          <w:rFonts w:ascii="Arial" w:cs="Arial" w:eastAsia="Arial" w:hAnsi="Arial"/>
          <w:sz w:val="19"/>
          <w:szCs w:val="19"/>
          <w:i w:val="1"/>
          <w:iCs w:val="1"/>
          <w:color w:val="auto"/>
        </w:rPr>
        <w:t>plus</w:t>
      </w:r>
      <w:r>
        <w:rPr>
          <w:rFonts w:ascii="Arial" w:cs="Arial" w:eastAsia="Arial" w:hAnsi="Arial"/>
          <w:sz w:val="19"/>
          <w:szCs w:val="19"/>
          <w:color w:val="auto"/>
        </w:rPr>
        <w:t xml:space="preserve"> (b) the aggregate unpaid reimbursement obligations of Borrower with respect to drawings, drafts, or other forms of demand honored under any L/C (including, without limitation, all L/C Borrowings and unpaid reimbursement obligations under any Bond L/C). For purposes of computing the amount available to be drawn under any L/C, the amount of such L/C shall be determined in accordance with </w:t>
      </w:r>
      <w:r>
        <w:rPr>
          <w:rFonts w:ascii="Arial" w:cs="Arial" w:eastAsia="Arial" w:hAnsi="Arial"/>
          <w:sz w:val="19"/>
          <w:szCs w:val="19"/>
          <w:b w:val="1"/>
          <w:bCs w:val="1"/>
          <w:i w:val="1"/>
          <w:iCs w:val="1"/>
          <w:color w:val="auto"/>
        </w:rPr>
        <w:t>Section 1.7</w:t>
      </w:r>
      <w:r>
        <w:rPr>
          <w:rFonts w:ascii="Arial" w:cs="Arial" w:eastAsia="Arial" w:hAnsi="Arial"/>
          <w:sz w:val="19"/>
          <w:szCs w:val="19"/>
          <w:color w:val="auto"/>
        </w:rPr>
        <w:t xml:space="preserve">. For all purposes of this Agreement, if on any date of determination an L/C has expired by its terms but any amount may still be drawn thereunder by reason of the operation of </w:t>
      </w:r>
      <w:r>
        <w:rPr>
          <w:rFonts w:ascii="Arial" w:cs="Arial" w:eastAsia="Arial" w:hAnsi="Arial"/>
          <w:sz w:val="19"/>
          <w:szCs w:val="19"/>
          <w:i w:val="1"/>
          <w:iCs w:val="1"/>
          <w:color w:val="auto"/>
        </w:rPr>
        <w:t>Rule 3.14</w:t>
      </w:r>
      <w:r>
        <w:rPr>
          <w:rFonts w:ascii="Arial" w:cs="Arial" w:eastAsia="Arial" w:hAnsi="Arial"/>
          <w:sz w:val="19"/>
          <w:szCs w:val="19"/>
          <w:color w:val="auto"/>
        </w:rPr>
        <w:t xml:space="preserve"> of the ISP, such L/C shall be deemed to be “</w:t>
      </w:r>
      <w:r>
        <w:rPr>
          <w:rFonts w:ascii="Arial" w:cs="Arial" w:eastAsia="Arial" w:hAnsi="Arial"/>
          <w:sz w:val="19"/>
          <w:szCs w:val="19"/>
          <w:i w:val="1"/>
          <w:iCs w:val="1"/>
          <w:color w:val="auto"/>
        </w:rPr>
        <w:t>outstanding</w:t>
      </w:r>
      <w:r>
        <w:rPr>
          <w:rFonts w:ascii="Arial" w:cs="Arial" w:eastAsia="Arial" w:hAnsi="Arial"/>
          <w:sz w:val="19"/>
          <w:szCs w:val="19"/>
          <w:color w:val="auto"/>
        </w:rPr>
        <w:t>” in the amount so remaining available to be drawn.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L/C Fees </w:t>
      </w:r>
      <w:r>
        <w:rPr>
          <w:rFonts w:ascii="Arial" w:cs="Arial" w:eastAsia="Arial" w:hAnsi="Arial"/>
          <w:sz w:val="20"/>
          <w:szCs w:val="20"/>
          <w:color w:val="auto"/>
        </w:rPr>
        <w:t>has the meaning set forth in</w:t>
      </w:r>
      <w:r>
        <w:rPr>
          <w:rFonts w:ascii="Arial" w:cs="Arial" w:eastAsia="Arial" w:hAnsi="Arial"/>
          <w:sz w:val="20"/>
          <w:szCs w:val="20"/>
          <w:b w:val="1"/>
          <w:bCs w:val="1"/>
          <w:i w:val="1"/>
          <w:iCs w:val="1"/>
          <w:color w:val="auto"/>
        </w:rPr>
        <w:t xml:space="preserve"> Section 3.10(b)</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b w:val="1"/>
          <w:bCs w:val="1"/>
          <w:i w:val="1"/>
          <w:iCs w:val="1"/>
          <w:color w:val="auto"/>
        </w:rPr>
        <w:t xml:space="preserve">L/C Issuers </w:t>
      </w:r>
      <w:r>
        <w:rPr>
          <w:rFonts w:ascii="Arial" w:cs="Arial" w:eastAsia="Arial" w:hAnsi="Arial"/>
          <w:sz w:val="19"/>
          <w:szCs w:val="19"/>
          <w:color w:val="auto"/>
        </w:rPr>
        <w:t>means Bank of America, Wells Fargo Bank, National Association and the Australian L/C Issuer, in their respective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capacities as issuers of L/Cs hereunder, and any additional Lender approved by Administrative Agent and Borrower that has agreed to act as an “</w:t>
      </w:r>
      <w:r>
        <w:rPr>
          <w:rFonts w:ascii="Arial" w:cs="Arial" w:eastAsia="Arial" w:hAnsi="Arial"/>
          <w:sz w:val="19"/>
          <w:szCs w:val="19"/>
          <w:i w:val="1"/>
          <w:iCs w:val="1"/>
          <w:color w:val="auto"/>
        </w:rPr>
        <w:t>L/C Issuer</w:t>
      </w:r>
      <w:r>
        <w:rPr>
          <w:rFonts w:ascii="Arial" w:cs="Arial" w:eastAsia="Arial" w:hAnsi="Arial"/>
          <w:sz w:val="19"/>
          <w:szCs w:val="19"/>
          <w:color w:val="auto"/>
        </w:rPr>
        <w:t xml:space="preserve">”, or any successor issuer of L/Cs hereunder; and </w:t>
      </w:r>
      <w:r>
        <w:rPr>
          <w:rFonts w:ascii="Arial" w:cs="Arial" w:eastAsia="Arial" w:hAnsi="Arial"/>
          <w:sz w:val="19"/>
          <w:szCs w:val="19"/>
          <w:b w:val="1"/>
          <w:bCs w:val="1"/>
          <w:i w:val="1"/>
          <w:iCs w:val="1"/>
          <w:color w:val="auto"/>
        </w:rPr>
        <w:t>L/C Issuer</w:t>
      </w:r>
      <w:r>
        <w:rPr>
          <w:rFonts w:ascii="Arial" w:cs="Arial" w:eastAsia="Arial" w:hAnsi="Arial"/>
          <w:sz w:val="19"/>
          <w:szCs w:val="19"/>
          <w:color w:val="auto"/>
        </w:rPr>
        <w:t xml:space="preserve"> means one of the L/C Issuers.</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L/C Subfacility </w:t>
      </w:r>
      <w:r>
        <w:rPr>
          <w:rFonts w:ascii="Arial" w:cs="Arial" w:eastAsia="Arial" w:hAnsi="Arial"/>
          <w:sz w:val="20"/>
          <w:szCs w:val="20"/>
          <w:color w:val="auto"/>
        </w:rPr>
        <w:t>means a subfacility under the Agreement for the issuance of L/Cs, as described in</w:t>
      </w:r>
      <w:r>
        <w:rPr>
          <w:rFonts w:ascii="Arial" w:cs="Arial" w:eastAsia="Arial" w:hAnsi="Arial"/>
          <w:sz w:val="20"/>
          <w:szCs w:val="20"/>
          <w:b w:val="1"/>
          <w:bCs w:val="1"/>
          <w:i w:val="1"/>
          <w:iCs w:val="1"/>
          <w:color w:val="auto"/>
        </w:rPr>
        <w:t xml:space="preserve"> Section 2.3</w:t>
      </w:r>
      <w:r>
        <w:rPr>
          <w:rFonts w:ascii="Arial" w:cs="Arial" w:eastAsia="Arial" w:hAnsi="Arial"/>
          <w:sz w:val="20"/>
          <w:szCs w:val="20"/>
          <w:color w:val="auto"/>
        </w:rPr>
        <w:t>, under which the L/C</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Exposure may never exceed the L/C Sublimit.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L/C Sublimit </w:t>
      </w:r>
      <w:r>
        <w:rPr>
          <w:rFonts w:ascii="Arial" w:cs="Arial" w:eastAsia="Arial" w:hAnsi="Arial"/>
          <w:sz w:val="20"/>
          <w:szCs w:val="20"/>
          <w:color w:val="auto"/>
        </w:rPr>
        <w:t>means the lesser of (a) $200,000,000 and (b) the Revolver Commitment (as the same may be increased or reduced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accordance with the Loan Papers). The L/C Sublimit is part of, and not in addition to, the Revolver Commitment.</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b w:val="1"/>
          <w:bCs w:val="1"/>
          <w:i w:val="1"/>
          <w:iCs w:val="1"/>
          <w:color w:val="auto"/>
        </w:rPr>
        <w:t xml:space="preserve">Lenders </w:t>
      </w:r>
      <w:r>
        <w:rPr>
          <w:rFonts w:ascii="Arial" w:cs="Arial" w:eastAsia="Arial" w:hAnsi="Arial"/>
          <w:sz w:val="19"/>
          <w:szCs w:val="19"/>
          <w:color w:val="auto"/>
        </w:rPr>
        <w:t>means (a) each of the lenders named on the attached</w:t>
      </w:r>
      <w:r>
        <w:rPr>
          <w:rFonts w:ascii="Arial" w:cs="Arial" w:eastAsia="Arial" w:hAnsi="Arial"/>
          <w:sz w:val="19"/>
          <w:szCs w:val="19"/>
          <w:b w:val="1"/>
          <w:bCs w:val="1"/>
          <w:i w:val="1"/>
          <w:iCs w:val="1"/>
          <w:color w:val="auto"/>
        </w:rPr>
        <w:t xml:space="preserve"> Schedule 1 </w:t>
      </w:r>
      <w:r>
        <w:rPr>
          <w:rFonts w:ascii="Arial" w:cs="Arial" w:eastAsia="Arial" w:hAnsi="Arial"/>
          <w:sz w:val="19"/>
          <w:szCs w:val="19"/>
          <w:color w:val="auto"/>
        </w:rPr>
        <w:t>(and as the context so requires, the Swing Line Lenders)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subject to this Agreement, their respective successors and assigns (but not any Participant who is not otherwise a party to this Agreement), and (b) additional lenders who become party to this Agreement in accordance with </w:t>
      </w:r>
      <w:r>
        <w:rPr>
          <w:rFonts w:ascii="Arial" w:cs="Arial" w:eastAsia="Arial" w:hAnsi="Arial"/>
          <w:sz w:val="19"/>
          <w:szCs w:val="19"/>
          <w:b w:val="1"/>
          <w:bCs w:val="1"/>
          <w:i w:val="1"/>
          <w:iCs w:val="1"/>
          <w:color w:val="auto"/>
        </w:rPr>
        <w:t>Section 2.5</w:t>
      </w:r>
      <w:r>
        <w:rPr>
          <w:rFonts w:ascii="Arial" w:cs="Arial" w:eastAsia="Arial" w:hAnsi="Arial"/>
          <w:sz w:val="19"/>
          <w:szCs w:val="19"/>
          <w:color w:val="auto"/>
        </w:rPr>
        <w:t xml:space="preserve"> hereof.</w:t>
      </w:r>
    </w:p>
    <w:p>
      <w:pPr>
        <w:spacing w:after="0" w:line="170"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b w:val="1"/>
          <w:bCs w:val="1"/>
          <w:i w:val="1"/>
          <w:iCs w:val="1"/>
          <w:color w:val="auto"/>
        </w:rPr>
        <w:t xml:space="preserve">Lending Office </w:t>
      </w:r>
      <w:r>
        <w:rPr>
          <w:rFonts w:ascii="Arial" w:cs="Arial" w:eastAsia="Arial" w:hAnsi="Arial"/>
          <w:sz w:val="19"/>
          <w:szCs w:val="19"/>
          <w:color w:val="auto"/>
        </w:rPr>
        <w:t>means as to any Lender, the office or offices of such Lender described as such in such Lender’s Administrative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Questionnaire, or such other office or offices as a Lender may from time to time notify Borrower and Administrative Agent.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LIBO Rate </w:t>
      </w:r>
      <w:r>
        <w:rPr>
          <w:rFonts w:ascii="Arial" w:cs="Arial" w:eastAsia="Arial" w:hAnsi="Arial"/>
          <w:sz w:val="20"/>
          <w:szCs w:val="20"/>
          <w:color w:val="auto"/>
        </w:rPr>
        <w:t>has the meaning set forth in the definition of “</w:t>
      </w:r>
      <w:r>
        <w:rPr>
          <w:rFonts w:ascii="Arial" w:cs="Arial" w:eastAsia="Arial" w:hAnsi="Arial"/>
          <w:sz w:val="20"/>
          <w:szCs w:val="20"/>
          <w:i w:val="1"/>
          <w:iCs w:val="1"/>
          <w:color w:val="auto"/>
        </w:rPr>
        <w:t>Eurocurrency Rate</w:t>
      </w:r>
      <w:r>
        <w:rPr>
          <w:rFonts w:ascii="Arial" w:cs="Arial" w:eastAsia="Arial" w:hAnsi="Arial"/>
          <w:sz w:val="20"/>
          <w:szCs w:val="20"/>
          <w:color w:val="auto"/>
        </w:rPr>
        <w: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582" w:right="239" w:bottom="1440" w:gutter="0" w:footer="0" w:header="0"/>
        </w:sectPr>
      </w:pPr>
    </w:p>
    <w:bookmarkStart w:id="84" w:name="page85"/>
    <w:bookmarkEnd w:id="84"/>
    <w:p>
      <w:pPr>
        <w:jc w:val="both"/>
        <w:ind w:firstLine="648"/>
        <w:spacing w:after="0" w:line="316" w:lineRule="auto"/>
        <w:rPr>
          <w:sz w:val="20"/>
          <w:szCs w:val="20"/>
          <w:color w:val="auto"/>
        </w:rPr>
      </w:pPr>
      <w:r>
        <w:rPr>
          <w:rFonts w:ascii="Arial" w:cs="Arial" w:eastAsia="Arial" w:hAnsi="Arial"/>
          <w:sz w:val="18"/>
          <w:szCs w:val="18"/>
          <w:b w:val="1"/>
          <w:bCs w:val="1"/>
          <w:i w:val="1"/>
          <w:iCs w:val="1"/>
          <w:color w:val="auto"/>
        </w:rPr>
        <w:t xml:space="preserve">LIBOR Screen Rate </w:t>
      </w:r>
      <w:r>
        <w:rPr>
          <w:rFonts w:ascii="Arial" w:cs="Arial" w:eastAsia="Arial" w:hAnsi="Arial"/>
          <w:sz w:val="18"/>
          <w:szCs w:val="18"/>
          <w:color w:val="auto"/>
        </w:rPr>
        <w:t>means the LIBO Rate quote on the applicable screen page Administrative Agent designates to determine LIBO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 (or such other commercially available source providing such quotations as may be designated by Administrative Agent from time to time).</w:t>
      </w:r>
    </w:p>
    <w:p>
      <w:pPr>
        <w:spacing w:after="0" w:line="13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i w:val="1"/>
          <w:iCs w:val="1"/>
          <w:color w:val="auto"/>
        </w:rPr>
        <w:t xml:space="preserve">LIBOR Successor Rate Conforming Changes </w:t>
      </w:r>
      <w:r>
        <w:rPr>
          <w:rFonts w:ascii="Arial" w:cs="Arial" w:eastAsia="Arial" w:hAnsi="Arial"/>
          <w:sz w:val="20"/>
          <w:szCs w:val="20"/>
          <w:color w:val="auto"/>
        </w:rPr>
        <w:t>means, with respect to any proposed LIBOR Successor Rate, any conforming changes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to the definition of Base Rate, Interest Period, timing and frequency of determining rates and making payments of interest and other administrative matters as may be appropriate, in the discretion of Administrative Agent, to reflect the adoption of such LIBOR Successor Rate and to permit the administration thereof by Administrative Agent in a manner substantially consistent with market practice (or, if Administrative Agent determines that adoption of any portion of such market practice is not administratively feasible or that no market practice for the administration of such LIBOR Successor Rate exists, in such other manner of administration as Administrative Agent determines in consultation with the Borrower).</w:t>
      </w:r>
    </w:p>
    <w:p>
      <w:pPr>
        <w:spacing w:after="0" w:line="19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Lien </w:t>
      </w:r>
      <w:r>
        <w:rPr>
          <w:rFonts w:ascii="Arial" w:cs="Arial" w:eastAsia="Arial" w:hAnsi="Arial"/>
          <w:sz w:val="20"/>
          <w:szCs w:val="20"/>
          <w:color w:val="auto"/>
        </w:rPr>
        <w:t>means, with respect to any asset, any mortgage, lien, pledge, charge, security interest, or encumbrance of any kind in respect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such asset. For the purposes of this Agreement, a Person shall be deemed to own subject to a Lien any asset which it has acquired or holds subject to the interest of a vendor or lessor under any conditional sale agreement, capital lease, or other title retention agreement relating to such asset.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Litigation </w:t>
      </w:r>
      <w:r>
        <w:rPr>
          <w:rFonts w:ascii="Arial" w:cs="Arial" w:eastAsia="Arial" w:hAnsi="Arial"/>
          <w:sz w:val="20"/>
          <w:szCs w:val="20"/>
          <w:color w:val="auto"/>
        </w:rPr>
        <w:t>means any action, suit, proceeding, claim, or dispute by or before any Governmental Authority.</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Loan </w:t>
      </w:r>
      <w:r>
        <w:rPr>
          <w:rFonts w:ascii="Arial" w:cs="Arial" w:eastAsia="Arial" w:hAnsi="Arial"/>
          <w:sz w:val="20"/>
          <w:szCs w:val="20"/>
          <w:color w:val="auto"/>
        </w:rPr>
        <w:t>means any amount disbursed by any Lender to Borrower or on behalf of any Company under the Loan Papers, either as 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original disbursement of funds, the continuation of an amount outstanding, or payment under an L/C.</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Loan Date </w:t>
      </w:r>
      <w:r>
        <w:rPr>
          <w:rFonts w:ascii="Arial" w:cs="Arial" w:eastAsia="Arial" w:hAnsi="Arial"/>
          <w:sz w:val="20"/>
          <w:szCs w:val="20"/>
          <w:color w:val="auto"/>
        </w:rPr>
        <w:t>is defined in</w:t>
      </w:r>
      <w:r>
        <w:rPr>
          <w:rFonts w:ascii="Arial" w:cs="Arial" w:eastAsia="Arial" w:hAnsi="Arial"/>
          <w:sz w:val="20"/>
          <w:szCs w:val="20"/>
          <w:b w:val="1"/>
          <w:bCs w:val="1"/>
          <w:i w:val="1"/>
          <w:iCs w:val="1"/>
          <w:color w:val="auto"/>
        </w:rPr>
        <w:t xml:space="preserve"> Section 2.2(a)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Loan Notice </w:t>
      </w:r>
      <w:r>
        <w:rPr>
          <w:rFonts w:ascii="Arial" w:cs="Arial" w:eastAsia="Arial" w:hAnsi="Arial"/>
          <w:sz w:val="20"/>
          <w:szCs w:val="20"/>
          <w:color w:val="auto"/>
        </w:rPr>
        <w:t>means a request executed by a Responsible Officer substantially in the form of</w:t>
      </w:r>
      <w:r>
        <w:rPr>
          <w:rFonts w:ascii="Arial" w:cs="Arial" w:eastAsia="Arial" w:hAnsi="Arial"/>
          <w:sz w:val="20"/>
          <w:szCs w:val="20"/>
          <w:b w:val="1"/>
          <w:bCs w:val="1"/>
          <w:i w:val="1"/>
          <w:iCs w:val="1"/>
          <w:color w:val="auto"/>
        </w:rPr>
        <w:t xml:space="preserve"> Exhibit C-1 </w:t>
      </w:r>
      <w:r>
        <w:rPr>
          <w:rFonts w:ascii="Arial" w:cs="Arial" w:eastAsia="Arial" w:hAnsi="Arial"/>
          <w:sz w:val="20"/>
          <w:szCs w:val="20"/>
          <w:color w:val="auto"/>
        </w:rPr>
        <w:t>or such other form as may be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approved by Administrative Agent (including any form on an electronic platform or electronic transmission system as shall be approved by Administrative Agent).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Loan Papers </w:t>
      </w:r>
      <w:r>
        <w:rPr>
          <w:rFonts w:ascii="Arial" w:cs="Arial" w:eastAsia="Arial" w:hAnsi="Arial"/>
          <w:sz w:val="20"/>
          <w:szCs w:val="20"/>
          <w:color w:val="auto"/>
        </w:rPr>
        <w:t>means (a) this Agreement, (b) the Notes, (c) each Guaranty, (d) all L/Cs and L/C Agreements, (e) the Security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Documents, and (f) all renewals, extensions, restatements of, amendments and supplements to, and confirmations or ratifications of, any of the foregoing.</w:t>
      </w:r>
    </w:p>
    <w:p>
      <w:pPr>
        <w:spacing w:after="0" w:line="18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b w:val="1"/>
          <w:bCs w:val="1"/>
          <w:i w:val="1"/>
          <w:iCs w:val="1"/>
          <w:color w:val="auto"/>
        </w:rPr>
        <w:t xml:space="preserve">Material Adverse Event </w:t>
      </w:r>
      <w:r>
        <w:rPr>
          <w:rFonts w:ascii="Arial" w:cs="Arial" w:eastAsia="Arial" w:hAnsi="Arial"/>
          <w:sz w:val="18"/>
          <w:szCs w:val="18"/>
          <w:color w:val="auto"/>
        </w:rPr>
        <w:t>means any (a) material impairment of the ability of the Restricted Companies as a whole to perform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 or other material obligations under the Loan Papers or material impairment of the ability of Administrative Agent or any Lender to enforce any of the material obligations of the Restricted Companies as a whole under the Loan Papers; (b) material and adverse effect on the operations, business, properties, liabilities (actual or contingent), or condition (financial or otherwise) of the Restricted Companies as a whole; or (c) a material adverse effect upon the legality, validity, or binding effect against the Restricted Companies of any Loan Paper to which such Restricted Companies are parties (determined with respect to the Loan Papers of the Restricted Companies taken as a whole).</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Material Agreement </w:t>
      </w:r>
      <w:r>
        <w:rPr>
          <w:rFonts w:ascii="Arial" w:cs="Arial" w:eastAsia="Arial" w:hAnsi="Arial"/>
          <w:sz w:val="20"/>
          <w:szCs w:val="20"/>
          <w:color w:val="auto"/>
        </w:rPr>
        <w:t>means, for any Person, any agreement (excluding purchase orders for material, services, or inventory in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ordinary course of business) to which that Person is a party, by which that Person is bound, or to which any assets of that Person may be subject, that is not cancelable by that Person upon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20"/>
          </w:cols>
          <w:pgMar w:left="240" w:top="582" w:right="239" w:bottom="1440" w:gutter="0" w:footer="0" w:header="0"/>
        </w:sectPr>
      </w:pPr>
    </w:p>
    <w:bookmarkStart w:id="85" w:name="page86"/>
    <w:bookmarkEnd w:id="85"/>
    <w:p>
      <w:pPr>
        <w:jc w:val="both"/>
        <w:spacing w:after="0" w:line="260" w:lineRule="auto"/>
        <w:rPr>
          <w:sz w:val="20"/>
          <w:szCs w:val="20"/>
          <w:color w:val="auto"/>
        </w:rPr>
      </w:pPr>
      <w:r>
        <w:rPr>
          <w:rFonts w:ascii="Arial" w:cs="Arial" w:eastAsia="Arial" w:hAnsi="Arial"/>
          <w:sz w:val="20"/>
          <w:szCs w:val="20"/>
          <w:color w:val="auto"/>
        </w:rPr>
        <w:t xml:space="preserve">30 or fewer days’ notice without liability for further payment,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nominal penalty, and that requires that Person to pay more than $2,000,000 during any 12-month period.</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Maximum Amount </w:t>
      </w:r>
      <w:r>
        <w:rPr>
          <w:rFonts w:ascii="Arial" w:cs="Arial" w:eastAsia="Arial" w:hAnsi="Arial"/>
          <w:sz w:val="20"/>
          <w:szCs w:val="20"/>
          <w:color w:val="auto"/>
        </w:rPr>
        <w:t>and</w:t>
      </w:r>
      <w:r>
        <w:rPr>
          <w:rFonts w:ascii="Arial" w:cs="Arial" w:eastAsia="Arial" w:hAnsi="Arial"/>
          <w:sz w:val="20"/>
          <w:szCs w:val="20"/>
          <w:b w:val="1"/>
          <w:bCs w:val="1"/>
          <w:i w:val="1"/>
          <w:iCs w:val="1"/>
          <w:color w:val="auto"/>
        </w:rPr>
        <w:t xml:space="preserve"> Maximum Rate </w:t>
      </w:r>
      <w:r>
        <w:rPr>
          <w:rFonts w:ascii="Arial" w:cs="Arial" w:eastAsia="Arial" w:hAnsi="Arial"/>
          <w:sz w:val="20"/>
          <w:szCs w:val="20"/>
          <w:color w:val="auto"/>
        </w:rPr>
        <w:t>respectively mean, for a Lender, the maximum non-usurious amount and the maximum non-usurious rate of interest that, under applicable Law, such Lender is permitted to contract for, charge, take, reserve, or receive on the Obligation held by such Lender.</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Maximum Facility Amount </w:t>
      </w:r>
      <w:r>
        <w:rPr>
          <w:rFonts w:ascii="Arial" w:cs="Arial" w:eastAsia="Arial" w:hAnsi="Arial"/>
          <w:sz w:val="20"/>
          <w:szCs w:val="20"/>
          <w:color w:val="auto"/>
        </w:rPr>
        <w:t>means, on any date of determination, the greater of (a) $1,200,000,000, and (b) the product of (i) 2.75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(ii) Adjusted EBITDA for the four fiscal quarters ending on the last day of the immediately preceding fiscal quarter.</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b w:val="1"/>
          <w:bCs w:val="1"/>
          <w:i w:val="1"/>
          <w:iCs w:val="1"/>
          <w:color w:val="auto"/>
        </w:rPr>
        <w:t xml:space="preserve">Metro Districts </w:t>
      </w:r>
      <w:r>
        <w:rPr>
          <w:rFonts w:ascii="Arial" w:cs="Arial" w:eastAsia="Arial" w:hAnsi="Arial"/>
          <w:sz w:val="18"/>
          <w:szCs w:val="18"/>
          <w:color w:val="auto"/>
        </w:rPr>
        <w:t>means, collectively, (a) the Existing Metro Districts, and (b) any other Person which issues Bonds after the Closing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Date to finance the operation, construction, and maintenance of infrastructure projects in municipalities, which projects are related to the Companies’ business activities in the region in which the projects are being developed; and </w:t>
      </w:r>
      <w:r>
        <w:rPr>
          <w:rFonts w:ascii="Arial" w:cs="Arial" w:eastAsia="Arial" w:hAnsi="Arial"/>
          <w:sz w:val="18"/>
          <w:szCs w:val="18"/>
          <w:b w:val="1"/>
          <w:bCs w:val="1"/>
          <w:i w:val="1"/>
          <w:iCs w:val="1"/>
          <w:color w:val="auto"/>
        </w:rPr>
        <w:t>Metro District</w:t>
      </w:r>
      <w:r>
        <w:rPr>
          <w:rFonts w:ascii="Arial" w:cs="Arial" w:eastAsia="Arial" w:hAnsi="Arial"/>
          <w:sz w:val="18"/>
          <w:szCs w:val="18"/>
          <w:color w:val="auto"/>
        </w:rPr>
        <w:t xml:space="preserve"> means one of the Metro Districts.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MLPF&amp;S </w:t>
      </w:r>
      <w:r>
        <w:rPr>
          <w:rFonts w:ascii="Arial" w:cs="Arial" w:eastAsia="Arial" w:hAnsi="Arial"/>
          <w:sz w:val="20"/>
          <w:szCs w:val="20"/>
          <w:color w:val="auto"/>
        </w:rPr>
        <w:t>means Merrill Lynch, Pierce, Fenner &amp; Smith Incorporated.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Moody’s </w:t>
      </w:r>
      <w:r>
        <w:rPr>
          <w:rFonts w:ascii="Arial" w:cs="Arial" w:eastAsia="Arial" w:hAnsi="Arial"/>
          <w:sz w:val="20"/>
          <w:szCs w:val="20"/>
          <w:color w:val="auto"/>
        </w:rPr>
        <w:t>means Moody’s Investor’s Service, Inc.</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b w:val="1"/>
          <w:bCs w:val="1"/>
          <w:i w:val="1"/>
          <w:iCs w:val="1"/>
          <w:color w:val="auto"/>
        </w:rPr>
        <w:t xml:space="preserve">Multiemployer Plan </w:t>
      </w:r>
      <w:r>
        <w:rPr>
          <w:rFonts w:ascii="Arial" w:cs="Arial" w:eastAsia="Arial" w:hAnsi="Arial"/>
          <w:sz w:val="18"/>
          <w:szCs w:val="18"/>
          <w:color w:val="auto"/>
        </w:rPr>
        <w:t>means a multiemployer plan as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Sections 3(37)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4001(a)(3)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ERISA or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Section 414(f)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Code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any Company or any ERISA Affiliate is making, or has made, or is accruing, or has accrued, an obligation to make contributions.</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Net Funded Debt </w:t>
      </w:r>
      <w:r>
        <w:rPr>
          <w:rFonts w:ascii="Arial" w:cs="Arial" w:eastAsia="Arial" w:hAnsi="Arial"/>
          <w:sz w:val="20"/>
          <w:szCs w:val="20"/>
          <w:color w:val="auto"/>
        </w:rPr>
        <w:t>means, on any date of determination, an amount equal to (a) Funded Debt</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minus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 the amount of Unrestricted Cash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 excess of $10,000,000.</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Net Income </w:t>
      </w:r>
      <w:r>
        <w:rPr>
          <w:rFonts w:ascii="Arial" w:cs="Arial" w:eastAsia="Arial" w:hAnsi="Arial"/>
          <w:sz w:val="20"/>
          <w:szCs w:val="20"/>
          <w:color w:val="auto"/>
        </w:rPr>
        <w:t>means, for any period with respect to any Person (or group of Persons whose Financial Statements are consolidated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accordance with GAAP), the net income of such Person or Persons from continuing operations after extraordinary items (excluding gains or losses from the disposition of assets) for that period determined in accordance with GAAP; </w:t>
      </w:r>
      <w:r>
        <w:rPr>
          <w:rFonts w:ascii="Arial" w:cs="Arial" w:eastAsia="Arial" w:hAnsi="Arial"/>
          <w:sz w:val="20"/>
          <w:szCs w:val="20"/>
          <w:i w:val="1"/>
          <w:iCs w:val="1"/>
          <w:color w:val="auto"/>
        </w:rPr>
        <w:t>provided however, that</w:t>
      </w:r>
      <w:r>
        <w:rPr>
          <w:rFonts w:ascii="Arial" w:cs="Arial" w:eastAsia="Arial" w:hAnsi="Arial"/>
          <w:sz w:val="20"/>
          <w:szCs w:val="20"/>
          <w:color w:val="auto"/>
        </w:rPr>
        <w:t xml:space="preserve"> for purposes of calculating Net Income of the Restricted Companies under this Agreement:</w:t>
      </w:r>
    </w:p>
    <w:p>
      <w:pPr>
        <w:spacing w:after="0" w:line="192" w:lineRule="exact"/>
        <w:rPr>
          <w:sz w:val="20"/>
          <w:szCs w:val="20"/>
          <w:color w:val="auto"/>
        </w:rPr>
      </w:pPr>
    </w:p>
    <w:p>
      <w:pPr>
        <w:jc w:val="both"/>
        <w:ind w:left="660" w:firstLine="645"/>
        <w:spacing w:after="0" w:line="243" w:lineRule="auto"/>
        <w:tabs>
          <w:tab w:leader="none" w:pos="1731" w:val="left"/>
        </w:tabs>
        <w:numPr>
          <w:ilvl w:val="0"/>
          <w:numId w:val="37"/>
        </w:numPr>
        <w:rPr>
          <w:rFonts w:ascii="Arial" w:cs="Arial" w:eastAsia="Arial" w:hAnsi="Arial"/>
          <w:sz w:val="20"/>
          <w:szCs w:val="20"/>
          <w:color w:val="auto"/>
        </w:rPr>
      </w:pPr>
      <w:r>
        <w:rPr>
          <w:rFonts w:ascii="Arial" w:cs="Arial" w:eastAsia="Arial" w:hAnsi="Arial"/>
          <w:sz w:val="20"/>
          <w:szCs w:val="20"/>
          <w:color w:val="auto"/>
        </w:rPr>
        <w:t>if any Restricted Company owns an interest in a Person that is not consolidated in the consolidated financial statements of VRI and its Restricted Subsidiaries in accordance with GAAP (a “</w:t>
      </w:r>
      <w:r>
        <w:rPr>
          <w:rFonts w:ascii="Arial" w:cs="Arial" w:eastAsia="Arial" w:hAnsi="Arial"/>
          <w:sz w:val="20"/>
          <w:szCs w:val="20"/>
          <w:b w:val="1"/>
          <w:bCs w:val="1"/>
          <w:i w:val="1"/>
          <w:iCs w:val="1"/>
          <w:color w:val="auto"/>
        </w:rPr>
        <w:t>Non-Consolidated Entity</w:t>
      </w:r>
      <w:r>
        <w:rPr>
          <w:rFonts w:ascii="Arial" w:cs="Arial" w:eastAsia="Arial" w:hAnsi="Arial"/>
          <w:sz w:val="20"/>
          <w:szCs w:val="20"/>
          <w:color w:val="auto"/>
        </w:rPr>
        <w:t>”), then such equity interest shall not be accounted for under the equity method of accounting, but the “</w:t>
      </w:r>
      <w:r>
        <w:rPr>
          <w:rFonts w:ascii="Arial" w:cs="Arial" w:eastAsia="Arial" w:hAnsi="Arial"/>
          <w:sz w:val="20"/>
          <w:szCs w:val="20"/>
          <w:b w:val="1"/>
          <w:bCs w:val="1"/>
          <w:i w:val="1"/>
          <w:iCs w:val="1"/>
          <w:color w:val="auto"/>
        </w:rPr>
        <w:t>Net Income</w:t>
      </w:r>
      <w:r>
        <w:rPr>
          <w:rFonts w:ascii="Arial" w:cs="Arial" w:eastAsia="Arial" w:hAnsi="Arial"/>
          <w:sz w:val="20"/>
          <w:szCs w:val="20"/>
          <w:color w:val="auto"/>
        </w:rPr>
        <w:t>” of such Restricted Company shall be increased to the extent cash is distributed to such Restricted Company by any such Non-Consolidated Entity during such period and shall be decreased to the extent cash is contributed in the form of equity to such Non-Consolidated Entity in order to fund losses of such Non-Consolidated Entity during such period;</w:t>
      </w:r>
    </w:p>
    <w:p>
      <w:pPr>
        <w:spacing w:after="0" w:line="196" w:lineRule="exact"/>
        <w:rPr>
          <w:rFonts w:ascii="Arial" w:cs="Arial" w:eastAsia="Arial" w:hAnsi="Arial"/>
          <w:sz w:val="20"/>
          <w:szCs w:val="20"/>
          <w:color w:val="auto"/>
        </w:rPr>
      </w:pPr>
    </w:p>
    <w:p>
      <w:pPr>
        <w:jc w:val="both"/>
        <w:ind w:left="660" w:firstLine="645"/>
        <w:spacing w:after="0" w:line="250" w:lineRule="auto"/>
        <w:tabs>
          <w:tab w:leader="none" w:pos="1781" w:val="left"/>
        </w:tabs>
        <w:numPr>
          <w:ilvl w:val="0"/>
          <w:numId w:val="37"/>
        </w:numPr>
        <w:rPr>
          <w:rFonts w:ascii="Arial" w:cs="Arial" w:eastAsia="Arial" w:hAnsi="Arial"/>
          <w:sz w:val="20"/>
          <w:szCs w:val="20"/>
          <w:color w:val="auto"/>
        </w:rPr>
      </w:pPr>
      <w:r>
        <w:rPr>
          <w:rFonts w:ascii="Arial" w:cs="Arial" w:eastAsia="Arial" w:hAnsi="Arial"/>
          <w:sz w:val="20"/>
          <w:szCs w:val="20"/>
          <w:color w:val="auto"/>
        </w:rPr>
        <w:t>premiums paid and the write-off of any unamortized balance of original issue discount in connection with a redemption of, or tender offer for, debt that is consummated in accordance with the Loan Papers, and the amortization and write-off of any unamortized balance of debt issuance costs, shall be excluded; and</w:t>
      </w:r>
    </w:p>
    <w:p>
      <w:pPr>
        <w:spacing w:after="0" w:line="186" w:lineRule="exact"/>
        <w:rPr>
          <w:rFonts w:ascii="Arial" w:cs="Arial" w:eastAsia="Arial" w:hAnsi="Arial"/>
          <w:sz w:val="20"/>
          <w:szCs w:val="20"/>
          <w:color w:val="auto"/>
        </w:rPr>
      </w:pPr>
    </w:p>
    <w:p>
      <w:pPr>
        <w:ind w:left="660" w:firstLine="645"/>
        <w:spacing w:after="0" w:line="260" w:lineRule="auto"/>
        <w:tabs>
          <w:tab w:leader="none" w:pos="1806" w:val="left"/>
        </w:tabs>
        <w:numPr>
          <w:ilvl w:val="0"/>
          <w:numId w:val="37"/>
        </w:numPr>
        <w:rPr>
          <w:rFonts w:ascii="Arial" w:cs="Arial" w:eastAsia="Arial" w:hAnsi="Arial"/>
          <w:sz w:val="20"/>
          <w:szCs w:val="20"/>
          <w:color w:val="auto"/>
        </w:rPr>
      </w:pPr>
      <w:r>
        <w:rPr>
          <w:rFonts w:ascii="Arial" w:cs="Arial" w:eastAsia="Arial" w:hAnsi="Arial"/>
          <w:sz w:val="20"/>
          <w:szCs w:val="20"/>
          <w:color w:val="auto"/>
        </w:rPr>
        <w:t>any income or expense that increases or decreases Net Income and occurs as a result of any change in the amount of contingent consideration reflected on the balance sheet of VRI shall be excluded.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420"/>
          </w:cols>
          <w:pgMar w:left="240" w:top="582" w:right="239" w:bottom="1440" w:gutter="0" w:footer="0" w:header="0"/>
        </w:sectPr>
      </w:pPr>
    </w:p>
    <w:bookmarkStart w:id="86" w:name="page87"/>
    <w:bookmarkEnd w:id="86"/>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Non-Cash Operating Charges </w:t>
      </w:r>
      <w:r>
        <w:rPr>
          <w:rFonts w:ascii="Arial" w:cs="Arial" w:eastAsia="Arial" w:hAnsi="Arial"/>
          <w:sz w:val="20"/>
          <w:szCs w:val="20"/>
          <w:color w:val="auto"/>
        </w:rPr>
        <w:t>means depreciation expense, amortization expense, and any other non-cash charges determined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accordance with GAAP (including, without limitation, non-cash compensation expenses incurred in respect of stock option plans, including, without limitation, pursuant to FAS 123R).</w:t>
      </w:r>
    </w:p>
    <w:p>
      <w:pPr>
        <w:spacing w:after="0" w:line="18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b w:val="1"/>
          <w:bCs w:val="1"/>
          <w:i w:val="1"/>
          <w:iCs w:val="1"/>
          <w:color w:val="auto"/>
        </w:rPr>
        <w:t xml:space="preserve">Non-Consenting Lender </w:t>
      </w:r>
      <w:r>
        <w:rPr>
          <w:rFonts w:ascii="Arial" w:cs="Arial" w:eastAsia="Arial" w:hAnsi="Arial"/>
          <w:sz w:val="18"/>
          <w:szCs w:val="18"/>
          <w:color w:val="auto"/>
        </w:rPr>
        <w:t>means any Lender that does not approve any consent, waiver or amendment that (a) requires the approval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all Lenders or all affected Lenders, in accordance with the terms of </w:t>
      </w:r>
      <w:r>
        <w:rPr>
          <w:rFonts w:ascii="Arial" w:cs="Arial" w:eastAsia="Arial" w:hAnsi="Arial"/>
          <w:sz w:val="18"/>
          <w:szCs w:val="18"/>
          <w:b w:val="1"/>
          <w:bCs w:val="1"/>
          <w:i w:val="1"/>
          <w:iCs w:val="1"/>
          <w:color w:val="auto"/>
        </w:rPr>
        <w:t>Section 15.9</w:t>
      </w:r>
      <w:r>
        <w:rPr>
          <w:rFonts w:ascii="Arial" w:cs="Arial" w:eastAsia="Arial" w:hAnsi="Arial"/>
          <w:sz w:val="18"/>
          <w:szCs w:val="18"/>
          <w:color w:val="auto"/>
        </w:rPr>
        <w:t xml:space="preserve"> and (b) has been approved by the Required Lenders.</w:t>
      </w:r>
    </w:p>
    <w:p>
      <w:pPr>
        <w:spacing w:after="0" w:line="13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i w:val="1"/>
          <w:iCs w:val="1"/>
          <w:color w:val="auto"/>
        </w:rPr>
        <w:t xml:space="preserve">Non-Recourse Debt </w:t>
      </w:r>
      <w:r>
        <w:rPr>
          <w:rFonts w:ascii="Arial" w:cs="Arial" w:eastAsia="Arial" w:hAnsi="Arial"/>
          <w:sz w:val="18"/>
          <w:szCs w:val="18"/>
          <w:color w:val="auto"/>
        </w:rPr>
        <w:t>means, for any Unrestricted Subsidiary, any Debt of such Unrestricted Subsidiary with respect to which the holder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such Debt (a) may not look to such Unrestricted Subsidiary directly for repayment, other than to the extent of any security therefor, or (b) may look to such Unrestricted Subsidiary directly for repayment (but not to any direct or indirect constituent equity holder of such Unrestricted Subsidiary,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with respect to Permitted Recourse Obligations entered into by such direct or indirect constituent equity holder).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Nonextension Notice Date </w:t>
      </w:r>
      <w:r>
        <w:rPr>
          <w:rFonts w:ascii="Arial" w:cs="Arial" w:eastAsia="Arial" w:hAnsi="Arial"/>
          <w:sz w:val="20"/>
          <w:szCs w:val="20"/>
          <w:color w:val="auto"/>
        </w:rPr>
        <w:t>has the meaning set forth in</w:t>
      </w:r>
      <w:r>
        <w:rPr>
          <w:rFonts w:ascii="Arial" w:cs="Arial" w:eastAsia="Arial" w:hAnsi="Arial"/>
          <w:sz w:val="20"/>
          <w:szCs w:val="20"/>
          <w:b w:val="1"/>
          <w:bCs w:val="1"/>
          <w:i w:val="1"/>
          <w:iCs w:val="1"/>
          <w:color w:val="auto"/>
        </w:rPr>
        <w:t xml:space="preserve"> Section 2.3(b)(iii)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b w:val="1"/>
          <w:bCs w:val="1"/>
          <w:i w:val="1"/>
          <w:iCs w:val="1"/>
          <w:color w:val="auto"/>
        </w:rPr>
        <w:t xml:space="preserve">Northstar Leases </w:t>
      </w:r>
      <w:r>
        <w:rPr>
          <w:rFonts w:ascii="Arial" w:cs="Arial" w:eastAsia="Arial" w:hAnsi="Arial"/>
          <w:sz w:val="18"/>
          <w:szCs w:val="18"/>
          <w:color w:val="auto"/>
        </w:rPr>
        <w:t>means, collectively, (a) that certain Amended and Restated Lease Agreement, dated as of October 25, 2010, by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CNL Income Northstar, LLC, as lessor, and Trimont Land Company, a California corporation, as lessee, (b) that certain Amended and Restated Personal Property Lease Agreement by and between CNL Income Northstar TRS Corp., a Delaware corporation, as lessor, and Trimont Land Company, a California corporation, as lessee, dated as of October 25, 2010, and (c) that certain Amended and Restated Lease Agreement, dated as of October 25, 2010, by and between CNL Income Northstar Commercial, LLC, a Delaware limited liability company, as lessor, and Northstar Group Commercial Properties, LLC, a Delaware limited liability company, as lessee, each as amended from time to time.</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b w:val="1"/>
          <w:bCs w:val="1"/>
          <w:i w:val="1"/>
          <w:iCs w:val="1"/>
          <w:color w:val="auto"/>
        </w:rPr>
        <w:t xml:space="preserve">Northstar Subsidiaries </w:t>
      </w:r>
      <w:r>
        <w:rPr>
          <w:rFonts w:ascii="Arial" w:cs="Arial" w:eastAsia="Arial" w:hAnsi="Arial"/>
          <w:sz w:val="18"/>
          <w:szCs w:val="18"/>
          <w:color w:val="auto"/>
        </w:rPr>
        <w:t>means, collectively, VR Acquisition, Inc., a California corporation, BCRP, Inc., a Delaware corporation, Booth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Creek Ski Holdings, Inc., a Delaware corporation, Trimont Land Company, a California corporation, Northstar Group Commercial Properties, LLC, a Delaware limited liability company, and Northstar Group Restaurant Properties, LLC, a Delaware limited liability company.</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Notes </w:t>
      </w:r>
      <w:r>
        <w:rPr>
          <w:rFonts w:ascii="Arial" w:cs="Arial" w:eastAsia="Arial" w:hAnsi="Arial"/>
          <w:sz w:val="18"/>
          <w:szCs w:val="18"/>
          <w:color w:val="auto"/>
        </w:rPr>
        <w:t>means, collectively, the Revolver Notes, the Swing Line Notes and the Term Loan Notes, and</w:t>
      </w:r>
      <w:r>
        <w:rPr>
          <w:rFonts w:ascii="Arial" w:cs="Arial" w:eastAsia="Arial" w:hAnsi="Arial"/>
          <w:sz w:val="18"/>
          <w:szCs w:val="18"/>
          <w:b w:val="1"/>
          <w:bCs w:val="1"/>
          <w:i w:val="1"/>
          <w:iCs w:val="1"/>
          <w:color w:val="auto"/>
        </w:rPr>
        <w:t xml:space="preserve"> Note </w:t>
      </w:r>
      <w:r>
        <w:rPr>
          <w:rFonts w:ascii="Arial" w:cs="Arial" w:eastAsia="Arial" w:hAnsi="Arial"/>
          <w:sz w:val="18"/>
          <w:szCs w:val="18"/>
          <w:color w:val="auto"/>
        </w:rPr>
        <w:t>means any of the Notes.</w:t>
      </w:r>
    </w:p>
    <w:p>
      <w:pPr>
        <w:spacing w:after="0" w:line="2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i w:val="1"/>
          <w:iCs w:val="1"/>
          <w:color w:val="auto"/>
        </w:rPr>
        <w:t xml:space="preserve">Obligation </w:t>
      </w:r>
      <w:r>
        <w:rPr>
          <w:rFonts w:ascii="Arial" w:cs="Arial" w:eastAsia="Arial" w:hAnsi="Arial"/>
          <w:sz w:val="19"/>
          <w:szCs w:val="19"/>
          <w:color w:val="auto"/>
        </w:rPr>
        <w:t>means all present and future indebtedness and obligations, and all renewals, increases, and extensions thereof, or any part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thereof, now or hereafter owed to Administrative Agent, the L/C Issuers, and any Lender (including, without limitation, the Swing Line Lenders) by the Companies under the Loan Papers, </w:t>
      </w:r>
      <w:r>
        <w:rPr>
          <w:rFonts w:ascii="Arial" w:cs="Arial" w:eastAsia="Arial" w:hAnsi="Arial"/>
          <w:sz w:val="19"/>
          <w:szCs w:val="19"/>
          <w:i w:val="1"/>
          <w:iCs w:val="1"/>
          <w:color w:val="auto"/>
        </w:rPr>
        <w:t>together with</w:t>
      </w:r>
      <w:r>
        <w:rPr>
          <w:rFonts w:ascii="Arial" w:cs="Arial" w:eastAsia="Arial" w:hAnsi="Arial"/>
          <w:sz w:val="19"/>
          <w:szCs w:val="19"/>
          <w:color w:val="auto"/>
        </w:rPr>
        <w:t xml:space="preserve"> all interest accruing thereon, fees, costs, and expenses (including, without limitation, all attorneys’ fees and expenses incurred in the enforcement or collection thereof) payable under the Loan Papers or in connection with the protection of Rights under the Loan Papers;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all references to the </w:t>
      </w:r>
      <w:r>
        <w:rPr>
          <w:rFonts w:ascii="Arial" w:cs="Arial" w:eastAsia="Arial" w:hAnsi="Arial"/>
          <w:sz w:val="19"/>
          <w:szCs w:val="19"/>
          <w:b w:val="1"/>
          <w:bCs w:val="1"/>
          <w:i w:val="1"/>
          <w:iCs w:val="1"/>
          <w:color w:val="auto"/>
        </w:rPr>
        <w:t>Obligation</w:t>
      </w:r>
      <w:r>
        <w:rPr>
          <w:rFonts w:ascii="Arial" w:cs="Arial" w:eastAsia="Arial" w:hAnsi="Arial"/>
          <w:sz w:val="19"/>
          <w:szCs w:val="19"/>
          <w:color w:val="auto"/>
        </w:rPr>
        <w:t xml:space="preserve"> in the Security Documents, the Guaranty, and </w:t>
      </w:r>
      <w:r>
        <w:rPr>
          <w:rFonts w:ascii="Arial" w:cs="Arial" w:eastAsia="Arial" w:hAnsi="Arial"/>
          <w:sz w:val="19"/>
          <w:szCs w:val="19"/>
          <w:b w:val="1"/>
          <w:bCs w:val="1"/>
          <w:i w:val="1"/>
          <w:iCs w:val="1"/>
          <w:color w:val="auto"/>
        </w:rPr>
        <w:t>Section 3.10</w:t>
      </w:r>
      <w:r>
        <w:rPr>
          <w:rFonts w:ascii="Arial" w:cs="Arial" w:eastAsia="Arial" w:hAnsi="Arial"/>
          <w:sz w:val="19"/>
          <w:szCs w:val="19"/>
          <w:color w:val="auto"/>
        </w:rPr>
        <w:t xml:space="preserve"> herein shall, in addition to the foregoing, also include all present and future indebtedness, liabilities, and obligations (and all renewals and extensions thereof or any part thereof) now or hereafter owed to any Lender or any Affiliate of a Lender arising from, by virtue of, or pursuant to any Financial Hedge entered into by any Restricted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Obligation shall exclude any Excluded Swap Obligations.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420"/>
          </w:cols>
          <w:pgMar w:left="240" w:top="582" w:right="239" w:bottom="1440" w:gutter="0" w:footer="0" w:header="0"/>
        </w:sectPr>
      </w:pPr>
    </w:p>
    <w:bookmarkStart w:id="87" w:name="page88"/>
    <w:bookmarkEnd w:id="87"/>
    <w:p>
      <w:pPr>
        <w:ind w:left="660"/>
        <w:spacing w:after="0"/>
        <w:rPr>
          <w:sz w:val="20"/>
          <w:szCs w:val="20"/>
          <w:color w:val="auto"/>
        </w:rPr>
      </w:pPr>
      <w:r>
        <w:rPr>
          <w:rFonts w:ascii="Arial" w:cs="Arial" w:eastAsia="Arial" w:hAnsi="Arial"/>
          <w:sz w:val="20"/>
          <w:szCs w:val="20"/>
          <w:b w:val="1"/>
          <w:bCs w:val="1"/>
          <w:i w:val="1"/>
          <w:iCs w:val="1"/>
          <w:color w:val="auto"/>
        </w:rPr>
        <w:t xml:space="preserve">OFAC </w:t>
      </w:r>
      <w:r>
        <w:rPr>
          <w:rFonts w:ascii="Arial" w:cs="Arial" w:eastAsia="Arial" w:hAnsi="Arial"/>
          <w:sz w:val="20"/>
          <w:szCs w:val="20"/>
          <w:color w:val="auto"/>
        </w:rPr>
        <w:t>means the Office of Foreign Assets Control of the United States Department of the Treasury.</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b w:val="1"/>
          <w:bCs w:val="1"/>
          <w:i w:val="1"/>
          <w:iCs w:val="1"/>
          <w:color w:val="auto"/>
        </w:rPr>
        <w:t xml:space="preserve">Other Connection Taxes </w:t>
      </w:r>
      <w:r>
        <w:rPr>
          <w:rFonts w:ascii="Arial" w:cs="Arial" w:eastAsia="Arial" w:hAnsi="Arial"/>
          <w:sz w:val="19"/>
          <w:szCs w:val="19"/>
          <w:color w:val="auto"/>
        </w:rPr>
        <w:t>means, with respect to any Recipient, Taxes imposed as a result of a present or former connection between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Paper, or sold or assigned an interest in any Loan or Loan Papers).</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Other Taxes </w:t>
      </w:r>
      <w:r>
        <w:rPr>
          <w:rFonts w:ascii="Arial" w:cs="Arial" w:eastAsia="Arial" w:hAnsi="Arial"/>
          <w:sz w:val="20"/>
          <w:szCs w:val="20"/>
          <w:color w:val="auto"/>
        </w:rPr>
        <w:t>means all present or future stamp, court or documentary, intangible, recording, filing or similar Taxes that arise from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payment made under, from the execution, delivery, performance, enforcement or registration of, from the receipt or perfection of a security interest under, or otherwise with respect to, any Loan Papers, except any such Taxes that are Other Connection Taxes imposed with respect to an assignment (other than an assignment made pursuant to </w:t>
      </w:r>
      <w:r>
        <w:rPr>
          <w:rFonts w:ascii="Arial" w:cs="Arial" w:eastAsia="Arial" w:hAnsi="Arial"/>
          <w:sz w:val="20"/>
          <w:szCs w:val="20"/>
          <w:b w:val="1"/>
          <w:bCs w:val="1"/>
          <w:i w:val="1"/>
          <w:iCs w:val="1"/>
          <w:color w:val="auto"/>
        </w:rPr>
        <w:t>Section 4.6</w:t>
      </w:r>
      <w:r>
        <w:rPr>
          <w:rFonts w:ascii="Arial" w:cs="Arial" w:eastAsia="Arial" w:hAnsi="Arial"/>
          <w:sz w:val="20"/>
          <w:szCs w:val="20"/>
          <w:color w:val="auto"/>
        </w:rPr>
        <w:t>).</w:t>
      </w:r>
    </w:p>
    <w:p>
      <w:pPr>
        <w:spacing w:after="0" w:line="19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i w:val="1"/>
          <w:iCs w:val="1"/>
          <w:color w:val="auto"/>
        </w:rPr>
        <w:t xml:space="preserve">Outstanding Amount </w:t>
      </w:r>
      <w:r>
        <w:rPr>
          <w:rFonts w:ascii="Arial" w:cs="Arial" w:eastAsia="Arial" w:hAnsi="Arial"/>
          <w:sz w:val="20"/>
          <w:szCs w:val="20"/>
          <w:color w:val="auto"/>
        </w:rPr>
        <w:t>means (a) with respect to Term Loans, Revolver Loans and Swing Line Loans on any date, the aggregate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outstanding principal amount thereof after giving effect to any borrowings and prepayments or repayments of Term Loans, Revolver Loans and Swing Line Loans, as the case may be, occurring on such date; and (b) with respect to any L/C Exposure on any date, the Dollar Equivalent amount of the aggregate outstanding amount of such L/C Exposure on such date after giving effect to any L/C Credit Extension occurring on such date and any other changes in the aggregate amount of the L/C Exposure as of such date, including as a result of any reimbursements by Borrower of Unreimbursed Amounts.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Participant </w:t>
      </w:r>
      <w:r>
        <w:rPr>
          <w:rFonts w:ascii="Arial" w:cs="Arial" w:eastAsia="Arial" w:hAnsi="Arial"/>
          <w:sz w:val="20"/>
          <w:szCs w:val="20"/>
          <w:color w:val="auto"/>
        </w:rPr>
        <w:t>has the meaning specified in</w:t>
      </w:r>
      <w:r>
        <w:rPr>
          <w:rFonts w:ascii="Arial" w:cs="Arial" w:eastAsia="Arial" w:hAnsi="Arial"/>
          <w:sz w:val="20"/>
          <w:szCs w:val="20"/>
          <w:b w:val="1"/>
          <w:bCs w:val="1"/>
          <w:i w:val="1"/>
          <w:iCs w:val="1"/>
          <w:color w:val="auto"/>
        </w:rPr>
        <w:t xml:space="preserve"> Section 15.11(d)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Participant Register </w:t>
      </w:r>
      <w:r>
        <w:rPr>
          <w:rFonts w:ascii="Arial" w:cs="Arial" w:eastAsia="Arial" w:hAnsi="Arial"/>
          <w:sz w:val="20"/>
          <w:szCs w:val="20"/>
          <w:color w:val="auto"/>
        </w:rPr>
        <w:t>has the meaning specified in</w:t>
      </w:r>
      <w:r>
        <w:rPr>
          <w:rFonts w:ascii="Arial" w:cs="Arial" w:eastAsia="Arial" w:hAnsi="Arial"/>
          <w:sz w:val="20"/>
          <w:szCs w:val="20"/>
          <w:b w:val="1"/>
          <w:bCs w:val="1"/>
          <w:i w:val="1"/>
          <w:iCs w:val="1"/>
          <w:color w:val="auto"/>
        </w:rPr>
        <w:t xml:space="preserve"> Section 15.11(d)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PBGC </w:t>
      </w:r>
      <w:r>
        <w:rPr>
          <w:rFonts w:ascii="Arial" w:cs="Arial" w:eastAsia="Arial" w:hAnsi="Arial"/>
          <w:sz w:val="20"/>
          <w:szCs w:val="20"/>
          <w:color w:val="auto"/>
        </w:rPr>
        <w:t>means the Pension Benefit Guaranty Corporation, or any successor thereof, established under ERISA.</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PCMR Litigation </w:t>
      </w:r>
      <w:r>
        <w:rPr>
          <w:rFonts w:ascii="Arial" w:cs="Arial" w:eastAsia="Arial" w:hAnsi="Arial"/>
          <w:sz w:val="20"/>
          <w:szCs w:val="20"/>
          <w:color w:val="auto"/>
        </w:rPr>
        <w:t>means Case No. 120500157, 3rd District Court, Summit County, Utah and all related proceedings involving Talisker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Land Holdings, LLC, Talisker Land Resolution LLC, VR CPC Holdings, Inc., Flera, LLC, Talisker Canyons LeaseCo LLC, TCFC Finance Co. LLC (formerly Talisker Canyons Finance Co. LLC), United Park City Mines Company, Greater Properties, Inc. or Greater Park City Company (formerly Treasure Mountain Resort Company).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Permitted Debt </w:t>
      </w:r>
      <w:r>
        <w:rPr>
          <w:rFonts w:ascii="Arial" w:cs="Arial" w:eastAsia="Arial" w:hAnsi="Arial"/>
          <w:sz w:val="20"/>
          <w:szCs w:val="20"/>
          <w:color w:val="auto"/>
        </w:rPr>
        <w:t>means:</w:t>
      </w:r>
    </w:p>
    <w:p>
      <w:pPr>
        <w:spacing w:after="0" w:line="216" w:lineRule="exact"/>
        <w:rPr>
          <w:sz w:val="20"/>
          <w:szCs w:val="20"/>
          <w:color w:val="auto"/>
        </w:rPr>
      </w:pPr>
    </w:p>
    <w:p>
      <w:pPr>
        <w:ind w:left="1720" w:hanging="415"/>
        <w:spacing w:after="0"/>
        <w:tabs>
          <w:tab w:leader="none" w:pos="17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Obligation;</w:t>
      </w:r>
    </w:p>
    <w:p>
      <w:pPr>
        <w:spacing w:after="0" w:line="215" w:lineRule="exact"/>
        <w:rPr>
          <w:rFonts w:ascii="Arial" w:cs="Arial" w:eastAsia="Arial" w:hAnsi="Arial"/>
          <w:sz w:val="20"/>
          <w:szCs w:val="20"/>
          <w:color w:val="auto"/>
        </w:rPr>
      </w:pPr>
    </w:p>
    <w:p>
      <w:pPr>
        <w:ind w:left="1740" w:hanging="435"/>
        <w:spacing w:after="0"/>
        <w:tabs>
          <w:tab w:leader="none" w:pos="17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 xml:space="preserve">Debt of any Company which is listed on </w:t>
      </w:r>
      <w:r>
        <w:rPr>
          <w:rFonts w:ascii="Arial" w:cs="Arial" w:eastAsia="Arial" w:hAnsi="Arial"/>
          <w:sz w:val="20"/>
          <w:szCs w:val="20"/>
          <w:b w:val="1"/>
          <w:bCs w:val="1"/>
          <w:i w:val="1"/>
          <w:iCs w:val="1"/>
          <w:color w:val="auto"/>
        </w:rPr>
        <w:t>Part B</w:t>
      </w:r>
      <w:r>
        <w:rPr>
          <w:rFonts w:ascii="Arial" w:cs="Arial" w:eastAsia="Arial" w:hAnsi="Arial"/>
          <w:sz w:val="20"/>
          <w:szCs w:val="20"/>
          <w:color w:val="auto"/>
        </w:rPr>
        <w:t xml:space="preserve"> of </w:t>
      </w:r>
      <w:r>
        <w:rPr>
          <w:rFonts w:ascii="Arial" w:cs="Arial" w:eastAsia="Arial" w:hAnsi="Arial"/>
          <w:sz w:val="20"/>
          <w:szCs w:val="20"/>
          <w:b w:val="1"/>
          <w:bCs w:val="1"/>
          <w:i w:val="1"/>
          <w:iCs w:val="1"/>
          <w:color w:val="auto"/>
        </w:rPr>
        <w:t>Schedule 2.3</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Debt of any Company arising from endorsing negotiable instruments for collection in the ordinary course of business;</w:t>
      </w:r>
    </w:p>
    <w:p>
      <w:pPr>
        <w:spacing w:after="0" w:line="238" w:lineRule="exact"/>
        <w:rPr>
          <w:rFonts w:ascii="Arial" w:cs="Arial" w:eastAsia="Arial" w:hAnsi="Arial"/>
          <w:sz w:val="18"/>
          <w:szCs w:val="18"/>
          <w:color w:val="auto"/>
        </w:rPr>
      </w:pPr>
    </w:p>
    <w:p>
      <w:pPr>
        <w:jc w:val="both"/>
        <w:ind w:left="660" w:firstLine="645"/>
        <w:spacing w:after="0" w:line="244" w:lineRule="auto"/>
        <w:tabs>
          <w:tab w:leader="none" w:pos="1746" w:val="left"/>
        </w:tabs>
        <w:numPr>
          <w:ilvl w:val="0"/>
          <w:numId w:val="38"/>
        </w:numPr>
        <w:rPr>
          <w:rFonts w:ascii="Arial" w:cs="Arial" w:eastAsia="Arial" w:hAnsi="Arial"/>
          <w:sz w:val="20"/>
          <w:szCs w:val="20"/>
          <w:color w:val="auto"/>
        </w:rPr>
      </w:pPr>
      <w:r>
        <w:rPr>
          <w:rFonts w:ascii="Arial" w:cs="Arial" w:eastAsia="Arial" w:hAnsi="Arial"/>
          <w:sz w:val="20"/>
          <w:szCs w:val="20"/>
          <w:color w:val="auto"/>
        </w:rPr>
        <w:t xml:space="preserve">Subordinated Debt (and guaranties by Restricted Companies of Subordinated Debt of other Restricted Companies, if such guaranties are subordinated to the payment and collection of the Obligation on the same terms as such Subordinated Debt or otherwise upon terms satisfactory to Administrative Agent), </w:t>
      </w:r>
      <w:r>
        <w:rPr>
          <w:rFonts w:ascii="Arial" w:cs="Arial" w:eastAsia="Arial" w:hAnsi="Arial"/>
          <w:sz w:val="20"/>
          <w:szCs w:val="20"/>
          <w:i w:val="1"/>
          <w:iCs w:val="1"/>
          <w:color w:val="auto"/>
        </w:rPr>
        <w:t>so long as</w:t>
      </w:r>
      <w:r>
        <w:rPr>
          <w:rFonts w:ascii="Arial" w:cs="Arial" w:eastAsia="Arial" w:hAnsi="Arial"/>
          <w:sz w:val="20"/>
          <w:szCs w:val="20"/>
          <w:color w:val="auto"/>
        </w:rPr>
        <w:t xml:space="preserve"> after giving effect to the incurrence of such Debt, the Companies are in pro forma compliance with the financial covenants set forth in </w:t>
      </w:r>
      <w:r>
        <w:rPr>
          <w:rFonts w:ascii="Arial" w:cs="Arial" w:eastAsia="Arial" w:hAnsi="Arial"/>
          <w:sz w:val="20"/>
          <w:szCs w:val="20"/>
          <w:b w:val="1"/>
          <w:bCs w:val="1"/>
          <w:i w:val="1"/>
          <w:iCs w:val="1"/>
          <w:color w:val="auto"/>
        </w:rPr>
        <w:t>Section 11</w:t>
      </w:r>
      <w:r>
        <w:rPr>
          <w:rFonts w:ascii="Arial" w:cs="Arial" w:eastAsia="Arial" w:hAnsi="Arial"/>
          <w:sz w:val="20"/>
          <w:szCs w:val="20"/>
          <w:color w:val="auto"/>
        </w:rPr>
        <w:t xml:space="preserve"> herein and no Default or Potential Default exists or would result after giving effect thereto;</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420"/>
          </w:cols>
          <w:pgMar w:left="240" w:top="582" w:right="239" w:bottom="1440" w:gutter="0" w:footer="0" w:header="0"/>
        </w:sectPr>
      </w:pPr>
    </w:p>
    <w:bookmarkStart w:id="88" w:name="page89"/>
    <w:bookmarkEnd w:id="88"/>
    <w:p>
      <w:pPr>
        <w:ind w:left="520" w:hanging="415"/>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Debt of any Company arising under or pursuant to the Existing Housing Bonds to which any such Company is a party;</w:t>
      </w:r>
    </w:p>
    <w:p>
      <w:pPr>
        <w:spacing w:after="0" w:line="238" w:lineRule="exact"/>
        <w:rPr>
          <w:rFonts w:ascii="Arial" w:cs="Arial" w:eastAsia="Arial" w:hAnsi="Arial"/>
          <w:sz w:val="18"/>
          <w:szCs w:val="18"/>
          <w:color w:val="auto"/>
        </w:rPr>
      </w:pPr>
    </w:p>
    <w:p>
      <w:pPr>
        <w:jc w:val="both"/>
        <w:ind w:left="-540" w:firstLine="645"/>
        <w:spacing w:after="0" w:line="263" w:lineRule="auto"/>
        <w:tabs>
          <w:tab w:leader="none" w:pos="634"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Debt of any Company arising under or pursuant to Bonds (other than Existing Housing Bonds) to which any such Company is a party, </w:t>
      </w:r>
      <w:r>
        <w:rPr>
          <w:rFonts w:ascii="Arial" w:cs="Arial" w:eastAsia="Arial" w:hAnsi="Arial"/>
          <w:sz w:val="19"/>
          <w:szCs w:val="19"/>
          <w:i w:val="1"/>
          <w:iCs w:val="1"/>
          <w:color w:val="auto"/>
        </w:rPr>
        <w:t>so long as</w:t>
      </w:r>
      <w:r>
        <w:rPr>
          <w:rFonts w:ascii="Arial" w:cs="Arial" w:eastAsia="Arial" w:hAnsi="Arial"/>
          <w:sz w:val="19"/>
          <w:szCs w:val="19"/>
          <w:color w:val="auto"/>
        </w:rPr>
        <w:t xml:space="preserve"> after giving effect to the incurrence of such Debt and, without duplication, Debt incurred by Borrower or any other Company in support thereof, (i) the Companies are in pro forma compliance with the financial covenants set forth in </w:t>
      </w:r>
      <w:r>
        <w:rPr>
          <w:rFonts w:ascii="Arial" w:cs="Arial" w:eastAsia="Arial" w:hAnsi="Arial"/>
          <w:sz w:val="19"/>
          <w:szCs w:val="19"/>
          <w:b w:val="1"/>
          <w:bCs w:val="1"/>
          <w:i w:val="1"/>
          <w:iCs w:val="1"/>
          <w:color w:val="auto"/>
        </w:rPr>
        <w:t xml:space="preserve">Section 11 </w:t>
      </w:r>
      <w:r>
        <w:rPr>
          <w:rFonts w:ascii="Arial" w:cs="Arial" w:eastAsia="Arial" w:hAnsi="Arial"/>
          <w:sz w:val="19"/>
          <w:szCs w:val="19"/>
          <w:color w:val="auto"/>
        </w:rPr>
        <w:t>herein, and (ii) no Default or Potential Default exists or would result after giving effect thereto;</w:t>
      </w:r>
    </w:p>
    <w:p>
      <w:pPr>
        <w:spacing w:after="0" w:line="176" w:lineRule="exact"/>
        <w:rPr>
          <w:rFonts w:ascii="Arial" w:cs="Arial" w:eastAsia="Arial" w:hAnsi="Arial"/>
          <w:sz w:val="19"/>
          <w:szCs w:val="19"/>
          <w:color w:val="auto"/>
        </w:rPr>
      </w:pPr>
    </w:p>
    <w:p>
      <w:pPr>
        <w:jc w:val="both"/>
        <w:ind w:left="-540" w:firstLine="645"/>
        <w:spacing w:after="0" w:line="250" w:lineRule="auto"/>
        <w:tabs>
          <w:tab w:leader="none" w:pos="545" w:val="left"/>
        </w:tabs>
        <w:numPr>
          <w:ilvl w:val="0"/>
          <w:numId w:val="39"/>
        </w:numPr>
        <w:rPr>
          <w:rFonts w:ascii="Arial" w:cs="Arial" w:eastAsia="Arial" w:hAnsi="Arial"/>
          <w:sz w:val="20"/>
          <w:szCs w:val="20"/>
          <w:color w:val="auto"/>
        </w:rPr>
      </w:pPr>
      <w:r>
        <w:rPr>
          <w:rFonts w:ascii="Arial" w:cs="Arial" w:eastAsia="Arial" w:hAnsi="Arial"/>
          <w:sz w:val="20"/>
          <w:szCs w:val="20"/>
          <w:color w:val="auto"/>
        </w:rPr>
        <w:t xml:space="preserve">(i) Non-Recourse Debt of Unrestricted Subsidiaries, and (ii) other Debt of Unrestricted Subsidiaries that is recourse to the Restricted Companies, so long as the guaranties or other contingent obligations of the Restricted Companies in respect of such Debt is permitted pursuant to </w:t>
      </w:r>
      <w:r>
        <w:rPr>
          <w:rFonts w:ascii="Arial" w:cs="Arial" w:eastAsia="Arial" w:hAnsi="Arial"/>
          <w:sz w:val="20"/>
          <w:szCs w:val="20"/>
          <w:b w:val="1"/>
          <w:bCs w:val="1"/>
          <w:i w:val="1"/>
          <w:iCs w:val="1"/>
          <w:color w:val="auto"/>
        </w:rPr>
        <w:t>clause (h)(ii)</w:t>
      </w:r>
      <w:r>
        <w:rPr>
          <w:rFonts w:ascii="Arial" w:cs="Arial" w:eastAsia="Arial" w:hAnsi="Arial"/>
          <w:sz w:val="20"/>
          <w:szCs w:val="20"/>
          <w:color w:val="auto"/>
        </w:rPr>
        <w:t xml:space="preserve"> below;</w:t>
      </w:r>
    </w:p>
    <w:p>
      <w:pPr>
        <w:spacing w:after="0" w:line="186" w:lineRule="exact"/>
        <w:rPr>
          <w:rFonts w:ascii="Arial" w:cs="Arial" w:eastAsia="Arial" w:hAnsi="Arial"/>
          <w:sz w:val="20"/>
          <w:szCs w:val="20"/>
          <w:color w:val="auto"/>
        </w:rPr>
      </w:pPr>
    </w:p>
    <w:p>
      <w:pPr>
        <w:jc w:val="both"/>
        <w:ind w:left="-540" w:firstLine="645"/>
        <w:spacing w:after="0" w:line="246" w:lineRule="auto"/>
        <w:tabs>
          <w:tab w:leader="none" w:pos="542" w:val="left"/>
        </w:tabs>
        <w:numPr>
          <w:ilvl w:val="0"/>
          <w:numId w:val="39"/>
        </w:numPr>
        <w:rPr>
          <w:rFonts w:ascii="Arial" w:cs="Arial" w:eastAsia="Arial" w:hAnsi="Arial"/>
          <w:sz w:val="20"/>
          <w:szCs w:val="20"/>
          <w:color w:val="auto"/>
        </w:rPr>
      </w:pPr>
      <w:r>
        <w:rPr>
          <w:rFonts w:ascii="Arial" w:cs="Arial" w:eastAsia="Arial" w:hAnsi="Arial"/>
          <w:sz w:val="20"/>
          <w:szCs w:val="20"/>
          <w:color w:val="auto"/>
        </w:rPr>
        <w:t xml:space="preserve">guaranties and other contingent obligations of Restricted Companies with respect to (i) Debt of Restricted Companies, (ii) Debt of Unrestricted Subsidiaries permitted hereunder in an amount not to exceed the Investment Limit (Similar Businesses), and (iii) Debt of joint ventures in which a Restricted Company has made an investment permitted under </w:t>
      </w:r>
      <w:r>
        <w:rPr>
          <w:rFonts w:ascii="Arial" w:cs="Arial" w:eastAsia="Arial" w:hAnsi="Arial"/>
          <w:sz w:val="20"/>
          <w:szCs w:val="20"/>
          <w:b w:val="1"/>
          <w:bCs w:val="1"/>
          <w:i w:val="1"/>
          <w:iCs w:val="1"/>
          <w:color w:val="auto"/>
        </w:rPr>
        <w:t>Section 10.8(m)</w:t>
      </w:r>
      <w:r>
        <w:rPr>
          <w:rFonts w:ascii="Arial" w:cs="Arial" w:eastAsia="Arial" w:hAnsi="Arial"/>
          <w:sz w:val="20"/>
          <w:szCs w:val="20"/>
          <w:color w:val="auto"/>
        </w:rPr>
        <w:t xml:space="preserve"> in an amount not to exceed the Investment Limit (Joint Ventures);</w:t>
      </w:r>
    </w:p>
    <w:p>
      <w:pPr>
        <w:spacing w:after="0" w:line="191" w:lineRule="exact"/>
        <w:rPr>
          <w:rFonts w:ascii="Arial" w:cs="Arial" w:eastAsia="Arial" w:hAnsi="Arial"/>
          <w:sz w:val="20"/>
          <w:szCs w:val="20"/>
          <w:color w:val="auto"/>
        </w:rPr>
      </w:pPr>
    </w:p>
    <w:p>
      <w:pPr>
        <w:ind w:left="480" w:hanging="375"/>
        <w:spacing w:after="0"/>
        <w:tabs>
          <w:tab w:leader="none" w:pos="4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fees and other amounts payable under the Forest Service Permits in the ordinary course of business;</w:t>
      </w:r>
    </w:p>
    <w:p>
      <w:pPr>
        <w:spacing w:after="0" w:line="215" w:lineRule="exact"/>
        <w:rPr>
          <w:rFonts w:ascii="Arial" w:cs="Arial" w:eastAsia="Arial" w:hAnsi="Arial"/>
          <w:sz w:val="20"/>
          <w:szCs w:val="20"/>
          <w:color w:val="auto"/>
        </w:rPr>
      </w:pPr>
    </w:p>
    <w:p>
      <w:pPr>
        <w:ind w:left="480" w:hanging="375"/>
        <w:spacing w:after="0"/>
        <w:tabs>
          <w:tab w:leader="none" w:pos="4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inter-company Debt between Restricted Companies;</w:t>
      </w:r>
    </w:p>
    <w:p>
      <w:pPr>
        <w:spacing w:after="0" w:line="215" w:lineRule="exact"/>
        <w:rPr>
          <w:rFonts w:ascii="Arial" w:cs="Arial" w:eastAsia="Arial" w:hAnsi="Arial"/>
          <w:sz w:val="20"/>
          <w:szCs w:val="20"/>
          <w:color w:val="auto"/>
        </w:rPr>
      </w:pPr>
    </w:p>
    <w:p>
      <w:pPr>
        <w:jc w:val="both"/>
        <w:ind w:left="-540" w:firstLine="645"/>
        <w:spacing w:after="0" w:line="291" w:lineRule="auto"/>
        <w:tabs>
          <w:tab w:leader="none" w:pos="561"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Debt of the Restricted Companies in a maximum aggregate amount not to exceed $75,000,000 at any time for (i) Capital Lease obligations (excluding, for the avoidance of doubt, Capital Lease obligations permitted under </w:t>
      </w:r>
      <w:r>
        <w:rPr>
          <w:rFonts w:ascii="Arial" w:cs="Arial" w:eastAsia="Arial" w:hAnsi="Arial"/>
          <w:sz w:val="18"/>
          <w:szCs w:val="18"/>
          <w:b w:val="1"/>
          <w:bCs w:val="1"/>
          <w:i w:val="1"/>
          <w:iCs w:val="1"/>
          <w:color w:val="auto"/>
        </w:rPr>
        <w:t>clause (m)</w:t>
      </w:r>
      <w:r>
        <w:rPr>
          <w:rFonts w:ascii="Arial" w:cs="Arial" w:eastAsia="Arial" w:hAnsi="Arial"/>
          <w:sz w:val="18"/>
          <w:szCs w:val="18"/>
          <w:color w:val="auto"/>
        </w:rPr>
        <w:t xml:space="preserve"> below), (ii) obligations to pay the deferred purchase price of property or services, and (iii) obligations under surety bonds or similar instruments;</w:t>
      </w:r>
    </w:p>
    <w:p>
      <w:pPr>
        <w:spacing w:after="0" w:line="151" w:lineRule="exact"/>
        <w:rPr>
          <w:rFonts w:ascii="Arial" w:cs="Arial" w:eastAsia="Arial" w:hAnsi="Arial"/>
          <w:sz w:val="18"/>
          <w:szCs w:val="18"/>
          <w:color w:val="auto"/>
        </w:rPr>
      </w:pPr>
    </w:p>
    <w:p>
      <w:pPr>
        <w:jc w:val="both"/>
        <w:ind w:left="-540" w:firstLine="645"/>
        <w:spacing w:after="0" w:line="282" w:lineRule="auto"/>
        <w:tabs>
          <w:tab w:leader="none" w:pos="554"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Debt of Borrower that is secured by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in a maximum aggregate amount (after giving effect to any such Debt previously incurred and then outstanding) not to exceed the difference between the Maximum Facility Amount and the Facility Amount when incurred, </w:t>
      </w:r>
      <w:r>
        <w:rPr>
          <w:rFonts w:ascii="Arial" w:cs="Arial" w:eastAsia="Arial" w:hAnsi="Arial"/>
          <w:sz w:val="18"/>
          <w:szCs w:val="18"/>
          <w:i w:val="1"/>
          <w:iCs w:val="1"/>
          <w:color w:val="auto"/>
        </w:rPr>
        <w:t>so long as</w:t>
      </w:r>
      <w:r>
        <w:rPr>
          <w:rFonts w:ascii="Arial" w:cs="Arial" w:eastAsia="Arial" w:hAnsi="Arial"/>
          <w:sz w:val="18"/>
          <w:szCs w:val="18"/>
          <w:color w:val="auto"/>
        </w:rPr>
        <w:t xml:space="preserve"> Borrower, Administrative Agent, and the lender thereof (or applicable agent or trustee therefor) have entered into intercreditor arrangements in form and substance reasonably satisfactory to Administrative Agent;</w:t>
      </w:r>
    </w:p>
    <w:p>
      <w:pPr>
        <w:spacing w:after="0" w:line="161" w:lineRule="exact"/>
        <w:rPr>
          <w:rFonts w:ascii="Arial" w:cs="Arial" w:eastAsia="Arial" w:hAnsi="Arial"/>
          <w:sz w:val="18"/>
          <w:szCs w:val="18"/>
          <w:color w:val="auto"/>
        </w:rPr>
      </w:pPr>
    </w:p>
    <w:p>
      <w:pPr>
        <w:jc w:val="both"/>
        <w:ind w:left="-540" w:firstLine="645"/>
        <w:spacing w:after="0" w:line="243" w:lineRule="auto"/>
        <w:tabs>
          <w:tab w:leader="none" w:pos="610" w:val="left"/>
        </w:tabs>
        <w:numPr>
          <w:ilvl w:val="0"/>
          <w:numId w:val="39"/>
        </w:numPr>
        <w:rPr>
          <w:rFonts w:ascii="Arial" w:cs="Arial" w:eastAsia="Arial" w:hAnsi="Arial"/>
          <w:sz w:val="20"/>
          <w:szCs w:val="20"/>
          <w:color w:val="auto"/>
        </w:rPr>
      </w:pPr>
      <w:r>
        <w:rPr>
          <w:rFonts w:ascii="Arial" w:cs="Arial" w:eastAsia="Arial" w:hAnsi="Arial"/>
          <w:sz w:val="20"/>
          <w:szCs w:val="20"/>
          <w:color w:val="auto"/>
        </w:rPr>
        <w:t xml:space="preserve">(i) if the Northstar Leases and Canyons-Park City Lease are Capital Leases, the obligations of the Northstar Subsidiaries and VR CPC Holdings, Inc., respectively, thereunder, and (ii) obligations of Restricted Subsidiaries under other Capital Leases of assets or properties owned by any Restricted Subsidiary,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(A) such Restricted Subsidiary has complied with the terms of </w:t>
      </w:r>
      <w:r>
        <w:rPr>
          <w:rFonts w:ascii="Arial" w:cs="Arial" w:eastAsia="Arial" w:hAnsi="Arial"/>
          <w:sz w:val="20"/>
          <w:szCs w:val="20"/>
          <w:b w:val="1"/>
          <w:bCs w:val="1"/>
          <w:i w:val="1"/>
          <w:iCs w:val="1"/>
          <w:color w:val="auto"/>
        </w:rPr>
        <w:t>Section 9.10</w:t>
      </w:r>
      <w:r>
        <w:rPr>
          <w:rFonts w:ascii="Arial" w:cs="Arial" w:eastAsia="Arial" w:hAnsi="Arial"/>
          <w:sz w:val="20"/>
          <w:szCs w:val="20"/>
          <w:color w:val="auto"/>
        </w:rPr>
        <w:t>, (B) no Default or Potential Default exists or would result after giving effect thereto, (C) the Companies are in pro forma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compliance with the financial covenants set forth in </w:t>
      </w:r>
      <w:r>
        <w:rPr>
          <w:rFonts w:ascii="Arial" w:cs="Arial" w:eastAsia="Arial" w:hAnsi="Arial"/>
          <w:sz w:val="20"/>
          <w:szCs w:val="20"/>
          <w:b w:val="1"/>
          <w:bCs w:val="1"/>
          <w:i w:val="1"/>
          <w:iCs w:val="1"/>
          <w:color w:val="auto"/>
        </w:rPr>
        <w:t>Section 11</w:t>
      </w:r>
      <w:r>
        <w:rPr>
          <w:rFonts w:ascii="Arial" w:cs="Arial" w:eastAsia="Arial" w:hAnsi="Arial"/>
          <w:sz w:val="20"/>
          <w:szCs w:val="20"/>
          <w:color w:val="auto"/>
        </w:rPr>
        <w:t>, and (D) such Restricted Subsidiary did not own such assets or property or Critical Assets on the Closing Date;</w:t>
      </w:r>
    </w:p>
    <w:p>
      <w:pPr>
        <w:spacing w:after="0" w:line="196" w:lineRule="exact"/>
        <w:rPr>
          <w:rFonts w:ascii="Arial" w:cs="Arial" w:eastAsia="Arial" w:hAnsi="Arial"/>
          <w:sz w:val="20"/>
          <w:szCs w:val="20"/>
          <w:color w:val="auto"/>
        </w:rPr>
      </w:pPr>
    </w:p>
    <w:p>
      <w:pPr>
        <w:jc w:val="both"/>
        <w:ind w:left="-540" w:firstLine="645"/>
        <w:spacing w:after="0" w:line="250" w:lineRule="auto"/>
        <w:tabs>
          <w:tab w:leader="none" w:pos="576" w:val="left"/>
        </w:tabs>
        <w:numPr>
          <w:ilvl w:val="0"/>
          <w:numId w:val="39"/>
        </w:numPr>
        <w:rPr>
          <w:rFonts w:ascii="Arial" w:cs="Arial" w:eastAsia="Arial" w:hAnsi="Arial"/>
          <w:sz w:val="20"/>
          <w:szCs w:val="20"/>
          <w:color w:val="auto"/>
        </w:rPr>
      </w:pPr>
      <w:r>
        <w:rPr>
          <w:rFonts w:ascii="Arial" w:cs="Arial" w:eastAsia="Arial" w:hAnsi="Arial"/>
          <w:sz w:val="20"/>
          <w:szCs w:val="20"/>
          <w:color w:val="auto"/>
        </w:rPr>
        <w:t xml:space="preserve">Debt of the Restricted Companies in connection with the acquisition of assets or a new Restricted Subsidiary (including Debt that was incurred by the prior owner of such assets or by such Restricted Subsidiary prior to such acquisition by the Restricted Companies);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p>
    <w:p>
      <w:pPr>
        <w:spacing w:after="0" w:line="200" w:lineRule="exact"/>
        <w:rPr>
          <w:sz w:val="20"/>
          <w:szCs w:val="20"/>
          <w:color w:val="auto"/>
        </w:rPr>
      </w:pPr>
    </w:p>
    <w:p>
      <w:pPr>
        <w:spacing w:after="0" w:line="229"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0220"/>
          </w:cols>
          <w:pgMar w:left="1440" w:top="582" w:right="239" w:bottom="1440" w:gutter="0" w:footer="0" w:header="0"/>
        </w:sectPr>
      </w:pPr>
    </w:p>
    <w:bookmarkStart w:id="89" w:name="page90"/>
    <w:bookmarkEnd w:id="89"/>
    <w:p>
      <w:pPr>
        <w:spacing w:after="0"/>
        <w:rPr>
          <w:sz w:val="20"/>
          <w:szCs w:val="20"/>
          <w:color w:val="auto"/>
        </w:rPr>
      </w:pPr>
      <w:r>
        <w:rPr>
          <w:rFonts w:ascii="Arial" w:cs="Arial" w:eastAsia="Arial" w:hAnsi="Arial"/>
          <w:sz w:val="19"/>
          <w:szCs w:val="19"/>
          <w:color w:val="auto"/>
        </w:rPr>
        <w:t xml:space="preserve">the aggregate principal amount of Debt pursuant to this </w:t>
      </w:r>
      <w:r>
        <w:rPr>
          <w:rFonts w:ascii="Arial" w:cs="Arial" w:eastAsia="Arial" w:hAnsi="Arial"/>
          <w:sz w:val="19"/>
          <w:szCs w:val="19"/>
          <w:b w:val="1"/>
          <w:bCs w:val="1"/>
          <w:i w:val="1"/>
          <w:iCs w:val="1"/>
          <w:color w:val="auto"/>
        </w:rPr>
        <w:t>clause (n)</w:t>
      </w:r>
      <w:r>
        <w:rPr>
          <w:rFonts w:ascii="Arial" w:cs="Arial" w:eastAsia="Arial" w:hAnsi="Arial"/>
          <w:sz w:val="19"/>
          <w:szCs w:val="19"/>
          <w:color w:val="auto"/>
        </w:rPr>
        <w:t xml:space="preserve"> does not exceed $100,000,000 at any time outstanding;</w:t>
      </w:r>
    </w:p>
    <w:p>
      <w:pPr>
        <w:spacing w:after="0" w:line="227" w:lineRule="exact"/>
        <w:rPr>
          <w:sz w:val="20"/>
          <w:szCs w:val="20"/>
          <w:color w:val="auto"/>
        </w:rPr>
      </w:pPr>
    </w:p>
    <w:p>
      <w:pPr>
        <w:ind w:firstLine="645"/>
        <w:spacing w:after="0" w:line="260" w:lineRule="auto"/>
        <w:tabs>
          <w:tab w:leader="none" w:pos="1139" w:val="left"/>
        </w:tabs>
        <w:numPr>
          <w:ilvl w:val="0"/>
          <w:numId w:val="40"/>
        </w:numPr>
        <w:rPr>
          <w:rFonts w:ascii="Arial" w:cs="Arial" w:eastAsia="Arial" w:hAnsi="Arial"/>
          <w:sz w:val="20"/>
          <w:szCs w:val="20"/>
          <w:color w:val="auto"/>
        </w:rPr>
      </w:pPr>
      <w:r>
        <w:rPr>
          <w:rFonts w:ascii="Arial" w:cs="Arial" w:eastAsia="Arial" w:hAnsi="Arial"/>
          <w:sz w:val="20"/>
          <w:szCs w:val="20"/>
          <w:color w:val="auto"/>
        </w:rPr>
        <w:t>Debt of any Restricted Company organized outside the United States in an aggregate principal amount which does not exceed $50,000,000 at any time outstanding; and</w:t>
      </w:r>
    </w:p>
    <w:p>
      <w:pPr>
        <w:spacing w:after="0" w:line="176" w:lineRule="exact"/>
        <w:rPr>
          <w:rFonts w:ascii="Arial" w:cs="Arial" w:eastAsia="Arial" w:hAnsi="Arial"/>
          <w:sz w:val="20"/>
          <w:szCs w:val="20"/>
          <w:color w:val="auto"/>
        </w:rPr>
      </w:pPr>
    </w:p>
    <w:p>
      <w:pPr>
        <w:jc w:val="both"/>
        <w:ind w:firstLine="645"/>
        <w:spacing w:after="0" w:line="282" w:lineRule="auto"/>
        <w:tabs>
          <w:tab w:leader="none" w:pos="1093"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in addition to Debt permitted under </w:t>
      </w:r>
      <w:r>
        <w:rPr>
          <w:rFonts w:ascii="Arial" w:cs="Arial" w:eastAsia="Arial" w:hAnsi="Arial"/>
          <w:sz w:val="18"/>
          <w:szCs w:val="18"/>
          <w:b w:val="1"/>
          <w:bCs w:val="1"/>
          <w:i w:val="1"/>
          <w:iCs w:val="1"/>
          <w:color w:val="auto"/>
        </w:rPr>
        <w:t>clauses (a)</w:t>
      </w:r>
      <w:r>
        <w:rPr>
          <w:rFonts w:ascii="Arial" w:cs="Arial" w:eastAsia="Arial" w:hAnsi="Arial"/>
          <w:sz w:val="18"/>
          <w:szCs w:val="18"/>
          <w:color w:val="auto"/>
        </w:rPr>
        <w:t xml:space="preserve"> through </w:t>
      </w:r>
      <w:r>
        <w:rPr>
          <w:rFonts w:ascii="Arial" w:cs="Arial" w:eastAsia="Arial" w:hAnsi="Arial"/>
          <w:sz w:val="18"/>
          <w:szCs w:val="18"/>
          <w:b w:val="1"/>
          <w:bCs w:val="1"/>
          <w:i w:val="1"/>
          <w:iCs w:val="1"/>
          <w:color w:val="auto"/>
        </w:rPr>
        <w:t>(o)</w:t>
      </w:r>
      <w:r>
        <w:rPr>
          <w:rFonts w:ascii="Arial" w:cs="Arial" w:eastAsia="Arial" w:hAnsi="Arial"/>
          <w:sz w:val="18"/>
          <w:szCs w:val="18"/>
          <w:color w:val="auto"/>
        </w:rPr>
        <w:t xml:space="preserve"> above, senior unsecured Debt (including High-Yield Debt) of the Restricted Companies;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(x) the maximum aggregate amount of such Debt that has a stated maturity prior to the Termination Date for the Revolver Facility shall not exceed $250,000,000 at any time; and </w:t>
      </w:r>
      <w:r>
        <w:rPr>
          <w:rFonts w:ascii="Arial" w:cs="Arial" w:eastAsia="Arial" w:hAnsi="Arial"/>
          <w:sz w:val="18"/>
          <w:szCs w:val="18"/>
          <w:i w:val="1"/>
          <w:iCs w:val="1"/>
          <w:color w:val="auto"/>
        </w:rPr>
        <w:t>(y)</w:t>
      </w:r>
      <w:r>
        <w:rPr>
          <w:rFonts w:ascii="Arial" w:cs="Arial" w:eastAsia="Arial" w:hAnsi="Arial"/>
          <w:sz w:val="18"/>
          <w:szCs w:val="18"/>
          <w:color w:val="auto"/>
        </w:rPr>
        <w:t xml:space="preserve"> the maximum aggregate amount of such Debt incurred by Restricted Subsidiaries other than Borrower shall not exceed $50,000,000 at any time.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Permitted Liens </w:t>
      </w:r>
      <w:r>
        <w:rPr>
          <w:rFonts w:ascii="Arial" w:cs="Arial" w:eastAsia="Arial" w:hAnsi="Arial"/>
          <w:sz w:val="20"/>
          <w:szCs w:val="20"/>
          <w:color w:val="auto"/>
        </w:rPr>
        <w:t>means:</w:t>
      </w:r>
    </w:p>
    <w:p>
      <w:pPr>
        <w:spacing w:after="0" w:line="216" w:lineRule="exact"/>
        <w:rPr>
          <w:sz w:val="20"/>
          <w:szCs w:val="20"/>
          <w:color w:val="auto"/>
        </w:rPr>
      </w:pPr>
    </w:p>
    <w:p>
      <w:pPr>
        <w:jc w:val="both"/>
        <w:ind w:firstLine="645"/>
        <w:spacing w:after="0" w:line="250" w:lineRule="auto"/>
        <w:tabs>
          <w:tab w:leader="none" w:pos="1095" w:val="left"/>
        </w:tabs>
        <w:numPr>
          <w:ilvl w:val="0"/>
          <w:numId w:val="41"/>
        </w:numPr>
        <w:rPr>
          <w:rFonts w:ascii="Arial" w:cs="Arial" w:eastAsia="Arial" w:hAnsi="Arial"/>
          <w:sz w:val="20"/>
          <w:szCs w:val="20"/>
          <w:color w:val="auto"/>
        </w:rPr>
      </w:pPr>
      <w:r>
        <w:rPr>
          <w:rFonts w:ascii="Arial" w:cs="Arial" w:eastAsia="Arial" w:hAnsi="Arial"/>
          <w:sz w:val="20"/>
          <w:szCs w:val="20"/>
          <w:color w:val="auto"/>
        </w:rPr>
        <w:t xml:space="preserve">Liens created by the Security Documents or other Liens securing the Obligation, and </w:t>
      </w:r>
      <w:r>
        <w:rPr>
          <w:rFonts w:ascii="Arial" w:cs="Arial" w:eastAsia="Arial" w:hAnsi="Arial"/>
          <w:sz w:val="20"/>
          <w:szCs w:val="20"/>
          <w:i w:val="1"/>
          <w:iCs w:val="1"/>
          <w:color w:val="auto"/>
        </w:rPr>
        <w:t>so long as</w:t>
      </w:r>
      <w:r>
        <w:rPr>
          <w:rFonts w:ascii="Arial" w:cs="Arial" w:eastAsia="Arial" w:hAnsi="Arial"/>
          <w:sz w:val="20"/>
          <w:szCs w:val="20"/>
          <w:color w:val="auto"/>
        </w:rPr>
        <w:t xml:space="preserve"> the Obligation is ratably secured therewith, Liens securing Debt incurred by any Company under any Financial Hedge with any Lender or an Affiliate of any Lender to the extent permitted under </w:t>
      </w:r>
      <w:r>
        <w:rPr>
          <w:rFonts w:ascii="Arial" w:cs="Arial" w:eastAsia="Arial" w:hAnsi="Arial"/>
          <w:sz w:val="20"/>
          <w:szCs w:val="20"/>
          <w:b w:val="1"/>
          <w:bCs w:val="1"/>
          <w:i w:val="1"/>
          <w:iCs w:val="1"/>
          <w:color w:val="auto"/>
        </w:rPr>
        <w:t>Section 10.8(i)</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jc w:val="both"/>
        <w:ind w:firstLine="645"/>
        <w:spacing w:after="0" w:line="246" w:lineRule="auto"/>
        <w:tabs>
          <w:tab w:leader="none" w:pos="1077" w:val="left"/>
        </w:tabs>
        <w:numPr>
          <w:ilvl w:val="0"/>
          <w:numId w:val="41"/>
        </w:numPr>
        <w:rPr>
          <w:rFonts w:ascii="Arial" w:cs="Arial" w:eastAsia="Arial" w:hAnsi="Arial"/>
          <w:sz w:val="20"/>
          <w:szCs w:val="20"/>
          <w:color w:val="auto"/>
        </w:rPr>
      </w:pPr>
      <w:r>
        <w:rPr>
          <w:rFonts w:ascii="Arial" w:cs="Arial" w:eastAsia="Arial" w:hAnsi="Arial"/>
          <w:sz w:val="20"/>
          <w:szCs w:val="20"/>
          <w:color w:val="auto"/>
        </w:rPr>
        <w:t>Liens created by, or pursuant to, the Forest Service Permit Agreements for the benefit of the holders of the Vail Bonds and Liens on the amounts in the “</w:t>
      </w:r>
      <w:r>
        <w:rPr>
          <w:rFonts w:ascii="Arial" w:cs="Arial" w:eastAsia="Arial" w:hAnsi="Arial"/>
          <w:sz w:val="20"/>
          <w:szCs w:val="20"/>
          <w:i w:val="1"/>
          <w:iCs w:val="1"/>
          <w:color w:val="auto"/>
        </w:rPr>
        <w:t>Bond Fund</w:t>
      </w:r>
      <w:r>
        <w:rPr>
          <w:rFonts w:ascii="Arial" w:cs="Arial" w:eastAsia="Arial" w:hAnsi="Arial"/>
          <w:sz w:val="20"/>
          <w:szCs w:val="20"/>
          <w:color w:val="auto"/>
        </w:rPr>
        <w:t>” established and maintained in accordance with the provisions of the documents executed in connection with the issuance of the Vail Bonds (and Liens created on all or any portion of the same assets in connection with any refinancing of such bonds in accordance with the terms of this Agreement);</w:t>
      </w:r>
    </w:p>
    <w:p>
      <w:pPr>
        <w:spacing w:after="0" w:line="191" w:lineRule="exact"/>
        <w:rPr>
          <w:rFonts w:ascii="Arial" w:cs="Arial" w:eastAsia="Arial" w:hAnsi="Arial"/>
          <w:sz w:val="20"/>
          <w:szCs w:val="20"/>
          <w:color w:val="auto"/>
        </w:rPr>
      </w:pPr>
    </w:p>
    <w:p>
      <w:pPr>
        <w:ind w:firstLine="645"/>
        <w:spacing w:after="0" w:line="260" w:lineRule="auto"/>
        <w:tabs>
          <w:tab w:leader="none" w:pos="1149" w:val="left"/>
        </w:tabs>
        <w:numPr>
          <w:ilvl w:val="0"/>
          <w:numId w:val="41"/>
        </w:numPr>
        <w:rPr>
          <w:rFonts w:ascii="Arial" w:cs="Arial" w:eastAsia="Arial" w:hAnsi="Arial"/>
          <w:sz w:val="20"/>
          <w:szCs w:val="20"/>
          <w:color w:val="auto"/>
        </w:rPr>
      </w:pPr>
      <w:r>
        <w:rPr>
          <w:rFonts w:ascii="Arial" w:cs="Arial" w:eastAsia="Arial" w:hAnsi="Arial"/>
          <w:sz w:val="20"/>
          <w:szCs w:val="20"/>
          <w:color w:val="auto"/>
        </w:rPr>
        <w:t xml:space="preserve">Liens on assets of Unrestricted Subsidiaries securing Debt of Unrestricted Subsidiaries permitted by </w:t>
      </w:r>
      <w:r>
        <w:rPr>
          <w:rFonts w:ascii="Arial" w:cs="Arial" w:eastAsia="Arial" w:hAnsi="Arial"/>
          <w:sz w:val="20"/>
          <w:szCs w:val="20"/>
          <w:b w:val="1"/>
          <w:bCs w:val="1"/>
          <w:i w:val="1"/>
          <w:iCs w:val="1"/>
          <w:color w:val="auto"/>
        </w:rPr>
        <w:t>clause (g)</w:t>
      </w:r>
      <w:r>
        <w:rPr>
          <w:rFonts w:ascii="Arial" w:cs="Arial" w:eastAsia="Arial" w:hAnsi="Arial"/>
          <w:sz w:val="20"/>
          <w:szCs w:val="20"/>
          <w:color w:val="auto"/>
        </w:rPr>
        <w:t xml:space="preserve"> of the definition of “</w:t>
      </w:r>
      <w:r>
        <w:rPr>
          <w:rFonts w:ascii="Arial" w:cs="Arial" w:eastAsia="Arial" w:hAnsi="Arial"/>
          <w:sz w:val="20"/>
          <w:szCs w:val="20"/>
          <w:i w:val="1"/>
          <w:iCs w:val="1"/>
          <w:color w:val="auto"/>
        </w:rPr>
        <w:t>Permitted Debt</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left="1120" w:hanging="475"/>
        <w:spacing w:after="0"/>
        <w:tabs>
          <w:tab w:leader="none" w:pos="1120"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Liens on the Collateral securing Debt of Borrower permitted by </w:t>
      </w:r>
      <w:r>
        <w:rPr>
          <w:rFonts w:ascii="Arial" w:cs="Arial" w:eastAsia="Arial" w:hAnsi="Arial"/>
          <w:sz w:val="19"/>
          <w:szCs w:val="19"/>
          <w:b w:val="1"/>
          <w:bCs w:val="1"/>
          <w:i w:val="1"/>
          <w:iCs w:val="1"/>
          <w:color w:val="auto"/>
        </w:rPr>
        <w:t>clause (l)</w:t>
      </w:r>
      <w:r>
        <w:rPr>
          <w:rFonts w:ascii="Arial" w:cs="Arial" w:eastAsia="Arial" w:hAnsi="Arial"/>
          <w:sz w:val="19"/>
          <w:szCs w:val="19"/>
          <w:color w:val="auto"/>
        </w:rPr>
        <w:t xml:space="preserve"> of the definition of “</w:t>
      </w:r>
      <w:r>
        <w:rPr>
          <w:rFonts w:ascii="Arial" w:cs="Arial" w:eastAsia="Arial" w:hAnsi="Arial"/>
          <w:sz w:val="19"/>
          <w:szCs w:val="19"/>
          <w:i w:val="1"/>
          <w:iCs w:val="1"/>
          <w:color w:val="auto"/>
        </w:rPr>
        <w:t>Permitted Debt</w:t>
      </w:r>
      <w:r>
        <w:rPr>
          <w:rFonts w:ascii="Arial" w:cs="Arial" w:eastAsia="Arial" w:hAnsi="Arial"/>
          <w:sz w:val="19"/>
          <w:szCs w:val="19"/>
          <w:color w:val="auto"/>
        </w:rPr>
        <w:t>”;</w:t>
      </w:r>
    </w:p>
    <w:p>
      <w:pPr>
        <w:spacing w:after="0" w:line="227" w:lineRule="exact"/>
        <w:rPr>
          <w:rFonts w:ascii="Arial" w:cs="Arial" w:eastAsia="Arial" w:hAnsi="Arial"/>
          <w:sz w:val="19"/>
          <w:szCs w:val="19"/>
          <w:color w:val="auto"/>
        </w:rPr>
      </w:pPr>
    </w:p>
    <w:p>
      <w:pPr>
        <w:ind w:firstLine="645"/>
        <w:spacing w:after="0" w:line="316"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Liens on assets of any Company securing Permitted Debt arising under or pursuant to any Bond Documents to which any such Company is a party, but only to the extent such Liens secure the assets financed by such Permitted Debt (and proceeds thereof);</w:t>
      </w:r>
    </w:p>
    <w:p>
      <w:pPr>
        <w:spacing w:after="0" w:line="130" w:lineRule="exact"/>
        <w:rPr>
          <w:rFonts w:ascii="Arial" w:cs="Arial" w:eastAsia="Arial" w:hAnsi="Arial"/>
          <w:sz w:val="18"/>
          <w:szCs w:val="18"/>
          <w:color w:val="auto"/>
        </w:rPr>
      </w:pPr>
    </w:p>
    <w:p>
      <w:pPr>
        <w:ind w:left="1040" w:hanging="395"/>
        <w:spacing w:after="0"/>
        <w:tabs>
          <w:tab w:leader="none" w:pos="10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purchase money liens which encumber only the assets acquired;</w:t>
      </w:r>
    </w:p>
    <w:p>
      <w:pPr>
        <w:spacing w:after="0" w:line="215" w:lineRule="exact"/>
        <w:rPr>
          <w:rFonts w:ascii="Arial" w:cs="Arial" w:eastAsia="Arial" w:hAnsi="Arial"/>
          <w:sz w:val="20"/>
          <w:szCs w:val="20"/>
          <w:color w:val="auto"/>
        </w:rPr>
      </w:pPr>
    </w:p>
    <w:p>
      <w:pPr>
        <w:jc w:val="both"/>
        <w:ind w:firstLine="645"/>
        <w:spacing w:after="0" w:line="250" w:lineRule="auto"/>
        <w:tabs>
          <w:tab w:leader="none" w:pos="1202" w:val="left"/>
        </w:tabs>
        <w:numPr>
          <w:ilvl w:val="0"/>
          <w:numId w:val="41"/>
        </w:numPr>
        <w:rPr>
          <w:rFonts w:ascii="Arial" w:cs="Arial" w:eastAsia="Arial" w:hAnsi="Arial"/>
          <w:sz w:val="20"/>
          <w:szCs w:val="20"/>
          <w:color w:val="auto"/>
        </w:rPr>
      </w:pPr>
      <w:r>
        <w:rPr>
          <w:rFonts w:ascii="Arial" w:cs="Arial" w:eastAsia="Arial" w:hAnsi="Arial"/>
          <w:sz w:val="20"/>
          <w:szCs w:val="20"/>
          <w:color w:val="auto"/>
        </w:rPr>
        <w:t>pledges or deposits made to secure payment of workers’ compensation, unemployment insurance or other forms of governmental insurance or benefits (other than ERISA) or to participate in any fund in connection with workers’ compensation, unemployment insurance, pensions (other than ERISA) or other social security programs;</w:t>
      </w:r>
    </w:p>
    <w:p>
      <w:pPr>
        <w:spacing w:after="0" w:line="186" w:lineRule="exact"/>
        <w:rPr>
          <w:rFonts w:ascii="Arial" w:cs="Arial" w:eastAsia="Arial" w:hAnsi="Arial"/>
          <w:sz w:val="20"/>
          <w:szCs w:val="20"/>
          <w:color w:val="auto"/>
        </w:rPr>
      </w:pPr>
    </w:p>
    <w:p>
      <w:pPr>
        <w:jc w:val="both"/>
        <w:ind w:firstLine="645"/>
        <w:spacing w:after="0" w:line="250" w:lineRule="auto"/>
        <w:tabs>
          <w:tab w:leader="none" w:pos="1138" w:val="left"/>
        </w:tabs>
        <w:numPr>
          <w:ilvl w:val="0"/>
          <w:numId w:val="41"/>
        </w:numPr>
        <w:rPr>
          <w:rFonts w:ascii="Arial" w:cs="Arial" w:eastAsia="Arial" w:hAnsi="Arial"/>
          <w:sz w:val="20"/>
          <w:szCs w:val="20"/>
          <w:color w:val="auto"/>
        </w:rPr>
      </w:pPr>
      <w:r>
        <w:rPr>
          <w:rFonts w:ascii="Arial" w:cs="Arial" w:eastAsia="Arial" w:hAnsi="Arial"/>
          <w:sz w:val="20"/>
          <w:szCs w:val="20"/>
          <w:color w:val="auto"/>
        </w:rPr>
        <w:t>good-faith pledges or deposits made to secure performance of bids, tenders, contracts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for the repayment of borrowed money), or leases, or to secure statutory obligations, surety or appeal bonds, or indemnity, performance, or other similar bonds in the ordinary course of business;</w:t>
      </w:r>
    </w:p>
    <w:p>
      <w:pPr>
        <w:spacing w:after="0" w:line="186" w:lineRule="exact"/>
        <w:rPr>
          <w:rFonts w:ascii="Arial" w:cs="Arial" w:eastAsia="Arial" w:hAnsi="Arial"/>
          <w:sz w:val="20"/>
          <w:szCs w:val="20"/>
          <w:color w:val="auto"/>
        </w:rPr>
      </w:pPr>
    </w:p>
    <w:p>
      <w:pPr>
        <w:ind w:left="1020" w:hanging="375"/>
        <w:spacing w:after="0"/>
        <w:tabs>
          <w:tab w:leader="none" w:pos="10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encumbrances and restrictions on the use of real property which do not materially impair the use thereof;</w:t>
      </w:r>
    </w:p>
    <w:p>
      <w:pPr>
        <w:spacing w:after="0" w:line="200" w:lineRule="exact"/>
        <w:rPr>
          <w:sz w:val="20"/>
          <w:szCs w:val="20"/>
          <w:color w:val="auto"/>
        </w:rPr>
      </w:pPr>
    </w:p>
    <w:p>
      <w:pPr>
        <w:spacing w:after="0" w:line="25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0760"/>
          </w:cols>
          <w:pgMar w:left="900" w:top="582" w:right="239" w:bottom="1440" w:gutter="0" w:footer="0" w:header="0"/>
        </w:sectPr>
      </w:pPr>
    </w:p>
    <w:bookmarkStart w:id="90" w:name="page91"/>
    <w:bookmarkEnd w:id="90"/>
    <w:p>
      <w:pPr>
        <w:jc w:val="both"/>
        <w:ind w:left="660" w:firstLine="645"/>
        <w:spacing w:after="0" w:line="243" w:lineRule="auto"/>
        <w:tabs>
          <w:tab w:leader="none" w:pos="1726" w:val="left"/>
        </w:tabs>
        <w:numPr>
          <w:ilvl w:val="1"/>
          <w:numId w:val="42"/>
        </w:numPr>
        <w:rPr>
          <w:rFonts w:ascii="Arial" w:cs="Arial" w:eastAsia="Arial" w:hAnsi="Arial"/>
          <w:sz w:val="20"/>
          <w:szCs w:val="20"/>
          <w:color w:val="auto"/>
        </w:rPr>
      </w:pPr>
      <w:r>
        <w:rPr>
          <w:rFonts w:ascii="Arial" w:cs="Arial" w:eastAsia="Arial" w:hAnsi="Arial"/>
          <w:sz w:val="20"/>
          <w:szCs w:val="20"/>
          <w:color w:val="auto"/>
        </w:rPr>
        <w:t>the following, if either (1) no amounts are due and payable and no Lien has been filed or agreed to, or (2) the validity or amount thereof is being contested in good faith by lawful proceedings diligently conducted, reserve or other provision required by GAAP has been made, levy and execution thereon have been (and continue to be) stayed or payment thereof is covered in full (subject to the customary deductible) by insurance: (i) Liens for Taxes; (ii) Liens upon, and defects of title to, property, including any attachment of property or other legal process prior to adjudication of a dispute on the merits; (iii) Liens imposed by operation of Law (including, without limitation, Liens of mechanics, materialmen, warehousemen, carriers, and landlords, and similar Liens); and (iv) adverse judgments on appeal;</w:t>
      </w:r>
    </w:p>
    <w:p>
      <w:pPr>
        <w:spacing w:after="0" w:line="193" w:lineRule="exact"/>
        <w:rPr>
          <w:rFonts w:ascii="Arial" w:cs="Arial" w:eastAsia="Arial" w:hAnsi="Arial"/>
          <w:sz w:val="20"/>
          <w:szCs w:val="20"/>
          <w:color w:val="auto"/>
        </w:rPr>
      </w:pPr>
    </w:p>
    <w:p>
      <w:pPr>
        <w:ind w:left="1740" w:hanging="435"/>
        <w:spacing w:after="0"/>
        <w:tabs>
          <w:tab w:leader="none" w:pos="1740" w:val="left"/>
        </w:tabs>
        <w:numPr>
          <w:ilvl w:val="1"/>
          <w:numId w:val="42"/>
        </w:numPr>
        <w:rPr>
          <w:rFonts w:ascii="Arial" w:cs="Arial" w:eastAsia="Arial" w:hAnsi="Arial"/>
          <w:sz w:val="20"/>
          <w:szCs w:val="20"/>
          <w:color w:val="auto"/>
        </w:rPr>
      </w:pPr>
      <w:r>
        <w:rPr>
          <w:rFonts w:ascii="Arial" w:cs="Arial" w:eastAsia="Arial" w:hAnsi="Arial"/>
          <w:sz w:val="20"/>
          <w:szCs w:val="20"/>
          <w:color w:val="auto"/>
        </w:rPr>
        <w:t>any interest or title of a lessor or licensor in assets being leased or licensed to a Company;</w:t>
      </w:r>
    </w:p>
    <w:p>
      <w:pPr>
        <w:spacing w:after="0" w:line="215" w:lineRule="exact"/>
        <w:rPr>
          <w:rFonts w:ascii="Arial" w:cs="Arial" w:eastAsia="Arial" w:hAnsi="Arial"/>
          <w:sz w:val="20"/>
          <w:szCs w:val="20"/>
          <w:color w:val="auto"/>
        </w:rPr>
      </w:pPr>
    </w:p>
    <w:p>
      <w:pPr>
        <w:ind w:left="660" w:firstLine="645"/>
        <w:spacing w:after="0" w:line="260" w:lineRule="auto"/>
        <w:tabs>
          <w:tab w:leader="none" w:pos="1779" w:val="left"/>
        </w:tabs>
        <w:numPr>
          <w:ilvl w:val="1"/>
          <w:numId w:val="42"/>
        </w:numPr>
        <w:rPr>
          <w:rFonts w:ascii="Arial" w:cs="Arial" w:eastAsia="Arial" w:hAnsi="Arial"/>
          <w:sz w:val="20"/>
          <w:szCs w:val="20"/>
          <w:color w:val="auto"/>
        </w:rPr>
      </w:pPr>
      <w:r>
        <w:rPr>
          <w:rFonts w:ascii="Arial" w:cs="Arial" w:eastAsia="Arial" w:hAnsi="Arial"/>
          <w:sz w:val="20"/>
          <w:szCs w:val="20"/>
          <w:color w:val="auto"/>
        </w:rPr>
        <w:t>licenses, leases, or subleases granted to third Persons which do not interfere in any material respect with the business conducted by the Companies;</w:t>
      </w:r>
    </w:p>
    <w:p>
      <w:pPr>
        <w:spacing w:after="0" w:line="176" w:lineRule="exact"/>
        <w:rPr>
          <w:rFonts w:ascii="Arial" w:cs="Arial" w:eastAsia="Arial" w:hAnsi="Arial"/>
          <w:sz w:val="20"/>
          <w:szCs w:val="20"/>
          <w:color w:val="auto"/>
        </w:rPr>
      </w:pPr>
    </w:p>
    <w:p>
      <w:pPr>
        <w:jc w:val="both"/>
        <w:ind w:left="660" w:right="20" w:firstLine="645"/>
        <w:spacing w:after="0" w:line="275" w:lineRule="auto"/>
        <w:tabs>
          <w:tab w:leader="none" w:pos="1807"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any Lien on any asset of any entity that becomes a Subsidiary of VRI, which Lien exists at the time such entity becomes a Subsidiary of VRI, </w:t>
      </w:r>
      <w:r>
        <w:rPr>
          <w:rFonts w:ascii="Arial" w:cs="Arial" w:eastAsia="Arial" w:hAnsi="Arial"/>
          <w:sz w:val="18"/>
          <w:szCs w:val="18"/>
          <w:i w:val="1"/>
          <w:iCs w:val="1"/>
          <w:color w:val="auto"/>
        </w:rPr>
        <w:t>so long as</w:t>
      </w:r>
      <w:r>
        <w:rPr>
          <w:rFonts w:ascii="Arial" w:cs="Arial" w:eastAsia="Arial" w:hAnsi="Arial"/>
          <w:sz w:val="18"/>
          <w:szCs w:val="18"/>
          <w:color w:val="auto"/>
        </w:rPr>
        <w:t xml:space="preserve"> (i) any such Lien was not created in contemplation of such acquisition, merger, or consolidation, and</w:t>
      </w:r>
    </w:p>
    <w:p>
      <w:pPr>
        <w:ind w:left="660" w:hanging="4"/>
        <w:spacing w:after="0" w:line="244" w:lineRule="auto"/>
        <w:tabs>
          <w:tab w:leader="none" w:pos="979" w:val="left"/>
        </w:tabs>
        <w:numPr>
          <w:ilvl w:val="0"/>
          <w:numId w:val="43"/>
        </w:numPr>
        <w:rPr>
          <w:rFonts w:ascii="Arial" w:cs="Arial" w:eastAsia="Arial" w:hAnsi="Arial"/>
          <w:sz w:val="20"/>
          <w:szCs w:val="20"/>
          <w:color w:val="auto"/>
        </w:rPr>
      </w:pPr>
      <w:r>
        <w:rPr>
          <w:rFonts w:ascii="Arial" w:cs="Arial" w:eastAsia="Arial" w:hAnsi="Arial"/>
          <w:sz w:val="20"/>
          <w:szCs w:val="20"/>
          <w:color w:val="auto"/>
        </w:rPr>
        <w:t>any such Lien does not and shall not extend to any asset other than the assets secured immediately prior to the acquisition in formation of such Subsidiary;</w:t>
      </w:r>
    </w:p>
    <w:p>
      <w:pPr>
        <w:spacing w:after="0" w:line="191" w:lineRule="exact"/>
        <w:rPr>
          <w:rFonts w:ascii="Arial" w:cs="Arial" w:eastAsia="Arial" w:hAnsi="Arial"/>
          <w:sz w:val="20"/>
          <w:szCs w:val="20"/>
          <w:color w:val="auto"/>
        </w:rPr>
      </w:pPr>
    </w:p>
    <w:p>
      <w:pPr>
        <w:jc w:val="both"/>
        <w:ind w:left="660" w:firstLine="645"/>
        <w:spacing w:after="0" w:line="260" w:lineRule="auto"/>
        <w:tabs>
          <w:tab w:leader="none" w:pos="1759" w:val="left"/>
        </w:tabs>
        <w:numPr>
          <w:ilvl w:val="1"/>
          <w:numId w:val="43"/>
        </w:numPr>
        <w:rPr>
          <w:rFonts w:ascii="Arial" w:cs="Arial" w:eastAsia="Arial" w:hAnsi="Arial"/>
          <w:sz w:val="19"/>
          <w:szCs w:val="19"/>
          <w:color w:val="auto"/>
        </w:rPr>
      </w:pPr>
      <w:r>
        <w:rPr>
          <w:rFonts w:ascii="Arial" w:cs="Arial" w:eastAsia="Arial" w:hAnsi="Arial"/>
          <w:sz w:val="19"/>
          <w:szCs w:val="19"/>
          <w:color w:val="auto"/>
        </w:rPr>
        <w:t>in respect of Water Rights, the provisions of the instruments evidencing such Water Rights and any matter affecting such Water Rights which does not affect the Companies’ rights to sufficient quantity and quality of water to conduct business as in effect on the date hereof or any expansion planned as of the date hereof (including, without limitation, any Lien of the Colorado Water Conservation Board, or its successors and assigns, on stock owned by any Company in a Colorado ditch and reservoir company formed in accordance with the Colorado Corporation Code, as amended);</w:t>
      </w:r>
    </w:p>
    <w:p>
      <w:pPr>
        <w:spacing w:after="0" w:line="180" w:lineRule="exact"/>
        <w:rPr>
          <w:rFonts w:ascii="Arial" w:cs="Arial" w:eastAsia="Arial" w:hAnsi="Arial"/>
          <w:sz w:val="19"/>
          <w:szCs w:val="19"/>
          <w:color w:val="auto"/>
        </w:rPr>
      </w:pPr>
    </w:p>
    <w:p>
      <w:pPr>
        <w:ind w:left="660" w:firstLine="645"/>
        <w:spacing w:after="0" w:line="260" w:lineRule="auto"/>
        <w:tabs>
          <w:tab w:leader="none" w:pos="1791" w:val="left"/>
        </w:tabs>
        <w:numPr>
          <w:ilvl w:val="1"/>
          <w:numId w:val="43"/>
        </w:numPr>
        <w:rPr>
          <w:rFonts w:ascii="Arial" w:cs="Arial" w:eastAsia="Arial" w:hAnsi="Arial"/>
          <w:sz w:val="20"/>
          <w:szCs w:val="20"/>
          <w:color w:val="auto"/>
        </w:rPr>
      </w:pPr>
      <w:r>
        <w:rPr>
          <w:rFonts w:ascii="Arial" w:cs="Arial" w:eastAsia="Arial" w:hAnsi="Arial"/>
          <w:sz w:val="20"/>
          <w:szCs w:val="20"/>
          <w:color w:val="auto"/>
        </w:rPr>
        <w:t>in respect of the Forest Service Permits, the provisions of the instruments evidencing such permits and all rights of the U.S. and its agencies with respect thereto or with respect to the land affected thereby;</w:t>
      </w:r>
    </w:p>
    <w:p>
      <w:pPr>
        <w:spacing w:after="0" w:line="176" w:lineRule="exact"/>
        <w:rPr>
          <w:rFonts w:ascii="Arial" w:cs="Arial" w:eastAsia="Arial" w:hAnsi="Arial"/>
          <w:sz w:val="20"/>
          <w:szCs w:val="20"/>
          <w:color w:val="auto"/>
        </w:rPr>
      </w:pPr>
    </w:p>
    <w:p>
      <w:pPr>
        <w:jc w:val="both"/>
        <w:ind w:left="660" w:firstLine="645"/>
        <w:spacing w:after="0" w:line="250" w:lineRule="auto"/>
        <w:tabs>
          <w:tab w:leader="none" w:pos="1789" w:val="left"/>
        </w:tabs>
        <w:numPr>
          <w:ilvl w:val="1"/>
          <w:numId w:val="43"/>
        </w:numPr>
        <w:rPr>
          <w:rFonts w:ascii="Arial" w:cs="Arial" w:eastAsia="Arial" w:hAnsi="Arial"/>
          <w:sz w:val="20"/>
          <w:szCs w:val="20"/>
          <w:color w:val="auto"/>
        </w:rPr>
      </w:pPr>
      <w:r>
        <w:rPr>
          <w:rFonts w:ascii="Arial" w:cs="Arial" w:eastAsia="Arial" w:hAnsi="Arial"/>
          <w:sz w:val="20"/>
          <w:szCs w:val="20"/>
          <w:color w:val="auto"/>
        </w:rPr>
        <w:t>Liens on cash accounts not to exceed $250,000 in the aggregate at the FirstBank of Vail established in connection with collateralizing a portion, if any, of certain second mortgage loans made by such bank, and guaranteed by Borrower, as part of the Vail Associates Home Mortgage Program for Borrower’s employees; and</w:t>
      </w:r>
    </w:p>
    <w:p>
      <w:pPr>
        <w:spacing w:after="0" w:line="186" w:lineRule="exact"/>
        <w:rPr>
          <w:rFonts w:ascii="Arial" w:cs="Arial" w:eastAsia="Arial" w:hAnsi="Arial"/>
          <w:sz w:val="20"/>
          <w:szCs w:val="20"/>
          <w:color w:val="auto"/>
        </w:rPr>
      </w:pPr>
    </w:p>
    <w:p>
      <w:pPr>
        <w:ind w:left="660" w:firstLine="645"/>
        <w:spacing w:after="0" w:line="260" w:lineRule="auto"/>
        <w:tabs>
          <w:tab w:leader="none" w:pos="1756" w:val="left"/>
        </w:tabs>
        <w:numPr>
          <w:ilvl w:val="1"/>
          <w:numId w:val="43"/>
        </w:numPr>
        <w:rPr>
          <w:rFonts w:ascii="Arial" w:cs="Arial" w:eastAsia="Arial" w:hAnsi="Arial"/>
          <w:sz w:val="20"/>
          <w:szCs w:val="20"/>
          <w:color w:val="auto"/>
        </w:rPr>
      </w:pPr>
      <w:r>
        <w:rPr>
          <w:rFonts w:ascii="Arial" w:cs="Arial" w:eastAsia="Arial" w:hAnsi="Arial"/>
          <w:sz w:val="20"/>
          <w:szCs w:val="20"/>
          <w:color w:val="auto"/>
        </w:rPr>
        <w:t xml:space="preserve">Liens on assets of any Restricted Company organized outside the United States securing Debt permitted under </w:t>
      </w:r>
      <w:r>
        <w:rPr>
          <w:rFonts w:ascii="Arial" w:cs="Arial" w:eastAsia="Arial" w:hAnsi="Arial"/>
          <w:sz w:val="20"/>
          <w:szCs w:val="20"/>
          <w:b w:val="1"/>
          <w:bCs w:val="1"/>
          <w:i w:val="1"/>
          <w:iCs w:val="1"/>
          <w:color w:val="auto"/>
        </w:rPr>
        <w:t>clause (o)</w:t>
      </w:r>
      <w:r>
        <w:rPr>
          <w:rFonts w:ascii="Arial" w:cs="Arial" w:eastAsia="Arial" w:hAnsi="Arial"/>
          <w:sz w:val="20"/>
          <w:szCs w:val="20"/>
          <w:color w:val="auto"/>
        </w:rPr>
        <w:t xml:space="preserve"> of the definition of “</w:t>
      </w:r>
      <w:r>
        <w:rPr>
          <w:rFonts w:ascii="Arial" w:cs="Arial" w:eastAsia="Arial" w:hAnsi="Arial"/>
          <w:sz w:val="20"/>
          <w:szCs w:val="20"/>
          <w:b w:val="1"/>
          <w:bCs w:val="1"/>
          <w:i w:val="1"/>
          <w:iCs w:val="1"/>
          <w:color w:val="auto"/>
        </w:rPr>
        <w:t>Permitted Debt</w:t>
      </w:r>
      <w:r>
        <w:rPr>
          <w:rFonts w:ascii="Arial" w:cs="Arial" w:eastAsia="Arial" w:hAnsi="Arial"/>
          <w:sz w:val="20"/>
          <w:szCs w:val="20"/>
          <w:color w:val="auto"/>
        </w:rPr>
        <w:t>”.</w:t>
      </w:r>
    </w:p>
    <w:p>
      <w:pPr>
        <w:spacing w:after="0" w:line="177"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b w:val="1"/>
          <w:bCs w:val="1"/>
          <w:i w:val="1"/>
          <w:iCs w:val="1"/>
          <w:color w:val="auto"/>
        </w:rPr>
        <w:t xml:space="preserve">Permitted Recourse Obligations </w:t>
      </w:r>
      <w:r>
        <w:rPr>
          <w:rFonts w:ascii="Arial" w:cs="Arial" w:eastAsia="Arial" w:hAnsi="Arial"/>
          <w:sz w:val="20"/>
          <w:szCs w:val="20"/>
          <w:color w:val="auto"/>
        </w:rPr>
        <w:t>means, collectively, for any Restricted Company, obligations or liabilities arising with respect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Customary Recourse Exceptions, Completion Guaranties, and letters of credit or similar arrangements entered into in support of obligations of an Unrestricted Subsidiary with respect to its Real Estate Project.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Person </w:t>
      </w:r>
      <w:r>
        <w:rPr>
          <w:rFonts w:ascii="Arial" w:cs="Arial" w:eastAsia="Arial" w:hAnsi="Arial"/>
          <w:sz w:val="20"/>
          <w:szCs w:val="20"/>
          <w:color w:val="auto"/>
        </w:rPr>
        <w:t>means any individual, partnership, joint venture, other entity, or Governmental Authority.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Platform </w:t>
      </w:r>
      <w:r>
        <w:rPr>
          <w:rFonts w:ascii="Arial" w:cs="Arial" w:eastAsia="Arial" w:hAnsi="Arial"/>
          <w:sz w:val="20"/>
          <w:szCs w:val="20"/>
          <w:color w:val="auto"/>
        </w:rPr>
        <w:t>has the meaning specified in</w:t>
      </w:r>
      <w:r>
        <w:rPr>
          <w:rFonts w:ascii="Arial" w:cs="Arial" w:eastAsia="Arial" w:hAnsi="Arial"/>
          <w:sz w:val="20"/>
          <w:szCs w:val="20"/>
          <w:b w:val="1"/>
          <w:bCs w:val="1"/>
          <w:i w:val="1"/>
          <w:iCs w:val="1"/>
          <w:color w:val="auto"/>
        </w:rPr>
        <w:t xml:space="preserve"> Section 9.1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420"/>
          </w:cols>
          <w:pgMar w:left="240" w:top="582" w:right="239" w:bottom="1440" w:gutter="0" w:footer="0" w:header="0"/>
        </w:sectPr>
      </w:pPr>
    </w:p>
    <w:bookmarkStart w:id="91" w:name="page92"/>
    <w:bookmarkEnd w:id="91"/>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Pledge Agreement </w:t>
      </w:r>
      <w:r>
        <w:rPr>
          <w:rFonts w:ascii="Arial" w:cs="Arial" w:eastAsia="Arial" w:hAnsi="Arial"/>
          <w:sz w:val="20"/>
          <w:szCs w:val="20"/>
          <w:color w:val="auto"/>
        </w:rPr>
        <w:t>means, collectively, (a) a pledge agreement substantially in the form of</w:t>
      </w:r>
      <w:r>
        <w:rPr>
          <w:rFonts w:ascii="Arial" w:cs="Arial" w:eastAsia="Arial" w:hAnsi="Arial"/>
          <w:sz w:val="20"/>
          <w:szCs w:val="20"/>
          <w:b w:val="1"/>
          <w:bCs w:val="1"/>
          <w:i w:val="1"/>
          <w:iCs w:val="1"/>
          <w:color w:val="auto"/>
        </w:rPr>
        <w:t xml:space="preserve"> Exhibit F-1</w:t>
      </w:r>
      <w:r>
        <w:rPr>
          <w:rFonts w:ascii="Arial" w:cs="Arial" w:eastAsia="Arial" w:hAnsi="Arial"/>
          <w:sz w:val="20"/>
          <w:szCs w:val="20"/>
          <w:color w:val="auto"/>
        </w:rPr>
        <w:t>, executed and delivered by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Person pursuant to the requirements of the Loan Papers, together with (b) any related Confirmation of Pledge Agreement and any other amendment, modification, supplement, restatement, ratification, or reaffirmation of any Pledge Agreement made in accordance with the Loan Papers.</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Potential Default </w:t>
      </w:r>
      <w:r>
        <w:rPr>
          <w:rFonts w:ascii="Arial" w:cs="Arial" w:eastAsia="Arial" w:hAnsi="Arial"/>
          <w:sz w:val="20"/>
          <w:szCs w:val="20"/>
          <w:color w:val="auto"/>
        </w:rPr>
        <w:t>means the occurrence of any event or existence of any circumstance that would, upon notice or lapse of time or both,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become a Default.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Principal Debt </w:t>
      </w:r>
      <w:r>
        <w:rPr>
          <w:rFonts w:ascii="Arial" w:cs="Arial" w:eastAsia="Arial" w:hAnsi="Arial"/>
          <w:sz w:val="20"/>
          <w:szCs w:val="20"/>
          <w:color w:val="auto"/>
        </w:rPr>
        <w:t>means, at any time, the sum of the Revolver Principal Debt and Term Loan Principal Debt.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Public Lender </w:t>
      </w:r>
      <w:r>
        <w:rPr>
          <w:rFonts w:ascii="Arial" w:cs="Arial" w:eastAsia="Arial" w:hAnsi="Arial"/>
          <w:sz w:val="20"/>
          <w:szCs w:val="20"/>
          <w:color w:val="auto"/>
        </w:rPr>
        <w:t>has the meaning specified in</w:t>
      </w:r>
      <w:r>
        <w:rPr>
          <w:rFonts w:ascii="Arial" w:cs="Arial" w:eastAsia="Arial" w:hAnsi="Arial"/>
          <w:sz w:val="20"/>
          <w:szCs w:val="20"/>
          <w:b w:val="1"/>
          <w:bCs w:val="1"/>
          <w:i w:val="1"/>
          <w:iCs w:val="1"/>
          <w:color w:val="auto"/>
        </w:rPr>
        <w:t xml:space="preserve"> Section 9.1</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i w:val="1"/>
          <w:iCs w:val="1"/>
          <w:color w:val="auto"/>
        </w:rPr>
        <w:t xml:space="preserve">Purchase Price </w:t>
      </w:r>
      <w:r>
        <w:rPr>
          <w:rFonts w:ascii="Arial" w:cs="Arial" w:eastAsia="Arial" w:hAnsi="Arial"/>
          <w:sz w:val="19"/>
          <w:szCs w:val="19"/>
          <w:color w:val="auto"/>
        </w:rPr>
        <w:t>means, with respect to any acquisition or merger consummated in accordance with the provisions of</w:t>
      </w:r>
      <w:r>
        <w:rPr>
          <w:rFonts w:ascii="Arial" w:cs="Arial" w:eastAsia="Arial" w:hAnsi="Arial"/>
          <w:sz w:val="19"/>
          <w:szCs w:val="19"/>
          <w:b w:val="1"/>
          <w:bCs w:val="1"/>
          <w:i w:val="1"/>
          <w:iCs w:val="1"/>
          <w:color w:val="auto"/>
        </w:rPr>
        <w:t xml:space="preserve"> Section 10.11 </w:t>
      </w:r>
      <w:r>
        <w:rPr>
          <w:rFonts w:ascii="Arial" w:cs="Arial" w:eastAsia="Arial" w:hAnsi="Arial"/>
          <w:sz w:val="19"/>
          <w:szCs w:val="19"/>
          <w:color w:val="auto"/>
        </w:rPr>
        <w:t xml:space="preserve">herein, all (a) direct and indirect cash payments, and (b) deferred cash payments determined by Borrower to be reasonably likely to be payable following the closing date of such acquisition or merger, which payments pursuant to </w:t>
      </w:r>
      <w:r>
        <w:rPr>
          <w:rFonts w:ascii="Arial" w:cs="Arial" w:eastAsia="Arial" w:hAnsi="Arial"/>
          <w:sz w:val="19"/>
          <w:szCs w:val="19"/>
          <w:b w:val="1"/>
          <w:bCs w:val="1"/>
          <w:i w:val="1"/>
          <w:iCs w:val="1"/>
          <w:color w:val="auto"/>
        </w:rPr>
        <w:t>clauses (a)</w:t>
      </w:r>
      <w:r>
        <w:rPr>
          <w:rFonts w:ascii="Arial" w:cs="Arial" w:eastAsia="Arial" w:hAnsi="Arial"/>
          <w:sz w:val="19"/>
          <w:szCs w:val="19"/>
          <w:color w:val="auto"/>
        </w:rPr>
        <w:t xml:space="preserve"> and </w:t>
      </w:r>
      <w:r>
        <w:rPr>
          <w:rFonts w:ascii="Arial" w:cs="Arial" w:eastAsia="Arial" w:hAnsi="Arial"/>
          <w:sz w:val="19"/>
          <w:szCs w:val="19"/>
          <w:b w:val="1"/>
          <w:bCs w:val="1"/>
          <w:i w:val="1"/>
          <w:iCs w:val="1"/>
          <w:color w:val="auto"/>
        </w:rPr>
        <w:t>(b)</w:t>
      </w:r>
      <w:r>
        <w:rPr>
          <w:rFonts w:ascii="Arial" w:cs="Arial" w:eastAsia="Arial" w:hAnsi="Arial"/>
          <w:sz w:val="19"/>
          <w:szCs w:val="19"/>
          <w:color w:val="auto"/>
        </w:rPr>
        <w:t xml:space="preserve"> herein are made to or for the benefit of the Person being acquired (or whose assets are being acquired), its shareholders, or its Affiliates in connection with such acquisition or merger, including, without limitation, the amount of any Debt being assumed in connection with such acquisition or merger (and subject to the limitations on Permitted Debt hereunder) or seller financing, and excluding, without limitation, payments to Affiliates of the Person being acquired (or whose assets are being acquired) for usual and customary transitional services or other operating services provided by such Affiliates of the Person being acquired (or whose assets are being acquired) pursuant to agreements that have been entered into in good faith by the parties thereto.</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i w:val="1"/>
          <w:iCs w:val="1"/>
          <w:color w:val="auto"/>
        </w:rPr>
        <w:t xml:space="preserve">Qualified ECP Guarantor </w:t>
      </w:r>
      <w:r>
        <w:rPr>
          <w:rFonts w:ascii="Arial" w:cs="Arial" w:eastAsia="Arial" w:hAnsi="Arial"/>
          <w:sz w:val="20"/>
          <w:szCs w:val="20"/>
          <w:color w:val="auto"/>
        </w:rPr>
        <w:t>means, in respect of any Swap Obligation, Borrower and each Guarantor with total assets exceeding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$10,000,000 at the time the relevant guaranty or grant of the relevant security interest became effective with respect to such Swap Obligation or that qualifies at such time as an “</w:t>
      </w:r>
      <w:r>
        <w:rPr>
          <w:rFonts w:ascii="Arial" w:cs="Arial" w:eastAsia="Arial" w:hAnsi="Arial"/>
          <w:sz w:val="20"/>
          <w:szCs w:val="20"/>
          <w:i w:val="1"/>
          <w:iCs w:val="1"/>
          <w:color w:val="auto"/>
        </w:rPr>
        <w:t>eligible contract participant</w:t>
      </w:r>
      <w:r>
        <w:rPr>
          <w:rFonts w:ascii="Arial" w:cs="Arial" w:eastAsia="Arial" w:hAnsi="Arial"/>
          <w:sz w:val="20"/>
          <w:szCs w:val="20"/>
          <w:color w:val="auto"/>
        </w:rPr>
        <w:t>” under the Commodity Exchange Act or any regulation promulgated thereunder and can cause another person to qualify as an “</w:t>
      </w:r>
      <w:r>
        <w:rPr>
          <w:rFonts w:ascii="Arial" w:cs="Arial" w:eastAsia="Arial" w:hAnsi="Arial"/>
          <w:sz w:val="20"/>
          <w:szCs w:val="20"/>
          <w:i w:val="1"/>
          <w:iCs w:val="1"/>
          <w:color w:val="auto"/>
        </w:rPr>
        <w:t>eligible contract participant</w:t>
      </w:r>
      <w:r>
        <w:rPr>
          <w:rFonts w:ascii="Arial" w:cs="Arial" w:eastAsia="Arial" w:hAnsi="Arial"/>
          <w:sz w:val="20"/>
          <w:szCs w:val="20"/>
          <w:color w:val="auto"/>
        </w:rPr>
        <w:t xml:space="preserve">” at such time by entering into a keepwell under </w:t>
      </w:r>
      <w:r>
        <w:rPr>
          <w:rFonts w:ascii="Arial" w:cs="Arial" w:eastAsia="Arial" w:hAnsi="Arial"/>
          <w:sz w:val="20"/>
          <w:szCs w:val="20"/>
          <w:i w:val="1"/>
          <w:iCs w:val="1"/>
          <w:color w:val="auto"/>
        </w:rPr>
        <w:t>§1a(18)(A)(v)(II)</w:t>
      </w:r>
      <w:r>
        <w:rPr>
          <w:rFonts w:ascii="Arial" w:cs="Arial" w:eastAsia="Arial" w:hAnsi="Arial"/>
          <w:sz w:val="20"/>
          <w:szCs w:val="20"/>
          <w:color w:val="auto"/>
        </w:rPr>
        <w:t xml:space="preserve"> of the Commodity Exchange Act.</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Quarterly Date </w:t>
      </w:r>
      <w:r>
        <w:rPr>
          <w:rFonts w:ascii="Arial" w:cs="Arial" w:eastAsia="Arial" w:hAnsi="Arial"/>
          <w:sz w:val="20"/>
          <w:szCs w:val="20"/>
          <w:color w:val="auto"/>
        </w:rPr>
        <w:t>means each January 31, April 30, July 31, and October 31;</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provided, that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if any such Quarterly Date is not a Business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Day, the provisions of </w:t>
      </w:r>
      <w:r>
        <w:rPr>
          <w:rFonts w:ascii="Arial" w:cs="Arial" w:eastAsia="Arial" w:hAnsi="Arial"/>
          <w:sz w:val="20"/>
          <w:szCs w:val="20"/>
          <w:b w:val="1"/>
          <w:bCs w:val="1"/>
          <w:i w:val="1"/>
          <w:iCs w:val="1"/>
          <w:color w:val="auto"/>
        </w:rPr>
        <w:t>Section 15.2</w:t>
      </w:r>
      <w:r>
        <w:rPr>
          <w:rFonts w:ascii="Arial" w:cs="Arial" w:eastAsia="Arial" w:hAnsi="Arial"/>
          <w:sz w:val="20"/>
          <w:szCs w:val="20"/>
          <w:color w:val="auto"/>
        </w:rPr>
        <w:t xml:space="preserve"> shall apply to payments required on such day.</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Rate Determination Date </w:t>
      </w:r>
      <w:r>
        <w:rPr>
          <w:rFonts w:ascii="Arial" w:cs="Arial" w:eastAsia="Arial" w:hAnsi="Arial"/>
          <w:sz w:val="20"/>
          <w:szCs w:val="20"/>
          <w:color w:val="auto"/>
        </w:rPr>
        <w:t>means two (2) Business Days prior to the commencement of such Interest Period (or such other day as 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generally treated as the rate fixing day by market practice in such interbank market, as determined by the Administrative Agent;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to the extent such market practice is not administratively feasible for the Administrative Agent, such other day as otherwise reasonably determined by the Administrative Agent).</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Real Estate Project </w:t>
      </w:r>
      <w:r>
        <w:rPr>
          <w:rFonts w:ascii="Arial" w:cs="Arial" w:eastAsia="Arial" w:hAnsi="Arial"/>
          <w:sz w:val="20"/>
          <w:szCs w:val="20"/>
          <w:color w:val="auto"/>
        </w:rPr>
        <w:t>means the acquisition, development, and operation or resale of any real estate asset or group of related real estate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assets (and directly related activities) by any Unrestricted Subsidiary.</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Recipient </w:t>
      </w:r>
      <w:r>
        <w:rPr>
          <w:rFonts w:ascii="Arial" w:cs="Arial" w:eastAsia="Arial" w:hAnsi="Arial"/>
          <w:sz w:val="20"/>
          <w:szCs w:val="20"/>
          <w:color w:val="auto"/>
        </w:rPr>
        <w:t>means Administrative Agent, any Lender, any L/C Issuer or any other recipient of any payment to be made by or on account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any obligation of any Restricted Company hereunder.</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b w:val="1"/>
          <w:bCs w:val="1"/>
          <w:i w:val="1"/>
          <w:iCs w:val="1"/>
          <w:color w:val="auto"/>
        </w:rPr>
        <w:t xml:space="preserve">Related Parties </w:t>
      </w:r>
      <w:r>
        <w:rPr>
          <w:rFonts w:ascii="Arial" w:cs="Arial" w:eastAsia="Arial" w:hAnsi="Arial"/>
          <w:sz w:val="20"/>
          <w:szCs w:val="20"/>
          <w:color w:val="auto"/>
        </w:rPr>
        <w:t>means, with respect to any Person, such Person’s Affiliates and the partners, directors, officers, employees, agents,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trustees, and advisors of such Person and of such Person’s Affiliates.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420"/>
          </w:cols>
          <w:pgMar w:left="240" w:top="582" w:right="239" w:bottom="1440" w:gutter="0" w:footer="0" w:header="0"/>
        </w:sectPr>
      </w:pPr>
    </w:p>
    <w:bookmarkStart w:id="92" w:name="page93"/>
    <w:bookmarkEnd w:id="92"/>
    <w:p>
      <w:pPr>
        <w:ind w:left="660"/>
        <w:spacing w:after="0"/>
        <w:rPr>
          <w:sz w:val="20"/>
          <w:szCs w:val="20"/>
          <w:color w:val="auto"/>
        </w:rPr>
      </w:pPr>
      <w:r>
        <w:rPr>
          <w:rFonts w:ascii="Arial" w:cs="Arial" w:eastAsia="Arial" w:hAnsi="Arial"/>
          <w:sz w:val="20"/>
          <w:szCs w:val="20"/>
          <w:b w:val="1"/>
          <w:bCs w:val="1"/>
          <w:i w:val="1"/>
          <w:iCs w:val="1"/>
          <w:color w:val="auto"/>
        </w:rPr>
        <w:t xml:space="preserve">Representatives </w:t>
      </w:r>
      <w:r>
        <w:rPr>
          <w:rFonts w:ascii="Arial" w:cs="Arial" w:eastAsia="Arial" w:hAnsi="Arial"/>
          <w:sz w:val="20"/>
          <w:szCs w:val="20"/>
          <w:color w:val="auto"/>
        </w:rPr>
        <w:t>means representatives, officers, directors, employees, attorneys, and agents.</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i w:val="1"/>
          <w:iCs w:val="1"/>
          <w:color w:val="auto"/>
        </w:rPr>
        <w:t xml:space="preserve">Required Lenders </w:t>
      </w:r>
      <w:r>
        <w:rPr>
          <w:rFonts w:ascii="Arial" w:cs="Arial" w:eastAsia="Arial" w:hAnsi="Arial"/>
          <w:sz w:val="20"/>
          <w:szCs w:val="20"/>
          <w:color w:val="auto"/>
        </w:rPr>
        <w:t>means Lenders holding more than (a) 50% of the Total Commitment, prior to the termination of the Total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Commitment, or (b) 50% of the Principal Debt, after the termination of the Total Commitment (with the aggregate amount of each Revolver Lender’s risk participation and funded participation in L/Cs and Swing Line Loans being deemed “</w:t>
      </w:r>
      <w:r>
        <w:rPr>
          <w:rFonts w:ascii="Arial" w:cs="Arial" w:eastAsia="Arial" w:hAnsi="Arial"/>
          <w:sz w:val="20"/>
          <w:szCs w:val="20"/>
          <w:i w:val="1"/>
          <w:iCs w:val="1"/>
          <w:color w:val="auto"/>
        </w:rPr>
        <w:t>held</w:t>
      </w:r>
      <w:r>
        <w:rPr>
          <w:rFonts w:ascii="Arial" w:cs="Arial" w:eastAsia="Arial" w:hAnsi="Arial"/>
          <w:sz w:val="20"/>
          <w:szCs w:val="20"/>
          <w:color w:val="auto"/>
        </w:rPr>
        <w:t xml:space="preserve">” by such Revolver Lender for purposes of this definition);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the Commitment of, and the portion of the Principal Debt held or deemed held by, any Defaulting Lender shall be excluded for purposes of making a determination of Required Lenders.</w:t>
      </w:r>
    </w:p>
    <w:p>
      <w:pPr>
        <w:spacing w:after="0" w:line="19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b w:val="1"/>
          <w:bCs w:val="1"/>
          <w:i w:val="1"/>
          <w:iCs w:val="1"/>
          <w:color w:val="auto"/>
        </w:rPr>
        <w:t xml:space="preserve">Required Revolver Lenders </w:t>
      </w:r>
      <w:r>
        <w:rPr>
          <w:rFonts w:ascii="Arial" w:cs="Arial" w:eastAsia="Arial" w:hAnsi="Arial"/>
          <w:sz w:val="18"/>
          <w:szCs w:val="18"/>
          <w:color w:val="auto"/>
        </w:rPr>
        <w:t>means Revolver Lenders holding more than (a) 50% of the Revolver Commitment, prior to the termination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Revolver Commitment, or (b) 50% of the Revolver Principal Debt, after the termination of the Revolver Commitment (with the aggregate amount of each Revolver Lender’s risk participation and funded participation in L/Cs and Swing Line Loans being deemed “</w:t>
      </w:r>
      <w:r>
        <w:rPr>
          <w:rFonts w:ascii="Arial" w:cs="Arial" w:eastAsia="Arial" w:hAnsi="Arial"/>
          <w:sz w:val="18"/>
          <w:szCs w:val="18"/>
          <w:i w:val="1"/>
          <w:iCs w:val="1"/>
          <w:color w:val="auto"/>
        </w:rPr>
        <w:t>held</w:t>
      </w:r>
      <w:r>
        <w:rPr>
          <w:rFonts w:ascii="Arial" w:cs="Arial" w:eastAsia="Arial" w:hAnsi="Arial"/>
          <w:sz w:val="18"/>
          <w:szCs w:val="18"/>
          <w:color w:val="auto"/>
        </w:rPr>
        <w:t xml:space="preserve">” by such Revolver Lender for purposes of this definition);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the Revolver Commitment of, and the portion of the Revolver Principal Debt held or deemed held by, any Defaulting Lender shall be excluded for purposes of making a determination of Required Revolver Lenders.</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Required Term Loan Lenders </w:t>
      </w:r>
      <w:r>
        <w:rPr>
          <w:rFonts w:ascii="Arial" w:cs="Arial" w:eastAsia="Arial" w:hAnsi="Arial"/>
          <w:sz w:val="20"/>
          <w:szCs w:val="20"/>
          <w:color w:val="auto"/>
        </w:rPr>
        <w:t>means at least two (2) Term Loan Lenders holding more than 50% of the Term Loan Principal Debt;</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that </w:t>
      </w:r>
      <w:r>
        <w:rPr>
          <w:rFonts w:ascii="Arial" w:cs="Arial" w:eastAsia="Arial" w:hAnsi="Arial"/>
          <w:sz w:val="20"/>
          <w:szCs w:val="20"/>
          <w:color w:val="auto"/>
        </w:rPr>
        <w:t>the Term Loan Commitment of, and the portion of the Term Loan Principal Debt held or deemed held by, any Defaulting Lender</w:t>
      </w:r>
      <w:r>
        <w:rPr>
          <w:rFonts w:ascii="Arial" w:cs="Arial" w:eastAsia="Arial" w:hAnsi="Arial"/>
          <w:sz w:val="20"/>
          <w:szCs w:val="20"/>
          <w:i w:val="1"/>
          <w:iCs w:val="1"/>
          <w:color w:val="auto"/>
        </w:rPr>
        <w:t xml:space="preserve"> </w:t>
      </w:r>
      <w:r>
        <w:rPr>
          <w:rFonts w:ascii="Arial" w:cs="Arial" w:eastAsia="Arial" w:hAnsi="Arial"/>
          <w:sz w:val="20"/>
          <w:szCs w:val="20"/>
          <w:color w:val="auto"/>
        </w:rPr>
        <w:t>shall be excluded for purposes of making a determination of Required Term Loan Lenders.</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b w:val="1"/>
          <w:bCs w:val="1"/>
          <w:i w:val="1"/>
          <w:iCs w:val="1"/>
          <w:color w:val="auto"/>
        </w:rPr>
        <w:t xml:space="preserve">Responsible Officer </w:t>
      </w:r>
      <w:r>
        <w:rPr>
          <w:rFonts w:ascii="Arial" w:cs="Arial" w:eastAsia="Arial" w:hAnsi="Arial"/>
          <w:sz w:val="19"/>
          <w:szCs w:val="19"/>
          <w:color w:val="auto"/>
        </w:rPr>
        <w:t>means (a) the Chairman, President, Chief Executive Officer, Chief Financial Officer or Executive Vice President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and Chief Financial Officer, Executive Vice President, General Counsel and Secretary, or Senior Vice President, Controller and Chief Accounting Officer of Borrower (including any person holding any such position on an interim basis), (b) solely for purposes of the delivery of Loan Notices, L/C Agreements or Swing Line Loan Notices pursuant to </w:t>
      </w:r>
      <w:r>
        <w:rPr>
          <w:rFonts w:ascii="Arial" w:cs="Arial" w:eastAsia="Arial" w:hAnsi="Arial"/>
          <w:sz w:val="19"/>
          <w:szCs w:val="19"/>
          <w:b w:val="1"/>
          <w:bCs w:val="1"/>
          <w:i w:val="1"/>
          <w:iCs w:val="1"/>
          <w:color w:val="auto"/>
        </w:rPr>
        <w:t>Section 2</w:t>
      </w:r>
      <w:r>
        <w:rPr>
          <w:rFonts w:ascii="Arial" w:cs="Arial" w:eastAsia="Arial" w:hAnsi="Arial"/>
          <w:sz w:val="19"/>
          <w:szCs w:val="19"/>
          <w:color w:val="auto"/>
        </w:rPr>
        <w:t xml:space="preserve">, any officer of Borrower so designated by any officer referenced in </w:t>
      </w:r>
      <w:r>
        <w:rPr>
          <w:rFonts w:ascii="Arial" w:cs="Arial" w:eastAsia="Arial" w:hAnsi="Arial"/>
          <w:sz w:val="19"/>
          <w:szCs w:val="19"/>
          <w:b w:val="1"/>
          <w:bCs w:val="1"/>
          <w:i w:val="1"/>
          <w:iCs w:val="1"/>
          <w:color w:val="auto"/>
        </w:rPr>
        <w:t>clause (a)</w:t>
      </w:r>
      <w:r>
        <w:rPr>
          <w:rFonts w:ascii="Arial" w:cs="Arial" w:eastAsia="Arial" w:hAnsi="Arial"/>
          <w:sz w:val="19"/>
          <w:szCs w:val="19"/>
          <w:color w:val="auto"/>
        </w:rPr>
        <w:t xml:space="preserve"> above in a notice to Administrative Agent, and (c) solely for purposes of the delivery of any incumbency certificates, any Secretary or Assistant Secretary of the applicable Restricted Company.</w:t>
      </w:r>
    </w:p>
    <w:p>
      <w:pPr>
        <w:spacing w:after="0" w:line="1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Restricted Companies </w:t>
      </w:r>
      <w:r>
        <w:rPr>
          <w:rFonts w:ascii="Arial" w:cs="Arial" w:eastAsia="Arial" w:hAnsi="Arial"/>
          <w:sz w:val="20"/>
          <w:szCs w:val="20"/>
          <w:color w:val="auto"/>
        </w:rPr>
        <w:t>means VRI and all of VRI’s Restricted Subsidiaries; and</w:t>
      </w:r>
      <w:r>
        <w:rPr>
          <w:rFonts w:ascii="Arial" w:cs="Arial" w:eastAsia="Arial" w:hAnsi="Arial"/>
          <w:sz w:val="20"/>
          <w:szCs w:val="20"/>
          <w:b w:val="1"/>
          <w:bCs w:val="1"/>
          <w:i w:val="1"/>
          <w:iCs w:val="1"/>
          <w:color w:val="auto"/>
        </w:rPr>
        <w:t xml:space="preserve"> Restricted Company </w:t>
      </w:r>
      <w:r>
        <w:rPr>
          <w:rFonts w:ascii="Arial" w:cs="Arial" w:eastAsia="Arial" w:hAnsi="Arial"/>
          <w:sz w:val="20"/>
          <w:szCs w:val="20"/>
          <w:color w:val="auto"/>
        </w:rPr>
        <w:t>means any of the Restricted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Companies.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Restricted Subsidiaries </w:t>
      </w:r>
      <w:r>
        <w:rPr>
          <w:rFonts w:ascii="Arial" w:cs="Arial" w:eastAsia="Arial" w:hAnsi="Arial"/>
          <w:sz w:val="20"/>
          <w:szCs w:val="20"/>
          <w:color w:val="auto"/>
        </w:rPr>
        <w:t>means (a) Gillett, (b) Borrower and (c) all of Borrower’s Subsidiaries (</w:t>
      </w:r>
      <w:r>
        <w:rPr>
          <w:rFonts w:ascii="Arial" w:cs="Arial" w:eastAsia="Arial" w:hAnsi="Arial"/>
          <w:sz w:val="20"/>
          <w:szCs w:val="20"/>
          <w:i w:val="1"/>
          <w:iCs w:val="1"/>
          <w:color w:val="auto"/>
        </w:rPr>
        <w:t>other than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Unrestricted Subsidiaries);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and </w:t>
      </w:r>
      <w:r>
        <w:rPr>
          <w:rFonts w:ascii="Arial" w:cs="Arial" w:eastAsia="Arial" w:hAnsi="Arial"/>
          <w:sz w:val="20"/>
          <w:szCs w:val="20"/>
          <w:b w:val="1"/>
          <w:bCs w:val="1"/>
          <w:i w:val="1"/>
          <w:iCs w:val="1"/>
          <w:color w:val="auto"/>
        </w:rPr>
        <w:t>Restricted Subsidiary</w:t>
      </w:r>
      <w:r>
        <w:rPr>
          <w:rFonts w:ascii="Arial" w:cs="Arial" w:eastAsia="Arial" w:hAnsi="Arial"/>
          <w:sz w:val="20"/>
          <w:szCs w:val="20"/>
          <w:color w:val="auto"/>
        </w:rPr>
        <w:t xml:space="preserve"> means any of the Restricted Subsidiaries.</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i w:val="1"/>
          <w:iCs w:val="1"/>
          <w:color w:val="auto"/>
        </w:rPr>
        <w:t xml:space="preserve">Revaluation Date </w:t>
      </w:r>
      <w:r>
        <w:rPr>
          <w:rFonts w:ascii="Arial" w:cs="Arial" w:eastAsia="Arial" w:hAnsi="Arial"/>
          <w:sz w:val="20"/>
          <w:szCs w:val="20"/>
          <w:color w:val="auto"/>
        </w:rPr>
        <w:t>means (a) with respect to any L/C, each of the following: (i) each date of issuance, amendment and/or extension of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L/C denominated in the Alternative Currency, (ii) each date of any payment by the Australian L/C Issuer under any L/C denominated in the Alternative Currency, and (iii) such additional dates as Administrative Agent or the Australian L/C Issuer shall determine or the Required Revolver Lenders shall require, and (b) with respect to any Term Loan, each of the following: (i) each date of a borrowing of a Eurocurrency Rate Loan denominated in an Alternative Currency, (ii) each date of a continuation of a Eurocurrency Rate Loan denominated in an Alternative Currency pursuant to </w:t>
      </w:r>
      <w:r>
        <w:rPr>
          <w:rFonts w:ascii="Arial" w:cs="Arial" w:eastAsia="Arial" w:hAnsi="Arial"/>
          <w:sz w:val="20"/>
          <w:szCs w:val="20"/>
          <w:b w:val="1"/>
          <w:bCs w:val="1"/>
          <w:i w:val="1"/>
          <w:iCs w:val="1"/>
          <w:color w:val="auto"/>
        </w:rPr>
        <w:t>Section 2.2</w:t>
      </w:r>
      <w:r>
        <w:rPr>
          <w:rFonts w:ascii="Arial" w:cs="Arial" w:eastAsia="Arial" w:hAnsi="Arial"/>
          <w:sz w:val="20"/>
          <w:szCs w:val="20"/>
          <w:color w:val="auto"/>
        </w:rPr>
        <w:t>, and (iii) such additional dates as the Administrative Agent shall determine or the Required Lenders shall require.</w:t>
      </w:r>
    </w:p>
    <w:p>
      <w:pPr>
        <w:spacing w:after="0" w:line="19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 xml:space="preserve">Revolver Commitment </w:t>
      </w:r>
      <w:r>
        <w:rPr>
          <w:rFonts w:ascii="Arial" w:cs="Arial" w:eastAsia="Arial" w:hAnsi="Arial"/>
          <w:sz w:val="16"/>
          <w:szCs w:val="16"/>
          <w:color w:val="auto"/>
        </w:rPr>
        <w:t>means, as to each Revolver Lender, its obligation to (a) make Revolver Loans to Borrower pursuant to</w:t>
      </w:r>
      <w:r>
        <w:rPr>
          <w:rFonts w:ascii="Arial" w:cs="Arial" w:eastAsia="Arial" w:hAnsi="Arial"/>
          <w:sz w:val="16"/>
          <w:szCs w:val="16"/>
          <w:b w:val="1"/>
          <w:bCs w:val="1"/>
          <w:i w:val="1"/>
          <w:iCs w:val="1"/>
          <w:color w:val="auto"/>
        </w:rPr>
        <w:t xml:space="preserve"> Section 2.1</w:t>
      </w:r>
      <w:r>
        <w:rPr>
          <w:rFonts w:ascii="Arial" w:cs="Arial" w:eastAsia="Arial" w:hAnsi="Arial"/>
          <w:sz w:val="16"/>
          <w:szCs w:val="16"/>
          <w:color w:val="auto"/>
        </w:rPr>
        <w:t>, (b) purchase participations in the L/C Exposure, and (c) purchase participations in Swing Line Loans, in an aggregate principal amount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any one time outstanding not to exceed the amount set forth opposite such Revolver Lender’s name on </w:t>
      </w:r>
      <w:r>
        <w:rPr>
          <w:rFonts w:ascii="Arial" w:cs="Arial" w:eastAsia="Arial" w:hAnsi="Arial"/>
          <w:sz w:val="16"/>
          <w:szCs w:val="16"/>
          <w:b w:val="1"/>
          <w:bCs w:val="1"/>
          <w:i w:val="1"/>
          <w:iCs w:val="1"/>
          <w:color w:val="auto"/>
        </w:rPr>
        <w:t>Schedule 1</w:t>
      </w:r>
      <w:r>
        <w:rPr>
          <w:rFonts w:ascii="Arial" w:cs="Arial" w:eastAsia="Arial" w:hAnsi="Arial"/>
          <w:sz w:val="16"/>
          <w:szCs w:val="16"/>
          <w:color w:val="auto"/>
        </w:rPr>
        <w:t xml:space="preserve"> under the caption “</w:t>
      </w:r>
      <w:r>
        <w:rPr>
          <w:rFonts w:ascii="Arial" w:cs="Arial" w:eastAsia="Arial" w:hAnsi="Arial"/>
          <w:sz w:val="16"/>
          <w:szCs w:val="16"/>
          <w:i w:val="1"/>
          <w:iCs w:val="1"/>
          <w:color w:val="auto"/>
        </w:rPr>
        <w:t>Revolver</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420"/>
          </w:cols>
          <w:pgMar w:left="240" w:top="582" w:right="239" w:bottom="1440" w:gutter="0" w:footer="0" w:header="0"/>
        </w:sectPr>
      </w:pPr>
    </w:p>
    <w:bookmarkStart w:id="93" w:name="page94"/>
    <w:bookmarkEnd w:id="93"/>
    <w:p>
      <w:pPr>
        <w:jc w:val="both"/>
        <w:ind w:right="20"/>
        <w:spacing w:after="0" w:line="260" w:lineRule="auto"/>
        <w:rPr>
          <w:sz w:val="20"/>
          <w:szCs w:val="20"/>
          <w:color w:val="auto"/>
        </w:rPr>
      </w:pPr>
      <w:r>
        <w:rPr>
          <w:rFonts w:ascii="Arial" w:cs="Arial" w:eastAsia="Arial" w:hAnsi="Arial"/>
          <w:sz w:val="20"/>
          <w:szCs w:val="20"/>
          <w:i w:val="1"/>
          <w:iCs w:val="1"/>
          <w:color w:val="auto"/>
        </w:rPr>
        <w:t>Commitment</w:t>
      </w:r>
      <w:r>
        <w:rPr>
          <w:rFonts w:ascii="Arial" w:cs="Arial" w:eastAsia="Arial" w:hAnsi="Arial"/>
          <w:sz w:val="20"/>
          <w:szCs w:val="20"/>
          <w:color w:val="auto"/>
        </w:rPr>
        <w:t>” or opposite such caption in the Assignment and Assumption pursuant to which such Revolver Lender becomes a party hereto, as</w:t>
      </w:r>
      <w:r>
        <w:rPr>
          <w:rFonts w:ascii="Arial" w:cs="Arial" w:eastAsia="Arial" w:hAnsi="Arial"/>
          <w:sz w:val="20"/>
          <w:szCs w:val="20"/>
          <w:i w:val="1"/>
          <w:iCs w:val="1"/>
          <w:color w:val="auto"/>
        </w:rPr>
        <w:t xml:space="preserve"> </w:t>
      </w:r>
      <w:r>
        <w:rPr>
          <w:rFonts w:ascii="Arial" w:cs="Arial" w:eastAsia="Arial" w:hAnsi="Arial"/>
          <w:sz w:val="20"/>
          <w:szCs w:val="20"/>
          <w:color w:val="auto"/>
        </w:rPr>
        <w:t>applicable (which amount is subject to increase, reduction, or cancellation in accordance with the Loan Papers).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Revolver Commitment Usage </w:t>
      </w:r>
      <w:r>
        <w:rPr>
          <w:rFonts w:ascii="Arial" w:cs="Arial" w:eastAsia="Arial" w:hAnsi="Arial"/>
          <w:sz w:val="20"/>
          <w:szCs w:val="20"/>
          <w:color w:val="auto"/>
        </w:rPr>
        <w:t>means, at the time of any determination thereof, the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sum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(a) the aggregate Outstanding Amount of all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Revolver Loans, </w:t>
      </w:r>
      <w:r>
        <w:rPr>
          <w:rFonts w:ascii="Arial" w:cs="Arial" w:eastAsia="Arial" w:hAnsi="Arial"/>
          <w:sz w:val="20"/>
          <w:szCs w:val="20"/>
          <w:i w:val="1"/>
          <w:iCs w:val="1"/>
          <w:color w:val="auto"/>
        </w:rPr>
        <w:t>plus</w:t>
      </w:r>
      <w:r>
        <w:rPr>
          <w:rFonts w:ascii="Arial" w:cs="Arial" w:eastAsia="Arial" w:hAnsi="Arial"/>
          <w:sz w:val="20"/>
          <w:szCs w:val="20"/>
          <w:color w:val="auto"/>
        </w:rPr>
        <w:t xml:space="preserve">, </w:t>
      </w:r>
      <w:r>
        <w:rPr>
          <w:rFonts w:ascii="Arial" w:cs="Arial" w:eastAsia="Arial" w:hAnsi="Arial"/>
          <w:sz w:val="20"/>
          <w:szCs w:val="20"/>
          <w:i w:val="1"/>
          <w:iCs w:val="1"/>
          <w:color w:val="auto"/>
        </w:rPr>
        <w:t>without duplication</w:t>
      </w:r>
      <w:r>
        <w:rPr>
          <w:rFonts w:ascii="Arial" w:cs="Arial" w:eastAsia="Arial" w:hAnsi="Arial"/>
          <w:sz w:val="20"/>
          <w:szCs w:val="20"/>
          <w:color w:val="auto"/>
        </w:rPr>
        <w:t>, (b) the L/C Exposure.</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Revolver Facility </w:t>
      </w:r>
      <w:r>
        <w:rPr>
          <w:rFonts w:ascii="Arial" w:cs="Arial" w:eastAsia="Arial" w:hAnsi="Arial"/>
          <w:sz w:val="20"/>
          <w:szCs w:val="20"/>
          <w:color w:val="auto"/>
        </w:rPr>
        <w:t>means the credit facility as described in and subject to the limitations set forth in</w:t>
      </w:r>
      <w:r>
        <w:rPr>
          <w:rFonts w:ascii="Arial" w:cs="Arial" w:eastAsia="Arial" w:hAnsi="Arial"/>
          <w:sz w:val="20"/>
          <w:szCs w:val="20"/>
          <w:b w:val="1"/>
          <w:bCs w:val="1"/>
          <w:i w:val="1"/>
          <w:iCs w:val="1"/>
          <w:color w:val="auto"/>
        </w:rPr>
        <w:t xml:space="preserve"> Section 2.1(a) </w:t>
      </w:r>
      <w:r>
        <w:rPr>
          <w:rFonts w:ascii="Arial" w:cs="Arial" w:eastAsia="Arial" w:hAnsi="Arial"/>
          <w:sz w:val="20"/>
          <w:szCs w:val="20"/>
          <w:color w:val="auto"/>
        </w:rPr>
        <w:t>hereof, including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L/C Subfacility.</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Revolver Lenders </w:t>
      </w:r>
      <w:r>
        <w:rPr>
          <w:rFonts w:ascii="Arial" w:cs="Arial" w:eastAsia="Arial" w:hAnsi="Arial"/>
          <w:sz w:val="20"/>
          <w:szCs w:val="20"/>
          <w:color w:val="auto"/>
        </w:rPr>
        <w:t>means, collectively, on any date of determination, Lenders having a Revolver Commitment under the Revolver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Facility or that are owed Revolver Principal Debt, and </w:t>
      </w:r>
      <w:r>
        <w:rPr>
          <w:rFonts w:ascii="Arial" w:cs="Arial" w:eastAsia="Arial" w:hAnsi="Arial"/>
          <w:sz w:val="20"/>
          <w:szCs w:val="20"/>
          <w:b w:val="1"/>
          <w:bCs w:val="1"/>
          <w:i w:val="1"/>
          <w:iCs w:val="1"/>
          <w:color w:val="auto"/>
        </w:rPr>
        <w:t>Revolver Lender</w:t>
      </w:r>
      <w:r>
        <w:rPr>
          <w:rFonts w:ascii="Arial" w:cs="Arial" w:eastAsia="Arial" w:hAnsi="Arial"/>
          <w:sz w:val="20"/>
          <w:szCs w:val="20"/>
          <w:color w:val="auto"/>
        </w:rPr>
        <w:t xml:space="preserve"> means any one of the Revolver Lenders.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Revolver Loan </w:t>
      </w:r>
      <w:r>
        <w:rPr>
          <w:rFonts w:ascii="Arial" w:cs="Arial" w:eastAsia="Arial" w:hAnsi="Arial"/>
          <w:sz w:val="20"/>
          <w:szCs w:val="20"/>
          <w:color w:val="auto"/>
        </w:rPr>
        <w:t>means any Loan made under the Revolver Facility,</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other than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 Swing Line Loan or an L/C Borrowing. All Revolver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Loans shall be denominated in Dollars.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Revolver Note </w:t>
      </w:r>
      <w:r>
        <w:rPr>
          <w:rFonts w:ascii="Arial" w:cs="Arial" w:eastAsia="Arial" w:hAnsi="Arial"/>
          <w:sz w:val="18"/>
          <w:szCs w:val="18"/>
          <w:color w:val="auto"/>
        </w:rPr>
        <w:t>means a promissory note in substantially the form of</w:t>
      </w:r>
      <w:r>
        <w:rPr>
          <w:rFonts w:ascii="Arial" w:cs="Arial" w:eastAsia="Arial" w:hAnsi="Arial"/>
          <w:sz w:val="18"/>
          <w:szCs w:val="18"/>
          <w:b w:val="1"/>
          <w:bCs w:val="1"/>
          <w:i w:val="1"/>
          <w:iCs w:val="1"/>
          <w:color w:val="auto"/>
        </w:rPr>
        <w:t xml:space="preserve"> Exhibit A-1</w:t>
      </w:r>
      <w:r>
        <w:rPr>
          <w:rFonts w:ascii="Arial" w:cs="Arial" w:eastAsia="Arial" w:hAnsi="Arial"/>
          <w:sz w:val="18"/>
          <w:szCs w:val="18"/>
          <w:color w:val="auto"/>
        </w:rPr>
        <w:t>, and all renewals and extensions of all or any part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200"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16"/>
          <w:szCs w:val="16"/>
          <w:b w:val="1"/>
          <w:bCs w:val="1"/>
          <w:i w:val="1"/>
          <w:iCs w:val="1"/>
          <w:color w:val="auto"/>
        </w:rPr>
        <w:t xml:space="preserve">Revolver Principal Debt </w:t>
      </w:r>
      <w:r>
        <w:rPr>
          <w:rFonts w:ascii="Arial" w:cs="Arial" w:eastAsia="Arial" w:hAnsi="Arial"/>
          <w:sz w:val="16"/>
          <w:szCs w:val="16"/>
          <w:color w:val="auto"/>
        </w:rPr>
        <w:t>means, at any time, the aggregate unpaid principal balance of all Revolver Loans, together with the aggregate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unpaid reimbursement obligations of Borrower in respect of drawings under any L/C (including, without limitation, any L/C Borrowing).</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Rights </w:t>
      </w:r>
      <w:r>
        <w:rPr>
          <w:rFonts w:ascii="Arial" w:cs="Arial" w:eastAsia="Arial" w:hAnsi="Arial"/>
          <w:sz w:val="20"/>
          <w:szCs w:val="20"/>
          <w:color w:val="auto"/>
        </w:rPr>
        <w:t>means rights, remedies, powers, privileges, and benefits.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S&amp;P </w:t>
      </w:r>
      <w:r>
        <w:rPr>
          <w:rFonts w:ascii="Arial" w:cs="Arial" w:eastAsia="Arial" w:hAnsi="Arial"/>
          <w:sz w:val="20"/>
          <w:szCs w:val="20"/>
          <w:color w:val="auto"/>
        </w:rPr>
        <w:t>means Standard &amp; Poor’s Ratings Group (a division of The McGraw Hill Companies, Inc.).</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Same Day Funds </w:t>
      </w:r>
      <w:r>
        <w:rPr>
          <w:rFonts w:ascii="Arial" w:cs="Arial" w:eastAsia="Arial" w:hAnsi="Arial"/>
          <w:sz w:val="20"/>
          <w:szCs w:val="20"/>
          <w:color w:val="auto"/>
        </w:rPr>
        <w:t>means (a) with respect to disbursements and payments in Dollars, immediately available funds, and (b) with respect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to disbursements and payments in an Alternative Currency, same day or other funds as may be determined by the Administrative Agent or the L/C Issuer, as the case may be, to be customary in the place of disbursement or payment for the settlement of international banking transactions in the relevant Alternative Currency.</w:t>
      </w:r>
    </w:p>
    <w:p>
      <w:pPr>
        <w:spacing w:after="0" w:line="19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b w:val="1"/>
          <w:bCs w:val="1"/>
          <w:i w:val="1"/>
          <w:iCs w:val="1"/>
          <w:color w:val="auto"/>
        </w:rPr>
        <w:t xml:space="preserve">Sanction </w:t>
      </w:r>
      <w:r>
        <w:rPr>
          <w:rFonts w:ascii="Arial" w:cs="Arial" w:eastAsia="Arial" w:hAnsi="Arial"/>
          <w:sz w:val="20"/>
          <w:szCs w:val="20"/>
          <w:color w:val="auto"/>
        </w:rPr>
        <w:t>means any international economic sanction administered or enforced by a United States Governmental Authority (including,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without limitation, OFAC), a Canadian Governmental Authority, an Australian Governmental Authority, the United Nations Security Council, the European Union or Her Majesty’s Treasury.</w:t>
      </w:r>
    </w:p>
    <w:p>
      <w:pPr>
        <w:spacing w:after="0" w:line="18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b w:val="1"/>
          <w:bCs w:val="1"/>
          <w:i w:val="1"/>
          <w:iCs w:val="1"/>
          <w:color w:val="auto"/>
        </w:rPr>
        <w:t xml:space="preserve">Sanctioned Person </w:t>
      </w:r>
      <w:r>
        <w:rPr>
          <w:rFonts w:ascii="Arial" w:cs="Arial" w:eastAsia="Arial" w:hAnsi="Arial"/>
          <w:sz w:val="18"/>
          <w:szCs w:val="18"/>
          <w:color w:val="auto"/>
        </w:rPr>
        <w:t>means a Person named on the list of “Specially Designated Nationals and Blocked Persons” maintained by OFAC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at http://www.treasury.gov/resource-center/sanctions/SDN-List/Pages/default.aspx, or as otherwise published from time to time.</w:t>
      </w:r>
    </w:p>
    <w:p>
      <w:pPr>
        <w:spacing w:after="0" w:line="13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i w:val="1"/>
          <w:iCs w:val="1"/>
          <w:color w:val="auto"/>
        </w:rPr>
        <w:t xml:space="preserve">Section 10.9 Capital Lease Obligation </w:t>
      </w:r>
      <w:r>
        <w:rPr>
          <w:rFonts w:ascii="Arial" w:cs="Arial" w:eastAsia="Arial" w:hAnsi="Arial"/>
          <w:sz w:val="19"/>
          <w:szCs w:val="19"/>
          <w:color w:val="auto"/>
        </w:rPr>
        <w:t>means, at the time any determination thereof is to be made, the amount of the liability in respect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a capital lease that would at such time be required to be capitalized on a balance sheet in accordance with GAAP.</w:t>
      </w:r>
    </w:p>
    <w:p>
      <w:pPr>
        <w:spacing w:after="0" w:line="15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Section 10.9 Capital Stock </w:t>
      </w:r>
      <w:r>
        <w:rPr>
          <w:rFonts w:ascii="Arial" w:cs="Arial" w:eastAsia="Arial" w:hAnsi="Arial"/>
          <w:sz w:val="20"/>
          <w:szCs w:val="20"/>
          <w:color w:val="auto"/>
        </w:rPr>
        <w:t>means (a) in the case of a corporation, corporate stock, (b) in the case of an association or business entity,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any and all shares, interests, participations, rights or other equivalents (however designated) of corporate stock, (c) in the case of a partnership or limited liability company,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420"/>
          </w:cols>
          <w:pgMar w:left="240" w:top="582" w:right="239" w:bottom="1440" w:gutter="0" w:footer="0" w:header="0"/>
        </w:sectPr>
      </w:pPr>
    </w:p>
    <w:bookmarkStart w:id="94" w:name="page95"/>
    <w:bookmarkEnd w:id="94"/>
    <w:p>
      <w:pPr>
        <w:jc w:val="both"/>
        <w:spacing w:after="0" w:line="260" w:lineRule="auto"/>
        <w:rPr>
          <w:sz w:val="20"/>
          <w:szCs w:val="20"/>
          <w:color w:val="auto"/>
        </w:rPr>
      </w:pPr>
      <w:r>
        <w:rPr>
          <w:rFonts w:ascii="Arial" w:cs="Arial" w:eastAsia="Arial" w:hAnsi="Arial"/>
          <w:sz w:val="20"/>
          <w:szCs w:val="20"/>
          <w:color w:val="auto"/>
        </w:rPr>
        <w:t>partnership or membership interests (whether general or limited) and (d) any other interest or participation that confers on a Person the right to receive a share of the profits and losses of, or distributions of assets of, the issuing Person.</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i w:val="1"/>
          <w:iCs w:val="1"/>
          <w:color w:val="auto"/>
        </w:rPr>
        <w:t xml:space="preserve">Section 10.9 Customary Recourse Exceptions </w:t>
      </w:r>
      <w:r>
        <w:rPr>
          <w:rFonts w:ascii="Arial" w:cs="Arial" w:eastAsia="Arial" w:hAnsi="Arial"/>
          <w:sz w:val="20"/>
          <w:szCs w:val="20"/>
          <w:color w:val="auto"/>
        </w:rPr>
        <w:t>means, with respect to any Section 10.9 Non-Recourse Indebtedness of an Unrestricted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Subsidiary, exclusions from the exculpation provisions with respect to such Section 10.9 Non-Recourse Indebtedness for the bankruptcy of such Unrestricted Subsidiary, fraud, misapplication of cash, environmental claims, waste, willful destruction, and other circumstances customarily excluded by institutional lenders from exculpation provisions and/or included in separate indemnification agreements in non-recourse financings of real estate.</w:t>
      </w:r>
    </w:p>
    <w:p>
      <w:pPr>
        <w:spacing w:after="0" w:line="19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b w:val="1"/>
          <w:bCs w:val="1"/>
          <w:i w:val="1"/>
          <w:iCs w:val="1"/>
          <w:color w:val="auto"/>
        </w:rPr>
        <w:t xml:space="preserve">Section 10.9 Guarantee </w:t>
      </w:r>
      <w:r>
        <w:rPr>
          <w:rFonts w:ascii="Arial" w:cs="Arial" w:eastAsia="Arial" w:hAnsi="Arial"/>
          <w:sz w:val="20"/>
          <w:szCs w:val="20"/>
          <w:color w:val="auto"/>
        </w:rPr>
        <w:t>means a guarantee (other than by endorsement of negotiable instruments for collection in the ordinary course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business), direct or indirect, in any manner (including, without limitation, letters of credit and reimbursement agreements in respect thereof), of all or any part of any Section 10.9 Indebtedness.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Section 10.9 Hedging Obligations </w:t>
      </w:r>
      <w:r>
        <w:rPr>
          <w:rFonts w:ascii="Arial" w:cs="Arial" w:eastAsia="Arial" w:hAnsi="Arial"/>
          <w:sz w:val="20"/>
          <w:szCs w:val="20"/>
          <w:color w:val="auto"/>
        </w:rPr>
        <w:t>means, with respect to any Person, the obligations of such Person under (a) currency exchange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interest rate swap, cap or collar agreements and (b) other agreements or arrangements designed to protect such Person against fluctuations in currency exchange or interest rates.</w:t>
      </w:r>
    </w:p>
    <w:p>
      <w:pPr>
        <w:spacing w:after="0" w:line="1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 xml:space="preserve">Section 10.9 Indebtedness </w:t>
      </w:r>
      <w:r>
        <w:rPr>
          <w:rFonts w:ascii="Arial" w:cs="Arial" w:eastAsia="Arial" w:hAnsi="Arial"/>
          <w:sz w:val="18"/>
          <w:szCs w:val="18"/>
          <w:color w:val="auto"/>
        </w:rPr>
        <w:t>means, with respect to any Person, without duplication, (a) any indebtedness of such Person, whether or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contingent, in respect of borrowed money or evidenced by bonds, notes, debentures or similar instruments or letters of credit (or reimbursement agreements in respect thereof) or bankers’ acceptances or representing Section 10.9 Capital Lease Obligations or the balance deferred and unpaid of the purchase price of any property (which purchase price is due more than one year after taking title to such property) or services or representing any Section 10.9 Hedging Obligations, except any such balance that constitutes an accrued expense or trade payable, if and to the extent any of the foregoing indebtedness (other than letters of credit and Section 10.9 Hedging Obligations) would appear as a liability upon a balance sheet of such Person prepared in accordance with GAAP; (b) all indebtedness of others secured by a Lien on any asset of such Person (whether or not such indebtedness is assumed by such Person the amount of such obligation, to the extent it is without recourse to such Person, being deemed to be the lesser of the value of such property or assets or the amount of the obligation so secured); (c) to the extent not otherwise included, the Section 10.9 Guarantee by such Person of any Section 10.9 Indebtedness of any other Person;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 the amount outstanding at any time of any Section 10.9 Indebtedness issued with original issue discount is the face amount of such indebtedness less the remaining unamortized portion of the original issue discount of such Section 10.9 Indebtedness at such time as determined in conformity with GAAP; (ii) Section 10.9 Indebtedness shall not include any liability for federal, state, local or other taxes; and (iii) obligations of VRI or any Restricted Subsidiary with respect to Permitted Recourse Obligations shall not constitute Section 10.9 Indebtedness unless and until an event or circumstance occurs that triggers VRI’s or a Restricted Subsidiary’s direct payment liability or reimbursement obligation (as opposed to contingent or performance obligations) to the lender or other party to whom such Permitted Recourse Obligation is actually owed, in which case the amount of such direct payment liability to such lender or other party shall constitute Section 10.9 Indebtedness; and (d) with respect to any Restricted Subsidiary of VRI, Section 10.9 Preferred Stock of such Person (in an amount equal to the greater of (x) the sum of all obligations of such Person with respect to redemption, repayment or repurchase thereof and (y) the book value of such Section 10.9 Preferred Stock as reflected on the most recent financial statements of such Person).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420"/>
          </w:cols>
          <w:pgMar w:left="240" w:top="582" w:right="239" w:bottom="1440" w:gutter="0" w:footer="0" w:header="0"/>
        </w:sectPr>
      </w:pPr>
    </w:p>
    <w:bookmarkStart w:id="95" w:name="page96"/>
    <w:bookmarkEnd w:id="95"/>
    <w:p>
      <w:pPr>
        <w:jc w:val="both"/>
        <w:ind w:firstLine="648"/>
        <w:spacing w:after="0" w:line="258" w:lineRule="auto"/>
        <w:rPr>
          <w:sz w:val="20"/>
          <w:szCs w:val="20"/>
          <w:color w:val="auto"/>
        </w:rPr>
      </w:pPr>
      <w:r>
        <w:rPr>
          <w:rFonts w:ascii="Arial" w:cs="Arial" w:eastAsia="Arial" w:hAnsi="Arial"/>
          <w:sz w:val="19"/>
          <w:szCs w:val="19"/>
          <w:b w:val="1"/>
          <w:bCs w:val="1"/>
          <w:i w:val="1"/>
          <w:iCs w:val="1"/>
          <w:color w:val="auto"/>
        </w:rPr>
        <w:t xml:space="preserve">Section 10.9 Net Income </w:t>
      </w:r>
      <w:r>
        <w:rPr>
          <w:rFonts w:ascii="Arial" w:cs="Arial" w:eastAsia="Arial" w:hAnsi="Arial"/>
          <w:sz w:val="19"/>
          <w:szCs w:val="19"/>
          <w:color w:val="auto"/>
        </w:rPr>
        <w:t>means, with respect to any Person, the net income (or loss) of such Person, determined in accordance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GAAP and before any reduction in respect of Section 10.9 Preferred Stock dividends, excluding, however, (a) any gain (or loss), together with any related provision for taxes on such gain (or loss), realized in connection with (i) any disposition of assets (including, without limitation, dispositions pursuant to Section 10.9 Sale and Leaseback Transactions) or (ii) the disposition of any securities by such Person or any of its Subsidiaries or the extinguishment of any Section 10.9 Indebtedness of such Person or any of its Subsidiaries and (b) any extraordinary or nonrecurring gain or income (or loss, expense or charge), together with any related provision for taxes on such extraordinary or nonrecurring gain or income (or loss, expense or charge).</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i w:val="1"/>
          <w:iCs w:val="1"/>
          <w:color w:val="auto"/>
        </w:rPr>
        <w:t xml:space="preserve">Section 10.9 Non-Recourse Indebtedness </w:t>
      </w:r>
      <w:r>
        <w:rPr>
          <w:rFonts w:ascii="Arial" w:cs="Arial" w:eastAsia="Arial" w:hAnsi="Arial"/>
          <w:sz w:val="20"/>
          <w:szCs w:val="20"/>
          <w:color w:val="auto"/>
        </w:rPr>
        <w:t>means any Section 10.9 Indebtedness of an Unrestricted Subsidiary with respect to which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holder of such Section 10.9 Indebtedness (a) may not look to such Unrestricted Subsidiary directly for repayment, other than to the extent of any security therefor, or (b) may look to such Unrestricted Subsidiary directly for repayment (but not to any direct or indirect holder of the Section 10.9 Capital Stock of such Unrestricted Subsidiary, other than with respect to Permitted Recourse Obligations entered into by such direct or indirect holder).</w:t>
      </w:r>
    </w:p>
    <w:p>
      <w:pPr>
        <w:spacing w:after="0" w:line="19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b w:val="1"/>
          <w:bCs w:val="1"/>
          <w:i w:val="1"/>
          <w:iCs w:val="1"/>
          <w:color w:val="auto"/>
        </w:rPr>
        <w:t xml:space="preserve">Section 10.9 Preferred Stock </w:t>
      </w:r>
      <w:r>
        <w:rPr>
          <w:rFonts w:ascii="Arial" w:cs="Arial" w:eastAsia="Arial" w:hAnsi="Arial"/>
          <w:sz w:val="18"/>
          <w:szCs w:val="18"/>
          <w:color w:val="auto"/>
        </w:rPr>
        <w:t>of any Person means Section 10.9 Capital Stock of such Person of any class or classes (however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designated) that ranks prior, as to the payment of dividends or as to the distribution of assets upon any voluntary or involuntary liquidation, dissolution or winding up of such Person, to shares of Section 10.9 Capital Stock of any other class of such Person.</w:t>
      </w:r>
    </w:p>
    <w:p>
      <w:pPr>
        <w:spacing w:after="0" w:line="15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b w:val="1"/>
          <w:bCs w:val="1"/>
          <w:i w:val="1"/>
          <w:iCs w:val="1"/>
          <w:color w:val="auto"/>
        </w:rPr>
        <w:t xml:space="preserve">Section 10.9 Sale and Leaseback Transaction </w:t>
      </w:r>
      <w:r>
        <w:rPr>
          <w:rFonts w:ascii="Arial" w:cs="Arial" w:eastAsia="Arial" w:hAnsi="Arial"/>
          <w:sz w:val="18"/>
          <w:szCs w:val="18"/>
          <w:color w:val="auto"/>
        </w:rPr>
        <w:t>means an arrangement relating to property now owned or hereafter acquired whereby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VRI or a Restricted Subsidiary transfers such property to a Person and VRI or a Restricted Subsidiary leases it from such Person.</w:t>
      </w:r>
    </w:p>
    <w:p>
      <w:pPr>
        <w:spacing w:after="0" w:line="13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Securities Laws </w:t>
      </w:r>
      <w:r>
        <w:rPr>
          <w:rFonts w:ascii="Arial" w:cs="Arial" w:eastAsia="Arial" w:hAnsi="Arial"/>
          <w:sz w:val="20"/>
          <w:szCs w:val="20"/>
          <w:color w:val="auto"/>
        </w:rPr>
        <w:t>means the Securities Act of 1933, the Securities Exchange Act of 1934, and the applicable accounting and auditing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principles, rules, standards, and practices promulgated, approved, or incorporated by the Securities and Exchange Commission, or any Governmental Authority succeeding to any of its principal functions, or the Public Company Accounting Oversight Board, as each of the foregoing may be amended and in effect on any applicable date hereunder.</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b w:val="1"/>
          <w:bCs w:val="1"/>
          <w:i w:val="1"/>
          <w:iCs w:val="1"/>
          <w:color w:val="auto"/>
        </w:rPr>
        <w:t xml:space="preserve">Security Documents </w:t>
      </w:r>
      <w:r>
        <w:rPr>
          <w:rFonts w:ascii="Arial" w:cs="Arial" w:eastAsia="Arial" w:hAnsi="Arial"/>
          <w:sz w:val="16"/>
          <w:szCs w:val="16"/>
          <w:color w:val="auto"/>
        </w:rPr>
        <w:t>means, collectively, (a) each Pledge Agreement, each Confirmation of Pledge Agreement, any security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mortgage, deed of trust, control agreement, or other agreement or document, together with all related financing statements and stock powers, in form and substance reasonably satisfactory to Administrative Agent and its legal counsel, executed and delivered by any Person in connection with this Agreement to create a Lien in favor of Lenders on any of its real or personal property, as amended, modified, supplemented, restated, ratified, or reaffirmed; and (b) with respect to each Bond L/C, the trust indenture entered into in connection with such Bond L/C, and such other agreements and documents delivered by the Issuer (as defined in the applicable Bond L/C) and the applicable Trustee, pursuant to which such Issuer’s interest in the Trust Estate (as defined in the applicable trust indenture) and, upon payment in full of the applicable Bonds, such Trustee’s interest in the applicable Bond Documents, are assigned to the applicable L/C Issuer as security for payment of such Bonds.</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Service </w:t>
      </w:r>
      <w:r>
        <w:rPr>
          <w:rFonts w:ascii="Arial" w:cs="Arial" w:eastAsia="Arial" w:hAnsi="Arial"/>
          <w:sz w:val="20"/>
          <w:szCs w:val="20"/>
          <w:color w:val="auto"/>
        </w:rPr>
        <w:t>means the U.S. Department of Agriculture Forest Service or any successor agency.</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b w:val="1"/>
          <w:bCs w:val="1"/>
          <w:i w:val="1"/>
          <w:iCs w:val="1"/>
          <w:color w:val="auto"/>
        </w:rPr>
        <w:t xml:space="preserve">Similar Business </w:t>
      </w:r>
      <w:r>
        <w:rPr>
          <w:rFonts w:ascii="Arial" w:cs="Arial" w:eastAsia="Arial" w:hAnsi="Arial"/>
          <w:sz w:val="19"/>
          <w:szCs w:val="19"/>
          <w:color w:val="auto"/>
        </w:rPr>
        <w:t>means any business conducted by VRI or any of its Subsidiaries on the Closing Date or any other recreation, leisure,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and/or hospitality business, including, without limitation, ski mountain resort operations or any business or activity that is reasonably similar thereto, a reasonable extension, development, or expansion thereof, or reasonably ancillary thereto.</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420"/>
          </w:cols>
          <w:pgMar w:left="240" w:top="582" w:right="239" w:bottom="1440" w:gutter="0" w:footer="0" w:header="0"/>
        </w:sectPr>
      </w:pPr>
    </w:p>
    <w:bookmarkStart w:id="96" w:name="page97"/>
    <w:bookmarkEnd w:id="96"/>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Solvent </w:t>
      </w:r>
      <w:r>
        <w:rPr>
          <w:rFonts w:ascii="Arial" w:cs="Arial" w:eastAsia="Arial" w:hAnsi="Arial"/>
          <w:sz w:val="20"/>
          <w:szCs w:val="20"/>
          <w:color w:val="auto"/>
        </w:rPr>
        <w:t>means, as to a Person, that (a) the aggregate fair market value of its assets exceeds its liabilities (whether contingent,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subordinated, unmatured, unliquidated, or otherwise), (b) it has sufficient cash flow to enable it to pay its Debts as they mature, and (c) it does not have unreasonably small capital to conduct its businesses.</w:t>
      </w:r>
    </w:p>
    <w:p>
      <w:pPr>
        <w:spacing w:after="0" w:line="18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i w:val="1"/>
          <w:iCs w:val="1"/>
          <w:color w:val="auto"/>
        </w:rPr>
        <w:t xml:space="preserve">Spot Rate </w:t>
      </w:r>
      <w:r>
        <w:rPr>
          <w:rFonts w:ascii="Arial" w:cs="Arial" w:eastAsia="Arial" w:hAnsi="Arial"/>
          <w:sz w:val="18"/>
          <w:szCs w:val="18"/>
          <w:color w:val="auto"/>
        </w:rPr>
        <w:t>for a currency means the rate determined by the Administrative Agent or Australian L/C Issuer, as the case may be, to be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rate quoted by the Person acting in such capacity as the spot rate for the purchase by such Person of such currency with another currency through its principal foreign exchange trading office at approximately 11:00 a.m. on the date two (2) Business Days prior to the date as of which the foreign exchange computation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or Australian L/C Issuer, as the case may be, may obtain such spot rate from another financial institution designated by the Administrative Agent or Australian L/C Issuer, as the case may be, if the Person acting in such capacity does not have as of the date of determination a spot buying rate for any such currency;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Administrative Agent or Australian L/C Issuer, as the case may be, may use such spot rate quoted on the date as of which the foreign exchange computation is made in the case of any Term Loan or L/C denominated in the Alternative Currency.</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b w:val="1"/>
          <w:bCs w:val="1"/>
          <w:i w:val="1"/>
          <w:iCs w:val="1"/>
          <w:color w:val="auto"/>
        </w:rPr>
        <w:t xml:space="preserve">Subordinated Debt </w:t>
      </w:r>
      <w:r>
        <w:rPr>
          <w:rFonts w:ascii="Arial" w:cs="Arial" w:eastAsia="Arial" w:hAnsi="Arial"/>
          <w:sz w:val="19"/>
          <w:szCs w:val="19"/>
          <w:color w:val="auto"/>
        </w:rPr>
        <w:t>means any unsecured indebtedness for borrowed money for which a Company is directly and primarily obligated,</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 xml:space="preserve">so long as </w:t>
      </w:r>
      <w:r>
        <w:rPr>
          <w:rFonts w:ascii="Arial" w:cs="Arial" w:eastAsia="Arial" w:hAnsi="Arial"/>
          <w:sz w:val="19"/>
          <w:szCs w:val="19"/>
          <w:color w:val="auto"/>
        </w:rPr>
        <w:t>such Debt (a) does not have any stated maturity before the latest maturity of any part of the Obligation, and (b) is subordinated, upon</w:t>
      </w:r>
      <w:r>
        <w:rPr>
          <w:rFonts w:ascii="Arial" w:cs="Arial" w:eastAsia="Arial" w:hAnsi="Arial"/>
          <w:sz w:val="19"/>
          <w:szCs w:val="19"/>
          <w:i w:val="1"/>
          <w:iCs w:val="1"/>
          <w:color w:val="auto"/>
        </w:rPr>
        <w:t xml:space="preserve"> </w:t>
      </w:r>
      <w:r>
        <w:rPr>
          <w:rFonts w:ascii="Arial" w:cs="Arial" w:eastAsia="Arial" w:hAnsi="Arial"/>
          <w:sz w:val="19"/>
          <w:szCs w:val="19"/>
          <w:color w:val="auto"/>
        </w:rPr>
        <w:t>terms satisfactory to Administrative Agent, to the payment and collection of the Obligation.</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Subsidiary </w:t>
      </w:r>
      <w:r>
        <w:rPr>
          <w:rFonts w:ascii="Arial" w:cs="Arial" w:eastAsia="Arial" w:hAnsi="Arial"/>
          <w:sz w:val="20"/>
          <w:szCs w:val="20"/>
          <w:color w:val="auto"/>
        </w:rPr>
        <w:t>means, with respect to any Person, any corporation, or other entity of which securities or other ownership interests having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ordinary voting power to elect a majority of the board of directors or other persons performing similar functions are at the time directly or indirectly owned by such Person.</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Swap Obligations </w:t>
      </w:r>
      <w:r>
        <w:rPr>
          <w:rFonts w:ascii="Arial" w:cs="Arial" w:eastAsia="Arial" w:hAnsi="Arial"/>
          <w:sz w:val="20"/>
          <w:szCs w:val="20"/>
          <w:color w:val="auto"/>
        </w:rPr>
        <w:t>means with respect to any Guarantor any obligation to pay or perform under any agreement, contract or transaction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that constitutes a “</w:t>
      </w:r>
      <w:r>
        <w:rPr>
          <w:rFonts w:ascii="Arial" w:cs="Arial" w:eastAsia="Arial" w:hAnsi="Arial"/>
          <w:sz w:val="20"/>
          <w:szCs w:val="20"/>
          <w:i w:val="1"/>
          <w:iCs w:val="1"/>
          <w:color w:val="auto"/>
        </w:rPr>
        <w:t>swap</w:t>
      </w:r>
      <w:r>
        <w:rPr>
          <w:rFonts w:ascii="Arial" w:cs="Arial" w:eastAsia="Arial" w:hAnsi="Arial"/>
          <w:sz w:val="20"/>
          <w:szCs w:val="20"/>
          <w:color w:val="auto"/>
        </w:rPr>
        <w:t xml:space="preserve">” within the meaning of </w:t>
      </w:r>
      <w:r>
        <w:rPr>
          <w:rFonts w:ascii="Arial" w:cs="Arial" w:eastAsia="Arial" w:hAnsi="Arial"/>
          <w:sz w:val="20"/>
          <w:szCs w:val="20"/>
          <w:i w:val="1"/>
          <w:iCs w:val="1"/>
          <w:color w:val="auto"/>
        </w:rPr>
        <w:t>Section 1a(47)</w:t>
      </w:r>
      <w:r>
        <w:rPr>
          <w:rFonts w:ascii="Arial" w:cs="Arial" w:eastAsia="Arial" w:hAnsi="Arial"/>
          <w:sz w:val="20"/>
          <w:szCs w:val="20"/>
          <w:color w:val="auto"/>
        </w:rPr>
        <w:t xml:space="preserve"> of the Commodity Exchange Act.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Swing Line Borrowing </w:t>
      </w:r>
      <w:r>
        <w:rPr>
          <w:rFonts w:ascii="Arial" w:cs="Arial" w:eastAsia="Arial" w:hAnsi="Arial"/>
          <w:sz w:val="20"/>
          <w:szCs w:val="20"/>
          <w:color w:val="auto"/>
        </w:rPr>
        <w:t>means a borrowing of a Swing Line Loan pursuant to</w:t>
      </w:r>
      <w:r>
        <w:rPr>
          <w:rFonts w:ascii="Arial" w:cs="Arial" w:eastAsia="Arial" w:hAnsi="Arial"/>
          <w:sz w:val="20"/>
          <w:szCs w:val="20"/>
          <w:b w:val="1"/>
          <w:bCs w:val="1"/>
          <w:i w:val="1"/>
          <w:iCs w:val="1"/>
          <w:color w:val="auto"/>
        </w:rPr>
        <w:t xml:space="preserve"> Section 2.4</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Swing Line Commitment </w:t>
      </w:r>
      <w:r>
        <w:rPr>
          <w:rFonts w:ascii="Arial" w:cs="Arial" w:eastAsia="Arial" w:hAnsi="Arial"/>
          <w:sz w:val="20"/>
          <w:szCs w:val="20"/>
          <w:color w:val="auto"/>
        </w:rPr>
        <w:t>means, as to each Swing Line Lender, the commitment of such Swing Line Lender to provide Swing Line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Loans in an aggregate principal amount at any one time outstanding not to exceed the amount set forth opposite such Swing Line Lender’s name on </w:t>
      </w:r>
      <w:r>
        <w:rPr>
          <w:rFonts w:ascii="Arial" w:cs="Arial" w:eastAsia="Arial" w:hAnsi="Arial"/>
          <w:sz w:val="20"/>
          <w:szCs w:val="20"/>
          <w:b w:val="1"/>
          <w:bCs w:val="1"/>
          <w:i w:val="1"/>
          <w:iCs w:val="1"/>
          <w:color w:val="auto"/>
        </w:rPr>
        <w:t>Schedule 1</w:t>
      </w:r>
      <w:r>
        <w:rPr>
          <w:rFonts w:ascii="Arial" w:cs="Arial" w:eastAsia="Arial" w:hAnsi="Arial"/>
          <w:sz w:val="20"/>
          <w:szCs w:val="20"/>
          <w:color w:val="auto"/>
        </w:rPr>
        <w:t xml:space="preserve"> under the caption “</w:t>
      </w:r>
      <w:r>
        <w:rPr>
          <w:rFonts w:ascii="Arial" w:cs="Arial" w:eastAsia="Arial" w:hAnsi="Arial"/>
          <w:sz w:val="20"/>
          <w:szCs w:val="20"/>
          <w:i w:val="1"/>
          <w:iCs w:val="1"/>
          <w:color w:val="auto"/>
        </w:rPr>
        <w:t>Swing Line Sublimit</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b w:val="1"/>
          <w:bCs w:val="1"/>
          <w:i w:val="1"/>
          <w:iCs w:val="1"/>
          <w:color w:val="auto"/>
        </w:rPr>
        <w:t xml:space="preserve">Swing Line Lenders </w:t>
      </w:r>
      <w:r>
        <w:rPr>
          <w:rFonts w:ascii="Arial" w:cs="Arial" w:eastAsia="Arial" w:hAnsi="Arial"/>
          <w:sz w:val="18"/>
          <w:szCs w:val="18"/>
          <w:color w:val="auto"/>
        </w:rPr>
        <w:t>means, collectively, Bank of America and U.S. Bank National Association, in their respective capacities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providers of Swing Line Loans, and any additional Lender approved by Administrative Agent and Borrower that has agreed to act as a “</w:t>
      </w:r>
      <w:r>
        <w:rPr>
          <w:rFonts w:ascii="Arial" w:cs="Arial" w:eastAsia="Arial" w:hAnsi="Arial"/>
          <w:sz w:val="18"/>
          <w:szCs w:val="18"/>
          <w:i w:val="1"/>
          <w:iCs w:val="1"/>
          <w:color w:val="auto"/>
        </w:rPr>
        <w:t>Swing</w:t>
      </w:r>
      <w:r>
        <w:rPr>
          <w:rFonts w:ascii="Arial" w:cs="Arial" w:eastAsia="Arial" w:hAnsi="Arial"/>
          <w:sz w:val="18"/>
          <w:szCs w:val="18"/>
          <w:color w:val="auto"/>
        </w:rPr>
        <w:t xml:space="preserve"> </w:t>
      </w:r>
      <w:r>
        <w:rPr>
          <w:rFonts w:ascii="Arial" w:cs="Arial" w:eastAsia="Arial" w:hAnsi="Arial"/>
          <w:sz w:val="18"/>
          <w:szCs w:val="18"/>
          <w:i w:val="1"/>
          <w:iCs w:val="1"/>
          <w:color w:val="auto"/>
        </w:rPr>
        <w:t>Line Lender</w:t>
      </w:r>
      <w:r>
        <w:rPr>
          <w:rFonts w:ascii="Arial" w:cs="Arial" w:eastAsia="Arial" w:hAnsi="Arial"/>
          <w:sz w:val="18"/>
          <w:szCs w:val="18"/>
          <w:color w:val="auto"/>
        </w:rPr>
        <w:t>”, and any successor swing line lender hereunder; and</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Swing Line Lender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one of the Swing Line Lenders.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Swing Line Loan </w:t>
      </w:r>
      <w:r>
        <w:rPr>
          <w:rFonts w:ascii="Arial" w:cs="Arial" w:eastAsia="Arial" w:hAnsi="Arial"/>
          <w:sz w:val="20"/>
          <w:szCs w:val="20"/>
          <w:color w:val="auto"/>
        </w:rPr>
        <w:t>has the meaning set forth in</w:t>
      </w:r>
      <w:r>
        <w:rPr>
          <w:rFonts w:ascii="Arial" w:cs="Arial" w:eastAsia="Arial" w:hAnsi="Arial"/>
          <w:sz w:val="20"/>
          <w:szCs w:val="20"/>
          <w:b w:val="1"/>
          <w:bCs w:val="1"/>
          <w:i w:val="1"/>
          <w:iCs w:val="1"/>
          <w:color w:val="auto"/>
        </w:rPr>
        <w:t xml:space="preserve"> Section 2.4(a)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Swing Line Loan Notice </w:t>
      </w:r>
      <w:r>
        <w:rPr>
          <w:rFonts w:ascii="Arial" w:cs="Arial" w:eastAsia="Arial" w:hAnsi="Arial"/>
          <w:sz w:val="20"/>
          <w:szCs w:val="20"/>
          <w:color w:val="auto"/>
        </w:rPr>
        <w:t>means a notice of a Swing Line Borrowing pursuant to</w:t>
      </w:r>
      <w:r>
        <w:rPr>
          <w:rFonts w:ascii="Arial" w:cs="Arial" w:eastAsia="Arial" w:hAnsi="Arial"/>
          <w:sz w:val="20"/>
          <w:szCs w:val="20"/>
          <w:b w:val="1"/>
          <w:bCs w:val="1"/>
          <w:i w:val="1"/>
          <w:iCs w:val="1"/>
          <w:color w:val="auto"/>
        </w:rPr>
        <w:t xml:space="preserve"> Section 2.4(b)</w:t>
      </w:r>
      <w:r>
        <w:rPr>
          <w:rFonts w:ascii="Arial" w:cs="Arial" w:eastAsia="Arial" w:hAnsi="Arial"/>
          <w:sz w:val="20"/>
          <w:szCs w:val="20"/>
          <w:color w:val="auto"/>
        </w:rPr>
        <w:t>, which, if in writing, is substantially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the form of </w:t>
      </w:r>
      <w:r>
        <w:rPr>
          <w:rFonts w:ascii="Arial" w:cs="Arial" w:eastAsia="Arial" w:hAnsi="Arial"/>
          <w:sz w:val="20"/>
          <w:szCs w:val="20"/>
          <w:b w:val="1"/>
          <w:bCs w:val="1"/>
          <w:i w:val="1"/>
          <w:iCs w:val="1"/>
          <w:color w:val="auto"/>
        </w:rPr>
        <w:t>Exhibit C-2</w:t>
      </w:r>
      <w:r>
        <w:rPr>
          <w:rFonts w:ascii="Arial" w:cs="Arial" w:eastAsia="Arial" w:hAnsi="Arial"/>
          <w:sz w:val="20"/>
          <w:szCs w:val="20"/>
          <w:color w:val="auto"/>
        </w:rPr>
        <w:t xml:space="preserve"> or such other form as approved by Administrative Agent (including any form on an electronic platform or electronic transmission system as shall be approved by Administrative Agent).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420"/>
          </w:cols>
          <w:pgMar w:left="240" w:top="582" w:right="239" w:bottom="1440" w:gutter="0" w:footer="0" w:header="0"/>
        </w:sectPr>
      </w:pPr>
    </w:p>
    <w:bookmarkStart w:id="97" w:name="page98"/>
    <w:bookmarkEnd w:id="97"/>
    <w:p>
      <w:pPr>
        <w:ind w:left="660"/>
        <w:spacing w:after="0"/>
        <w:rPr>
          <w:sz w:val="20"/>
          <w:szCs w:val="20"/>
          <w:color w:val="auto"/>
        </w:rPr>
      </w:pPr>
      <w:r>
        <w:rPr>
          <w:rFonts w:ascii="Arial" w:cs="Arial" w:eastAsia="Arial" w:hAnsi="Arial"/>
          <w:sz w:val="18"/>
          <w:szCs w:val="18"/>
          <w:b w:val="1"/>
          <w:bCs w:val="1"/>
          <w:i w:val="1"/>
          <w:iCs w:val="1"/>
          <w:color w:val="auto"/>
        </w:rPr>
        <w:t xml:space="preserve">Swing Line Note </w:t>
      </w:r>
      <w:r>
        <w:rPr>
          <w:rFonts w:ascii="Arial" w:cs="Arial" w:eastAsia="Arial" w:hAnsi="Arial"/>
          <w:sz w:val="18"/>
          <w:szCs w:val="18"/>
          <w:color w:val="auto"/>
        </w:rPr>
        <w:t>means a promissory note in substantially the form of</w:t>
      </w:r>
      <w:r>
        <w:rPr>
          <w:rFonts w:ascii="Arial" w:cs="Arial" w:eastAsia="Arial" w:hAnsi="Arial"/>
          <w:sz w:val="18"/>
          <w:szCs w:val="18"/>
          <w:b w:val="1"/>
          <w:bCs w:val="1"/>
          <w:i w:val="1"/>
          <w:iCs w:val="1"/>
          <w:color w:val="auto"/>
        </w:rPr>
        <w:t xml:space="preserve"> Exhibit A-2</w:t>
      </w:r>
      <w:r>
        <w:rPr>
          <w:rFonts w:ascii="Arial" w:cs="Arial" w:eastAsia="Arial" w:hAnsi="Arial"/>
          <w:sz w:val="18"/>
          <w:szCs w:val="18"/>
          <w:color w:val="auto"/>
        </w:rPr>
        <w:t>, and all renewals and extensions of all or any part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Swing Line Subfacility </w:t>
      </w:r>
      <w:r>
        <w:rPr>
          <w:rFonts w:ascii="Arial" w:cs="Arial" w:eastAsia="Arial" w:hAnsi="Arial"/>
          <w:sz w:val="20"/>
          <w:szCs w:val="20"/>
          <w:color w:val="auto"/>
        </w:rPr>
        <w:t>means a subfacility under the Agreement (the portion of the Loans attributable to which may never exceed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the aggregate the Swing Line Sublimit) as described in, and subject to the limitations of, </w:t>
      </w:r>
      <w:r>
        <w:rPr>
          <w:rFonts w:ascii="Arial" w:cs="Arial" w:eastAsia="Arial" w:hAnsi="Arial"/>
          <w:sz w:val="20"/>
          <w:szCs w:val="20"/>
          <w:b w:val="1"/>
          <w:bCs w:val="1"/>
          <w:i w:val="1"/>
          <w:iCs w:val="1"/>
          <w:color w:val="auto"/>
        </w:rPr>
        <w:t>Section 2.4</w:t>
      </w:r>
      <w:r>
        <w:rPr>
          <w:rFonts w:ascii="Arial" w:cs="Arial" w:eastAsia="Arial" w:hAnsi="Arial"/>
          <w:sz w:val="20"/>
          <w:szCs w:val="20"/>
          <w:color w:val="auto"/>
        </w:rPr>
        <w:t xml:space="preserve"> hereof.</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Swing Line Sublimit </w:t>
      </w:r>
      <w:r>
        <w:rPr>
          <w:rFonts w:ascii="Arial" w:cs="Arial" w:eastAsia="Arial" w:hAnsi="Arial"/>
          <w:sz w:val="20"/>
          <w:szCs w:val="20"/>
          <w:color w:val="auto"/>
        </w:rPr>
        <w:t>means, on any date, an amount equal to the lesser of (a) $75,000,000 and (b) the Revolver Commitment (as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same may be increased or reduced in accordance with the Loan Papers). The Swing Line Sublimit is part of, and not in addition to, the Revolver Commitment.</w:t>
      </w:r>
    </w:p>
    <w:p>
      <w:pPr>
        <w:spacing w:after="0" w:line="18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b w:val="1"/>
          <w:bCs w:val="1"/>
          <w:i w:val="1"/>
          <w:iCs w:val="1"/>
          <w:color w:val="auto"/>
        </w:rPr>
        <w:t xml:space="preserve">Taxes </w:t>
      </w:r>
      <w:r>
        <w:rPr>
          <w:rFonts w:ascii="Arial" w:cs="Arial" w:eastAsia="Arial" w:hAnsi="Arial"/>
          <w:sz w:val="18"/>
          <w:szCs w:val="18"/>
          <w:color w:val="auto"/>
        </w:rPr>
        <w:t>means all present or future taxes, levies, imposts, duties, deductions, withholdings (including backup withholding), assessments,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fees, or other charges imposed by any Governmental Authority, including any interest, additions to tax, or penalties applicable thereto.</w:t>
      </w:r>
    </w:p>
    <w:p>
      <w:pPr>
        <w:spacing w:after="0" w:line="12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i w:val="1"/>
          <w:iCs w:val="1"/>
          <w:color w:val="auto"/>
        </w:rPr>
        <w:t xml:space="preserve">Temporary Cash Investments </w:t>
      </w:r>
      <w:r>
        <w:rPr>
          <w:rFonts w:ascii="Arial" w:cs="Arial" w:eastAsia="Arial" w:hAnsi="Arial"/>
          <w:sz w:val="20"/>
          <w:szCs w:val="20"/>
          <w:color w:val="auto"/>
        </w:rPr>
        <w:t>means investments of the Restricted Companies permitted under</w:t>
      </w:r>
      <w:r>
        <w:rPr>
          <w:rFonts w:ascii="Arial" w:cs="Arial" w:eastAsia="Arial" w:hAnsi="Arial"/>
          <w:sz w:val="20"/>
          <w:szCs w:val="20"/>
          <w:b w:val="1"/>
          <w:bCs w:val="1"/>
          <w:i w:val="1"/>
          <w:iCs w:val="1"/>
          <w:color w:val="auto"/>
        </w:rPr>
        <w:t xml:space="preserve"> clauses (b) </w:t>
      </w:r>
      <w:r>
        <w:rPr>
          <w:rFonts w:ascii="Arial" w:cs="Arial" w:eastAsia="Arial" w:hAnsi="Arial"/>
          <w:sz w:val="20"/>
          <w:szCs w:val="20"/>
          <w:color w:val="auto"/>
        </w:rPr>
        <w:t>through</w:t>
      </w:r>
      <w:r>
        <w:rPr>
          <w:rFonts w:ascii="Arial" w:cs="Arial" w:eastAsia="Arial" w:hAnsi="Arial"/>
          <w:sz w:val="20"/>
          <w:szCs w:val="20"/>
          <w:b w:val="1"/>
          <w:bCs w:val="1"/>
          <w:i w:val="1"/>
          <w:iCs w:val="1"/>
          <w:color w:val="auto"/>
        </w:rPr>
        <w:t xml:space="preserve"> (g)</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(p)</w:t>
      </w:r>
      <w:r>
        <w:rPr>
          <w:rFonts w:ascii="Arial" w:cs="Arial" w:eastAsia="Arial" w:hAnsi="Arial"/>
          <w:sz w:val="20"/>
          <w:szCs w:val="20"/>
          <w:color w:val="auto"/>
        </w:rPr>
        <w:t>, and</w:t>
      </w:r>
      <w:r>
        <w:rPr>
          <w:rFonts w:ascii="Arial" w:cs="Arial" w:eastAsia="Arial" w:hAnsi="Arial"/>
          <w:sz w:val="20"/>
          <w:szCs w:val="20"/>
          <w:b w:val="1"/>
          <w:bCs w:val="1"/>
          <w:i w:val="1"/>
          <w:iCs w:val="1"/>
          <w:color w:val="auto"/>
        </w:rPr>
        <w:t xml:space="preserve"> (q) </w:t>
      </w:r>
      <w:r>
        <w:rPr>
          <w:rFonts w:ascii="Arial" w:cs="Arial" w:eastAsia="Arial" w:hAnsi="Arial"/>
          <w:sz w:val="20"/>
          <w:szCs w:val="20"/>
          <w:color w:val="auto"/>
        </w:rPr>
        <w:t>of</w:t>
      </w:r>
      <w:r>
        <w:rPr>
          <w:rFonts w:ascii="Arial" w:cs="Arial" w:eastAsia="Arial" w:hAnsi="Arial"/>
          <w:sz w:val="20"/>
          <w:szCs w:val="20"/>
          <w:b w:val="1"/>
          <w:bCs w:val="1"/>
          <w:i w:val="1"/>
          <w:iCs w:val="1"/>
          <w:color w:val="auto"/>
        </w:rPr>
        <w:t xml:space="preserve"> Section 10.8 </w:t>
      </w:r>
      <w:r>
        <w:rPr>
          <w:rFonts w:ascii="Arial" w:cs="Arial" w:eastAsia="Arial" w:hAnsi="Arial"/>
          <w:sz w:val="20"/>
          <w:szCs w:val="20"/>
          <w:color w:val="auto"/>
        </w:rPr>
        <w: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Term Loan </w:t>
      </w:r>
      <w:r>
        <w:rPr>
          <w:rFonts w:ascii="Arial" w:cs="Arial" w:eastAsia="Arial" w:hAnsi="Arial"/>
          <w:sz w:val="20"/>
          <w:szCs w:val="20"/>
          <w:color w:val="auto"/>
        </w:rPr>
        <w:t>means any Loan made under the Term Loan Facility. All Term Loans shall be denominated in Dollars.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Term Loan Borrowing </w:t>
      </w:r>
      <w:r>
        <w:rPr>
          <w:rFonts w:ascii="Arial" w:cs="Arial" w:eastAsia="Arial" w:hAnsi="Arial"/>
          <w:sz w:val="20"/>
          <w:szCs w:val="20"/>
          <w:color w:val="auto"/>
        </w:rPr>
        <w:t>means a borrowing consisting of simultaneous Term Loans of the same Type and, in the case of Eurocurrency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Rate Loans, having the same Interest Period made by each of the Term Loan Lenders pursuant to </w:t>
      </w:r>
      <w:r>
        <w:rPr>
          <w:rFonts w:ascii="Arial" w:cs="Arial" w:eastAsia="Arial" w:hAnsi="Arial"/>
          <w:sz w:val="20"/>
          <w:szCs w:val="20"/>
          <w:b w:val="1"/>
          <w:bCs w:val="1"/>
          <w:i w:val="1"/>
          <w:iCs w:val="1"/>
          <w:color w:val="auto"/>
        </w:rPr>
        <w:t>Section 2.1(b)</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i w:val="1"/>
          <w:iCs w:val="1"/>
          <w:color w:val="auto"/>
        </w:rPr>
        <w:t xml:space="preserve">Term Loan Commitment </w:t>
      </w:r>
      <w:r>
        <w:rPr>
          <w:rFonts w:ascii="Arial" w:cs="Arial" w:eastAsia="Arial" w:hAnsi="Arial"/>
          <w:sz w:val="20"/>
          <w:szCs w:val="20"/>
          <w:color w:val="auto"/>
        </w:rPr>
        <w:t>means, as to each Term Loan Lender, its obligation to make Term Loans to the Borrower pursuant to</w:t>
      </w:r>
      <w:r>
        <w:rPr>
          <w:rFonts w:ascii="Arial" w:cs="Arial" w:eastAsia="Arial" w:hAnsi="Arial"/>
          <w:sz w:val="20"/>
          <w:szCs w:val="20"/>
          <w:b w:val="1"/>
          <w:bCs w:val="1"/>
          <w:i w:val="1"/>
          <w:iCs w:val="1"/>
          <w:color w:val="auto"/>
        </w:rPr>
        <w:t xml:space="preserve"> Section 2.1(b) </w:t>
      </w:r>
      <w:r>
        <w:rPr>
          <w:rFonts w:ascii="Arial" w:cs="Arial" w:eastAsia="Arial" w:hAnsi="Arial"/>
          <w:sz w:val="20"/>
          <w:szCs w:val="20"/>
          <w:color w:val="auto"/>
        </w:rPr>
        <w:t>in an aggregate principal amount at any one time outstanding not to exceed the amount set forth opposite such Term Loan Lender’s name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on </w:t>
      </w:r>
      <w:r>
        <w:rPr>
          <w:rFonts w:ascii="Arial" w:cs="Arial" w:eastAsia="Arial" w:hAnsi="Arial"/>
          <w:sz w:val="20"/>
          <w:szCs w:val="20"/>
          <w:b w:val="1"/>
          <w:bCs w:val="1"/>
          <w:i w:val="1"/>
          <w:iCs w:val="1"/>
          <w:color w:val="auto"/>
        </w:rPr>
        <w:t>Schedule 1</w:t>
      </w:r>
      <w:r>
        <w:rPr>
          <w:rFonts w:ascii="Arial" w:cs="Arial" w:eastAsia="Arial" w:hAnsi="Arial"/>
          <w:sz w:val="20"/>
          <w:szCs w:val="20"/>
          <w:color w:val="auto"/>
        </w:rPr>
        <w:t xml:space="preserve"> under the caption “</w:t>
      </w:r>
      <w:r>
        <w:rPr>
          <w:rFonts w:ascii="Arial" w:cs="Arial" w:eastAsia="Arial" w:hAnsi="Arial"/>
          <w:sz w:val="20"/>
          <w:szCs w:val="20"/>
          <w:i w:val="1"/>
          <w:iCs w:val="1"/>
          <w:color w:val="auto"/>
        </w:rPr>
        <w:t>Term Loan Commitment</w:t>
      </w:r>
      <w:r>
        <w:rPr>
          <w:rFonts w:ascii="Arial" w:cs="Arial" w:eastAsia="Arial" w:hAnsi="Arial"/>
          <w:sz w:val="20"/>
          <w:szCs w:val="20"/>
          <w:color w:val="auto"/>
        </w:rPr>
        <w:t>” or opposite such caption in the Assignment and Assumption pursuant to which such Term Loan Lender becomes a party hereto, as applicable, as such amount may be adjusted from time to time in accordance with this Agreement.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 xml:space="preserve">Term Loan Facility </w:t>
      </w:r>
      <w:r>
        <w:rPr>
          <w:rFonts w:ascii="Arial" w:cs="Arial" w:eastAsia="Arial" w:hAnsi="Arial"/>
          <w:sz w:val="19"/>
          <w:szCs w:val="19"/>
          <w:color w:val="auto"/>
        </w:rPr>
        <w:t>means the credit facility as described in and subject to the limitations set forth in</w:t>
      </w:r>
      <w:r>
        <w:rPr>
          <w:rFonts w:ascii="Arial" w:cs="Arial" w:eastAsia="Arial" w:hAnsi="Arial"/>
          <w:sz w:val="19"/>
          <w:szCs w:val="19"/>
          <w:b w:val="1"/>
          <w:bCs w:val="1"/>
          <w:i w:val="1"/>
          <w:iCs w:val="1"/>
          <w:color w:val="auto"/>
        </w:rPr>
        <w:t xml:space="preserve"> Section 2.1(b) </w:t>
      </w:r>
      <w:r>
        <w:rPr>
          <w:rFonts w:ascii="Arial" w:cs="Arial" w:eastAsia="Arial" w:hAnsi="Arial"/>
          <w:sz w:val="19"/>
          <w:szCs w:val="19"/>
          <w:color w:val="auto"/>
        </w:rPr>
        <w:t>hereof.</w:t>
      </w:r>
    </w:p>
    <w:p>
      <w:pPr>
        <w:spacing w:after="0" w:line="22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i w:val="1"/>
          <w:iCs w:val="1"/>
          <w:color w:val="auto"/>
        </w:rPr>
        <w:t xml:space="preserve">Term Loan Lenders </w:t>
      </w:r>
      <w:r>
        <w:rPr>
          <w:rFonts w:ascii="Arial" w:cs="Arial" w:eastAsia="Arial" w:hAnsi="Arial"/>
          <w:sz w:val="19"/>
          <w:szCs w:val="19"/>
          <w:color w:val="auto"/>
        </w:rPr>
        <w:t>means, collectively, on any date of determination, Lenders having a Term Loan Commitment under the Term Loan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Facility or that are owed any Term Loan Principal Debt, and </w:t>
      </w:r>
      <w:r>
        <w:rPr>
          <w:rFonts w:ascii="Arial" w:cs="Arial" w:eastAsia="Arial" w:hAnsi="Arial"/>
          <w:sz w:val="19"/>
          <w:szCs w:val="19"/>
          <w:b w:val="1"/>
          <w:bCs w:val="1"/>
          <w:i w:val="1"/>
          <w:iCs w:val="1"/>
          <w:color w:val="auto"/>
        </w:rPr>
        <w:t>Term Loan Lender</w:t>
      </w:r>
      <w:r>
        <w:rPr>
          <w:rFonts w:ascii="Arial" w:cs="Arial" w:eastAsia="Arial" w:hAnsi="Arial"/>
          <w:sz w:val="19"/>
          <w:szCs w:val="19"/>
          <w:color w:val="auto"/>
        </w:rPr>
        <w:t xml:space="preserve"> means any one of the Term Loan Lenders.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Term Loan Note </w:t>
      </w:r>
      <w:r>
        <w:rPr>
          <w:rFonts w:ascii="Arial" w:cs="Arial" w:eastAsia="Arial" w:hAnsi="Arial"/>
          <w:sz w:val="18"/>
          <w:szCs w:val="18"/>
          <w:color w:val="auto"/>
        </w:rPr>
        <w:t>means a promissory note substantially in the form of</w:t>
      </w:r>
      <w:r>
        <w:rPr>
          <w:rFonts w:ascii="Arial" w:cs="Arial" w:eastAsia="Arial" w:hAnsi="Arial"/>
          <w:sz w:val="18"/>
          <w:szCs w:val="18"/>
          <w:b w:val="1"/>
          <w:bCs w:val="1"/>
          <w:i w:val="1"/>
          <w:iCs w:val="1"/>
          <w:color w:val="auto"/>
        </w:rPr>
        <w:t xml:space="preserve"> Exhibit A-3</w:t>
      </w:r>
      <w:r>
        <w:rPr>
          <w:rFonts w:ascii="Arial" w:cs="Arial" w:eastAsia="Arial" w:hAnsi="Arial"/>
          <w:sz w:val="18"/>
          <w:szCs w:val="18"/>
          <w:color w:val="auto"/>
        </w:rPr>
        <w:t>, and all renewals and extensions of all or any part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Term Loan Principal Debt </w:t>
      </w:r>
      <w:r>
        <w:rPr>
          <w:rFonts w:ascii="Arial" w:cs="Arial" w:eastAsia="Arial" w:hAnsi="Arial"/>
          <w:sz w:val="18"/>
          <w:szCs w:val="18"/>
          <w:color w:val="auto"/>
        </w:rPr>
        <w:t>means, at any time, the aggregate unpaid principal balance of all Loans under the Term Loan Facility.</w:t>
      </w:r>
    </w:p>
    <w:p>
      <w:pPr>
        <w:spacing w:after="0" w:line="23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b w:val="1"/>
          <w:bCs w:val="1"/>
          <w:i w:val="1"/>
          <w:iCs w:val="1"/>
          <w:color w:val="auto"/>
        </w:rPr>
        <w:t xml:space="preserve">Termination Date </w:t>
      </w:r>
      <w:r>
        <w:rPr>
          <w:rFonts w:ascii="Arial" w:cs="Arial" w:eastAsia="Arial" w:hAnsi="Arial"/>
          <w:sz w:val="18"/>
          <w:szCs w:val="18"/>
          <w:color w:val="auto"/>
        </w:rPr>
        <w:t>means (a) for purposes of the Revolver Facility, the earlier of (i) August 15, 2023; and (ii) the effective date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Revolver Lenders’ Revolver Commitments are otherwise canceled or terminated, and (b) for purposes of the Term Loan Facility, (i) the earlier of August 15, 2023, and (ii) the effective date of any other termination, cancellation or acceleration of the Term Loan Facility.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420"/>
          </w:cols>
          <w:pgMar w:left="240" w:top="582" w:right="239" w:bottom="1440" w:gutter="0" w:footer="0" w:header="0"/>
        </w:sectPr>
      </w:pPr>
    </w:p>
    <w:bookmarkStart w:id="98" w:name="page99"/>
    <w:bookmarkEnd w:id="98"/>
    <w:p>
      <w:pPr>
        <w:ind w:left="660"/>
        <w:spacing w:after="0"/>
        <w:rPr>
          <w:sz w:val="20"/>
          <w:szCs w:val="20"/>
          <w:color w:val="auto"/>
        </w:rPr>
      </w:pPr>
      <w:r>
        <w:rPr>
          <w:rFonts w:ascii="Arial" w:cs="Arial" w:eastAsia="Arial" w:hAnsi="Arial"/>
          <w:sz w:val="20"/>
          <w:szCs w:val="20"/>
          <w:b w:val="1"/>
          <w:bCs w:val="1"/>
          <w:i w:val="1"/>
          <w:iCs w:val="1"/>
          <w:color w:val="auto"/>
        </w:rPr>
        <w:t xml:space="preserve">Threshold Amount </w:t>
      </w:r>
      <w:r>
        <w:rPr>
          <w:rFonts w:ascii="Arial" w:cs="Arial" w:eastAsia="Arial" w:hAnsi="Arial"/>
          <w:sz w:val="20"/>
          <w:szCs w:val="20"/>
          <w:color w:val="auto"/>
        </w:rPr>
        <w:t>means $25,000,000.</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Total Assets </w:t>
      </w:r>
      <w:r>
        <w:rPr>
          <w:rFonts w:ascii="Arial" w:cs="Arial" w:eastAsia="Arial" w:hAnsi="Arial"/>
          <w:sz w:val="20"/>
          <w:szCs w:val="20"/>
          <w:color w:val="auto"/>
        </w:rPr>
        <w:t>means, as of any date of determination for the Restricted Companies on a consolidated basis, the book value of all assets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the Restricted Companies (as determined in accordance with GAAP).</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Total Commitment </w:t>
      </w:r>
      <w:r>
        <w:rPr>
          <w:rFonts w:ascii="Arial" w:cs="Arial" w:eastAsia="Arial" w:hAnsi="Arial"/>
          <w:sz w:val="20"/>
          <w:szCs w:val="20"/>
          <w:color w:val="auto"/>
        </w:rPr>
        <w:t>means, at any time, the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sum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all Commitments in effect for all Lenders in respect of the Revolver Facility and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Term Loan Facility (as reduced or canceled under this Agreement).</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b w:val="1"/>
          <w:bCs w:val="1"/>
          <w:i w:val="1"/>
          <w:iCs w:val="1"/>
          <w:color w:val="auto"/>
        </w:rPr>
        <w:t xml:space="preserve">Total Leverage Ratio </w:t>
      </w:r>
      <w:r>
        <w:rPr>
          <w:rFonts w:ascii="Arial" w:cs="Arial" w:eastAsia="Arial" w:hAnsi="Arial"/>
          <w:sz w:val="20"/>
          <w:szCs w:val="20"/>
          <w:color w:val="auto"/>
        </w:rPr>
        <w:t>means, as of any date of determination, the ratio of (a) Funded Debt on the last day of the fiscal quarter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immediately preceding such date, to (b) Adjusted EBITDA for the four fiscal quarters ending on such last day.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Trustee </w:t>
      </w:r>
      <w:r>
        <w:rPr>
          <w:rFonts w:ascii="Arial" w:cs="Arial" w:eastAsia="Arial" w:hAnsi="Arial"/>
          <w:sz w:val="20"/>
          <w:szCs w:val="20"/>
          <w:color w:val="auto"/>
        </w:rPr>
        <w:t>means any Trustee designated as the beneficiary of a Bond L/C.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Type </w:t>
      </w:r>
      <w:r>
        <w:rPr>
          <w:rFonts w:ascii="Arial" w:cs="Arial" w:eastAsia="Arial" w:hAnsi="Arial"/>
          <w:sz w:val="20"/>
          <w:szCs w:val="20"/>
          <w:color w:val="auto"/>
        </w:rPr>
        <w:t>means any type of Loan determined with respect to the applicable interest option.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Unreimbursed Amount </w:t>
      </w:r>
      <w:r>
        <w:rPr>
          <w:rFonts w:ascii="Arial" w:cs="Arial" w:eastAsia="Arial" w:hAnsi="Arial"/>
          <w:sz w:val="20"/>
          <w:szCs w:val="20"/>
          <w:color w:val="auto"/>
        </w:rPr>
        <w:t>has the meaning set forth in</w:t>
      </w:r>
      <w:r>
        <w:rPr>
          <w:rFonts w:ascii="Arial" w:cs="Arial" w:eastAsia="Arial" w:hAnsi="Arial"/>
          <w:sz w:val="20"/>
          <w:szCs w:val="20"/>
          <w:b w:val="1"/>
          <w:bCs w:val="1"/>
          <w:i w:val="1"/>
          <w:iCs w:val="1"/>
          <w:color w:val="auto"/>
        </w:rPr>
        <w:t xml:space="preserve"> Section 2.3(c)(i)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Unrestricted Cash </w:t>
      </w:r>
      <w:r>
        <w:rPr>
          <w:rFonts w:ascii="Arial" w:cs="Arial" w:eastAsia="Arial" w:hAnsi="Arial"/>
          <w:sz w:val="20"/>
          <w:szCs w:val="20"/>
          <w:color w:val="auto"/>
        </w:rPr>
        <w:t>means, on any date of determination, the aggregate amount of all cash and Temporary Cash Investments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Restricted Companies not subject to any Lien or restriction (except for Liens of depository institutions securing payment of customary service charges, transfer fees, account maintenance fees, and charges for returned or dishonored items, and restrictions with respect to compensating balances).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b w:val="1"/>
          <w:bCs w:val="1"/>
          <w:i w:val="1"/>
          <w:iCs w:val="1"/>
          <w:color w:val="auto"/>
        </w:rPr>
        <w:t xml:space="preserve">Unrestricted Subsidiary </w:t>
      </w:r>
      <w:r>
        <w:rPr>
          <w:rFonts w:ascii="Arial" w:cs="Arial" w:eastAsia="Arial" w:hAnsi="Arial"/>
          <w:sz w:val="19"/>
          <w:szCs w:val="19"/>
          <w:color w:val="auto"/>
        </w:rPr>
        <w:t>means any existing Subsidiary or newly-formed Subsidiary created by Borrower pursuant to</w:t>
      </w:r>
      <w:r>
        <w:rPr>
          <w:rFonts w:ascii="Arial" w:cs="Arial" w:eastAsia="Arial" w:hAnsi="Arial"/>
          <w:sz w:val="19"/>
          <w:szCs w:val="19"/>
          <w:b w:val="1"/>
          <w:bCs w:val="1"/>
          <w:i w:val="1"/>
          <w:iCs w:val="1"/>
          <w:color w:val="auto"/>
        </w:rPr>
        <w:t xml:space="preserve"> Section 9.10 </w:t>
      </w:r>
      <w:r>
        <w:rPr>
          <w:rFonts w:ascii="Arial" w:cs="Arial" w:eastAsia="Arial" w:hAnsi="Arial"/>
          <w:sz w:val="19"/>
          <w:szCs w:val="19"/>
          <w:color w:val="auto"/>
        </w:rPr>
        <w:t>(which may be a partnership, joint venture, corporation, limited liability company, or other entity) (a) which does not own any Forest Service Permit, the stock of any Restricted Company, or any Critical Assets (except as otherwise permitted under this Agreement), (b) which has (and whose other partners, joint venturers, members, or shareholders have) no Debt or other material obligation which is recourse to any Restricted Company or to the assets of any Restricted Company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(i) pursuant to Permitted Recourse Obligations and (ii) as otherwise permitted in </w:t>
      </w:r>
      <w:r>
        <w:rPr>
          <w:rFonts w:ascii="Arial" w:cs="Arial" w:eastAsia="Arial" w:hAnsi="Arial"/>
          <w:sz w:val="19"/>
          <w:szCs w:val="19"/>
          <w:b w:val="1"/>
          <w:bCs w:val="1"/>
          <w:i w:val="1"/>
          <w:iCs w:val="1"/>
          <w:color w:val="auto"/>
        </w:rPr>
        <w:t>clause (g)</w:t>
      </w:r>
      <w:r>
        <w:rPr>
          <w:rFonts w:ascii="Arial" w:cs="Arial" w:eastAsia="Arial" w:hAnsi="Arial"/>
          <w:sz w:val="19"/>
          <w:szCs w:val="19"/>
          <w:color w:val="auto"/>
        </w:rPr>
        <w:t xml:space="preserve"> of the definition of “</w:t>
      </w:r>
      <w:r>
        <w:rPr>
          <w:rFonts w:ascii="Arial" w:cs="Arial" w:eastAsia="Arial" w:hAnsi="Arial"/>
          <w:sz w:val="19"/>
          <w:szCs w:val="19"/>
          <w:i w:val="1"/>
          <w:iCs w:val="1"/>
          <w:color w:val="auto"/>
        </w:rPr>
        <w:t>Permitted Debt</w:t>
      </w:r>
      <w:r>
        <w:rPr>
          <w:rFonts w:ascii="Arial" w:cs="Arial" w:eastAsia="Arial" w:hAnsi="Arial"/>
          <w:sz w:val="19"/>
          <w:szCs w:val="19"/>
          <w:color w:val="auto"/>
        </w:rPr>
        <w:t xml:space="preserve">”), and (c) which is specifically identified in this definition or has been designated by Borrower as an Unrestricted Subsidiary by notice to Administrative Agent under </w:t>
      </w:r>
      <w:r>
        <w:rPr>
          <w:rFonts w:ascii="Arial" w:cs="Arial" w:eastAsia="Arial" w:hAnsi="Arial"/>
          <w:sz w:val="19"/>
          <w:szCs w:val="19"/>
          <w:b w:val="1"/>
          <w:bCs w:val="1"/>
          <w:i w:val="1"/>
          <w:iCs w:val="1"/>
          <w:color w:val="auto"/>
        </w:rPr>
        <w:t>Section 9.11</w:t>
      </w:r>
      <w:r>
        <w:rPr>
          <w:rFonts w:ascii="Arial" w:cs="Arial" w:eastAsia="Arial" w:hAnsi="Arial"/>
          <w:sz w:val="19"/>
          <w:szCs w:val="19"/>
          <w:color w:val="auto"/>
        </w:rPr>
        <w:t xml:space="preserve"> hereof. The Unrestricted Subsidiaries are reflected on </w:t>
      </w:r>
      <w:r>
        <w:rPr>
          <w:rFonts w:ascii="Arial" w:cs="Arial" w:eastAsia="Arial" w:hAnsi="Arial"/>
          <w:sz w:val="19"/>
          <w:szCs w:val="19"/>
          <w:b w:val="1"/>
          <w:bCs w:val="1"/>
          <w:i w:val="1"/>
          <w:iCs w:val="1"/>
          <w:color w:val="auto"/>
        </w:rPr>
        <w:t>Schedule 8.2</w:t>
      </w:r>
      <w:r>
        <w:rPr>
          <w:rFonts w:ascii="Arial" w:cs="Arial" w:eastAsia="Arial" w:hAnsi="Arial"/>
          <w:sz w:val="19"/>
          <w:szCs w:val="19"/>
          <w:color w:val="auto"/>
        </w:rPr>
        <w:t xml:space="preserve"> hereto (as the same may be updated from time to time).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U.S. </w:t>
      </w:r>
      <w:r>
        <w:rPr>
          <w:rFonts w:ascii="Arial" w:cs="Arial" w:eastAsia="Arial" w:hAnsi="Arial"/>
          <w:sz w:val="20"/>
          <w:szCs w:val="20"/>
          <w:color w:val="auto"/>
        </w:rPr>
        <w:t>means the United States of America.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U.S. Person </w:t>
      </w:r>
      <w:r>
        <w:rPr>
          <w:rFonts w:ascii="Arial" w:cs="Arial" w:eastAsia="Arial" w:hAnsi="Arial"/>
          <w:sz w:val="20"/>
          <w:szCs w:val="20"/>
          <w:color w:val="auto"/>
        </w:rPr>
        <w:t>means any Person that is a “</w:t>
      </w:r>
      <w:r>
        <w:rPr>
          <w:rFonts w:ascii="Arial" w:cs="Arial" w:eastAsia="Arial" w:hAnsi="Arial"/>
          <w:sz w:val="20"/>
          <w:szCs w:val="20"/>
          <w:i w:val="1"/>
          <w:iCs w:val="1"/>
          <w:color w:val="auto"/>
        </w:rPr>
        <w:t>United States Person</w:t>
      </w:r>
      <w:r>
        <w:rPr>
          <w:rFonts w:ascii="Arial" w:cs="Arial" w:eastAsia="Arial" w:hAnsi="Arial"/>
          <w:sz w:val="20"/>
          <w:szCs w:val="20"/>
          <w:color w:val="auto"/>
        </w:rPr>
        <w:t>” as defined in</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Section 7701(a)(30)</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the Code</w:t>
      </w:r>
      <w:r>
        <w:rPr>
          <w:rFonts w:ascii="Arial" w:cs="Arial" w:eastAsia="Arial" w:hAnsi="Arial"/>
          <w:sz w:val="20"/>
          <w:szCs w:val="20"/>
          <w:i w:val="1"/>
          <w:iCs w:val="1"/>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U.S. Tax Compliance Certificate </w:t>
      </w:r>
      <w:r>
        <w:rPr>
          <w:rFonts w:ascii="Arial" w:cs="Arial" w:eastAsia="Arial" w:hAnsi="Arial"/>
          <w:sz w:val="20"/>
          <w:szCs w:val="20"/>
          <w:color w:val="auto"/>
        </w:rPr>
        <w:t>has the meaning specified in</w:t>
      </w:r>
      <w:r>
        <w:rPr>
          <w:rFonts w:ascii="Arial" w:cs="Arial" w:eastAsia="Arial" w:hAnsi="Arial"/>
          <w:sz w:val="20"/>
          <w:szCs w:val="20"/>
          <w:b w:val="1"/>
          <w:bCs w:val="1"/>
          <w:i w:val="1"/>
          <w:iCs w:val="1"/>
          <w:color w:val="auto"/>
        </w:rPr>
        <w:t xml:space="preserve"> Section 4.1(e)(ii)(B)(III)</w:t>
      </w:r>
      <w:r>
        <w:rPr>
          <w:rFonts w:ascii="Arial" w:cs="Arial" w:eastAsia="Arial" w:hAnsi="Arial"/>
          <w:sz w:val="20"/>
          <w:szCs w:val="20"/>
          <w:i w:val="1"/>
          <w:iCs w:val="1"/>
          <w:color w:val="auto"/>
        </w:rPr>
        <w:t>.</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b w:val="1"/>
          <w:bCs w:val="1"/>
          <w:i w:val="1"/>
          <w:iCs w:val="1"/>
          <w:color w:val="auto"/>
        </w:rPr>
        <w:t xml:space="preserve">Vail Bonds </w:t>
      </w:r>
      <w:r>
        <w:rPr>
          <w:rFonts w:ascii="Arial" w:cs="Arial" w:eastAsia="Arial" w:hAnsi="Arial"/>
          <w:sz w:val="18"/>
          <w:szCs w:val="18"/>
          <w:color w:val="auto"/>
        </w:rPr>
        <w:t>means the Eagle County, Colorado Sports Facilities Revenue Refunding Bonds Series 1998, in the original principal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of $41,200,000, and any refinancing thereof to the extent the structure of any such refinancing is substantially similar to the structure of the Debt refinanced thereby, and the principal amount refinanced does not exceed the original principal amount of such Debt.</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Vail Summit Resorts </w:t>
      </w:r>
      <w:r>
        <w:rPr>
          <w:rFonts w:ascii="Arial" w:cs="Arial" w:eastAsia="Arial" w:hAnsi="Arial"/>
          <w:sz w:val="20"/>
          <w:szCs w:val="20"/>
          <w:color w:val="auto"/>
        </w:rPr>
        <w:t>means Vail Summit Resorts, Inc. (f/k/a “</w:t>
      </w:r>
      <w:r>
        <w:rPr>
          <w:rFonts w:ascii="Arial" w:cs="Arial" w:eastAsia="Arial" w:hAnsi="Arial"/>
          <w:sz w:val="20"/>
          <w:szCs w:val="20"/>
          <w:i w:val="1"/>
          <w:iCs w:val="1"/>
          <w:color w:val="auto"/>
        </w:rPr>
        <w:t>Ralston Resorts, Inc.</w:t>
      </w:r>
      <w:r>
        <w:rPr>
          <w:rFonts w:ascii="Arial" w:cs="Arial" w:eastAsia="Arial" w:hAnsi="Arial"/>
          <w:sz w:val="20"/>
          <w:szCs w:val="20"/>
          <w:color w:val="auto"/>
        </w:rPr>
        <w:t>”), a Colorado corporation and a Wholly Owned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Subsidiary of Borrower.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420"/>
          </w:cols>
          <w:pgMar w:left="240" w:top="582" w:right="239" w:bottom="1440" w:gutter="0" w:footer="0" w:header="0"/>
        </w:sectPr>
      </w:pPr>
    </w:p>
    <w:bookmarkStart w:id="99" w:name="page100"/>
    <w:bookmarkEnd w:id="99"/>
    <w:p>
      <w:pPr>
        <w:ind w:left="660"/>
        <w:spacing w:after="0"/>
        <w:rPr>
          <w:sz w:val="20"/>
          <w:szCs w:val="20"/>
          <w:color w:val="auto"/>
        </w:rPr>
      </w:pPr>
      <w:r>
        <w:rPr>
          <w:rFonts w:ascii="Arial" w:cs="Arial" w:eastAsia="Arial" w:hAnsi="Arial"/>
          <w:sz w:val="20"/>
          <w:szCs w:val="20"/>
          <w:b w:val="1"/>
          <w:bCs w:val="1"/>
          <w:i w:val="1"/>
          <w:iCs w:val="1"/>
          <w:color w:val="auto"/>
        </w:rPr>
        <w:t xml:space="preserve">VHF B.V. </w:t>
      </w:r>
      <w:r>
        <w:rPr>
          <w:rFonts w:ascii="Arial" w:cs="Arial" w:eastAsia="Arial" w:hAnsi="Arial"/>
          <w:sz w:val="20"/>
          <w:szCs w:val="20"/>
          <w:color w:val="auto"/>
        </w:rPr>
        <w:t>means Vail Holdings Finance, B.V., a besloten vennootschap existing under the Laws of The Netherlands.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VRI </w:t>
      </w:r>
      <w:r>
        <w:rPr>
          <w:rFonts w:ascii="Arial" w:cs="Arial" w:eastAsia="Arial" w:hAnsi="Arial"/>
          <w:sz w:val="20"/>
          <w:szCs w:val="20"/>
          <w:color w:val="auto"/>
        </w:rPr>
        <w:t>means Vail Resorts, Inc., a Delaware corporation and the direct owner of Borrower.</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i w:val="1"/>
          <w:iCs w:val="1"/>
          <w:color w:val="auto"/>
        </w:rPr>
        <w:t xml:space="preserve">Water Rights </w:t>
      </w:r>
      <w:r>
        <w:rPr>
          <w:rFonts w:ascii="Arial" w:cs="Arial" w:eastAsia="Arial" w:hAnsi="Arial"/>
          <w:sz w:val="20"/>
          <w:szCs w:val="20"/>
          <w:color w:val="auto"/>
        </w:rPr>
        <w:t>means all water rights and conditional water rights that are appurtenant to real property owned by the Companies or that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have been used or are intended for use in connection with the conduct of the business of the Companies, including but not limited to (a) ditch, well, pipeline, spring, and reservoir rights, whether or not adjudicated or evidenced by any well or other permit, (b) all rights with respect to groundwater underlying any real property owned by the Companies, (c) any permit to construct any water well, water from which is intended to be used in connection with such real property, and (d) all right, title, and interest of the Companies under any decreed or pending plan of augmentation or water exchange plan.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 xml:space="preserve">WBHI </w:t>
      </w:r>
      <w:r>
        <w:rPr>
          <w:rFonts w:ascii="Arial" w:cs="Arial" w:eastAsia="Arial" w:hAnsi="Arial"/>
          <w:sz w:val="19"/>
          <w:szCs w:val="19"/>
          <w:color w:val="auto"/>
        </w:rPr>
        <w:t>means Whistler Blackcomb Holdings Inc., a corporation existing under the Laws of the Province of British Columbia.</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Whistler Acquisition </w:t>
      </w:r>
      <w:r>
        <w:rPr>
          <w:rFonts w:ascii="Arial" w:cs="Arial" w:eastAsia="Arial" w:hAnsi="Arial"/>
          <w:sz w:val="20"/>
          <w:szCs w:val="20"/>
          <w:color w:val="auto"/>
        </w:rPr>
        <w:t>means the acquisition of WBHI by VRI pursuant to the Whistler Acquisition Agreement.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Whistler Acquisition Agreement </w:t>
      </w:r>
      <w:r>
        <w:rPr>
          <w:rFonts w:ascii="Arial" w:cs="Arial" w:eastAsia="Arial" w:hAnsi="Arial"/>
          <w:sz w:val="20"/>
          <w:szCs w:val="20"/>
          <w:color w:val="auto"/>
        </w:rPr>
        <w:t>means the Arrangement Agreement, dated as of August 5, 2016 by and among WBHI, VRI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Exchangeco.</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Whistler Acquisition Subsidiaries </w:t>
      </w:r>
      <w:r>
        <w:rPr>
          <w:rFonts w:ascii="Arial" w:cs="Arial" w:eastAsia="Arial" w:hAnsi="Arial"/>
          <w:sz w:val="20"/>
          <w:szCs w:val="20"/>
          <w:color w:val="auto"/>
        </w:rPr>
        <w:t>means, collectively, VHF B.V. and any direct or indirect Subsidiary of the Borrower not organized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under the Laws of the United States that owns a direct or indirect Equity Interest in WBHI.</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Wholly Owned </w:t>
      </w:r>
      <w:r>
        <w:rPr>
          <w:rFonts w:ascii="Arial" w:cs="Arial" w:eastAsia="Arial" w:hAnsi="Arial"/>
          <w:sz w:val="20"/>
          <w:szCs w:val="20"/>
          <w:color w:val="auto"/>
        </w:rPr>
        <w:t>when used in connection with any Subsidiary means any corporation, partnership, limited liability company, or other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entity of which all of the equity securities or other ownership interests are owned, directly or indirectly, by VRI, Borrower, or one or more of their Wholly Owned Restricted Subsidiaries.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Write-Down and Conversion Powers </w:t>
      </w:r>
      <w:r>
        <w:rPr>
          <w:rFonts w:ascii="Arial" w:cs="Arial" w:eastAsia="Arial" w:hAnsi="Arial"/>
          <w:sz w:val="20"/>
          <w:szCs w:val="20"/>
          <w:color w:val="auto"/>
        </w:rPr>
        <w:t>means, with respect to any EEA Resolution Authority, the write-down and conversion powers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such EEA Resolution Authority from time to time under the Bail-In Legislation for the applicable EEA Member Country, which write-down and conversion powers are described in the EU Bail-In Legislation Schedule.</w:t>
      </w:r>
    </w:p>
    <w:p>
      <w:pPr>
        <w:spacing w:after="0" w:line="200" w:lineRule="exact"/>
        <w:rPr>
          <w:sz w:val="20"/>
          <w:szCs w:val="20"/>
          <w:color w:val="auto"/>
        </w:rPr>
      </w:pPr>
    </w:p>
    <w:p>
      <w:pPr>
        <w:spacing w:after="0" w:line="20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6"/>
          <w:szCs w:val="16"/>
          <w:u w:val="single" w:color="auto"/>
          <w:color w:val="auto"/>
        </w:rPr>
        <w:t>Number and Gender of Words</w:t>
      </w:r>
      <w:r>
        <w:rPr>
          <w:rFonts w:ascii="Arial" w:cs="Arial" w:eastAsia="Arial" w:hAnsi="Arial"/>
          <w:sz w:val="16"/>
          <w:szCs w:val="16"/>
          <w:color w:val="auto"/>
        </w:rPr>
        <w:t>.</w:t>
      </w:r>
    </w:p>
    <w:p>
      <w:pPr>
        <w:spacing w:after="0" w:line="216" w:lineRule="exact"/>
        <w:rPr>
          <w:sz w:val="20"/>
          <w:szCs w:val="20"/>
          <w:color w:val="auto"/>
        </w:rPr>
      </w:pPr>
    </w:p>
    <w:p>
      <w:pPr>
        <w:ind w:left="1720" w:hanging="415"/>
        <w:spacing w:after="0"/>
        <w:tabs>
          <w:tab w:leader="none" w:pos="1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meanings of defined terms are equally applicable to the singular and plural forms of the defined terms.</w:t>
      </w:r>
    </w:p>
    <w:p>
      <w:pPr>
        <w:spacing w:after="0" w:line="215" w:lineRule="exact"/>
        <w:rPr>
          <w:rFonts w:ascii="Arial" w:cs="Arial" w:eastAsia="Arial" w:hAnsi="Arial"/>
          <w:sz w:val="20"/>
          <w:szCs w:val="20"/>
          <w:color w:val="auto"/>
        </w:rPr>
      </w:pPr>
    </w:p>
    <w:p>
      <w:pPr>
        <w:ind w:left="660" w:firstLine="645"/>
        <w:spacing w:after="0" w:line="260" w:lineRule="auto"/>
        <w:tabs>
          <w:tab w:leader="none" w:pos="1759" w:val="left"/>
        </w:tabs>
        <w:numPr>
          <w:ilvl w:val="0"/>
          <w:numId w:val="44"/>
        </w:numPr>
        <w:rPr>
          <w:rFonts w:ascii="Arial" w:cs="Arial" w:eastAsia="Arial" w:hAnsi="Arial"/>
          <w:sz w:val="20"/>
          <w:szCs w:val="20"/>
          <w:color w:val="auto"/>
        </w:rPr>
      </w:pPr>
      <w:r>
        <w:rPr>
          <w:rFonts w:ascii="Arial" w:cs="Arial" w:eastAsia="Arial" w:hAnsi="Arial"/>
          <w:sz w:val="20"/>
          <w:szCs w:val="20"/>
          <w:color w:val="auto"/>
        </w:rPr>
        <w:t>(i) The words “</w:t>
      </w:r>
      <w:r>
        <w:rPr>
          <w:rFonts w:ascii="Arial" w:cs="Arial" w:eastAsia="Arial" w:hAnsi="Arial"/>
          <w:sz w:val="20"/>
          <w:szCs w:val="20"/>
          <w:i w:val="1"/>
          <w:iCs w:val="1"/>
          <w:color w:val="auto"/>
        </w:rPr>
        <w:t>herein</w:t>
      </w:r>
      <w:r>
        <w:rPr>
          <w:rFonts w:ascii="Arial" w:cs="Arial" w:eastAsia="Arial" w:hAnsi="Arial"/>
          <w:sz w:val="20"/>
          <w:szCs w:val="20"/>
          <w:color w:val="auto"/>
        </w:rPr>
        <w:t>,” “</w:t>
      </w:r>
      <w:r>
        <w:rPr>
          <w:rFonts w:ascii="Arial" w:cs="Arial" w:eastAsia="Arial" w:hAnsi="Arial"/>
          <w:sz w:val="20"/>
          <w:szCs w:val="20"/>
          <w:i w:val="1"/>
          <w:iCs w:val="1"/>
          <w:color w:val="auto"/>
        </w:rPr>
        <w:t>hereto</w:t>
      </w:r>
      <w:r>
        <w:rPr>
          <w:rFonts w:ascii="Arial" w:cs="Arial" w:eastAsia="Arial" w:hAnsi="Arial"/>
          <w:sz w:val="20"/>
          <w:szCs w:val="20"/>
          <w:color w:val="auto"/>
        </w:rPr>
        <w:t>,” “</w:t>
      </w:r>
      <w:r>
        <w:rPr>
          <w:rFonts w:ascii="Arial" w:cs="Arial" w:eastAsia="Arial" w:hAnsi="Arial"/>
          <w:sz w:val="20"/>
          <w:szCs w:val="20"/>
          <w:i w:val="1"/>
          <w:iCs w:val="1"/>
          <w:color w:val="auto"/>
        </w:rPr>
        <w:t>hereof,</w:t>
      </w:r>
      <w:r>
        <w:rPr>
          <w:rFonts w:ascii="Arial" w:cs="Arial" w:eastAsia="Arial" w:hAnsi="Arial"/>
          <w:sz w:val="20"/>
          <w:szCs w:val="20"/>
          <w:color w:val="auto"/>
        </w:rPr>
        <w:t>” and “</w:t>
      </w:r>
      <w:r>
        <w:rPr>
          <w:rFonts w:ascii="Arial" w:cs="Arial" w:eastAsia="Arial" w:hAnsi="Arial"/>
          <w:sz w:val="20"/>
          <w:szCs w:val="20"/>
          <w:i w:val="1"/>
          <w:iCs w:val="1"/>
          <w:color w:val="auto"/>
        </w:rPr>
        <w:t>hereunder</w:t>
      </w:r>
      <w:r>
        <w:rPr>
          <w:rFonts w:ascii="Arial" w:cs="Arial" w:eastAsia="Arial" w:hAnsi="Arial"/>
          <w:sz w:val="20"/>
          <w:szCs w:val="20"/>
          <w:color w:val="auto"/>
        </w:rPr>
        <w:t>” and words of similar import when used in any Loan Paper shall refer to such Loan Paper as a whole and not to any particular provision thereof.</w:t>
      </w:r>
    </w:p>
    <w:p>
      <w:pPr>
        <w:spacing w:after="0" w:line="176" w:lineRule="exact"/>
        <w:rPr>
          <w:rFonts w:ascii="Arial" w:cs="Arial" w:eastAsia="Arial" w:hAnsi="Arial"/>
          <w:sz w:val="20"/>
          <w:szCs w:val="20"/>
          <w:color w:val="auto"/>
        </w:rPr>
      </w:pPr>
    </w:p>
    <w:p>
      <w:pPr>
        <w:ind w:left="2380" w:hanging="427"/>
        <w:spacing w:after="0"/>
        <w:tabs>
          <w:tab w:leader="none" w:pos="2380" w:val="left"/>
        </w:tabs>
        <w:numPr>
          <w:ilvl w:val="1"/>
          <w:numId w:val="44"/>
        </w:numPr>
        <w:rPr>
          <w:rFonts w:ascii="Arial" w:cs="Arial" w:eastAsia="Arial" w:hAnsi="Arial"/>
          <w:sz w:val="19"/>
          <w:szCs w:val="19"/>
          <w:color w:val="auto"/>
        </w:rPr>
      </w:pPr>
      <w:r>
        <w:rPr>
          <w:rFonts w:ascii="Arial" w:cs="Arial" w:eastAsia="Arial" w:hAnsi="Arial"/>
          <w:sz w:val="19"/>
          <w:szCs w:val="19"/>
          <w:color w:val="auto"/>
        </w:rPr>
        <w:t>Article, Section, Exhibit, and Schedule references are to the Loan Papers in which such reference appears.</w:t>
      </w:r>
    </w:p>
    <w:p>
      <w:pPr>
        <w:spacing w:after="0" w:line="227" w:lineRule="exact"/>
        <w:rPr>
          <w:rFonts w:ascii="Arial" w:cs="Arial" w:eastAsia="Arial" w:hAnsi="Arial"/>
          <w:sz w:val="19"/>
          <w:szCs w:val="19"/>
          <w:color w:val="auto"/>
        </w:rPr>
      </w:pPr>
    </w:p>
    <w:p>
      <w:pPr>
        <w:ind w:left="2440" w:hanging="487"/>
        <w:spacing w:after="0"/>
        <w:tabs>
          <w:tab w:leader="none" w:pos="2440" w:val="left"/>
        </w:tabs>
        <w:numPr>
          <w:ilvl w:val="1"/>
          <w:numId w:val="44"/>
        </w:numPr>
        <w:rPr>
          <w:rFonts w:ascii="Arial" w:cs="Arial" w:eastAsia="Arial" w:hAnsi="Arial"/>
          <w:sz w:val="20"/>
          <w:szCs w:val="20"/>
          <w:color w:val="auto"/>
        </w:rPr>
      </w:pPr>
      <w:r>
        <w:rPr>
          <w:rFonts w:ascii="Arial" w:cs="Arial" w:eastAsia="Arial" w:hAnsi="Arial"/>
          <w:sz w:val="20"/>
          <w:szCs w:val="20"/>
          <w:color w:val="auto"/>
        </w:rPr>
        <w:t>The term “</w:t>
      </w:r>
      <w:r>
        <w:rPr>
          <w:rFonts w:ascii="Arial" w:cs="Arial" w:eastAsia="Arial" w:hAnsi="Arial"/>
          <w:sz w:val="20"/>
          <w:szCs w:val="20"/>
          <w:i w:val="1"/>
          <w:iCs w:val="1"/>
          <w:color w:val="auto"/>
        </w:rPr>
        <w:t>including</w:t>
      </w:r>
      <w:r>
        <w:rPr>
          <w:rFonts w:ascii="Arial" w:cs="Arial" w:eastAsia="Arial" w:hAnsi="Arial"/>
          <w:sz w:val="20"/>
          <w:szCs w:val="20"/>
          <w:color w:val="auto"/>
        </w:rPr>
        <w:t>” is by way of example and not limitation.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420"/>
          </w:cols>
          <w:pgMar w:left="240" w:top="582" w:right="239" w:bottom="1440" w:gutter="0" w:footer="0" w:header="0"/>
        </w:sectPr>
      </w:pPr>
    </w:p>
    <w:bookmarkStart w:id="100" w:name="page101"/>
    <w:bookmarkEnd w:id="100"/>
    <w:p>
      <w:pPr>
        <w:ind w:left="640" w:firstLine="653"/>
        <w:spacing w:after="0" w:line="316" w:lineRule="auto"/>
        <w:tabs>
          <w:tab w:leader="none" w:pos="1876"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i w:val="1"/>
          <w:iCs w:val="1"/>
          <w:color w:val="auto"/>
        </w:rPr>
        <w:t>documents</w:t>
      </w:r>
      <w:r>
        <w:rPr>
          <w:rFonts w:ascii="Arial" w:cs="Arial" w:eastAsia="Arial" w:hAnsi="Arial"/>
          <w:sz w:val="18"/>
          <w:szCs w:val="18"/>
          <w:color w:val="auto"/>
        </w:rPr>
        <w:t>” and “</w:t>
      </w:r>
      <w:r>
        <w:rPr>
          <w:rFonts w:ascii="Arial" w:cs="Arial" w:eastAsia="Arial" w:hAnsi="Arial"/>
          <w:sz w:val="18"/>
          <w:szCs w:val="18"/>
          <w:i w:val="1"/>
          <w:iCs w:val="1"/>
          <w:color w:val="auto"/>
        </w:rPr>
        <w:t>papers</w:t>
      </w:r>
      <w:r>
        <w:rPr>
          <w:rFonts w:ascii="Arial" w:cs="Arial" w:eastAsia="Arial" w:hAnsi="Arial"/>
          <w:sz w:val="18"/>
          <w:szCs w:val="18"/>
          <w:color w:val="auto"/>
        </w:rPr>
        <w:t>” includes any and all instruments, documents, agreements, certificates, notices, reports, financial statements, and other writings, however evidenced, whether in physical or electronic form.</w:t>
      </w:r>
    </w:p>
    <w:p>
      <w:pPr>
        <w:spacing w:after="0" w:line="130" w:lineRule="exact"/>
        <w:rPr>
          <w:rFonts w:ascii="Arial" w:cs="Arial" w:eastAsia="Arial" w:hAnsi="Arial"/>
          <w:sz w:val="18"/>
          <w:szCs w:val="18"/>
          <w:color w:val="auto"/>
        </w:rPr>
      </w:pPr>
    </w:p>
    <w:p>
      <w:pPr>
        <w:ind w:firstLine="645"/>
        <w:spacing w:after="0" w:line="287" w:lineRule="auto"/>
        <w:tabs>
          <w:tab w:leader="none" w:pos="1120" w:val="left"/>
        </w:tabs>
        <w:numPr>
          <w:ilvl w:val="0"/>
          <w:numId w:val="46"/>
        </w:numPr>
        <w:rPr>
          <w:rFonts w:ascii="Arial" w:cs="Arial" w:eastAsia="Arial" w:hAnsi="Arial"/>
          <w:sz w:val="19"/>
          <w:szCs w:val="19"/>
          <w:color w:val="auto"/>
        </w:rPr>
      </w:pPr>
      <w:r>
        <w:rPr>
          <w:rFonts w:ascii="Arial" w:cs="Arial" w:eastAsia="Arial" w:hAnsi="Arial"/>
          <w:sz w:val="19"/>
          <w:szCs w:val="19"/>
          <w:color w:val="auto"/>
        </w:rPr>
        <w:t>In the computation of periods of time from a specified date to a later specified date, the word “</w:t>
      </w:r>
      <w:r>
        <w:rPr>
          <w:rFonts w:ascii="Arial" w:cs="Arial" w:eastAsia="Arial" w:hAnsi="Arial"/>
          <w:sz w:val="19"/>
          <w:szCs w:val="19"/>
          <w:i w:val="1"/>
          <w:iCs w:val="1"/>
          <w:color w:val="auto"/>
        </w:rPr>
        <w:t>from</w:t>
      </w:r>
      <w:r>
        <w:rPr>
          <w:rFonts w:ascii="Arial" w:cs="Arial" w:eastAsia="Arial" w:hAnsi="Arial"/>
          <w:sz w:val="19"/>
          <w:szCs w:val="19"/>
          <w:color w:val="auto"/>
        </w:rPr>
        <w:t>” means “</w:t>
      </w:r>
      <w:r>
        <w:rPr>
          <w:rFonts w:ascii="Arial" w:cs="Arial" w:eastAsia="Arial" w:hAnsi="Arial"/>
          <w:sz w:val="19"/>
          <w:szCs w:val="19"/>
          <w:i w:val="1"/>
          <w:iCs w:val="1"/>
          <w:color w:val="auto"/>
        </w:rPr>
        <w:t>from and</w:t>
      </w:r>
      <w:r>
        <w:rPr>
          <w:rFonts w:ascii="Arial" w:cs="Arial" w:eastAsia="Arial" w:hAnsi="Arial"/>
          <w:sz w:val="19"/>
          <w:szCs w:val="19"/>
          <w:color w:val="auto"/>
        </w:rPr>
        <w:t xml:space="preserve"> </w:t>
      </w:r>
      <w:r>
        <w:rPr>
          <w:rFonts w:ascii="Arial" w:cs="Arial" w:eastAsia="Arial" w:hAnsi="Arial"/>
          <w:sz w:val="19"/>
          <w:szCs w:val="19"/>
          <w:i w:val="1"/>
          <w:iCs w:val="1"/>
          <w:color w:val="auto"/>
        </w:rPr>
        <w:t>including</w:t>
      </w:r>
      <w:r>
        <w:rPr>
          <w:rFonts w:ascii="Arial" w:cs="Arial" w:eastAsia="Arial" w:hAnsi="Arial"/>
          <w:sz w:val="19"/>
          <w:szCs w:val="19"/>
          <w:color w:val="auto"/>
        </w:rPr>
        <w:t>”; the words “</w:t>
      </w:r>
      <w:r>
        <w:rPr>
          <w:rFonts w:ascii="Arial" w:cs="Arial" w:eastAsia="Arial" w:hAnsi="Arial"/>
          <w:sz w:val="19"/>
          <w:szCs w:val="19"/>
          <w:i w:val="1"/>
          <w:iCs w:val="1"/>
          <w:color w:val="auto"/>
        </w:rPr>
        <w:t>to</w:t>
      </w:r>
      <w:r>
        <w:rPr>
          <w:rFonts w:ascii="Arial" w:cs="Arial" w:eastAsia="Arial" w:hAnsi="Arial"/>
          <w:sz w:val="19"/>
          <w:szCs w:val="19"/>
          <w:color w:val="auto"/>
        </w:rPr>
        <w:t>” and “</w:t>
      </w:r>
      <w:r>
        <w:rPr>
          <w:rFonts w:ascii="Arial" w:cs="Arial" w:eastAsia="Arial" w:hAnsi="Arial"/>
          <w:sz w:val="19"/>
          <w:szCs w:val="19"/>
          <w:i w:val="1"/>
          <w:iCs w:val="1"/>
          <w:color w:val="auto"/>
        </w:rPr>
        <w:t>until</w:t>
      </w:r>
      <w:r>
        <w:rPr>
          <w:rFonts w:ascii="Arial" w:cs="Arial" w:eastAsia="Arial" w:hAnsi="Arial"/>
          <w:sz w:val="19"/>
          <w:szCs w:val="19"/>
          <w:color w:val="auto"/>
        </w:rPr>
        <w:t>” each mean “</w:t>
      </w:r>
      <w:r>
        <w:rPr>
          <w:rFonts w:ascii="Arial" w:cs="Arial" w:eastAsia="Arial" w:hAnsi="Arial"/>
          <w:sz w:val="19"/>
          <w:szCs w:val="19"/>
          <w:i w:val="1"/>
          <w:iCs w:val="1"/>
          <w:color w:val="auto"/>
        </w:rPr>
        <w:t>to but excluding</w:t>
      </w:r>
      <w:r>
        <w:rPr>
          <w:rFonts w:ascii="Arial" w:cs="Arial" w:eastAsia="Arial" w:hAnsi="Arial"/>
          <w:sz w:val="19"/>
          <w:szCs w:val="19"/>
          <w:color w:val="auto"/>
        </w:rPr>
        <w:t>”; and the word “</w:t>
      </w:r>
      <w:r>
        <w:rPr>
          <w:rFonts w:ascii="Arial" w:cs="Arial" w:eastAsia="Arial" w:hAnsi="Arial"/>
          <w:sz w:val="19"/>
          <w:szCs w:val="19"/>
          <w:i w:val="1"/>
          <w:iCs w:val="1"/>
          <w:color w:val="auto"/>
        </w:rPr>
        <w:t>through</w:t>
      </w:r>
      <w:r>
        <w:rPr>
          <w:rFonts w:ascii="Arial" w:cs="Arial" w:eastAsia="Arial" w:hAnsi="Arial"/>
          <w:sz w:val="19"/>
          <w:szCs w:val="19"/>
          <w:color w:val="auto"/>
        </w:rPr>
        <w:t>” means “</w:t>
      </w:r>
      <w:r>
        <w:rPr>
          <w:rFonts w:ascii="Arial" w:cs="Arial" w:eastAsia="Arial" w:hAnsi="Arial"/>
          <w:sz w:val="19"/>
          <w:szCs w:val="19"/>
          <w:i w:val="1"/>
          <w:iCs w:val="1"/>
          <w:color w:val="auto"/>
        </w:rPr>
        <w:t>to and including</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ind w:firstLine="645"/>
        <w:spacing w:after="0" w:line="260" w:lineRule="auto"/>
        <w:tabs>
          <w:tab w:leader="none" w:pos="1108" w:val="left"/>
        </w:tabs>
        <w:numPr>
          <w:ilvl w:val="0"/>
          <w:numId w:val="46"/>
        </w:numPr>
        <w:rPr>
          <w:rFonts w:ascii="Arial" w:cs="Arial" w:eastAsia="Arial" w:hAnsi="Arial"/>
          <w:sz w:val="20"/>
          <w:szCs w:val="20"/>
          <w:color w:val="auto"/>
        </w:rPr>
      </w:pPr>
      <w:r>
        <w:rPr>
          <w:rFonts w:ascii="Arial" w:cs="Arial" w:eastAsia="Arial" w:hAnsi="Arial"/>
          <w:sz w:val="20"/>
          <w:szCs w:val="20"/>
          <w:color w:val="auto"/>
        </w:rPr>
        <w:t>Section headings herein and in the other Loan Papers are included for convenience of reference only and shall not affect the interpretation of this Agreement or any other Loan Papers.</w:t>
      </w:r>
    </w:p>
    <w:p>
      <w:pPr>
        <w:spacing w:after="0" w:line="393"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u w:val="single" w:color="auto"/>
          <w:color w:val="auto"/>
        </w:rPr>
        <w:t>Accounting Principles</w:t>
      </w:r>
      <w:r>
        <w:rPr>
          <w:rFonts w:ascii="Arial" w:cs="Arial" w:eastAsia="Arial" w:hAnsi="Arial"/>
          <w:sz w:val="18"/>
          <w:szCs w:val="18"/>
          <w:color w:val="auto"/>
        </w:rPr>
        <w:t>.</w:t>
      </w:r>
    </w:p>
    <w:p>
      <w:pPr>
        <w:spacing w:after="0" w:line="216" w:lineRule="exact"/>
        <w:rPr>
          <w:sz w:val="20"/>
          <w:szCs w:val="20"/>
          <w:color w:val="auto"/>
        </w:rPr>
      </w:pPr>
    </w:p>
    <w:p>
      <w:pPr>
        <w:jc w:val="both"/>
        <w:ind w:firstLine="645"/>
        <w:spacing w:after="0" w:line="241" w:lineRule="auto"/>
        <w:tabs>
          <w:tab w:leader="none" w:pos="1158" w:val="left"/>
        </w:tabs>
        <w:numPr>
          <w:ilvl w:val="0"/>
          <w:numId w:val="47"/>
        </w:numPr>
        <w:rPr>
          <w:rFonts w:ascii="Arial" w:cs="Arial" w:eastAsia="Arial" w:hAnsi="Arial"/>
          <w:sz w:val="20"/>
          <w:szCs w:val="20"/>
          <w:color w:val="auto"/>
        </w:rPr>
      </w:pPr>
      <w:r>
        <w:rPr>
          <w:rFonts w:ascii="Arial" w:cs="Arial" w:eastAsia="Arial" w:hAnsi="Arial"/>
          <w:sz w:val="20"/>
          <w:szCs w:val="20"/>
          <w:color w:val="auto"/>
        </w:rPr>
        <w:t xml:space="preserve">Under the Loan Papers and any documents delivered thereunder, unless otherwise stated, (i)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delivered pursuant to </w:t>
      </w:r>
      <w:r>
        <w:rPr>
          <w:rFonts w:ascii="Arial" w:cs="Arial" w:eastAsia="Arial" w:hAnsi="Arial"/>
          <w:sz w:val="20"/>
          <w:szCs w:val="20"/>
          <w:b w:val="1"/>
          <w:bCs w:val="1"/>
          <w:i w:val="1"/>
          <w:iCs w:val="1"/>
          <w:color w:val="auto"/>
        </w:rPr>
        <w:t>Section 9.1</w:t>
      </w:r>
      <w:r>
        <w:rPr>
          <w:rFonts w:ascii="Arial" w:cs="Arial" w:eastAsia="Arial" w:hAnsi="Arial"/>
          <w:sz w:val="20"/>
          <w:szCs w:val="20"/>
          <w:color w:val="auto"/>
        </w:rPr>
        <w:t>, (ii) all accounting principles applied in a current period must be comparable in all material respects to those applied during the preceding comparable period, and (iii) while VRI has any consolidated Restricted Subsidiaries, all accounting and financial terms and compliance with financial covenants must be on a consolidating and consolidated basis, as applicable. Notwithstanding the foregoing, for purposes of determining compliance with any covenant (including the computation of any financial covenant) contained herein, Debt of the Companies shall be deemed to be carried at 100% of the outstanding principal amount thereof, and the effects of FASB ASC 825 and FASB ASC 470-20 on financial liabilities shall be disregarded.</w:t>
      </w:r>
    </w:p>
    <w:p>
      <w:pPr>
        <w:spacing w:after="0" w:line="201" w:lineRule="exact"/>
        <w:rPr>
          <w:rFonts w:ascii="Arial" w:cs="Arial" w:eastAsia="Arial" w:hAnsi="Arial"/>
          <w:sz w:val="20"/>
          <w:szCs w:val="20"/>
          <w:color w:val="auto"/>
        </w:rPr>
      </w:pPr>
    </w:p>
    <w:p>
      <w:pPr>
        <w:jc w:val="both"/>
        <w:ind w:firstLine="645"/>
        <w:spacing w:after="0" w:line="274" w:lineRule="auto"/>
        <w:tabs>
          <w:tab w:leader="none" w:pos="1133"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If at any time any change in GAAP would affect the computation of any financial ratio or requirement set forth in any Loan Paper, and either Borrower or Required Lenders shall so request, Administrative Agent, Lenders, and Borrower shall negotiate in good faith to amend such ratio or requirement to preserve the original intent thereof in light of such change in GAAP (subject to the approval of Required Lenders); </w:t>
      </w:r>
      <w:r>
        <w:rPr>
          <w:rFonts w:ascii="Arial" w:cs="Arial" w:eastAsia="Arial" w:hAnsi="Arial"/>
          <w:sz w:val="18"/>
          <w:szCs w:val="18"/>
          <w:i w:val="1"/>
          <w:iCs w:val="1"/>
          <w:color w:val="auto"/>
        </w:rPr>
        <w:t>provided that</w:t>
      </w:r>
      <w:r>
        <w:rPr>
          <w:rFonts w:ascii="Arial" w:cs="Arial" w:eastAsia="Arial" w:hAnsi="Arial"/>
          <w:sz w:val="18"/>
          <w:szCs w:val="18"/>
          <w:color w:val="auto"/>
        </w:rPr>
        <w:t>, until so amended, (i) such ratio or requirement shall continue to be computed in accordance with GAAP prior to such change therein, and (ii) Borrower shall provide to Administrative Agent and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69" w:lineRule="exact"/>
        <w:rPr>
          <w:rFonts w:ascii="Arial" w:cs="Arial" w:eastAsia="Arial" w:hAnsi="Arial"/>
          <w:sz w:val="18"/>
          <w:szCs w:val="18"/>
          <w:color w:val="auto"/>
        </w:rPr>
      </w:pPr>
    </w:p>
    <w:p>
      <w:pPr>
        <w:jc w:val="both"/>
        <w:ind w:firstLine="645"/>
        <w:spacing w:after="0" w:line="257" w:lineRule="auto"/>
        <w:tabs>
          <w:tab w:leader="none" w:pos="1088" w:val="left"/>
        </w:tabs>
        <w:numPr>
          <w:ilvl w:val="0"/>
          <w:numId w:val="47"/>
        </w:numPr>
        <w:rPr>
          <w:rFonts w:ascii="Arial" w:cs="Arial" w:eastAsia="Arial" w:hAnsi="Arial"/>
          <w:sz w:val="19"/>
          <w:szCs w:val="19"/>
          <w:color w:val="auto"/>
        </w:rPr>
      </w:pPr>
      <w:r>
        <w:rPr>
          <w:rFonts w:ascii="Arial" w:cs="Arial" w:eastAsia="Arial" w:hAnsi="Arial"/>
          <w:sz w:val="19"/>
          <w:szCs w:val="19"/>
          <w:color w:val="auto"/>
        </w:rPr>
        <w:t>All references herein to consolidated financial statements of VRI and its Subsidiaries or its Restricted Subsidiaries, or to the determination of “</w:t>
      </w:r>
      <w:r>
        <w:rPr>
          <w:rFonts w:ascii="Arial" w:cs="Arial" w:eastAsia="Arial" w:hAnsi="Arial"/>
          <w:sz w:val="19"/>
          <w:szCs w:val="19"/>
          <w:i w:val="1"/>
          <w:iCs w:val="1"/>
          <w:color w:val="auto"/>
        </w:rPr>
        <w:t>Adjusted EBITDA</w:t>
      </w:r>
      <w:r>
        <w:rPr>
          <w:rFonts w:ascii="Arial" w:cs="Arial" w:eastAsia="Arial" w:hAnsi="Arial"/>
          <w:sz w:val="19"/>
          <w:szCs w:val="19"/>
          <w:color w:val="auto"/>
        </w:rPr>
        <w:t>” or “</w:t>
      </w:r>
      <w:r>
        <w:rPr>
          <w:rFonts w:ascii="Arial" w:cs="Arial" w:eastAsia="Arial" w:hAnsi="Arial"/>
          <w:sz w:val="19"/>
          <w:szCs w:val="19"/>
          <w:i w:val="1"/>
          <w:iCs w:val="1"/>
          <w:color w:val="auto"/>
        </w:rPr>
        <w:t>Funded Debt</w:t>
      </w:r>
      <w:r>
        <w:rPr>
          <w:rFonts w:ascii="Arial" w:cs="Arial" w:eastAsia="Arial" w:hAnsi="Arial"/>
          <w:sz w:val="19"/>
          <w:szCs w:val="19"/>
          <w:color w:val="auto"/>
        </w:rPr>
        <w:t xml:space="preserve">” for VRI and its Subsidiaries or its Restricted Subsidiaries on a consolidated basis, or any similar reference, shall, in each case, be deemed to include each variable interest entity that VRI is required to consolidate pursuant to FASB Interpretation No. 46 – Consolidation of Variable Interest Entities: an interpretation of ARB No. 51 (January 2003) or is otherwise required to consolidate in accordance with GAAP;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in determining such amounts, (i) the Funded Debt and Adjusted EBITDA of the Existing Housing Districts in respect of the Existing Housing Bonds shall be excluded, and (ii) the Funded Debt and Adjusted EBITDA of the Existing Metro Districts in respect of any Bonds issued prior to January 28, 2005 (the date of the Existing Agreement) shall be excluded.</w:t>
      </w:r>
    </w:p>
    <w:p>
      <w:pPr>
        <w:spacing w:after="0" w:line="200" w:lineRule="exact"/>
        <w:rPr>
          <w:sz w:val="20"/>
          <w:szCs w:val="20"/>
          <w:color w:val="auto"/>
        </w:rPr>
      </w:pPr>
    </w:p>
    <w:p>
      <w:pPr>
        <w:spacing w:after="0" w:line="224"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0760"/>
          </w:cols>
          <w:pgMar w:left="900" w:top="582" w:right="239" w:bottom="1440" w:gutter="0" w:footer="0" w:header="0"/>
        </w:sectPr>
      </w:pPr>
    </w:p>
    <w:bookmarkStart w:id="101" w:name="page102"/>
    <w:bookmarkEnd w:id="101"/>
    <w:p>
      <w:pPr>
        <w:jc w:val="both"/>
        <w:ind w:left="660" w:firstLine="645"/>
        <w:spacing w:after="0" w:line="250" w:lineRule="auto"/>
        <w:tabs>
          <w:tab w:leader="none" w:pos="1767" w:val="left"/>
        </w:tabs>
        <w:numPr>
          <w:ilvl w:val="0"/>
          <w:numId w:val="48"/>
        </w:numPr>
        <w:rPr>
          <w:rFonts w:ascii="Arial" w:cs="Arial" w:eastAsia="Arial" w:hAnsi="Arial"/>
          <w:sz w:val="20"/>
          <w:szCs w:val="20"/>
          <w:color w:val="auto"/>
        </w:rPr>
      </w:pPr>
      <w:r>
        <w:rPr>
          <w:rFonts w:ascii="Arial" w:cs="Arial" w:eastAsia="Arial" w:hAnsi="Arial"/>
          <w:sz w:val="20"/>
          <w:szCs w:val="20"/>
          <w:color w:val="auto"/>
        </w:rPr>
        <w:t>Any non-cash reduction in Net Income as a result of an increase in the liability of participating rent under the Canyons-Park City Lease will be treated as a Non-Cash Operating Charge for purposes of the calculation of “</w:t>
      </w:r>
      <w:r>
        <w:rPr>
          <w:rFonts w:ascii="Arial" w:cs="Arial" w:eastAsia="Arial" w:hAnsi="Arial"/>
          <w:sz w:val="20"/>
          <w:szCs w:val="20"/>
          <w:i w:val="1"/>
          <w:iCs w:val="1"/>
          <w:color w:val="auto"/>
        </w:rPr>
        <w:t>EBITDA</w:t>
      </w:r>
      <w:r>
        <w:rPr>
          <w:rFonts w:ascii="Arial" w:cs="Arial" w:eastAsia="Arial" w:hAnsi="Arial"/>
          <w:sz w:val="20"/>
          <w:szCs w:val="20"/>
          <w:color w:val="auto"/>
        </w:rPr>
        <w:t>” and shall not be considered interest expense for any purpose under this Agreement.</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by the Companies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3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1.5 </w:t>
      </w:r>
      <w:r>
        <w:rPr>
          <w:rFonts w:ascii="Arial" w:cs="Arial" w:eastAsia="Arial" w:hAnsi="Arial"/>
          <w:sz w:val="19"/>
          <w:szCs w:val="19"/>
          <w:u w:val="single" w:color="auto"/>
          <w:color w:val="auto"/>
        </w:rPr>
        <w:t>References to Agreements and Laws</w:t>
      </w:r>
      <w:r>
        <w:rPr>
          <w:rFonts w:ascii="Arial" w:cs="Arial" w:eastAsia="Arial" w:hAnsi="Arial"/>
          <w:sz w:val="19"/>
          <w:szCs w:val="19"/>
          <w:color w:val="auto"/>
        </w:rPr>
        <w:t>. Unless otherwise expressly provided herein, (a) references to organization documents, agreements (including the Loan Papers), and 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Loan Papers, and (b) references to any Law shall include all statutory and regulatory provisions consolidating, amending, replacing, supplementing, or interpreting such Law.</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1.6 </w:t>
      </w:r>
      <w:r>
        <w:rPr>
          <w:rFonts w:ascii="Arial" w:cs="Arial" w:eastAsia="Arial" w:hAnsi="Arial"/>
          <w:sz w:val="20"/>
          <w:szCs w:val="20"/>
          <w:u w:val="single" w:color="auto"/>
          <w:color w:val="auto"/>
        </w:rPr>
        <w:t>Times of Day</w:t>
      </w:r>
      <w:r>
        <w:rPr>
          <w:rFonts w:ascii="Arial" w:cs="Arial" w:eastAsia="Arial" w:hAnsi="Arial"/>
          <w:sz w:val="20"/>
          <w:szCs w:val="20"/>
          <w:color w:val="auto"/>
        </w:rPr>
        <w:t>. Unless otherwise specified, all references herein to times of day shall be references to Central time (daylight or standard, as applicable).</w:t>
      </w:r>
    </w:p>
    <w:p>
      <w:pPr>
        <w:spacing w:after="0" w:line="39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1.7 </w:t>
      </w:r>
      <w:r>
        <w:rPr>
          <w:rFonts w:ascii="Arial" w:cs="Arial" w:eastAsia="Arial" w:hAnsi="Arial"/>
          <w:sz w:val="20"/>
          <w:szCs w:val="20"/>
          <w:u w:val="single" w:color="auto"/>
          <w:color w:val="auto"/>
        </w:rPr>
        <w:t>L/C Amounts</w:t>
      </w:r>
      <w:r>
        <w:rPr>
          <w:rFonts w:ascii="Arial" w:cs="Arial" w:eastAsia="Arial" w:hAnsi="Arial"/>
          <w:sz w:val="20"/>
          <w:szCs w:val="20"/>
          <w:color w:val="auto"/>
        </w:rPr>
        <w:t xml:space="preserve">. Unless otherwise specified, all references herein to the amount of an L/C at any time shall be deemed to mean the Dollar Equivalent of the stated amount of such L/C in effect at such time; </w:t>
      </w:r>
      <w:r>
        <w:rPr>
          <w:rFonts w:ascii="Arial" w:cs="Arial" w:eastAsia="Arial" w:hAnsi="Arial"/>
          <w:sz w:val="20"/>
          <w:szCs w:val="20"/>
          <w:i w:val="1"/>
          <w:iCs w:val="1"/>
          <w:color w:val="auto"/>
        </w:rPr>
        <w:t>provided, however</w:t>
      </w:r>
      <w:r>
        <w:rPr>
          <w:rFonts w:ascii="Arial" w:cs="Arial" w:eastAsia="Arial" w:hAnsi="Arial"/>
          <w:sz w:val="20"/>
          <w:szCs w:val="20"/>
          <w:color w:val="auto"/>
        </w:rPr>
        <w:t>, that with respect to any L/C that, by its terms or the terms of any Issuer Document related thereto, provides for one or more automatic increases in the stated amount thereof, the amount of such L/C shall be deemed to be the Dollar Equivalent of the maximum stated amount of such L/C after giving effect to all such increases, whether or not such maximum stated amount is in effect at such time.</w:t>
      </w: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Whistler Acquisition Subsidiaries</w:t>
      </w:r>
      <w:r>
        <w:rPr>
          <w:rFonts w:ascii="Arial" w:cs="Arial" w:eastAsia="Arial" w:hAnsi="Arial"/>
          <w:sz w:val="18"/>
          <w:szCs w:val="18"/>
          <w:color w:val="auto"/>
        </w:rPr>
        <w:t>. Notwithstanding any requirement to the contrary in this Agreement, the Whistler Acquisition Subsidiaries shall be deemed “</w:t>
      </w:r>
      <w:r>
        <w:rPr>
          <w:rFonts w:ascii="Arial" w:cs="Arial" w:eastAsia="Arial" w:hAnsi="Arial"/>
          <w:sz w:val="18"/>
          <w:szCs w:val="18"/>
          <w:i w:val="1"/>
          <w:iCs w:val="1"/>
          <w:color w:val="auto"/>
        </w:rPr>
        <w:t>Unrestricted Subsidiaries</w:t>
      </w:r>
      <w:r>
        <w:rPr>
          <w:rFonts w:ascii="Arial" w:cs="Arial" w:eastAsia="Arial" w:hAnsi="Arial"/>
          <w:sz w:val="18"/>
          <w:szCs w:val="18"/>
          <w:color w:val="auto"/>
        </w:rPr>
        <w:t>”; provided that the Whistler Acquisition Subsidiaries shall be treated as “</w:t>
      </w:r>
      <w:r>
        <w:rPr>
          <w:rFonts w:ascii="Arial" w:cs="Arial" w:eastAsia="Arial" w:hAnsi="Arial"/>
          <w:sz w:val="18"/>
          <w:szCs w:val="18"/>
          <w:i w:val="1"/>
          <w:iCs w:val="1"/>
          <w:color w:val="auto"/>
        </w:rPr>
        <w:t>Restricted</w:t>
      </w:r>
      <w:r>
        <w:rPr>
          <w:rFonts w:ascii="Arial" w:cs="Arial" w:eastAsia="Arial" w:hAnsi="Arial"/>
          <w:sz w:val="18"/>
          <w:szCs w:val="18"/>
          <w:color w:val="auto"/>
        </w:rPr>
        <w:t xml:space="preserve"> </w:t>
      </w:r>
      <w:r>
        <w:rPr>
          <w:rFonts w:ascii="Arial" w:cs="Arial" w:eastAsia="Arial" w:hAnsi="Arial"/>
          <w:sz w:val="18"/>
          <w:szCs w:val="18"/>
          <w:i w:val="1"/>
          <w:iCs w:val="1"/>
          <w:color w:val="auto"/>
        </w:rPr>
        <w:t>Subsidiaries</w:t>
      </w:r>
      <w:r>
        <w:rPr>
          <w:rFonts w:ascii="Arial" w:cs="Arial" w:eastAsia="Arial" w:hAnsi="Arial"/>
          <w:sz w:val="18"/>
          <w:szCs w:val="18"/>
          <w:color w:val="auto"/>
        </w:rPr>
        <w:t>” for the purposes of the definition of Adjusted EBITDA for all purposes under this Agreement and Net Funded Debt and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on Funded Debt attributable to the Whistler Acquisition Subsidiaries shall be included in the calculation of the financial covenants set forth in </w:t>
      </w:r>
      <w:r>
        <w:rPr>
          <w:rFonts w:ascii="Arial" w:cs="Arial" w:eastAsia="Arial" w:hAnsi="Arial"/>
          <w:sz w:val="18"/>
          <w:szCs w:val="18"/>
          <w:b w:val="1"/>
          <w:bCs w:val="1"/>
          <w:i w:val="1"/>
          <w:iCs w:val="1"/>
          <w:color w:val="auto"/>
        </w:rPr>
        <w:t xml:space="preserve">Sections 11.1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11.2 </w:t>
      </w:r>
      <w:r>
        <w:rPr>
          <w:rFonts w:ascii="Arial" w:cs="Arial" w:eastAsia="Arial" w:hAnsi="Arial"/>
          <w:sz w:val="18"/>
          <w:szCs w:val="18"/>
          <w:color w:val="auto"/>
        </w:rPr>
        <w:t>(provided, in each case, only Borrower’s equity ownership percentage of Adjusted EBITDA, Net Funded Debt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on Funded Debt attributable to the Whistler Acquisition Subsidiaries shall be included in such calculation). The Borrower shall pledge 65% of the Equity Interest of VHF B.V.to the Administrative Agent, for the benefit of Lenders.</w:t>
      </w:r>
    </w:p>
    <w:p>
      <w:pPr>
        <w:spacing w:after="0" w:line="3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u w:val="single" w:color="auto"/>
          <w:color w:val="auto"/>
        </w:rPr>
        <w:t>Rates; Currency Equivalents</w:t>
      </w:r>
      <w:r>
        <w:rPr>
          <w:rFonts w:ascii="Arial" w:cs="Arial" w:eastAsia="Arial" w:hAnsi="Arial"/>
          <w:sz w:val="18"/>
          <w:szCs w:val="18"/>
          <w:color w:val="auto"/>
        </w:rPr>
        <w:t>. (a) The Australian L/C Issuer shall determine the Spot Rates as of each Revaluation Date to be used for calculating Dollar Equivalent amounts of L/C Credit Extensions and Outstanding Amounts denominated in the Alternative Currency. Such Spot Rates shall become effective as of such Revaluation Date and shall be the Spot Rates employed in converting any amounts between the applicable currencies until the next Revaluation Date to occur. Except for purposes of financial statements delivered by Borrower hereunder or calculating financial covenants hereunder or except as otherwise provided herein, the applicable amount of any currency (other than Dollars) for purposes of the Loan Papers shall be such Dollar Equivalent amount as so determined by the Australian L/C Issuer.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420"/>
          </w:cols>
          <w:pgMar w:left="240" w:top="582" w:right="239" w:bottom="1440" w:gutter="0" w:footer="0" w:header="0"/>
        </w:sectPr>
      </w:pPr>
    </w:p>
    <w:bookmarkStart w:id="102" w:name="page103"/>
    <w:bookmarkEnd w:id="102"/>
    <w:p>
      <w:pPr>
        <w:jc w:val="both"/>
        <w:ind w:left="660" w:firstLine="648"/>
        <w:spacing w:after="0" w:line="353" w:lineRule="auto"/>
        <w:rPr>
          <w:sz w:val="20"/>
          <w:szCs w:val="20"/>
          <w:color w:val="auto"/>
        </w:rPr>
      </w:pPr>
      <w:r>
        <w:rPr>
          <w:rFonts w:ascii="Arial" w:cs="Arial" w:eastAsia="Arial" w:hAnsi="Arial"/>
          <w:sz w:val="19"/>
          <w:szCs w:val="19"/>
          <w:color w:val="auto"/>
        </w:rPr>
        <w:t>(</w:t>
      </w:r>
      <w:r>
        <w:rPr>
          <w:rFonts w:ascii="Arial" w:cs="Arial" w:eastAsia="Arial" w:hAnsi="Arial"/>
          <w:sz w:val="20"/>
          <w:szCs w:val="20"/>
          <w:color w:val="auto"/>
        </w:rPr>
        <w:t>b</w:t>
      </w:r>
      <w:r>
        <w:rPr>
          <w:rFonts w:ascii="Arial" w:cs="Arial" w:eastAsia="Arial" w:hAnsi="Arial"/>
          <w:sz w:val="19"/>
          <w:szCs w:val="19"/>
          <w:color w:val="auto"/>
        </w:rPr>
        <w:t>) Wherever in this Agreement in connection with the issuance, amendment or extension of an L/C, an amount, such as a required minimum or multiple amount, is expressed in Dollars, but such L/C is denominated in the Alternative Currency, such amount shall be the relevant Alternative Currency Equivalent of such Dollar amount (rounded to the nearest unit of the Alternative Currency, with 0.5 of a unit being rounded upward), as determined by the Australian L/C Issuer.</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jc w:val="right"/>
              <w:spacing w:after="0"/>
              <w:rPr>
                <w:sz w:val="20"/>
                <w:szCs w:val="20"/>
                <w:color w:val="auto"/>
              </w:rPr>
            </w:pPr>
            <w:r>
              <w:rPr>
                <w:rFonts w:ascii="Arial" w:cs="Arial" w:eastAsia="Arial" w:hAnsi="Arial"/>
                <w:sz w:val="20"/>
                <w:szCs w:val="20"/>
                <w:b w:val="1"/>
                <w:bCs w:val="1"/>
                <w:color w:val="auto"/>
                <w:w w:val="98"/>
              </w:rPr>
              <w:t>SECTION</w:t>
            </w:r>
          </w:p>
        </w:tc>
        <w:tc>
          <w:tcPr>
            <w:tcW w:w="16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w w:val="89"/>
              </w:rPr>
              <w:t>2</w:t>
            </w:r>
          </w:p>
        </w:tc>
        <w:tc>
          <w:tcPr>
            <w:tcW w:w="140" w:type="dxa"/>
            <w:vAlign w:val="bottom"/>
          </w:tcPr>
          <w:p>
            <w:pPr>
              <w:spacing w:after="0"/>
              <w:rPr>
                <w:sz w:val="19"/>
                <w:szCs w:val="19"/>
                <w:color w:val="auto"/>
              </w:rPr>
            </w:pPr>
          </w:p>
        </w:tc>
        <w:tc>
          <w:tcPr>
            <w:tcW w:w="10200" w:type="dxa"/>
            <w:vAlign w:val="bottom"/>
            <w:gridSpan w:val="3"/>
          </w:tcPr>
          <w:p>
            <w:pPr>
              <w:spacing w:after="0"/>
              <w:rPr>
                <w:sz w:val="20"/>
                <w:szCs w:val="20"/>
                <w:color w:val="auto"/>
              </w:rPr>
            </w:pPr>
            <w:r>
              <w:rPr>
                <w:rFonts w:ascii="Arial" w:cs="Arial" w:eastAsia="Arial" w:hAnsi="Arial"/>
                <w:sz w:val="20"/>
                <w:szCs w:val="20"/>
                <w:b w:val="1"/>
                <w:bCs w:val="1"/>
                <w:color w:val="auto"/>
              </w:rPr>
              <w:t>COMMITMENT</w:t>
            </w:r>
            <w:r>
              <w:rPr>
                <w:rFonts w:ascii="Arial" w:cs="Arial" w:eastAsia="Arial" w:hAnsi="Arial"/>
                <w:sz w:val="20"/>
                <w:szCs w:val="20"/>
                <w:color w:val="auto"/>
              </w:rPr>
              <w:t>.</w:t>
            </w:r>
          </w:p>
        </w:tc>
      </w:tr>
      <w:tr>
        <w:trPr>
          <w:trHeight w:val="20"/>
        </w:trPr>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r>
      <w:tr>
        <w:trPr>
          <w:trHeight w:val="426"/>
        </w:trPr>
        <w:tc>
          <w:tcPr>
            <w:tcW w:w="920" w:type="dxa"/>
            <w:vAlign w:val="bottom"/>
          </w:tcPr>
          <w:p>
            <w:pPr>
              <w:jc w:val="right"/>
              <w:spacing w:after="0"/>
              <w:rPr>
                <w:sz w:val="20"/>
                <w:szCs w:val="20"/>
                <w:color w:val="auto"/>
              </w:rPr>
            </w:pPr>
            <w:r>
              <w:rPr>
                <w:rFonts w:ascii="Arial" w:cs="Arial" w:eastAsia="Arial" w:hAnsi="Arial"/>
                <w:sz w:val="20"/>
                <w:szCs w:val="20"/>
                <w:color w:val="auto"/>
              </w:rPr>
              <w:t>2.1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4"/>
          </w:tcPr>
          <w:p>
            <w:pPr>
              <w:spacing w:after="0"/>
              <w:rPr>
                <w:sz w:val="20"/>
                <w:szCs w:val="20"/>
                <w:color w:val="auto"/>
              </w:rPr>
            </w:pPr>
            <w:r>
              <w:rPr>
                <w:rFonts w:ascii="Arial" w:cs="Arial" w:eastAsia="Arial" w:hAnsi="Arial"/>
                <w:sz w:val="20"/>
                <w:szCs w:val="20"/>
                <w:color w:val="auto"/>
                <w:w w:val="90"/>
              </w:rPr>
              <w:t>Credit Facility. (a)  Subject to the provisions in the Loan Papers, each Revolver Lender hereby severally and not jointly agrees to</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lend to Borrower its Commitment Percentage of one or more Revolver Loans in an aggregate principal amount outstanding at any time up to such Revolver Lender’s Revolver Commitment;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(i) each Revolver Loan must occur on a Business Day and no later than the Business Day immediately preceding the Termination Date for the Revolver Facility; (ii) each Revolver Loan must be in an amount not less than (A) $500,000 or a greater integral multiple of $100,000 (if a Base Rate Loan), or (B) $1,000,000 or a greater integral multiple of $100,000 (if a Eurocurrency Rate Loan); and (iii) on any date of determination, after giving effect to the requested Revolver Loan, (A) the Revolver Commitment Usage may not exceed the Revolver Commitment then in effect, and (B) the aggregate Outstanding Amount of the Revolver Loans of any Revolver Lender, </w:t>
      </w:r>
      <w:r>
        <w:rPr>
          <w:rFonts w:ascii="Arial" w:cs="Arial" w:eastAsia="Arial" w:hAnsi="Arial"/>
          <w:sz w:val="20"/>
          <w:szCs w:val="20"/>
          <w:i w:val="1"/>
          <w:iCs w:val="1"/>
          <w:color w:val="auto"/>
        </w:rPr>
        <w:t>plus</w:t>
      </w:r>
      <w:r>
        <w:rPr>
          <w:rFonts w:ascii="Arial" w:cs="Arial" w:eastAsia="Arial" w:hAnsi="Arial"/>
          <w:sz w:val="20"/>
          <w:szCs w:val="20"/>
          <w:color w:val="auto"/>
        </w:rPr>
        <w:t xml:space="preserve"> such Revolver Lender’s Commitment Percentage of the Outstanding Amount of all L/C Exposure, </w:t>
      </w:r>
      <w:r>
        <w:rPr>
          <w:rFonts w:ascii="Arial" w:cs="Arial" w:eastAsia="Arial" w:hAnsi="Arial"/>
          <w:sz w:val="20"/>
          <w:szCs w:val="20"/>
          <w:i w:val="1"/>
          <w:iCs w:val="1"/>
          <w:color w:val="auto"/>
        </w:rPr>
        <w:t>plus</w:t>
      </w:r>
      <w:r>
        <w:rPr>
          <w:rFonts w:ascii="Arial" w:cs="Arial" w:eastAsia="Arial" w:hAnsi="Arial"/>
          <w:sz w:val="20"/>
          <w:szCs w:val="20"/>
          <w:color w:val="auto"/>
        </w:rPr>
        <w:t xml:space="preserve"> such Revolver Lender’s Commitment Percentage of the Outstanding Amount of all Swing Line Loans shall not exceed such Revolver Lender’s Revolver Commitment. Revolver Loans may be repaid or reborrowed from time to time in accordance with the terms and provisions of the Loan Papers.</w:t>
      </w:r>
    </w:p>
    <w:p>
      <w:pPr>
        <w:spacing w:after="0" w:line="230" w:lineRule="exact"/>
        <w:rPr>
          <w:sz w:val="20"/>
          <w:szCs w:val="20"/>
          <w:color w:val="auto"/>
        </w:rPr>
      </w:pPr>
    </w:p>
    <w:p>
      <w:pPr>
        <w:jc w:val="both"/>
        <w:ind w:left="660" w:firstLine="807"/>
        <w:spacing w:after="0" w:line="317" w:lineRule="auto"/>
        <w:tabs>
          <w:tab w:leader="none" w:pos="1999"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Each Term Loan Lender made Term Loans to Borrower on May 1, 2015 and October 14, 2016. Subject to and in reliance upon the terms, conditions, representations, and warranties in the Loan Papers, each Term Loan Lender severally, but not jointly, agrees to make one or more Term Loans in Dollars to Borrower during the Delayed Draw Availability Period, in an aggregate amount together with the Term Loans made on May 1, 2015 and October 14, 2016 not to exceed such Term Loan Lender’s Commitment Percentage of the Term Loan Facility. Each Term Loan Borrowing shall consist of Term Loans made simultaneously by the Term Loan Lenders in accordance with their respective Commitment Percentage of the Term Loan Facility. Amounts borrowed under this </w:t>
      </w:r>
      <w:r>
        <w:rPr>
          <w:rFonts w:ascii="Arial" w:cs="Arial" w:eastAsia="Arial" w:hAnsi="Arial"/>
          <w:sz w:val="19"/>
          <w:szCs w:val="19"/>
          <w:b w:val="1"/>
          <w:bCs w:val="1"/>
          <w:i w:val="1"/>
          <w:iCs w:val="1"/>
          <w:color w:val="auto"/>
        </w:rPr>
        <w:t>Section 2.1(b)</w:t>
      </w:r>
      <w:r>
        <w:rPr>
          <w:rFonts w:ascii="Arial" w:cs="Arial" w:eastAsia="Arial" w:hAnsi="Arial"/>
          <w:sz w:val="19"/>
          <w:szCs w:val="19"/>
          <w:color w:val="auto"/>
        </w:rPr>
        <w:t xml:space="preserve"> and repaid or prepaid may not be reborrowed.</w:t>
      </w:r>
    </w:p>
    <w:p>
      <w:pPr>
        <w:spacing w:after="0" w:line="37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u w:val="single" w:color="auto"/>
          <w:color w:val="auto"/>
        </w:rPr>
        <w:t>Loan Procedure</w:t>
      </w:r>
      <w:r>
        <w:rPr>
          <w:rFonts w:ascii="Arial" w:cs="Arial" w:eastAsia="Arial" w:hAnsi="Arial"/>
          <w:sz w:val="16"/>
          <w:szCs w:val="16"/>
          <w:color w:val="auto"/>
        </w:rPr>
        <w:t>.</w:t>
      </w:r>
    </w:p>
    <w:p>
      <w:pPr>
        <w:spacing w:after="0" w:line="243" w:lineRule="exact"/>
        <w:rPr>
          <w:sz w:val="20"/>
          <w:szCs w:val="20"/>
          <w:color w:val="auto"/>
        </w:rPr>
      </w:pPr>
    </w:p>
    <w:p>
      <w:pPr>
        <w:jc w:val="both"/>
        <w:ind w:left="660" w:firstLine="645"/>
        <w:spacing w:after="0" w:line="338" w:lineRule="auto"/>
        <w:tabs>
          <w:tab w:leader="none" w:pos="1798"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borrowing of Revolver Loans or Term Loans hereunder, conversion of Revolver Loans or Term Loans from one Type to the other, and continuation of Revolver Loans or Term Loans that are Eurocurrency Rate Loans shall be made upon Borrower’s irrevocable notice to Administrative Agent, which may be given by (A) telephone or (B) a Loan Notice; provided that any telephone notice must be confirmed immediately by delivery to Administrative Agent of a Loan Notice. Each Loan Notice must be received by Administrative Agent not later than 11:00 a.m. (i) three Business Days prior to the requested date of any Revolver Loans or Term Loans of, conversion to, or continuation of Revolver Loans or Term Loans that are Eurocurrency Rate Loans or of any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420"/>
          </w:cols>
          <w:pgMar w:left="240" w:top="618" w:right="239" w:bottom="1440" w:gutter="0" w:footer="0" w:header="0"/>
        </w:sectPr>
      </w:pPr>
    </w:p>
    <w:bookmarkStart w:id="103" w:name="page104"/>
    <w:bookmarkEnd w:id="103"/>
    <w:p>
      <w:pPr>
        <w:jc w:val="both"/>
        <w:spacing w:after="0" w:line="332" w:lineRule="auto"/>
        <w:rPr>
          <w:sz w:val="20"/>
          <w:szCs w:val="20"/>
          <w:color w:val="auto"/>
        </w:rPr>
      </w:pPr>
      <w:r>
        <w:rPr>
          <w:rFonts w:ascii="Arial" w:cs="Arial" w:eastAsia="Arial" w:hAnsi="Arial"/>
          <w:sz w:val="18"/>
          <w:szCs w:val="18"/>
          <w:color w:val="auto"/>
        </w:rPr>
        <w:t xml:space="preserve">conversion of Revolver Loans or Term Loans that are Eurocurrency Rate Loans to Base Rate Loans, and (ii) on the requested date of any Base Rate Loan. Each borrowing of, conversion to, or continuation of Revolver Loans or Term Loans that are Eurocurrency Rate Loans shall be in amounts set forth in </w:t>
      </w:r>
      <w:r>
        <w:rPr>
          <w:rFonts w:ascii="Arial" w:cs="Arial" w:eastAsia="Arial" w:hAnsi="Arial"/>
          <w:sz w:val="18"/>
          <w:szCs w:val="18"/>
          <w:b w:val="1"/>
          <w:bCs w:val="1"/>
          <w:i w:val="1"/>
          <w:iCs w:val="1"/>
          <w:color w:val="auto"/>
        </w:rPr>
        <w:t>Section 2.1</w:t>
      </w:r>
      <w:r>
        <w:rPr>
          <w:rFonts w:ascii="Arial" w:cs="Arial" w:eastAsia="Arial" w:hAnsi="Arial"/>
          <w:sz w:val="18"/>
          <w:szCs w:val="18"/>
          <w:color w:val="auto"/>
        </w:rPr>
        <w:t>. Each Loan Notice shall specify (i) whether Borrower is requesting a Revolver Loan or a Term Loan, (ii) whether Borrower is requesting a Loan, a conversion of Loans from one Type to the other, or a continuation of Loans as Eurocurrency Rate Loans, (iii) the requested date of the borrowing (such date, a “</w:t>
      </w:r>
      <w:r>
        <w:rPr>
          <w:rFonts w:ascii="Arial" w:cs="Arial" w:eastAsia="Arial" w:hAnsi="Arial"/>
          <w:sz w:val="18"/>
          <w:szCs w:val="18"/>
          <w:b w:val="1"/>
          <w:bCs w:val="1"/>
          <w:i w:val="1"/>
          <w:iCs w:val="1"/>
          <w:color w:val="auto"/>
        </w:rPr>
        <w:t>Loan Date</w:t>
      </w:r>
      <w:r>
        <w:rPr>
          <w:rFonts w:ascii="Arial" w:cs="Arial" w:eastAsia="Arial" w:hAnsi="Arial"/>
          <w:sz w:val="18"/>
          <w:szCs w:val="18"/>
          <w:color w:val="auto"/>
        </w:rPr>
        <w:t xml:space="preserve">”), conversion, or continuation, as the case may be (which shall be a Business Day), (iv) the principal amount of Loans to be borrowed, converted, or continued, (v) the Type of Loans to be borrowed or to which existing Revolver Loans or Term Loans are to be converted, and (vi) if applicable, the duration of the Interest Period with respect thereto. If Borrower fails to specify a Type of Loan in a Loan Notice or if Borrower fails to give a timely notice requesting a conversion or continuation, then the applicable Revolver Loans or Term Loans shall be made as, or converted to, Base Rate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case of a failure to timely request a continuation of Loans denominated in an Alternative Currency, such Loans shall be continued as Eurocurrency Rate Loans in their original currency with an Interest Period of one month. Any such automatic conversion to Base Rate Loans shall be effective as of the last day of the Interest Period then in effect with respect to the applicable Revolver Loans that are Eurocurrency Rate Loans. If Borrower requests a borrowing of, conversion to, or continuation of Loans that are Eurocurrency Rate Loans in any such Loan Notice, but fails to specify an Interest Period, it will be deemed to have specified an Interest Period of one month. Administrative Agent shall promptly notify each Lender of its receipt of any Loan Notice and its contents.</w:t>
      </w:r>
    </w:p>
    <w:p>
      <w:pPr>
        <w:spacing w:after="0" w:line="173" w:lineRule="exact"/>
        <w:rPr>
          <w:sz w:val="20"/>
          <w:szCs w:val="20"/>
          <w:color w:val="auto"/>
        </w:rPr>
      </w:pPr>
    </w:p>
    <w:p>
      <w:pPr>
        <w:jc w:val="both"/>
        <w:ind w:firstLine="645"/>
        <w:spacing w:after="0" w:line="335" w:lineRule="auto"/>
        <w:tabs>
          <w:tab w:leader="none" w:pos="1136"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Each Lender shall remit its Commitment Percentage of each requested Revolver Loan or Term Loan to Administrative Agent’s principal office in Dallas, Texas, in funds that are available for immediate use by Administrative Agent by 12:00 noon on the applicable Loan Date, in the case of any Loan denominated in Dollars, and not later than the Applicable Time specified by the Administrative Agent in the case of any Loan in an Alternative Currency, in each case on the Business Day specified in the applicable Loan Notice. Subject to receipt of such funds, Administrative Agent shall (unless to its actual knowledge any of the applicable conditions precedent have not been satisfied by Borrower or waived by Required Lenders, Required Revolver Lenders or Required Term Loan Lenders, as applicable) make such funds available to Borrower as directed in the Loan Notice;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on the date of such Loan Notice with respect to a Revolver Loan, there are L/C Borrowings outstanding, then the proceeds of such Revolver Loans shall be provided,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payment in full of any such L/C Borrowing, and </w:t>
      </w:r>
      <w:r>
        <w:rPr>
          <w:rFonts w:ascii="Arial" w:cs="Arial" w:eastAsia="Arial" w:hAnsi="Arial"/>
          <w:sz w:val="18"/>
          <w:szCs w:val="18"/>
          <w:i w:val="1"/>
          <w:iCs w:val="1"/>
          <w:color w:val="auto"/>
        </w:rPr>
        <w:t>then</w:t>
      </w:r>
      <w:r>
        <w:rPr>
          <w:rFonts w:ascii="Arial" w:cs="Arial" w:eastAsia="Arial" w:hAnsi="Arial"/>
          <w:sz w:val="18"/>
          <w:szCs w:val="18"/>
          <w:color w:val="auto"/>
        </w:rPr>
        <w:t>, to Borrower as provided herein.</w:t>
      </w:r>
    </w:p>
    <w:p>
      <w:pPr>
        <w:spacing w:after="0" w:line="168" w:lineRule="exact"/>
        <w:rPr>
          <w:rFonts w:ascii="Arial" w:cs="Arial" w:eastAsia="Arial" w:hAnsi="Arial"/>
          <w:sz w:val="18"/>
          <w:szCs w:val="18"/>
          <w:color w:val="auto"/>
        </w:rPr>
      </w:pPr>
    </w:p>
    <w:p>
      <w:pPr>
        <w:jc w:val="both"/>
        <w:ind w:firstLine="645"/>
        <w:spacing w:after="0" w:line="323" w:lineRule="auto"/>
        <w:tabs>
          <w:tab w:leader="none" w:pos="1111"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Unless Administrative Agent shall have received notice from a Lender prior to the proposed date of any Loan that such Lender will not make available to Administrative Agent such Lender’s share of such Loan (or, in the case of any Base Rate Loan, prior to 12:00 noon on the date of such Base Rate Loan), Administrative Agent may assume that such Lender has made such share available on such date in accordance with </w:t>
      </w:r>
      <w:r>
        <w:rPr>
          <w:rFonts w:ascii="Arial" w:cs="Arial" w:eastAsia="Arial" w:hAnsi="Arial"/>
          <w:sz w:val="19"/>
          <w:szCs w:val="19"/>
          <w:b w:val="1"/>
          <w:bCs w:val="1"/>
          <w:i w:val="1"/>
          <w:iCs w:val="1"/>
          <w:color w:val="auto"/>
        </w:rPr>
        <w:t>Section 2.2(b)</w:t>
      </w:r>
      <w:r>
        <w:rPr>
          <w:rFonts w:ascii="Arial" w:cs="Arial" w:eastAsia="Arial" w:hAnsi="Arial"/>
          <w:sz w:val="19"/>
          <w:szCs w:val="19"/>
          <w:color w:val="auto"/>
        </w:rPr>
        <w:t xml:space="preserve"> and may, in reliance upon such assumption,</w:t>
      </w:r>
    </w:p>
    <w:p>
      <w:pPr>
        <w:spacing w:after="0" w:line="390"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0760"/>
          </w:cols>
          <w:pgMar w:left="900" w:top="609" w:right="239" w:bottom="1440" w:gutter="0" w:footer="0" w:header="0"/>
        </w:sectPr>
      </w:pPr>
    </w:p>
    <w:bookmarkStart w:id="104" w:name="page105"/>
    <w:bookmarkEnd w:id="104"/>
    <w:p>
      <w:pPr>
        <w:jc w:val="both"/>
        <w:spacing w:after="0" w:line="314" w:lineRule="auto"/>
        <w:rPr>
          <w:sz w:val="20"/>
          <w:szCs w:val="20"/>
          <w:color w:val="auto"/>
        </w:rPr>
      </w:pPr>
      <w:r>
        <w:rPr>
          <w:rFonts w:ascii="Arial" w:cs="Arial" w:eastAsia="Arial" w:hAnsi="Arial"/>
          <w:sz w:val="19"/>
          <w:szCs w:val="19"/>
          <w:color w:val="auto"/>
        </w:rPr>
        <w:t xml:space="preserve">make available to Borrower a corresponding amount. In such event, if a Lender has not in fact made its share of the applicable Loan available to Administrative Agent, then the applicable Lender and Borrower severally agree to pay to Administrative Agent forthwith on demand such corresponding amount in immediately available funds with interest thereon, for each day from and including the date such amount is made available to Borrower to but excluding the date of payment to Administrative Agent, at (A) in the case of a payment to be made by such Lender, the greater of the Federal Funds Rate and a rate determined by Administrative Agent in accordance with banking industry rules on interbank compensation, plus any administrative, processing, or similar fees customarily charged by Administrative Agent in connection with the foregoing, and (B) in the case of a payment to be made by Borrower, the interest rate applicable to Base Rate Loans. If Borrower and such Lender shall pay such interest to Administrative Agent for the same or an overlapping period, Administrative Agent shall promptly remit to Borrower the amount of such interest paid by Borrower for such period. If such Lender pays its share of the applicable Revolver Loan or Term Loan to Administrative Agent, then the amount so paid shall constitute such Lender’s Loan included in such Loan. Any payment by Borrower shall be without prejudice to any claim Borrower may have against a Lender that shall have failed to make such payment to Administrative Agent. A notice of Administrative Agent to any Lender or Borrower with respect to any amount owing under this </w:t>
      </w:r>
      <w:r>
        <w:rPr>
          <w:rFonts w:ascii="Arial" w:cs="Arial" w:eastAsia="Arial" w:hAnsi="Arial"/>
          <w:sz w:val="19"/>
          <w:szCs w:val="19"/>
          <w:b w:val="1"/>
          <w:bCs w:val="1"/>
          <w:i w:val="1"/>
          <w:iCs w:val="1"/>
          <w:color w:val="auto"/>
        </w:rPr>
        <w:t>subsection (c)</w:t>
      </w:r>
      <w:r>
        <w:rPr>
          <w:rFonts w:ascii="Arial" w:cs="Arial" w:eastAsia="Arial" w:hAnsi="Arial"/>
          <w:sz w:val="19"/>
          <w:szCs w:val="19"/>
          <w:color w:val="auto"/>
        </w:rPr>
        <w:t xml:space="preserve"> shall be conclusive, absent manifest error.</w:t>
      </w:r>
    </w:p>
    <w:p>
      <w:pPr>
        <w:spacing w:after="0" w:line="185" w:lineRule="exact"/>
        <w:rPr>
          <w:sz w:val="20"/>
          <w:szCs w:val="20"/>
          <w:color w:val="auto"/>
        </w:rPr>
      </w:pPr>
    </w:p>
    <w:p>
      <w:pPr>
        <w:jc w:val="both"/>
        <w:ind w:firstLine="645"/>
        <w:spacing w:after="0" w:line="334" w:lineRule="auto"/>
        <w:tabs>
          <w:tab w:leader="none" w:pos="1103"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Unless Administrative Agent shall have received notice from Borrower prior to the date on which any payment is due to Administrative Agent for the account of Lenders or any L/C Issuer hereunder that Borrower will not make such payment, Administrative Agent may assume that Borrower has made such payment on such date in accordance herewith and may, in reliance upon such assumption, distribute to Lenders or the applicable L/C Issuer, as the case may be, the amount due. In such event, if Borrower has not in fact made such payment, then each Lender or the applicable L/C Issuer, as the case may be, severally agrees to repay to Administrative Agent forthwith on demand the amount so distributed to such Lender or the applicable L/C Issuer, in immediately available funds with interest thereon, for each day from and including the date such amount is distributed to it to but excluding the date of payment to Administrative Agent, at the greater of the Federal Funds Rate and a rate determined by Administrative Agent in accordance with banking industry rules on interbank compensation. A notice of Administrative Agent to any Lender or Borrower with respect to any amount owing under this </w:t>
      </w:r>
      <w:r>
        <w:rPr>
          <w:rFonts w:ascii="Arial" w:cs="Arial" w:eastAsia="Arial" w:hAnsi="Arial"/>
          <w:sz w:val="18"/>
          <w:szCs w:val="18"/>
          <w:b w:val="1"/>
          <w:bCs w:val="1"/>
          <w:i w:val="1"/>
          <w:iCs w:val="1"/>
          <w:color w:val="auto"/>
        </w:rPr>
        <w:t>subsection (d)</w:t>
      </w:r>
      <w:r>
        <w:rPr>
          <w:rFonts w:ascii="Arial" w:cs="Arial" w:eastAsia="Arial" w:hAnsi="Arial"/>
          <w:sz w:val="18"/>
          <w:szCs w:val="18"/>
          <w:color w:val="auto"/>
        </w:rPr>
        <w:t xml:space="preserve"> shall be conclusive, absent manifest error.</w:t>
      </w:r>
    </w:p>
    <w:p>
      <w:pPr>
        <w:spacing w:after="0" w:line="171" w:lineRule="exact"/>
        <w:rPr>
          <w:rFonts w:ascii="Arial" w:cs="Arial" w:eastAsia="Arial" w:hAnsi="Arial"/>
          <w:sz w:val="18"/>
          <w:szCs w:val="18"/>
          <w:color w:val="auto"/>
        </w:rPr>
      </w:pPr>
    </w:p>
    <w:p>
      <w:pPr>
        <w:jc w:val="both"/>
        <w:ind w:firstLine="645"/>
        <w:spacing w:after="0" w:line="320" w:lineRule="auto"/>
        <w:tabs>
          <w:tab w:leader="none" w:pos="1075"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The obligations of Lenders hereunder to make Revolver Loans and Term Loans, to fund participations in L/Cs and Swing Line Loans, and to make payments pursuant to </w:t>
      </w:r>
      <w:r>
        <w:rPr>
          <w:rFonts w:ascii="Arial" w:cs="Arial" w:eastAsia="Arial" w:hAnsi="Arial"/>
          <w:sz w:val="19"/>
          <w:szCs w:val="19"/>
          <w:b w:val="1"/>
          <w:bCs w:val="1"/>
          <w:i w:val="1"/>
          <w:iCs w:val="1"/>
          <w:color w:val="auto"/>
        </w:rPr>
        <w:t>Section 15.4(c)</w:t>
      </w:r>
      <w:r>
        <w:rPr>
          <w:rFonts w:ascii="Arial" w:cs="Arial" w:eastAsia="Arial" w:hAnsi="Arial"/>
          <w:sz w:val="19"/>
          <w:szCs w:val="19"/>
          <w:color w:val="auto"/>
        </w:rPr>
        <w:t xml:space="preserve"> are several and not joint. The failure of any Lender to make any Loan, to fund any such participation, or to make any payment under </w:t>
      </w:r>
      <w:r>
        <w:rPr>
          <w:rFonts w:ascii="Arial" w:cs="Arial" w:eastAsia="Arial" w:hAnsi="Arial"/>
          <w:sz w:val="19"/>
          <w:szCs w:val="19"/>
          <w:b w:val="1"/>
          <w:bCs w:val="1"/>
          <w:i w:val="1"/>
          <w:iCs w:val="1"/>
          <w:color w:val="auto"/>
        </w:rPr>
        <w:t>Section 15.4(c)</w:t>
      </w:r>
      <w:r>
        <w:rPr>
          <w:rFonts w:ascii="Arial" w:cs="Arial" w:eastAsia="Arial" w:hAnsi="Arial"/>
          <w:sz w:val="19"/>
          <w:szCs w:val="19"/>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9"/>
          <w:szCs w:val="19"/>
          <w:b w:val="1"/>
          <w:bCs w:val="1"/>
          <w:i w:val="1"/>
          <w:iCs w:val="1"/>
          <w:color w:val="auto"/>
        </w:rPr>
        <w:t>Section 15.4(c)</w:t>
      </w:r>
      <w:r>
        <w:rPr>
          <w:rFonts w:ascii="Arial" w:cs="Arial" w:eastAsia="Arial" w:hAnsi="Arial"/>
          <w:sz w:val="19"/>
          <w:szCs w:val="19"/>
          <w:color w:val="auto"/>
        </w:rPr>
        <w:t>.</w:t>
      </w:r>
    </w:p>
    <w:p>
      <w:pPr>
        <w:spacing w:after="0" w:line="394"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0760"/>
          </w:cols>
          <w:pgMar w:left="900" w:top="609" w:right="239" w:bottom="1440" w:gutter="0" w:footer="0" w:header="0"/>
        </w:sectPr>
      </w:pPr>
    </w:p>
    <w:bookmarkStart w:id="105" w:name="page106"/>
    <w:bookmarkEnd w:id="105"/>
    <w:p>
      <w:pPr>
        <w:spacing w:after="0"/>
        <w:tabs>
          <w:tab w:leader="none" w:pos="40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9"/>
          <w:szCs w:val="19"/>
          <w:u w:val="single" w:color="auto"/>
          <w:color w:val="auto"/>
        </w:rPr>
        <w:t>L/C Subfacility</w:t>
      </w:r>
      <w:r>
        <w:rPr>
          <w:rFonts w:ascii="Arial" w:cs="Arial" w:eastAsia="Arial" w:hAnsi="Arial"/>
          <w:sz w:val="19"/>
          <w:szCs w:val="19"/>
          <w:color w:val="auto"/>
        </w:rPr>
        <w:t>.</w:t>
      </w:r>
    </w:p>
    <w:p>
      <w:pPr>
        <w:spacing w:after="0" w:line="216" w:lineRule="exact"/>
        <w:rPr>
          <w:sz w:val="20"/>
          <w:szCs w:val="20"/>
          <w:color w:val="auto"/>
        </w:rPr>
      </w:pPr>
    </w:p>
    <w:p>
      <w:pPr>
        <w:ind w:left="1060" w:hanging="415"/>
        <w:spacing w:after="0"/>
        <w:tabs>
          <w:tab w:leader="none" w:pos="1060" w:val="left"/>
        </w:tabs>
        <w:numPr>
          <w:ilvl w:val="0"/>
          <w:numId w:val="53"/>
        </w:numPr>
        <w:rPr>
          <w:rFonts w:ascii="Arial" w:cs="Arial" w:eastAsia="Arial" w:hAnsi="Arial"/>
          <w:sz w:val="20"/>
          <w:szCs w:val="20"/>
          <w:color w:val="auto"/>
        </w:rPr>
      </w:pPr>
      <w:r>
        <w:rPr>
          <w:rFonts w:ascii="Arial" w:cs="Arial" w:eastAsia="Arial" w:hAnsi="Arial"/>
          <w:sz w:val="20"/>
          <w:szCs w:val="20"/>
          <w:b w:val="1"/>
          <w:bCs w:val="1"/>
          <w:i w:val="1"/>
          <w:iCs w:val="1"/>
          <w:color w:val="auto"/>
        </w:rPr>
        <w:t>The L/C Commitment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40" w:firstLine="653"/>
        <w:spacing w:after="0" w:line="269" w:lineRule="auto"/>
        <w:tabs>
          <w:tab w:leader="none" w:pos="1710"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herein, (A) each L/C Issuer agrees, in reliance upon the agreements of the other Revolver Lenders set forth in this </w:t>
      </w:r>
      <w:r>
        <w:rPr>
          <w:rFonts w:ascii="Arial" w:cs="Arial" w:eastAsia="Arial" w:hAnsi="Arial"/>
          <w:sz w:val="18"/>
          <w:szCs w:val="18"/>
          <w:b w:val="1"/>
          <w:bCs w:val="1"/>
          <w:i w:val="1"/>
          <w:iCs w:val="1"/>
          <w:color w:val="auto"/>
        </w:rPr>
        <w:t>Section 2.3</w:t>
      </w:r>
      <w:r>
        <w:rPr>
          <w:rFonts w:ascii="Arial" w:cs="Arial" w:eastAsia="Arial" w:hAnsi="Arial"/>
          <w:sz w:val="18"/>
          <w:szCs w:val="18"/>
          <w:color w:val="auto"/>
        </w:rPr>
        <w:t xml:space="preserve">, (1) from time to time on any Business Day during the period from the Closing Date until the L/C Expiration Date, to issue L/Cs in Dollars or with respect to the Australian L/C Issuer, the Alternative Currency, for the account of Borrower or its Subsidiaries in an aggregate amount not to exceed such L/C Issuer’s L/C Commitment, and to amend or renew L/Cs previously issued by it, in accordance with </w:t>
      </w:r>
      <w:r>
        <w:rPr>
          <w:rFonts w:ascii="Arial" w:cs="Arial" w:eastAsia="Arial" w:hAnsi="Arial"/>
          <w:sz w:val="18"/>
          <w:szCs w:val="18"/>
          <w:b w:val="1"/>
          <w:bCs w:val="1"/>
          <w:i w:val="1"/>
          <w:iCs w:val="1"/>
          <w:color w:val="auto"/>
        </w:rPr>
        <w:t>subsection (b)</w:t>
      </w:r>
      <w:r>
        <w:rPr>
          <w:rFonts w:ascii="Arial" w:cs="Arial" w:eastAsia="Arial" w:hAnsi="Arial"/>
          <w:sz w:val="18"/>
          <w:szCs w:val="18"/>
          <w:color w:val="auto"/>
        </w:rPr>
        <w:t xml:space="preserve"> below, and (2) to honor sight drafts under the L/Cs; and (B) Revolver Lenders severally agree to participate in L/Cs issued for the account of Borrower;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no L/C Issuer shall be obligated to make any L/C Credit Extension with respect to any L/C, and no Revolver Lender shall be obligated to participate in any L/C, if as of the date of such L/C Credit Extension (after giving effect to any proposed L/C Credit Extension on such date), (x) the Revolver Commitment Usage would exceed the Revolver Commitment, (y) the aggregate Outstanding Amount of the Revolver Loans of such Revolving Lender, </w:t>
      </w:r>
      <w:r>
        <w:rPr>
          <w:rFonts w:ascii="Arial" w:cs="Arial" w:eastAsia="Arial" w:hAnsi="Arial"/>
          <w:sz w:val="18"/>
          <w:szCs w:val="18"/>
          <w:i w:val="1"/>
          <w:iCs w:val="1"/>
          <w:color w:val="auto"/>
        </w:rPr>
        <w:t>plus</w:t>
      </w:r>
      <w:r>
        <w:rPr>
          <w:rFonts w:ascii="Arial" w:cs="Arial" w:eastAsia="Arial" w:hAnsi="Arial"/>
          <w:sz w:val="18"/>
          <w:szCs w:val="18"/>
          <w:color w:val="auto"/>
        </w:rPr>
        <w:t xml:space="preserve"> such Revolver Lender’s Commitment Percentage of the Outstanding Amount of all L/C Exposure, </w:t>
      </w:r>
      <w:r>
        <w:rPr>
          <w:rFonts w:ascii="Arial" w:cs="Arial" w:eastAsia="Arial" w:hAnsi="Arial"/>
          <w:sz w:val="18"/>
          <w:szCs w:val="18"/>
          <w:i w:val="1"/>
          <w:iCs w:val="1"/>
          <w:color w:val="auto"/>
        </w:rPr>
        <w:t>plus</w:t>
      </w:r>
      <w:r>
        <w:rPr>
          <w:rFonts w:ascii="Arial" w:cs="Arial" w:eastAsia="Arial" w:hAnsi="Arial"/>
          <w:sz w:val="18"/>
          <w:szCs w:val="18"/>
          <w:color w:val="auto"/>
        </w:rPr>
        <w:t xml:space="preserve"> such Revolving Lender’s Commitment Percentage of the Outstanding Amounts of all Swing Line Loans would exceed such Revolver Lender’s Revolver Commitment, or (z) the Outstanding Amount of the L/C Exposure would exceed the L/C Sublimit. Each request by Borrower for the issuance or amendment of an L/C shall be deemed to be a representation by Borrower that the L/C Credit Extension so requested complies with the conditions set forth in the proviso to the preceding sentence. Within the foregoing limits, and subject to the terms and conditions hereof, Borrower’s ability to obtain L/Cs shall be fully revolving; accordingly Borrower may, during the foregoing period, obtain L/Cs to replace L/Cs that have expired or that have been drawn upon and reimbursed. All Existing L/Cs shall be deemed to have been issued pursuant hereto, and from and after the Closing Date shall be subject to and governed by the terms and conditions hereof.</w:t>
      </w:r>
    </w:p>
    <w:p>
      <w:pPr>
        <w:spacing w:after="0" w:line="170" w:lineRule="exact"/>
        <w:rPr>
          <w:rFonts w:ascii="Arial" w:cs="Arial" w:eastAsia="Arial" w:hAnsi="Arial"/>
          <w:sz w:val="18"/>
          <w:szCs w:val="18"/>
          <w:color w:val="auto"/>
        </w:rPr>
      </w:pPr>
    </w:p>
    <w:p>
      <w:pPr>
        <w:ind w:left="1720" w:hanging="427"/>
        <w:spacing w:after="0"/>
        <w:tabs>
          <w:tab w:leader="none" w:pos="1720" w:val="left"/>
        </w:tabs>
        <w:numPr>
          <w:ilvl w:val="1"/>
          <w:numId w:val="53"/>
        </w:numPr>
        <w:rPr>
          <w:rFonts w:ascii="Arial" w:cs="Arial" w:eastAsia="Arial" w:hAnsi="Arial"/>
          <w:sz w:val="20"/>
          <w:szCs w:val="20"/>
          <w:color w:val="auto"/>
        </w:rPr>
      </w:pPr>
      <w:r>
        <w:rPr>
          <w:rFonts w:ascii="Arial" w:cs="Arial" w:eastAsia="Arial" w:hAnsi="Arial"/>
          <w:sz w:val="20"/>
          <w:szCs w:val="20"/>
          <w:color w:val="auto"/>
        </w:rPr>
        <w:t>The L/C Issuers shall not issue any L/C if:</w:t>
      </w:r>
    </w:p>
    <w:p>
      <w:pPr>
        <w:spacing w:after="0" w:line="215" w:lineRule="exact"/>
        <w:rPr>
          <w:rFonts w:ascii="Arial" w:cs="Arial" w:eastAsia="Arial" w:hAnsi="Arial"/>
          <w:sz w:val="20"/>
          <w:szCs w:val="20"/>
          <w:color w:val="auto"/>
        </w:rPr>
      </w:pPr>
    </w:p>
    <w:p>
      <w:pPr>
        <w:jc w:val="both"/>
        <w:ind w:left="1300" w:firstLine="641"/>
        <w:spacing w:after="0" w:line="244" w:lineRule="auto"/>
        <w:tabs>
          <w:tab w:leader="none" w:pos="2538" w:val="left"/>
        </w:tabs>
        <w:numPr>
          <w:ilvl w:val="2"/>
          <w:numId w:val="53"/>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b w:val="1"/>
          <w:bCs w:val="1"/>
          <w:i w:val="1"/>
          <w:iCs w:val="1"/>
          <w:color w:val="auto"/>
        </w:rPr>
        <w:t>Section 2.3(b)(iii)</w:t>
      </w:r>
      <w:r>
        <w:rPr>
          <w:rFonts w:ascii="Arial" w:cs="Arial" w:eastAsia="Arial" w:hAnsi="Arial"/>
          <w:sz w:val="20"/>
          <w:szCs w:val="20"/>
          <w:color w:val="auto"/>
        </w:rPr>
        <w:t xml:space="preserve">, the expiry date of such requested L/C would occur more than twelve months after the date of issuance or last renewal, unless Required Revolver Lenders have approved such expiry date or unless the requested L/C is a Bond L/C, in which case the Bond L/C will expire in accordance with the terms set forth in the applicable Bond L/C as approved by the applicable L/C Issuer and Administrative Agent in accordance with </w:t>
      </w:r>
      <w:r>
        <w:rPr>
          <w:rFonts w:ascii="Arial" w:cs="Arial" w:eastAsia="Arial" w:hAnsi="Arial"/>
          <w:sz w:val="20"/>
          <w:szCs w:val="20"/>
          <w:b w:val="1"/>
          <w:bCs w:val="1"/>
          <w:i w:val="1"/>
          <w:iCs w:val="1"/>
          <w:color w:val="auto"/>
        </w:rPr>
        <w:t>Section 2.3(i)</w:t>
      </w:r>
      <w:r>
        <w:rPr>
          <w:rFonts w:ascii="Arial" w:cs="Arial" w:eastAsia="Arial" w:hAnsi="Arial"/>
          <w:sz w:val="20"/>
          <w:szCs w:val="20"/>
          <w:color w:val="auto"/>
        </w:rPr>
        <w:t>; or</w:t>
      </w:r>
    </w:p>
    <w:p>
      <w:pPr>
        <w:spacing w:after="0" w:line="194" w:lineRule="exact"/>
        <w:rPr>
          <w:rFonts w:ascii="Arial" w:cs="Arial" w:eastAsia="Arial" w:hAnsi="Arial"/>
          <w:sz w:val="20"/>
          <w:szCs w:val="20"/>
          <w:color w:val="auto"/>
        </w:rPr>
      </w:pPr>
    </w:p>
    <w:p>
      <w:pPr>
        <w:jc w:val="both"/>
        <w:ind w:left="1300" w:firstLine="641"/>
        <w:spacing w:after="0" w:line="250" w:lineRule="auto"/>
        <w:tabs>
          <w:tab w:leader="none" w:pos="2541" w:val="left"/>
        </w:tabs>
        <w:numPr>
          <w:ilvl w:val="2"/>
          <w:numId w:val="53"/>
        </w:numPr>
        <w:rPr>
          <w:rFonts w:ascii="Arial" w:cs="Arial" w:eastAsia="Arial" w:hAnsi="Arial"/>
          <w:sz w:val="20"/>
          <w:szCs w:val="20"/>
          <w:color w:val="auto"/>
        </w:rPr>
      </w:pPr>
      <w:r>
        <w:rPr>
          <w:rFonts w:ascii="Arial" w:cs="Arial" w:eastAsia="Arial" w:hAnsi="Arial"/>
          <w:sz w:val="20"/>
          <w:szCs w:val="20"/>
          <w:color w:val="auto"/>
        </w:rPr>
        <w:t>the expiry date of the requested L/C would occur after the L/C Expiration Date, unless (x) all the Revolver Lenders and the applicable L/C Issuer have approved such expiry date or (y) such L/C is cash collateralized on terms and pursuant to arrangements satisfactory to the applicable L/C Issuer.</w:t>
      </w:r>
    </w:p>
    <w:p>
      <w:pPr>
        <w:spacing w:after="0" w:line="186" w:lineRule="exact"/>
        <w:rPr>
          <w:rFonts w:ascii="Arial" w:cs="Arial" w:eastAsia="Arial" w:hAnsi="Arial"/>
          <w:sz w:val="20"/>
          <w:szCs w:val="20"/>
          <w:color w:val="auto"/>
        </w:rPr>
      </w:pPr>
    </w:p>
    <w:p>
      <w:pPr>
        <w:ind w:left="1780" w:hanging="487"/>
        <w:spacing w:after="0"/>
        <w:tabs>
          <w:tab w:leader="none" w:pos="1780" w:val="left"/>
        </w:tabs>
        <w:numPr>
          <w:ilvl w:val="1"/>
          <w:numId w:val="53"/>
        </w:numPr>
        <w:rPr>
          <w:rFonts w:ascii="Arial" w:cs="Arial" w:eastAsia="Arial" w:hAnsi="Arial"/>
          <w:sz w:val="20"/>
          <w:szCs w:val="20"/>
          <w:color w:val="auto"/>
        </w:rPr>
      </w:pPr>
      <w:r>
        <w:rPr>
          <w:rFonts w:ascii="Arial" w:cs="Arial" w:eastAsia="Arial" w:hAnsi="Arial"/>
          <w:sz w:val="20"/>
          <w:szCs w:val="20"/>
          <w:color w:val="auto"/>
        </w:rPr>
        <w:t>The L/C Issuers shall not be under any obligation to issue any L/C if:</w:t>
      </w:r>
    </w:p>
    <w:p>
      <w:pPr>
        <w:spacing w:after="0" w:line="215" w:lineRule="exact"/>
        <w:rPr>
          <w:rFonts w:ascii="Arial" w:cs="Arial" w:eastAsia="Arial" w:hAnsi="Arial"/>
          <w:sz w:val="20"/>
          <w:szCs w:val="20"/>
          <w:color w:val="auto"/>
        </w:rPr>
      </w:pPr>
    </w:p>
    <w:p>
      <w:pPr>
        <w:jc w:val="both"/>
        <w:ind w:left="1300" w:firstLine="641"/>
        <w:spacing w:after="0" w:line="250" w:lineRule="auto"/>
        <w:tabs>
          <w:tab w:leader="none" w:pos="2448" w:val="left"/>
        </w:tabs>
        <w:numPr>
          <w:ilvl w:val="2"/>
          <w:numId w:val="53"/>
        </w:numPr>
        <w:rPr>
          <w:rFonts w:ascii="Arial" w:cs="Arial" w:eastAsia="Arial" w:hAnsi="Arial"/>
          <w:sz w:val="20"/>
          <w:szCs w:val="20"/>
          <w:color w:val="auto"/>
        </w:rPr>
      </w:pPr>
      <w:r>
        <w:rPr>
          <w:rFonts w:ascii="Arial" w:cs="Arial" w:eastAsia="Arial" w:hAnsi="Arial"/>
          <w:sz w:val="20"/>
          <w:szCs w:val="20"/>
          <w:color w:val="auto"/>
        </w:rPr>
        <w:t>any order, judgment, or decree of any Governmental Authority or arbitrator shall by its terms purport to enjoin or restrain the applicable L/C Issuer from issuing such L/C, or any Law applicable to the applicable L/C Issuer or any</w:t>
      </w:r>
    </w:p>
    <w:p>
      <w:pPr>
        <w:spacing w:after="0" w:line="200" w:lineRule="exact"/>
        <w:rPr>
          <w:sz w:val="20"/>
          <w:szCs w:val="20"/>
          <w:color w:val="auto"/>
        </w:rPr>
      </w:pP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0760"/>
          </w:cols>
          <w:pgMar w:left="900" w:top="798" w:right="239" w:bottom="1440" w:gutter="0" w:footer="0" w:header="0"/>
        </w:sectPr>
      </w:pPr>
    </w:p>
    <w:bookmarkStart w:id="106" w:name="page107"/>
    <w:bookmarkEnd w:id="106"/>
    <w:p>
      <w:pPr>
        <w:jc w:val="both"/>
        <w:ind w:left="760"/>
        <w:spacing w:after="0" w:line="276" w:lineRule="auto"/>
        <w:rPr>
          <w:sz w:val="20"/>
          <w:szCs w:val="20"/>
          <w:color w:val="auto"/>
        </w:rPr>
      </w:pPr>
      <w:r>
        <w:rPr>
          <w:rFonts w:ascii="Arial" w:cs="Arial" w:eastAsia="Arial" w:hAnsi="Arial"/>
          <w:sz w:val="18"/>
          <w:szCs w:val="18"/>
          <w:color w:val="auto"/>
        </w:rPr>
        <w:t>request or directive (whether or not having the force of Law) from any Governmental Authority with jurisdiction over the applicable L/C Issuer shall prohibit, or request that such L/C Issuer refrain from, the issuance of letters of credit generally or such L/C in particular or shall impose upon the applicable L/C Issuer with respect to such L/C any restriction, reserve, or capital requirement (for which such L/C Issuer is not otherwise compensated hereunder) not in effect on the Closing Date, or shall impose upon the applicable L/C Issuer any unreimbursed loss, cost or expense which was not applicable on the Closing Date and which such L/C Issuer in good faith deems material to it;</w:t>
      </w:r>
    </w:p>
    <w:p>
      <w:pPr>
        <w:spacing w:after="0" w:line="165" w:lineRule="exact"/>
        <w:rPr>
          <w:sz w:val="20"/>
          <w:szCs w:val="20"/>
          <w:color w:val="auto"/>
        </w:rPr>
      </w:pPr>
    </w:p>
    <w:p>
      <w:pPr>
        <w:ind w:left="760" w:firstLine="641"/>
        <w:spacing w:after="0" w:line="260" w:lineRule="auto"/>
        <w:tabs>
          <w:tab w:leader="none" w:pos="1924" w:val="left"/>
        </w:tabs>
        <w:numPr>
          <w:ilvl w:val="2"/>
          <w:numId w:val="54"/>
        </w:numPr>
        <w:rPr>
          <w:rFonts w:ascii="Arial" w:cs="Arial" w:eastAsia="Arial" w:hAnsi="Arial"/>
          <w:sz w:val="20"/>
          <w:szCs w:val="20"/>
          <w:color w:val="auto"/>
        </w:rPr>
      </w:pPr>
      <w:r>
        <w:rPr>
          <w:rFonts w:ascii="Arial" w:cs="Arial" w:eastAsia="Arial" w:hAnsi="Arial"/>
          <w:sz w:val="20"/>
          <w:szCs w:val="20"/>
          <w:color w:val="auto"/>
        </w:rPr>
        <w:t>the issuance of such L/C would violate one or more policies of the applicable L/C Issuer applicable to letters of credit generally;</w:t>
      </w:r>
    </w:p>
    <w:p>
      <w:pPr>
        <w:spacing w:after="0" w:line="176" w:lineRule="exact"/>
        <w:rPr>
          <w:rFonts w:ascii="Arial" w:cs="Arial" w:eastAsia="Arial" w:hAnsi="Arial"/>
          <w:sz w:val="20"/>
          <w:szCs w:val="20"/>
          <w:color w:val="auto"/>
        </w:rPr>
      </w:pPr>
    </w:p>
    <w:p>
      <w:pPr>
        <w:ind w:left="760" w:firstLine="641"/>
        <w:spacing w:after="0" w:line="260" w:lineRule="auto"/>
        <w:tabs>
          <w:tab w:leader="none" w:pos="1883" w:val="left"/>
        </w:tabs>
        <w:numPr>
          <w:ilvl w:val="2"/>
          <w:numId w:val="54"/>
        </w:numPr>
        <w:rPr>
          <w:rFonts w:ascii="Arial" w:cs="Arial" w:eastAsia="Arial" w:hAnsi="Arial"/>
          <w:sz w:val="20"/>
          <w:szCs w:val="20"/>
          <w:color w:val="auto"/>
        </w:rPr>
      </w:pPr>
      <w:r>
        <w:rPr>
          <w:rFonts w:ascii="Arial" w:cs="Arial" w:eastAsia="Arial" w:hAnsi="Arial"/>
          <w:sz w:val="20"/>
          <w:szCs w:val="20"/>
          <w:color w:val="auto"/>
        </w:rPr>
        <w:t>such L/C is to be denominated in a currency other than Dollars (or the Alternative Currency with respect to L/Cs issued by the Australian L/C Issuer);</w:t>
      </w:r>
    </w:p>
    <w:p>
      <w:pPr>
        <w:spacing w:after="0" w:line="176" w:lineRule="exact"/>
        <w:rPr>
          <w:rFonts w:ascii="Arial" w:cs="Arial" w:eastAsia="Arial" w:hAnsi="Arial"/>
          <w:sz w:val="20"/>
          <w:szCs w:val="20"/>
          <w:color w:val="auto"/>
        </w:rPr>
      </w:pPr>
    </w:p>
    <w:p>
      <w:pPr>
        <w:jc w:val="both"/>
        <w:ind w:left="760" w:firstLine="641"/>
        <w:spacing w:after="0" w:line="243" w:lineRule="auto"/>
        <w:tabs>
          <w:tab w:leader="none" w:pos="1948" w:val="left"/>
        </w:tabs>
        <w:numPr>
          <w:ilvl w:val="2"/>
          <w:numId w:val="54"/>
        </w:numPr>
        <w:rPr>
          <w:rFonts w:ascii="Arial" w:cs="Arial" w:eastAsia="Arial" w:hAnsi="Arial"/>
          <w:sz w:val="20"/>
          <w:szCs w:val="20"/>
          <w:color w:val="auto"/>
        </w:rPr>
      </w:pPr>
      <w:r>
        <w:rPr>
          <w:rFonts w:ascii="Arial" w:cs="Arial" w:eastAsia="Arial" w:hAnsi="Arial"/>
          <w:sz w:val="20"/>
          <w:szCs w:val="20"/>
          <w:color w:val="auto"/>
        </w:rPr>
        <w:t xml:space="preserve">any Revolver Lender is at that time a Defaulting Lender, unless the applicable L/C Issuer has entered into arrangements, including the delivery of Cash Collateral, satisfactory to such L/C Issuer (in its sole discretion) with Borrower or such Revolver Lender to eliminate such L/C Issuer’s actual or potential Fronting Exposure (after giving effect to </w:t>
      </w:r>
      <w:r>
        <w:rPr>
          <w:rFonts w:ascii="Arial" w:cs="Arial" w:eastAsia="Arial" w:hAnsi="Arial"/>
          <w:sz w:val="20"/>
          <w:szCs w:val="20"/>
          <w:b w:val="1"/>
          <w:bCs w:val="1"/>
          <w:i w:val="1"/>
          <w:iCs w:val="1"/>
          <w:color w:val="auto"/>
        </w:rPr>
        <w:t>Section 3.15(a)(iv)</w:t>
      </w:r>
      <w:r>
        <w:rPr>
          <w:rFonts w:ascii="Arial" w:cs="Arial" w:eastAsia="Arial" w:hAnsi="Arial"/>
          <w:sz w:val="20"/>
          <w:szCs w:val="20"/>
          <w:color w:val="auto"/>
        </w:rPr>
        <w:t>) with respect to the Defaulting Lender arising from either the L/C then proposed to be issued or that L/C and all other L/C Exposure as to which such L/C Issuer has actual or potential Fronting Exposure, as it may elect in its sole discretion; or</w:t>
      </w:r>
    </w:p>
    <w:p>
      <w:pPr>
        <w:spacing w:after="0" w:line="196" w:lineRule="exact"/>
        <w:rPr>
          <w:rFonts w:ascii="Arial" w:cs="Arial" w:eastAsia="Arial" w:hAnsi="Arial"/>
          <w:sz w:val="20"/>
          <w:szCs w:val="20"/>
          <w:color w:val="auto"/>
        </w:rPr>
      </w:pPr>
    </w:p>
    <w:p>
      <w:pPr>
        <w:ind w:left="760" w:right="20" w:firstLine="641"/>
        <w:spacing w:after="0" w:line="260" w:lineRule="auto"/>
        <w:tabs>
          <w:tab w:leader="none" w:pos="2001" w:val="left"/>
        </w:tabs>
        <w:numPr>
          <w:ilvl w:val="2"/>
          <w:numId w:val="54"/>
        </w:numPr>
        <w:rPr>
          <w:rFonts w:ascii="Arial" w:cs="Arial" w:eastAsia="Arial" w:hAnsi="Arial"/>
          <w:sz w:val="20"/>
          <w:szCs w:val="20"/>
          <w:color w:val="auto"/>
        </w:rPr>
      </w:pPr>
      <w:r>
        <w:rPr>
          <w:rFonts w:ascii="Arial" w:cs="Arial" w:eastAsia="Arial" w:hAnsi="Arial"/>
          <w:sz w:val="20"/>
          <w:szCs w:val="20"/>
          <w:color w:val="auto"/>
        </w:rPr>
        <w:t>the Australian L/C Issuer does not as of the issuance date of the requested L/C issue L/Cs in the Alternative Currency.</w:t>
      </w:r>
    </w:p>
    <w:p>
      <w:pPr>
        <w:spacing w:after="0" w:line="176" w:lineRule="exact"/>
        <w:rPr>
          <w:rFonts w:ascii="Arial" w:cs="Arial" w:eastAsia="Arial" w:hAnsi="Arial"/>
          <w:sz w:val="20"/>
          <w:szCs w:val="20"/>
          <w:color w:val="auto"/>
        </w:rPr>
      </w:pPr>
    </w:p>
    <w:p>
      <w:pPr>
        <w:jc w:val="both"/>
        <w:ind w:left="100" w:firstLine="653"/>
        <w:spacing w:after="0" w:line="250" w:lineRule="auto"/>
        <w:tabs>
          <w:tab w:leader="none" w:pos="1272" w:val="left"/>
        </w:tabs>
        <w:numPr>
          <w:ilvl w:val="1"/>
          <w:numId w:val="55"/>
        </w:numPr>
        <w:rPr>
          <w:rFonts w:ascii="Arial" w:cs="Arial" w:eastAsia="Arial" w:hAnsi="Arial"/>
          <w:sz w:val="20"/>
          <w:szCs w:val="20"/>
          <w:color w:val="auto"/>
        </w:rPr>
      </w:pPr>
      <w:r>
        <w:rPr>
          <w:rFonts w:ascii="Arial" w:cs="Arial" w:eastAsia="Arial" w:hAnsi="Arial"/>
          <w:sz w:val="20"/>
          <w:szCs w:val="20"/>
          <w:color w:val="auto"/>
        </w:rPr>
        <w:t>No L/C Issuer shall be under any obligation to amend any L/C if (A) such L/C Issuer would have no obligation at such time to issue such L/C in its amended form under the terms hereof, or (B) the beneficiary of such L/C does not accept the proposed amendment to such L/C.</w:t>
      </w:r>
    </w:p>
    <w:p>
      <w:pPr>
        <w:spacing w:after="0" w:line="186" w:lineRule="exact"/>
        <w:rPr>
          <w:rFonts w:ascii="Arial" w:cs="Arial" w:eastAsia="Arial" w:hAnsi="Arial"/>
          <w:sz w:val="20"/>
          <w:szCs w:val="20"/>
          <w:color w:val="auto"/>
        </w:rPr>
      </w:pPr>
    </w:p>
    <w:p>
      <w:pPr>
        <w:ind w:left="100" w:firstLine="653"/>
        <w:spacing w:after="0" w:line="260" w:lineRule="auto"/>
        <w:tabs>
          <w:tab w:leader="none" w:pos="1242" w:val="left"/>
        </w:tabs>
        <w:numPr>
          <w:ilvl w:val="1"/>
          <w:numId w:val="55"/>
        </w:numPr>
        <w:rPr>
          <w:rFonts w:ascii="Arial" w:cs="Arial" w:eastAsia="Arial" w:hAnsi="Arial"/>
          <w:sz w:val="20"/>
          <w:szCs w:val="20"/>
          <w:color w:val="auto"/>
        </w:rPr>
      </w:pPr>
      <w:r>
        <w:rPr>
          <w:rFonts w:ascii="Arial" w:cs="Arial" w:eastAsia="Arial" w:hAnsi="Arial"/>
          <w:sz w:val="20"/>
          <w:szCs w:val="20"/>
          <w:color w:val="auto"/>
        </w:rPr>
        <w:t>No L/C Issuer shall amend any L/C if such L/C Issuer would not be permitted at such time to issue the L/C in its amended form under the terms hereof.</w:t>
      </w:r>
    </w:p>
    <w:p>
      <w:pPr>
        <w:spacing w:after="0" w:line="176" w:lineRule="exact"/>
        <w:rPr>
          <w:rFonts w:ascii="Arial" w:cs="Arial" w:eastAsia="Arial" w:hAnsi="Arial"/>
          <w:sz w:val="20"/>
          <w:szCs w:val="20"/>
          <w:color w:val="auto"/>
        </w:rPr>
      </w:pPr>
    </w:p>
    <w:p>
      <w:pPr>
        <w:jc w:val="both"/>
        <w:ind w:left="100" w:firstLine="653"/>
        <w:spacing w:after="0" w:line="243" w:lineRule="auto"/>
        <w:tabs>
          <w:tab w:leader="none" w:pos="1312" w:val="left"/>
        </w:tabs>
        <w:numPr>
          <w:ilvl w:val="1"/>
          <w:numId w:val="55"/>
        </w:numPr>
        <w:rPr>
          <w:rFonts w:ascii="Arial" w:cs="Arial" w:eastAsia="Arial" w:hAnsi="Arial"/>
          <w:sz w:val="20"/>
          <w:szCs w:val="20"/>
          <w:color w:val="auto"/>
        </w:rPr>
      </w:pPr>
      <w:r>
        <w:rPr>
          <w:rFonts w:ascii="Arial" w:cs="Arial" w:eastAsia="Arial" w:hAnsi="Arial"/>
          <w:sz w:val="20"/>
          <w:szCs w:val="20"/>
          <w:color w:val="auto"/>
        </w:rPr>
        <w:t xml:space="preserve">Each L/C Issuer shall act on behalf of the Revolver Lenders with respect to any L/C issued by it and the documents associated therewith, and such L/C Issuer shall have all of the benefits and immunities (A) provided to Administrative Agent in </w:t>
      </w:r>
      <w:r>
        <w:rPr>
          <w:rFonts w:ascii="Arial" w:cs="Arial" w:eastAsia="Arial" w:hAnsi="Arial"/>
          <w:sz w:val="20"/>
          <w:szCs w:val="20"/>
          <w:b w:val="1"/>
          <w:bCs w:val="1"/>
          <w:i w:val="1"/>
          <w:iCs w:val="1"/>
          <w:color w:val="auto"/>
        </w:rPr>
        <w:t>Section 14</w:t>
      </w:r>
      <w:r>
        <w:rPr>
          <w:rFonts w:ascii="Arial" w:cs="Arial" w:eastAsia="Arial" w:hAnsi="Arial"/>
          <w:sz w:val="20"/>
          <w:szCs w:val="20"/>
          <w:color w:val="auto"/>
        </w:rPr>
        <w:t xml:space="preserve"> with respect to any acts taken or omissions suffered by such L/C Issuer in connection with each L/C issued by it or proposed to be issued by it and L/C Agreements pertaining to such L/C as fully as if the term “</w:t>
      </w:r>
      <w:r>
        <w:rPr>
          <w:rFonts w:ascii="Arial" w:cs="Arial" w:eastAsia="Arial" w:hAnsi="Arial"/>
          <w:sz w:val="20"/>
          <w:szCs w:val="20"/>
          <w:i w:val="1"/>
          <w:iCs w:val="1"/>
          <w:color w:val="auto"/>
        </w:rPr>
        <w:t>Administrative Agent</w:t>
      </w:r>
      <w:r>
        <w:rPr>
          <w:rFonts w:ascii="Arial" w:cs="Arial" w:eastAsia="Arial" w:hAnsi="Arial"/>
          <w:sz w:val="20"/>
          <w:szCs w:val="20"/>
          <w:color w:val="auto"/>
        </w:rPr>
        <w:t xml:space="preserve">” as used in </w:t>
      </w:r>
      <w:r>
        <w:rPr>
          <w:rFonts w:ascii="Arial" w:cs="Arial" w:eastAsia="Arial" w:hAnsi="Arial"/>
          <w:sz w:val="20"/>
          <w:szCs w:val="20"/>
          <w:b w:val="1"/>
          <w:bCs w:val="1"/>
          <w:i w:val="1"/>
          <w:iCs w:val="1"/>
          <w:color w:val="auto"/>
        </w:rPr>
        <w:t>Section 14</w:t>
      </w:r>
      <w:r>
        <w:rPr>
          <w:rFonts w:ascii="Arial" w:cs="Arial" w:eastAsia="Arial" w:hAnsi="Arial"/>
          <w:sz w:val="20"/>
          <w:szCs w:val="20"/>
          <w:color w:val="auto"/>
        </w:rPr>
        <w:t xml:space="preserve"> included such L/C Issuer with respect to such acts or omissions, and (B) as additionally provided herein with respect to such L/C Issuer.</w:t>
      </w:r>
    </w:p>
    <w:p>
      <w:pPr>
        <w:spacing w:after="0" w:line="196" w:lineRule="exact"/>
        <w:rPr>
          <w:rFonts w:ascii="Arial" w:cs="Arial" w:eastAsia="Arial" w:hAnsi="Arial"/>
          <w:sz w:val="20"/>
          <w:szCs w:val="20"/>
          <w:color w:val="auto"/>
        </w:rPr>
      </w:pPr>
    </w:p>
    <w:p>
      <w:pPr>
        <w:ind w:left="540" w:hanging="435"/>
        <w:spacing w:after="0"/>
        <w:tabs>
          <w:tab w:leader="none" w:pos="540" w:val="left"/>
        </w:tabs>
        <w:numPr>
          <w:ilvl w:val="0"/>
          <w:numId w:val="56"/>
        </w:numPr>
        <w:rPr>
          <w:rFonts w:ascii="Arial" w:cs="Arial" w:eastAsia="Arial" w:hAnsi="Arial"/>
          <w:sz w:val="20"/>
          <w:szCs w:val="20"/>
          <w:color w:val="auto"/>
        </w:rPr>
      </w:pPr>
      <w:r>
        <w:rPr>
          <w:rFonts w:ascii="Arial" w:cs="Arial" w:eastAsia="Arial" w:hAnsi="Arial"/>
          <w:sz w:val="20"/>
          <w:szCs w:val="20"/>
          <w:b w:val="1"/>
          <w:bCs w:val="1"/>
          <w:i w:val="1"/>
          <w:iCs w:val="1"/>
          <w:color w:val="auto"/>
        </w:rPr>
        <w:t>Procedures for Issuance and Amendment of Letters of Credit: Auto-Extension Letters of Credit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00" w:firstLine="653"/>
        <w:spacing w:after="0" w:line="260" w:lineRule="auto"/>
        <w:tabs>
          <w:tab w:leader="none" w:pos="1133" w:val="left"/>
        </w:tabs>
        <w:numPr>
          <w:ilvl w:val="1"/>
          <w:numId w:val="56"/>
        </w:numPr>
        <w:rPr>
          <w:rFonts w:ascii="Arial" w:cs="Arial" w:eastAsia="Arial" w:hAnsi="Arial"/>
          <w:sz w:val="20"/>
          <w:szCs w:val="20"/>
          <w:color w:val="auto"/>
        </w:rPr>
      </w:pPr>
      <w:r>
        <w:rPr>
          <w:rFonts w:ascii="Arial" w:cs="Arial" w:eastAsia="Arial" w:hAnsi="Arial"/>
          <w:sz w:val="20"/>
          <w:szCs w:val="20"/>
          <w:color w:val="auto"/>
        </w:rPr>
        <w:t>Each L/C shall be issued or amended, as the case may be, upon the request of Borrower delivered to the applicable L/C Issuer (with a copy to Administrative Agent)</w:t>
      </w:r>
    </w:p>
    <w:p>
      <w:pPr>
        <w:spacing w:after="0" w:line="200" w:lineRule="exact"/>
        <w:rPr>
          <w:sz w:val="20"/>
          <w:szCs w:val="20"/>
          <w:color w:val="auto"/>
        </w:rPr>
      </w:pPr>
    </w:p>
    <w:p>
      <w:pPr>
        <w:spacing w:after="0" w:line="220"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0220"/>
          </w:cols>
          <w:pgMar w:left="1440" w:top="582" w:right="239" w:bottom="1440" w:gutter="0" w:footer="0" w:header="0"/>
        </w:sectPr>
      </w:pPr>
    </w:p>
    <w:bookmarkStart w:id="107" w:name="page108"/>
    <w:bookmarkEnd w:id="107"/>
    <w:p>
      <w:pPr>
        <w:jc w:val="both"/>
        <w:ind w:left="100"/>
        <w:spacing w:after="0" w:line="269" w:lineRule="auto"/>
        <w:rPr>
          <w:sz w:val="20"/>
          <w:szCs w:val="20"/>
          <w:color w:val="auto"/>
        </w:rPr>
      </w:pPr>
      <w:r>
        <w:rPr>
          <w:rFonts w:ascii="Arial" w:cs="Arial" w:eastAsia="Arial" w:hAnsi="Arial"/>
          <w:sz w:val="18"/>
          <w:szCs w:val="18"/>
          <w:color w:val="auto"/>
        </w:rPr>
        <w:t>in the form of an L/C Agreement, appropriately completed and signed by a Responsible Officer of Borrower. Such L/C Agreement may be sent by facsimile, by United States mail, by overnight courier, by electronic transmission using the system provided by the applicable L/C Issuer, by personal delivery or by any other means acceptable to the L/C Issuer. Such L/C Agreement must be received by the applicable L/C Issuer and Administrative Agent not later than 11:00 a.m. at least two Business Days (or such later date and time as the applicable L/C Issuer may agree in a particular instance in its sole discretion) prior to the proposed issuance date or date of amendment, as the case may be. In the case of a request for an initial issuance of an L/C, such L/C Agreement shall specify in form and detail satisfactory to the applicable L/C Issuer: (A) the proposed issuance date of the requested L/C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the purpose and nature of the requested L/C and such other matters as the applicable L/C Issuer (or, in the case of the Bond L/Cs, the applicable L/C Issuer or Administrative Agent) may require. In the case of a request for an amendment of any outstanding L/C, such L/C Agreement shall specify in form and detail satisfactory to the applicable L/C Issuer (A) the L/C to be amended; (B) the proposed date of amendment thereof (which shall be a Business Day); (C) the nature of the proposed amendment; and (D) such other matters as the applicable L/C Issuer (or, in the case of the Bond L/Cs, the applicable L/C Issuer or Administrative Agent) may require. Additionally, Borrower shall furnish to the applicable L/C Issuer and Administrative Agent such other documents and information pertaining to such requested L/C issuance or amendment, including any Issuer Documents, as such L/C Issuer or Administrative Agent may require.</w:t>
      </w:r>
    </w:p>
    <w:p>
      <w:pPr>
        <w:spacing w:after="0" w:line="173" w:lineRule="exact"/>
        <w:rPr>
          <w:sz w:val="20"/>
          <w:szCs w:val="20"/>
          <w:color w:val="auto"/>
        </w:rPr>
      </w:pPr>
    </w:p>
    <w:p>
      <w:pPr>
        <w:jc w:val="both"/>
        <w:ind w:left="100" w:firstLine="653"/>
        <w:spacing w:after="0" w:line="255" w:lineRule="auto"/>
        <w:tabs>
          <w:tab w:leader="none" w:pos="1222"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Promptly after receipt of any L/C Agreement, the applicable L/C Issuer will confirm with Administrative Agent (by telephone or in writing) that Administrative Agent has received a copy of such L/C Agreement from Borrower and, if not, such L/C Issuer will provide Administrative Agent with a copy thereof. Unless the applicable L/C Issuer has received written notice from any Revolver Lender, Administrative Agent or Borrower, at least one Business Day prior to the requested date of issuance or amendment of the applicable L/C, that one or more applicable conditions contained in </w:t>
      </w:r>
      <w:r>
        <w:rPr>
          <w:rFonts w:ascii="Arial" w:cs="Arial" w:eastAsia="Arial" w:hAnsi="Arial"/>
          <w:sz w:val="19"/>
          <w:szCs w:val="19"/>
          <w:b w:val="1"/>
          <w:bCs w:val="1"/>
          <w:i w:val="1"/>
          <w:iCs w:val="1"/>
          <w:color w:val="auto"/>
        </w:rPr>
        <w:t>Article VII</w:t>
      </w:r>
      <w:r>
        <w:rPr>
          <w:rFonts w:ascii="Arial" w:cs="Arial" w:eastAsia="Arial" w:hAnsi="Arial"/>
          <w:sz w:val="19"/>
          <w:szCs w:val="19"/>
          <w:color w:val="auto"/>
        </w:rPr>
        <w:t xml:space="preserve"> shall not be satisfied, then, subject to the terms and conditions hereof, such L/C Issuer shall, on the requested date, issue an L/C for the account of Borrower or enter into the applicable amendment, as the case may be, in each case in accordance with such L/C Issuer’s usual and customary business practices. Immediately upon the issuance of each L/C, each Revolver Lender shall be deemed to, and hereby irrevocably and unconditionally agrees to, purchase from the applicable L/C Issuer a risk participation in such L/C in an amount equal to the product of such Revolver Lender’s Commitment Percentage times the amount of such L/C.</w:t>
      </w:r>
    </w:p>
    <w:p>
      <w:pPr>
        <w:spacing w:after="0" w:line="187" w:lineRule="exact"/>
        <w:rPr>
          <w:rFonts w:ascii="Arial" w:cs="Arial" w:eastAsia="Arial" w:hAnsi="Arial"/>
          <w:sz w:val="19"/>
          <w:szCs w:val="19"/>
          <w:color w:val="auto"/>
        </w:rPr>
      </w:pPr>
    </w:p>
    <w:p>
      <w:pPr>
        <w:jc w:val="both"/>
        <w:ind w:left="100" w:firstLine="653"/>
        <w:spacing w:after="0" w:line="276" w:lineRule="auto"/>
        <w:tabs>
          <w:tab w:leader="none" w:pos="1253"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Borrower so requests in any applicable L/C Agreement, the applicable L/C Issuer may, in its sole and absolute discretion, agree to issue an L/C that has automatic extension provisions (each, an “</w:t>
      </w:r>
      <w:r>
        <w:rPr>
          <w:rFonts w:ascii="Arial" w:cs="Arial" w:eastAsia="Arial" w:hAnsi="Arial"/>
          <w:sz w:val="18"/>
          <w:szCs w:val="18"/>
          <w:b w:val="1"/>
          <w:bCs w:val="1"/>
          <w:i w:val="1"/>
          <w:iCs w:val="1"/>
          <w:color w:val="auto"/>
        </w:rPr>
        <w:t>Auto-Extension L/C</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such Auto-Extension L/C must permit the applicable L/C Issuer to prevent any such extension at least once in each twelve-month period (commencing with the date of issuance of such L/C) by giving prior notice to the beneficiary thereof not later than a day (the “</w:t>
      </w:r>
      <w:r>
        <w:rPr>
          <w:rFonts w:ascii="Arial" w:cs="Arial" w:eastAsia="Arial" w:hAnsi="Arial"/>
          <w:sz w:val="18"/>
          <w:szCs w:val="18"/>
          <w:b w:val="1"/>
          <w:bCs w:val="1"/>
          <w:i w:val="1"/>
          <w:iCs w:val="1"/>
          <w:color w:val="auto"/>
        </w:rPr>
        <w:t>Nonextension Notice Date</w:t>
      </w:r>
      <w:r>
        <w:rPr>
          <w:rFonts w:ascii="Arial" w:cs="Arial" w:eastAsia="Arial" w:hAnsi="Arial"/>
          <w:sz w:val="18"/>
          <w:szCs w:val="18"/>
          <w:color w:val="auto"/>
        </w:rPr>
        <w:t>”) in each such twelve-month period to be agreed upon at the time such L/C is issued. Unless otherwise directed by the applicable L/C Issuer, Borrower shall not be required to</w:t>
      </w:r>
    </w:p>
    <w:p>
      <w:pPr>
        <w:spacing w:after="0" w:line="200" w:lineRule="exact"/>
        <w:rPr>
          <w:sz w:val="20"/>
          <w:szCs w:val="20"/>
          <w:color w:val="auto"/>
        </w:rPr>
      </w:pPr>
    </w:p>
    <w:p>
      <w:pPr>
        <w:spacing w:after="0" w:line="209"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0220"/>
          </w:cols>
          <w:pgMar w:left="1440" w:top="582" w:right="239" w:bottom="1440" w:gutter="0" w:footer="0" w:header="0"/>
        </w:sectPr>
      </w:pPr>
    </w:p>
    <w:bookmarkStart w:id="108" w:name="page109"/>
    <w:bookmarkEnd w:id="108"/>
    <w:p>
      <w:pPr>
        <w:jc w:val="both"/>
        <w:ind w:left="100"/>
        <w:spacing w:after="0" w:line="271" w:lineRule="auto"/>
        <w:rPr>
          <w:sz w:val="20"/>
          <w:szCs w:val="20"/>
          <w:color w:val="auto"/>
        </w:rPr>
      </w:pPr>
      <w:r>
        <w:rPr>
          <w:rFonts w:ascii="Arial" w:cs="Arial" w:eastAsia="Arial" w:hAnsi="Arial"/>
          <w:sz w:val="18"/>
          <w:szCs w:val="18"/>
          <w:color w:val="auto"/>
        </w:rPr>
        <w:t xml:space="preserve">make a specific request to such L/C Issuer for any such extension. Once an Auto-Extension L/C has been issued, Revolver Lenders shall be deemed to have authorized (but may not require) the applicable L/C Issuer to permit the extension of such L/C at any time to an expiry date not later than the L/C Expiration Date;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applicable L/C Issuer shall not permit any such extension if (A) such L/C Issuer has determined that it would not be permitted, or would have no obligation at such time to issue such L/C in its revised form (as extended) under the terms hereof (by reason of the provisions of </w:t>
      </w:r>
      <w:r>
        <w:rPr>
          <w:rFonts w:ascii="Arial" w:cs="Arial" w:eastAsia="Arial" w:hAnsi="Arial"/>
          <w:sz w:val="18"/>
          <w:szCs w:val="18"/>
          <w:b w:val="1"/>
          <w:bCs w:val="1"/>
          <w:i w:val="1"/>
          <w:i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2.3(a)(ii)</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Section 2.3(a)(iii) </w:t>
      </w:r>
      <w:r>
        <w:rPr>
          <w:rFonts w:ascii="Arial" w:cs="Arial" w:eastAsia="Arial" w:hAnsi="Arial"/>
          <w:sz w:val="18"/>
          <w:szCs w:val="18"/>
          <w:color w:val="auto"/>
        </w:rPr>
        <w:t>or otherwise), or (B) it has received notice (which may be by telephone or in writing) on or before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day that is seven Business Days before the Nonextension Notice Date (1) from Administrative Agent that Required Revolver Lenders have elected not to permit such extension or (2) from Administrative Agent, any Revolver Lender, or Borrower that one or more of the applicable conditions specified in </w:t>
      </w:r>
      <w:r>
        <w:rPr>
          <w:rFonts w:ascii="Arial" w:cs="Arial" w:eastAsia="Arial" w:hAnsi="Arial"/>
          <w:sz w:val="18"/>
          <w:szCs w:val="18"/>
          <w:b w:val="1"/>
          <w:bCs w:val="1"/>
          <w:i w:val="1"/>
          <w:iCs w:val="1"/>
          <w:color w:val="auto"/>
        </w:rPr>
        <w:t>Section 7.2</w:t>
      </w:r>
      <w:r>
        <w:rPr>
          <w:rFonts w:ascii="Arial" w:cs="Arial" w:eastAsia="Arial" w:hAnsi="Arial"/>
          <w:sz w:val="18"/>
          <w:szCs w:val="18"/>
          <w:color w:val="auto"/>
        </w:rPr>
        <w:t xml:space="preserve"> is not then satisfied, and in each such case directing the applicable L/C Issuer not to permit such extension.</w:t>
      </w:r>
    </w:p>
    <w:p>
      <w:pPr>
        <w:spacing w:after="0" w:line="175" w:lineRule="exact"/>
        <w:rPr>
          <w:sz w:val="20"/>
          <w:szCs w:val="20"/>
          <w:color w:val="auto"/>
        </w:rPr>
      </w:pPr>
    </w:p>
    <w:p>
      <w:pPr>
        <w:jc w:val="both"/>
        <w:ind w:left="100" w:firstLine="653"/>
        <w:spacing w:after="0" w:line="250" w:lineRule="auto"/>
        <w:tabs>
          <w:tab w:leader="none" w:pos="1238" w:val="left"/>
        </w:tabs>
        <w:numPr>
          <w:ilvl w:val="1"/>
          <w:numId w:val="58"/>
        </w:numPr>
        <w:rPr>
          <w:rFonts w:ascii="Arial" w:cs="Arial" w:eastAsia="Arial" w:hAnsi="Arial"/>
          <w:sz w:val="20"/>
          <w:szCs w:val="20"/>
          <w:color w:val="auto"/>
        </w:rPr>
      </w:pPr>
      <w:r>
        <w:rPr>
          <w:rFonts w:ascii="Arial" w:cs="Arial" w:eastAsia="Arial" w:hAnsi="Arial"/>
          <w:sz w:val="20"/>
          <w:szCs w:val="20"/>
          <w:color w:val="auto"/>
        </w:rPr>
        <w:t>Promptly after its delivery of any L/C or any amendment to an L/C to an advising bank with respect thereto or to the beneficiary thereof, the applicable L/C Issuer will also deliver to Borrower and Administrative Agent a true and complete copy of such L/C or amendment.</w:t>
      </w:r>
    </w:p>
    <w:p>
      <w:pPr>
        <w:spacing w:after="0" w:line="186" w:lineRule="exact"/>
        <w:rPr>
          <w:rFonts w:ascii="Arial" w:cs="Arial" w:eastAsia="Arial" w:hAnsi="Arial"/>
          <w:sz w:val="20"/>
          <w:szCs w:val="20"/>
          <w:color w:val="auto"/>
        </w:rPr>
      </w:pPr>
    </w:p>
    <w:p>
      <w:pPr>
        <w:ind w:left="520" w:hanging="415"/>
        <w:spacing w:after="0"/>
        <w:tabs>
          <w:tab w:leader="none" w:pos="520" w:val="left"/>
        </w:tabs>
        <w:numPr>
          <w:ilvl w:val="0"/>
          <w:numId w:val="59"/>
        </w:numPr>
        <w:rPr>
          <w:rFonts w:ascii="Arial" w:cs="Arial" w:eastAsia="Arial" w:hAnsi="Arial"/>
          <w:sz w:val="20"/>
          <w:szCs w:val="20"/>
          <w:color w:val="auto"/>
        </w:rPr>
      </w:pPr>
      <w:r>
        <w:rPr>
          <w:rFonts w:ascii="Arial" w:cs="Arial" w:eastAsia="Arial" w:hAnsi="Arial"/>
          <w:sz w:val="20"/>
          <w:szCs w:val="20"/>
          <w:b w:val="1"/>
          <w:bCs w:val="1"/>
          <w:i w:val="1"/>
          <w:iCs w:val="1"/>
          <w:color w:val="auto"/>
        </w:rPr>
        <w:t>Drawings and Reimbursements; Funding of Participations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00" w:firstLine="653"/>
        <w:spacing w:after="0" w:line="268" w:lineRule="auto"/>
        <w:tabs>
          <w:tab w:leader="none" w:pos="1222" w:val="left"/>
        </w:tabs>
        <w:numPr>
          <w:ilvl w:val="1"/>
          <w:numId w:val="59"/>
        </w:numPr>
        <w:rPr>
          <w:rFonts w:ascii="Arial" w:cs="Arial" w:eastAsia="Arial" w:hAnsi="Arial"/>
          <w:sz w:val="18"/>
          <w:szCs w:val="18"/>
          <w:color w:val="auto"/>
        </w:rPr>
      </w:pPr>
      <w:r>
        <w:rPr>
          <w:rFonts w:ascii="Arial" w:cs="Arial" w:eastAsia="Arial" w:hAnsi="Arial"/>
          <w:sz w:val="18"/>
          <w:szCs w:val="18"/>
          <w:color w:val="auto"/>
        </w:rPr>
        <w:t>Upon receipt from the beneficiary of any L/C of any notice of a drawing under such L/C, the applicable L/C Issuer shall notify Borrower and Administrative Agent thereof. In the case of an L/C denominated in the Alternative Currency, Borrower shall reimburse the Australian L/C Issuer in the Alternative Currency, unless (A) the Australian L/C Issuer (at its option) shall have specified in such notice that it will require reimbursement in Dollars, or (B) in the absence of any such requirement for reimbursement in Dollars, Borrower shall have notified the Australian L/C Issuer promptly following receipt of the notice of drawing that Borrower will reimburse the Australian L/C Issuer in Dollars. In the case of any such reimbursement in Dollars of a drawing under an L/C denominated in the Alternative Currency, the Australian L/C Issuer shall notify Borrower of the Dollar Equivalent of the amount of the drawing promptly following the determination thereof. Not later than 11:00 a.m. on the date of any payment by the applicable L/C Issuer under an L/C to be reimbursed in Dollars, or the Applicable Time on the date of any payment by the Australian L/C Issuer under an L/C to be reimbursed in the Alternative Currency (each such date, an “</w:t>
      </w:r>
      <w:r>
        <w:rPr>
          <w:rFonts w:ascii="Arial" w:cs="Arial" w:eastAsia="Arial" w:hAnsi="Arial"/>
          <w:sz w:val="18"/>
          <w:szCs w:val="18"/>
          <w:b w:val="1"/>
          <w:bCs w:val="1"/>
          <w:i w:val="1"/>
          <w:iCs w:val="1"/>
          <w:color w:val="auto"/>
        </w:rPr>
        <w:t>Honor Date</w:t>
      </w:r>
      <w:r>
        <w:rPr>
          <w:rFonts w:ascii="Arial" w:cs="Arial" w:eastAsia="Arial" w:hAnsi="Arial"/>
          <w:sz w:val="18"/>
          <w:szCs w:val="18"/>
          <w:color w:val="auto"/>
        </w:rPr>
        <w:t xml:space="preserve">”), Borrower shall reimburse such L/C Issuer through Administrative Agent in an amount equal to the amount of such drawing and in the applicable currency. In the event that (A) a drawing denominated in the Alternative Currency is to be reimbursed in Dollars pursuant to the second sentence in this </w:t>
      </w:r>
      <w:r>
        <w:rPr>
          <w:rFonts w:ascii="Arial" w:cs="Arial" w:eastAsia="Arial" w:hAnsi="Arial"/>
          <w:sz w:val="18"/>
          <w:szCs w:val="18"/>
          <w:b w:val="1"/>
          <w:bCs w:val="1"/>
          <w:i w:val="1"/>
          <w:iCs w:val="1"/>
          <w:color w:val="auto"/>
        </w:rPr>
        <w:t>Section 2.3(c)(i)</w:t>
      </w:r>
      <w:r>
        <w:rPr>
          <w:rFonts w:ascii="Arial" w:cs="Arial" w:eastAsia="Arial" w:hAnsi="Arial"/>
          <w:sz w:val="18"/>
          <w:szCs w:val="18"/>
          <w:color w:val="auto"/>
        </w:rPr>
        <w:t xml:space="preserve"> and (B) the Dollar amount paid by Borrower, whether on or after the Honor Date, shall not be adequate on the date of that payment to purchase in accordance with normal banking procedures a sum denominated in the Alternative Currency equal to the drawing, Borrower agrees, as a separate and independent obligation, to indemnify the Australian L/C Issuer for the loss resulting from its inability on that date to purchase the Alternative Currency in the full amount of the drawing. If Borrower fails to so reimburse such L/C Issuer by such time, Administrative Agent shall promptly notify each Revolver Lender of the Honor Date, the amount of the unreimbursed drawing (expressed in Dollars in the amount of the Dollar Equivalent thereof in the case of an L/C denominated in the Alternative Currency) (the “</w:t>
      </w:r>
      <w:r>
        <w:rPr>
          <w:rFonts w:ascii="Arial" w:cs="Arial" w:eastAsia="Arial" w:hAnsi="Arial"/>
          <w:sz w:val="18"/>
          <w:szCs w:val="18"/>
          <w:b w:val="1"/>
          <w:bCs w:val="1"/>
          <w:i w:val="1"/>
          <w:iCs w:val="1"/>
          <w:color w:val="auto"/>
        </w:rPr>
        <w:t>Unreimbursed</w:t>
      </w:r>
    </w:p>
    <w:p>
      <w:pPr>
        <w:spacing w:after="0" w:line="200" w:lineRule="exact"/>
        <w:rPr>
          <w:sz w:val="20"/>
          <w:szCs w:val="20"/>
          <w:color w:val="auto"/>
        </w:rPr>
      </w:pPr>
    </w:p>
    <w:p>
      <w:pPr>
        <w:spacing w:after="0" w:line="228"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0220"/>
          </w:cols>
          <w:pgMar w:left="1440" w:top="582" w:right="239" w:bottom="1440" w:gutter="0" w:footer="0" w:header="0"/>
        </w:sectPr>
      </w:pPr>
    </w:p>
    <w:bookmarkStart w:id="109" w:name="page110"/>
    <w:bookmarkEnd w:id="109"/>
    <w:p>
      <w:pPr>
        <w:jc w:val="both"/>
        <w:ind w:left="100"/>
        <w:spacing w:after="0" w:line="274" w:lineRule="auto"/>
        <w:rPr>
          <w:sz w:val="20"/>
          <w:szCs w:val="20"/>
          <w:color w:val="auto"/>
        </w:rPr>
      </w:pPr>
      <w:r>
        <w:rPr>
          <w:rFonts w:ascii="Arial" w:cs="Arial" w:eastAsia="Arial" w:hAnsi="Arial"/>
          <w:sz w:val="18"/>
          <w:szCs w:val="18"/>
          <w:b w:val="1"/>
          <w:bCs w:val="1"/>
          <w:i w:val="1"/>
          <w:iCs w:val="1"/>
          <w:color w:val="auto"/>
        </w:rPr>
        <w:t>Amount</w:t>
      </w:r>
      <w:r>
        <w:rPr>
          <w:rFonts w:ascii="Arial" w:cs="Arial" w:eastAsia="Arial" w:hAnsi="Arial"/>
          <w:sz w:val="18"/>
          <w:szCs w:val="18"/>
          <w:color w:val="auto"/>
        </w:rPr>
        <w:t>”), and the amount of such Revolver Lender’s Commitment Percentage thereof. In such event, Borrower shall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deemed to have requested a Base Rate Loan hereunder to be disbursed on the Honor Date in an amount equal to the Unreimbursed Amount, without regard to the minimum and multiples specified in </w:t>
      </w:r>
      <w:r>
        <w:rPr>
          <w:rFonts w:ascii="Arial" w:cs="Arial" w:eastAsia="Arial" w:hAnsi="Arial"/>
          <w:sz w:val="18"/>
          <w:szCs w:val="18"/>
          <w:b w:val="1"/>
          <w:bCs w:val="1"/>
          <w:i w:val="1"/>
          <w:iCs w:val="1"/>
          <w:color w:val="auto"/>
        </w:rPr>
        <w:t>Section 2.1</w:t>
      </w:r>
      <w:r>
        <w:rPr>
          <w:rFonts w:ascii="Arial" w:cs="Arial" w:eastAsia="Arial" w:hAnsi="Arial"/>
          <w:sz w:val="18"/>
          <w:szCs w:val="18"/>
          <w:color w:val="auto"/>
        </w:rPr>
        <w:t xml:space="preserve"> for the principal amount of Base Rate Loans, but subject to the amount of the unutilized portion of the Revolver Commitment and the conditions set forth in </w:t>
      </w:r>
      <w:r>
        <w:rPr>
          <w:rFonts w:ascii="Arial" w:cs="Arial" w:eastAsia="Arial" w:hAnsi="Arial"/>
          <w:sz w:val="18"/>
          <w:szCs w:val="18"/>
          <w:b w:val="1"/>
          <w:bCs w:val="1"/>
          <w:i w:val="1"/>
          <w:iCs w:val="1"/>
          <w:color w:val="auto"/>
        </w:rPr>
        <w:t xml:space="preserve">Section 7.2 </w:t>
      </w:r>
      <w:r>
        <w:rPr>
          <w:rFonts w:ascii="Arial" w:cs="Arial" w:eastAsia="Arial" w:hAnsi="Arial"/>
          <w:sz w:val="18"/>
          <w:szCs w:val="18"/>
          <w:color w:val="auto"/>
        </w:rPr>
        <w:t>(other than the delivery of a Loan Notice). Any notice given by any L/C Issuer or Administrative Agent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this </w:t>
      </w:r>
      <w:r>
        <w:rPr>
          <w:rFonts w:ascii="Arial" w:cs="Arial" w:eastAsia="Arial" w:hAnsi="Arial"/>
          <w:sz w:val="18"/>
          <w:szCs w:val="18"/>
          <w:b w:val="1"/>
          <w:bCs w:val="1"/>
          <w:i w:val="1"/>
          <w:iCs w:val="1"/>
          <w:color w:val="auto"/>
        </w:rPr>
        <w:t>Section 2.3(c)(i)</w:t>
      </w:r>
      <w:r>
        <w:rPr>
          <w:rFonts w:ascii="Arial" w:cs="Arial" w:eastAsia="Arial" w:hAnsi="Arial"/>
          <w:sz w:val="18"/>
          <w:szCs w:val="18"/>
          <w:color w:val="auto"/>
        </w:rPr>
        <w:t xml:space="preserve"> may be given by telephone if immediately confirmed in writing;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lack of such an immediate confirmation shall not affect the conclusiveness or binding effect of such notice.</w:t>
      </w:r>
    </w:p>
    <w:p>
      <w:pPr>
        <w:spacing w:after="0" w:line="169" w:lineRule="exact"/>
        <w:rPr>
          <w:sz w:val="20"/>
          <w:szCs w:val="20"/>
          <w:color w:val="auto"/>
        </w:rPr>
      </w:pPr>
    </w:p>
    <w:p>
      <w:pPr>
        <w:jc w:val="both"/>
        <w:ind w:left="100" w:firstLine="653"/>
        <w:spacing w:after="0" w:line="258" w:lineRule="auto"/>
        <w:tabs>
          <w:tab w:leader="none" w:pos="1198"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Each Revolver Lender (including any Revolver Lender acting as an L/C Issuer) shall upon any notice pursuant to </w:t>
      </w:r>
      <w:r>
        <w:rPr>
          <w:rFonts w:ascii="Arial" w:cs="Arial" w:eastAsia="Arial" w:hAnsi="Arial"/>
          <w:sz w:val="19"/>
          <w:szCs w:val="19"/>
          <w:b w:val="1"/>
          <w:bCs w:val="1"/>
          <w:i w:val="1"/>
          <w:iCs w:val="1"/>
          <w:color w:val="auto"/>
        </w:rPr>
        <w:t xml:space="preserve">Section 2.3(c)(i) </w:t>
      </w:r>
      <w:r>
        <w:rPr>
          <w:rFonts w:ascii="Arial" w:cs="Arial" w:eastAsia="Arial" w:hAnsi="Arial"/>
          <w:sz w:val="19"/>
          <w:szCs w:val="19"/>
          <w:color w:val="auto"/>
        </w:rPr>
        <w:t>make funds available (and Administrative Agent may apply Cash Collateral provided for this purpose) for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account of the applicable L/C Issuer in Dollars at Administrative Agent’s Office in an amount equal to its Commitment Percentage of the Unreimbursed Amount not later than 1:00 p.m. on the Business Day specified in such notice by Administrative Agent; whereupon, subject to the provisions of </w:t>
      </w:r>
      <w:r>
        <w:rPr>
          <w:rFonts w:ascii="Arial" w:cs="Arial" w:eastAsia="Arial" w:hAnsi="Arial"/>
          <w:sz w:val="19"/>
          <w:szCs w:val="19"/>
          <w:b w:val="1"/>
          <w:bCs w:val="1"/>
          <w:i w:val="1"/>
          <w:iCs w:val="1"/>
          <w:color w:val="auto"/>
        </w:rPr>
        <w:t>Section 2.3(c)(iii)</w:t>
      </w:r>
      <w:r>
        <w:rPr>
          <w:rFonts w:ascii="Arial" w:cs="Arial" w:eastAsia="Arial" w:hAnsi="Arial"/>
          <w:sz w:val="19"/>
          <w:szCs w:val="19"/>
          <w:color w:val="auto"/>
        </w:rPr>
        <w:t>, each Revolver Lender that so makes funds available shall be deemed to have made a Base Rate Loan hereunder to Borrower in such amount. Administrative Agent shall remit the funds so received to the applicable L/C Issuer in Dollars.</w:t>
      </w:r>
    </w:p>
    <w:p>
      <w:pPr>
        <w:spacing w:after="0" w:line="179" w:lineRule="exact"/>
        <w:rPr>
          <w:rFonts w:ascii="Arial" w:cs="Arial" w:eastAsia="Arial" w:hAnsi="Arial"/>
          <w:sz w:val="19"/>
          <w:szCs w:val="19"/>
          <w:color w:val="auto"/>
        </w:rPr>
      </w:pPr>
    </w:p>
    <w:p>
      <w:pPr>
        <w:jc w:val="both"/>
        <w:ind w:left="100" w:firstLine="653"/>
        <w:spacing w:after="0" w:line="243" w:lineRule="auto"/>
        <w:tabs>
          <w:tab w:leader="none" w:pos="1407" w:val="left"/>
        </w:tabs>
        <w:numPr>
          <w:ilvl w:val="0"/>
          <w:numId w:val="60"/>
        </w:numPr>
        <w:rPr>
          <w:rFonts w:ascii="Arial" w:cs="Arial" w:eastAsia="Arial" w:hAnsi="Arial"/>
          <w:sz w:val="20"/>
          <w:szCs w:val="20"/>
          <w:color w:val="auto"/>
        </w:rPr>
      </w:pPr>
      <w:r>
        <w:rPr>
          <w:rFonts w:ascii="Arial" w:cs="Arial" w:eastAsia="Arial" w:hAnsi="Arial"/>
          <w:sz w:val="20"/>
          <w:szCs w:val="20"/>
          <w:color w:val="auto"/>
        </w:rPr>
        <w:t xml:space="preserve">With respect to any Unreimbursed Amount that is not fully refinanced by a Revolver Loan because the conditions set forth in </w:t>
      </w:r>
      <w:r>
        <w:rPr>
          <w:rFonts w:ascii="Arial" w:cs="Arial" w:eastAsia="Arial" w:hAnsi="Arial"/>
          <w:sz w:val="20"/>
          <w:szCs w:val="20"/>
          <w:b w:val="1"/>
          <w:bCs w:val="1"/>
          <w:i w:val="1"/>
          <w:iCs w:val="1"/>
          <w:color w:val="auto"/>
        </w:rPr>
        <w:t>Section 7.2</w:t>
      </w:r>
      <w:r>
        <w:rPr>
          <w:rFonts w:ascii="Arial" w:cs="Arial" w:eastAsia="Arial" w:hAnsi="Arial"/>
          <w:sz w:val="20"/>
          <w:szCs w:val="20"/>
          <w:color w:val="auto"/>
        </w:rPr>
        <w:t xml:space="preserve"> cannot be satisfied or for any other reason, Borrower shall be deemed to have incurred from the applicable L/C Issuer an L/C Borrowing in the amount of the Unreimbursed Amount that is not so refinanced, which L/C Borrowing shall be due and payable on demand (together with interest) and shall bear interest at the Default Rate. In such event, each Revolver Lender’s payment to Administrative Agent for the account of the applicable L/C Issuer pursuant to </w:t>
      </w:r>
      <w:r>
        <w:rPr>
          <w:rFonts w:ascii="Arial" w:cs="Arial" w:eastAsia="Arial" w:hAnsi="Arial"/>
          <w:sz w:val="20"/>
          <w:szCs w:val="20"/>
          <w:b w:val="1"/>
          <w:bCs w:val="1"/>
          <w:i w:val="1"/>
          <w:iCs w:val="1"/>
          <w:color w:val="auto"/>
        </w:rPr>
        <w:t xml:space="preserve">Section 2.3(c)(ii) </w:t>
      </w:r>
      <w:r>
        <w:rPr>
          <w:rFonts w:ascii="Arial" w:cs="Arial" w:eastAsia="Arial" w:hAnsi="Arial"/>
          <w:sz w:val="20"/>
          <w:szCs w:val="20"/>
          <w:color w:val="auto"/>
        </w:rPr>
        <w:t>shall be deemed payment in respect of its participation in such L/C Borrowing in satisfaction of its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participation obligation under this </w:t>
      </w:r>
      <w:r>
        <w:rPr>
          <w:rFonts w:ascii="Arial" w:cs="Arial" w:eastAsia="Arial" w:hAnsi="Arial"/>
          <w:sz w:val="20"/>
          <w:szCs w:val="20"/>
          <w:b w:val="1"/>
          <w:bCs w:val="1"/>
          <w:i w:val="1"/>
          <w:iCs w:val="1"/>
          <w:color w:val="auto"/>
        </w:rPr>
        <w:t>Section 2.3</w:t>
      </w:r>
      <w:r>
        <w:rPr>
          <w:rFonts w:ascii="Arial" w:cs="Arial" w:eastAsia="Arial" w:hAnsi="Arial"/>
          <w:sz w:val="20"/>
          <w:szCs w:val="20"/>
          <w:color w:val="auto"/>
        </w:rPr>
        <w:t>.</w:t>
      </w:r>
    </w:p>
    <w:p>
      <w:pPr>
        <w:spacing w:after="0" w:line="193" w:lineRule="exact"/>
        <w:rPr>
          <w:rFonts w:ascii="Arial" w:cs="Arial" w:eastAsia="Arial" w:hAnsi="Arial"/>
          <w:sz w:val="20"/>
          <w:szCs w:val="20"/>
          <w:color w:val="auto"/>
        </w:rPr>
      </w:pPr>
    </w:p>
    <w:p>
      <w:pPr>
        <w:jc w:val="both"/>
        <w:ind w:left="100" w:firstLine="653"/>
        <w:spacing w:after="0" w:line="291" w:lineRule="auto"/>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Until each Revolver Lender funds its portion of a Revolver Loan or participation in an L/C Borrowing pursuant to this </w:t>
      </w:r>
      <w:r>
        <w:rPr>
          <w:rFonts w:ascii="Arial" w:cs="Arial" w:eastAsia="Arial" w:hAnsi="Arial"/>
          <w:sz w:val="18"/>
          <w:szCs w:val="18"/>
          <w:b w:val="1"/>
          <w:bCs w:val="1"/>
          <w:i w:val="1"/>
          <w:iCs w:val="1"/>
          <w:color w:val="auto"/>
        </w:rPr>
        <w:t>Section 2.3(c</w:t>
      </w:r>
      <w:r>
        <w:rPr>
          <w:rFonts w:ascii="Arial" w:cs="Arial" w:eastAsia="Arial" w:hAnsi="Arial"/>
          <w:sz w:val="18"/>
          <w:szCs w:val="18"/>
          <w:b w:val="1"/>
          <w:bCs w:val="1"/>
          <w:color w:val="auto"/>
        </w:rPr>
        <w:t>)</w:t>
      </w:r>
      <w:r>
        <w:rPr>
          <w:rFonts w:ascii="Arial" w:cs="Arial" w:eastAsia="Arial" w:hAnsi="Arial"/>
          <w:sz w:val="18"/>
          <w:szCs w:val="18"/>
          <w:color w:val="auto"/>
        </w:rPr>
        <w:t xml:space="preserve"> to reimburse the applicable L/C Issuer for any amount drawn under any L/C, interest in respect of such Revolver Lender’s Commitment Percentage of such amount shall be solely for the account of the applicable L/C Issuer.</w:t>
      </w:r>
    </w:p>
    <w:p>
      <w:pPr>
        <w:spacing w:after="0" w:line="151" w:lineRule="exact"/>
        <w:rPr>
          <w:rFonts w:ascii="Arial" w:cs="Arial" w:eastAsia="Arial" w:hAnsi="Arial"/>
          <w:sz w:val="18"/>
          <w:szCs w:val="18"/>
          <w:color w:val="auto"/>
        </w:rPr>
      </w:pPr>
    </w:p>
    <w:p>
      <w:pPr>
        <w:jc w:val="both"/>
        <w:ind w:left="100" w:firstLine="653"/>
        <w:spacing w:after="0" w:line="272" w:lineRule="auto"/>
        <w:tabs>
          <w:tab w:leader="none" w:pos="1279"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Each Revolver Lender’s obligation to reimburse the L/C Issuers for amounts drawn under L/Cs (whether by making a Revolver Loans or funding its participation in an L/C Borrowing), as contemplated by this </w:t>
      </w:r>
      <w:r>
        <w:rPr>
          <w:rFonts w:ascii="Arial" w:cs="Arial" w:eastAsia="Arial" w:hAnsi="Arial"/>
          <w:sz w:val="18"/>
          <w:szCs w:val="18"/>
          <w:b w:val="1"/>
          <w:bCs w:val="1"/>
          <w:i w:val="1"/>
          <w:iCs w:val="1"/>
          <w:color w:val="auto"/>
        </w:rPr>
        <w:t>Section 2.3(c)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Revolver Lender may have against the applicable L/C Issuer, Borrower, or any other Person for any reason whatsoever; (B) the occurrence or continuance of a Default or Potential Default, or (C) any other occurrence, event or condition, whether or not similar to any of the foregoing;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each Revolver Lender’s obligation to make Revolver Loans pursuant to this </w:t>
      </w:r>
      <w:r>
        <w:rPr>
          <w:rFonts w:ascii="Arial" w:cs="Arial" w:eastAsia="Arial" w:hAnsi="Arial"/>
          <w:sz w:val="18"/>
          <w:szCs w:val="18"/>
          <w:b w:val="1"/>
          <w:bCs w:val="1"/>
          <w:i w:val="1"/>
          <w:iCs w:val="1"/>
          <w:color w:val="auto"/>
        </w:rPr>
        <w:t>Section 2.3(c)</w:t>
      </w:r>
      <w:r>
        <w:rPr>
          <w:rFonts w:ascii="Arial" w:cs="Arial" w:eastAsia="Arial" w:hAnsi="Arial"/>
          <w:sz w:val="18"/>
          <w:szCs w:val="18"/>
          <w:color w:val="auto"/>
        </w:rPr>
        <w:t xml:space="preserve"> is subject to the conditions set forth in </w:t>
      </w:r>
      <w:r>
        <w:rPr>
          <w:rFonts w:ascii="Arial" w:cs="Arial" w:eastAsia="Arial" w:hAnsi="Arial"/>
          <w:sz w:val="18"/>
          <w:szCs w:val="18"/>
          <w:b w:val="1"/>
          <w:bCs w:val="1"/>
          <w:i w:val="1"/>
          <w:iCs w:val="1"/>
          <w:color w:val="auto"/>
        </w:rPr>
        <w:t>Section 7.2</w:t>
      </w:r>
      <w:r>
        <w:rPr>
          <w:rFonts w:ascii="Arial" w:cs="Arial" w:eastAsia="Arial" w:hAnsi="Arial"/>
          <w:sz w:val="18"/>
          <w:szCs w:val="18"/>
          <w:color w:val="auto"/>
        </w:rPr>
        <w:t xml:space="preserve"> (other than delivery by Borrower of a Loan Notice). No funding of a participation in an L/C Borrowing shall relieve or otherwise impair the obligation of Borrower to reimburse the applicable L/C Issuer for the amount of</w:t>
      </w:r>
    </w:p>
    <w:p>
      <w:pPr>
        <w:spacing w:after="0" w:line="200" w:lineRule="exact"/>
        <w:rPr>
          <w:sz w:val="20"/>
          <w:szCs w:val="20"/>
          <w:color w:val="auto"/>
        </w:rPr>
      </w:pPr>
    </w:p>
    <w:p>
      <w:pPr>
        <w:spacing w:after="0" w:line="214"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0220"/>
          </w:cols>
          <w:pgMar w:left="1440" w:top="582" w:right="239" w:bottom="1440" w:gutter="0" w:footer="0" w:header="0"/>
        </w:sectPr>
      </w:pPr>
    </w:p>
    <w:bookmarkStart w:id="110" w:name="page111"/>
    <w:bookmarkEnd w:id="110"/>
    <w:p>
      <w:pPr>
        <w:ind w:left="100"/>
        <w:spacing w:after="0"/>
        <w:rPr>
          <w:sz w:val="20"/>
          <w:szCs w:val="20"/>
          <w:color w:val="auto"/>
        </w:rPr>
      </w:pPr>
      <w:r>
        <w:rPr>
          <w:rFonts w:ascii="Arial" w:cs="Arial" w:eastAsia="Arial" w:hAnsi="Arial"/>
          <w:sz w:val="20"/>
          <w:szCs w:val="20"/>
          <w:color w:val="auto"/>
        </w:rPr>
        <w:t>any payment made by such L/C Issuer under any L/C, together with interest as provided herein.</w:t>
      </w:r>
    </w:p>
    <w:p>
      <w:pPr>
        <w:spacing w:after="0" w:line="216" w:lineRule="exact"/>
        <w:rPr>
          <w:sz w:val="20"/>
          <w:szCs w:val="20"/>
          <w:color w:val="auto"/>
        </w:rPr>
      </w:pPr>
    </w:p>
    <w:p>
      <w:pPr>
        <w:jc w:val="both"/>
        <w:ind w:left="100" w:firstLine="653"/>
        <w:spacing w:after="0" w:line="308" w:lineRule="auto"/>
        <w:tabs>
          <w:tab w:leader="none" w:pos="1299" w:val="left"/>
        </w:tabs>
        <w:numPr>
          <w:ilvl w:val="1"/>
          <w:numId w:val="61"/>
        </w:numPr>
        <w:rPr>
          <w:rFonts w:ascii="Arial" w:cs="Arial" w:eastAsia="Arial" w:hAnsi="Arial"/>
          <w:sz w:val="16"/>
          <w:szCs w:val="16"/>
          <w:color w:val="auto"/>
        </w:rPr>
      </w:pPr>
      <w:r>
        <w:rPr>
          <w:rFonts w:ascii="Arial" w:cs="Arial" w:eastAsia="Arial" w:hAnsi="Arial"/>
          <w:sz w:val="16"/>
          <w:szCs w:val="16"/>
          <w:color w:val="auto"/>
        </w:rPr>
        <w:t xml:space="preserve">If any Revolver Lender fails to make available to Administrative Agent for the account of the applicable L/C Issuer any amount required to be paid by such Revolver Lender pursuant to the foregoing provisions of this </w:t>
      </w:r>
      <w:r>
        <w:rPr>
          <w:rFonts w:ascii="Arial" w:cs="Arial" w:eastAsia="Arial" w:hAnsi="Arial"/>
          <w:sz w:val="16"/>
          <w:szCs w:val="16"/>
          <w:b w:val="1"/>
          <w:bCs w:val="1"/>
          <w:i w:val="1"/>
          <w:iCs w:val="1"/>
          <w:color w:val="auto"/>
        </w:rPr>
        <w:t>Section 2.3(c)</w:t>
      </w:r>
      <w:r>
        <w:rPr>
          <w:rFonts w:ascii="Arial" w:cs="Arial" w:eastAsia="Arial" w:hAnsi="Arial"/>
          <w:sz w:val="16"/>
          <w:szCs w:val="16"/>
          <w:color w:val="auto"/>
        </w:rPr>
        <w:t xml:space="preserve"> by the time specified in </w:t>
      </w:r>
      <w:r>
        <w:rPr>
          <w:rFonts w:ascii="Arial" w:cs="Arial" w:eastAsia="Arial" w:hAnsi="Arial"/>
          <w:sz w:val="16"/>
          <w:szCs w:val="16"/>
          <w:b w:val="1"/>
          <w:bCs w:val="1"/>
          <w:i w:val="1"/>
          <w:iCs w:val="1"/>
          <w:color w:val="auto"/>
        </w:rPr>
        <w:t>Section 2.3(c)(ii)</w:t>
      </w:r>
      <w:r>
        <w:rPr>
          <w:rFonts w:ascii="Arial" w:cs="Arial" w:eastAsia="Arial" w:hAnsi="Arial"/>
          <w:sz w:val="16"/>
          <w:szCs w:val="16"/>
          <w:color w:val="auto"/>
        </w:rPr>
        <w:t xml:space="preserve">, then, without limiting the other provisions of this Agreement, the applicable L/C Issuer shall be entitled to recover from such Revolver Lender (acting through Administrative Agent), on demand, such amount with interest thereon for the period from the date such payment is required to the date on which such payment is immediately available to the applicable L/C Issuer at a rate per annum equal to the greater of the Federal Funds Rate and a rate determined by such L/C Issuer in accordance with banking industry rules on interbank compensation, plus any administrative, processing, or similar fees customarily charged by such L/C Issuer in connection with the foregoing. If such Revolver Lender pays such amount (with interest and fees as aforesaid), the amount so paid shall constitute such Revolver Lender’s participation in the L/C Borrowing, as the case may be. A certificate of the applicable L/C Issuer submitted to any Revolver Lender (through Administrative Agent) with respect to any amounts owing under this </w:t>
      </w:r>
      <w:r>
        <w:rPr>
          <w:rFonts w:ascii="Arial" w:cs="Arial" w:eastAsia="Arial" w:hAnsi="Arial"/>
          <w:sz w:val="16"/>
          <w:szCs w:val="16"/>
          <w:b w:val="1"/>
          <w:bCs w:val="1"/>
          <w:i w:val="1"/>
          <w:iCs w:val="1"/>
          <w:color w:val="auto"/>
        </w:rPr>
        <w:t>clause (vi)</w:t>
      </w:r>
      <w:r>
        <w:rPr>
          <w:rFonts w:ascii="Arial" w:cs="Arial" w:eastAsia="Arial" w:hAnsi="Arial"/>
          <w:sz w:val="16"/>
          <w:szCs w:val="16"/>
          <w:color w:val="auto"/>
        </w:rPr>
        <w:t xml:space="preserve"> shall be conclusive absent manifest error.</w:t>
      </w:r>
    </w:p>
    <w:p>
      <w:pPr>
        <w:spacing w:after="0" w:line="380" w:lineRule="exact"/>
        <w:rPr>
          <w:rFonts w:ascii="Arial" w:cs="Arial" w:eastAsia="Arial" w:hAnsi="Arial"/>
          <w:sz w:val="16"/>
          <w:szCs w:val="16"/>
          <w:color w:val="auto"/>
        </w:rPr>
      </w:pPr>
    </w:p>
    <w:p>
      <w:pPr>
        <w:ind w:left="540" w:hanging="435"/>
        <w:spacing w:after="0"/>
        <w:tabs>
          <w:tab w:leader="none" w:pos="540" w:val="left"/>
        </w:tabs>
        <w:numPr>
          <w:ilvl w:val="0"/>
          <w:numId w:val="62"/>
        </w:numPr>
        <w:rPr>
          <w:rFonts w:ascii="Arial" w:cs="Arial" w:eastAsia="Arial" w:hAnsi="Arial"/>
          <w:sz w:val="20"/>
          <w:szCs w:val="20"/>
          <w:color w:val="auto"/>
        </w:rPr>
      </w:pPr>
      <w:r>
        <w:rPr>
          <w:rFonts w:ascii="Arial" w:cs="Arial" w:eastAsia="Arial" w:hAnsi="Arial"/>
          <w:sz w:val="20"/>
          <w:szCs w:val="20"/>
          <w:b w:val="1"/>
          <w:bCs w:val="1"/>
          <w:i w:val="1"/>
          <w:iCs w:val="1"/>
          <w:color w:val="auto"/>
        </w:rPr>
        <w:t>Repayment of Participations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00" w:firstLine="653"/>
        <w:spacing w:after="0" w:line="274" w:lineRule="auto"/>
        <w:tabs>
          <w:tab w:leader="none" w:pos="1163"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At any time after an L/C Issuer has made a payment under any L/C and has received from any Revolver Lender such Revolver Lender’s funding of its participation in the related L/C Borrowing in accordance with </w:t>
      </w:r>
      <w:r>
        <w:rPr>
          <w:rFonts w:ascii="Arial" w:cs="Arial" w:eastAsia="Arial" w:hAnsi="Arial"/>
          <w:sz w:val="18"/>
          <w:szCs w:val="18"/>
          <w:b w:val="1"/>
          <w:bCs w:val="1"/>
          <w:i w:val="1"/>
          <w:iCs w:val="1"/>
          <w:color w:val="auto"/>
        </w:rPr>
        <w:t>Section 2.3(c)</w:t>
      </w:r>
      <w:r>
        <w:rPr>
          <w:rFonts w:ascii="Arial" w:cs="Arial" w:eastAsia="Arial" w:hAnsi="Arial"/>
          <w:sz w:val="18"/>
          <w:szCs w:val="18"/>
          <w:color w:val="auto"/>
        </w:rPr>
        <w:t>, if Administrative Agent receives for the account of such L/C Issuer any payment in respect of the related Unreimbursed Amount or interest thereon (whether directly from Borrower or otherwise, including proceeds of Cash Collateral applied thereto by Administrative Agent), Administrative Agent will distribute to such Revolver Lender its Commitment Percentage thereof in Dollars (appropriately adjusted, in the case of interest payments, to reflect the period of time during which such Revolver Lender’s participation in the L/C Borrowing was outstanding) in the same funds as those received by Administrative Agent.</w:t>
      </w:r>
    </w:p>
    <w:p>
      <w:pPr>
        <w:spacing w:after="0" w:line="169" w:lineRule="exact"/>
        <w:rPr>
          <w:rFonts w:ascii="Arial" w:cs="Arial" w:eastAsia="Arial" w:hAnsi="Arial"/>
          <w:sz w:val="18"/>
          <w:szCs w:val="18"/>
          <w:color w:val="auto"/>
        </w:rPr>
      </w:pPr>
    </w:p>
    <w:p>
      <w:pPr>
        <w:jc w:val="both"/>
        <w:ind w:left="100" w:firstLine="653"/>
        <w:spacing w:after="0" w:line="258" w:lineRule="auto"/>
        <w:tabs>
          <w:tab w:leader="none" w:pos="1212" w:val="left"/>
        </w:tabs>
        <w:numPr>
          <w:ilvl w:val="1"/>
          <w:numId w:val="62"/>
        </w:numPr>
        <w:rPr>
          <w:rFonts w:ascii="Arial" w:cs="Arial" w:eastAsia="Arial" w:hAnsi="Arial"/>
          <w:sz w:val="19"/>
          <w:szCs w:val="19"/>
          <w:color w:val="auto"/>
        </w:rPr>
      </w:pPr>
      <w:r>
        <w:rPr>
          <w:rFonts w:ascii="Arial" w:cs="Arial" w:eastAsia="Arial" w:hAnsi="Arial"/>
          <w:sz w:val="19"/>
          <w:szCs w:val="19"/>
          <w:color w:val="auto"/>
        </w:rPr>
        <w:t xml:space="preserve">If any payment received by Administrative Agent for the account of any L/C Issuer pursuant to </w:t>
      </w:r>
      <w:r>
        <w:rPr>
          <w:rFonts w:ascii="Arial" w:cs="Arial" w:eastAsia="Arial" w:hAnsi="Arial"/>
          <w:sz w:val="19"/>
          <w:szCs w:val="19"/>
          <w:b w:val="1"/>
          <w:bCs w:val="1"/>
          <w:i w:val="1"/>
          <w:iCs w:val="1"/>
          <w:color w:val="auto"/>
        </w:rPr>
        <w:t>Section 2.3(c)(i)</w:t>
      </w:r>
      <w:r>
        <w:rPr>
          <w:rFonts w:ascii="Arial" w:cs="Arial" w:eastAsia="Arial" w:hAnsi="Arial"/>
          <w:sz w:val="19"/>
          <w:szCs w:val="19"/>
          <w:color w:val="auto"/>
        </w:rPr>
        <w:t xml:space="preserve"> is required to be returned under any of the circumstances described in </w:t>
      </w:r>
      <w:r>
        <w:rPr>
          <w:rFonts w:ascii="Arial" w:cs="Arial" w:eastAsia="Arial" w:hAnsi="Arial"/>
          <w:sz w:val="19"/>
          <w:szCs w:val="19"/>
          <w:b w:val="1"/>
          <w:bCs w:val="1"/>
          <w:i w:val="1"/>
          <w:iCs w:val="1"/>
          <w:color w:val="auto"/>
        </w:rPr>
        <w:t>Section 15.12</w:t>
      </w:r>
      <w:r>
        <w:rPr>
          <w:rFonts w:ascii="Arial" w:cs="Arial" w:eastAsia="Arial" w:hAnsi="Arial"/>
          <w:sz w:val="19"/>
          <w:szCs w:val="19"/>
          <w:color w:val="auto"/>
        </w:rPr>
        <w:t xml:space="preserve"> (including pursuant to any settlement entered into by the applicable L/C Issuer in its discretion), each Revolver Lender shall pay to Administrative Agent for the account of the applicable L/C Issuer its Commitment Percentage thereof on demand of Administrative Agent, plus interest thereon from the date of such demand to the date such amount is returned by such Revolver Lender, at a rate per annum equal to the Federal Funds Rate from time to time in effect. The obligations of the Revolver Lenders under this </w:t>
      </w:r>
      <w:r>
        <w:rPr>
          <w:rFonts w:ascii="Arial" w:cs="Arial" w:eastAsia="Arial" w:hAnsi="Arial"/>
          <w:sz w:val="19"/>
          <w:szCs w:val="19"/>
          <w:b w:val="1"/>
          <w:bCs w:val="1"/>
          <w:i w:val="1"/>
          <w:iCs w:val="1"/>
          <w:color w:val="auto"/>
        </w:rPr>
        <w:t>clause (d)</w:t>
      </w:r>
      <w:r>
        <w:rPr>
          <w:rFonts w:ascii="Arial" w:cs="Arial" w:eastAsia="Arial" w:hAnsi="Arial"/>
          <w:sz w:val="19"/>
          <w:szCs w:val="19"/>
          <w:color w:val="auto"/>
        </w:rPr>
        <w:t xml:space="preserve"> shall survive the payment in full of the Obligations and the termination of this Agreement.</w:t>
      </w:r>
    </w:p>
    <w:p>
      <w:pPr>
        <w:spacing w:after="0" w:line="179" w:lineRule="exact"/>
        <w:rPr>
          <w:rFonts w:ascii="Arial" w:cs="Arial" w:eastAsia="Arial" w:hAnsi="Arial"/>
          <w:sz w:val="19"/>
          <w:szCs w:val="19"/>
          <w:color w:val="auto"/>
        </w:rPr>
      </w:pPr>
    </w:p>
    <w:p>
      <w:pPr>
        <w:jc w:val="both"/>
        <w:ind w:left="-540" w:firstLine="645"/>
        <w:spacing w:after="0" w:line="250" w:lineRule="auto"/>
        <w:tabs>
          <w:tab w:leader="none" w:pos="580" w:val="left"/>
        </w:tabs>
        <w:numPr>
          <w:ilvl w:val="0"/>
          <w:numId w:val="62"/>
        </w:numPr>
        <w:rPr>
          <w:rFonts w:ascii="Arial" w:cs="Arial" w:eastAsia="Arial" w:hAnsi="Arial"/>
          <w:sz w:val="20"/>
          <w:szCs w:val="20"/>
          <w:color w:val="auto"/>
        </w:rPr>
      </w:pPr>
      <w:r>
        <w:rPr>
          <w:rFonts w:ascii="Arial" w:cs="Arial" w:eastAsia="Arial" w:hAnsi="Arial"/>
          <w:sz w:val="20"/>
          <w:szCs w:val="20"/>
          <w:b w:val="1"/>
          <w:bCs w:val="1"/>
          <w:i w:val="1"/>
          <w:iCs w:val="1"/>
          <w:color w:val="auto"/>
        </w:rPr>
        <w:t>Obligations Absolute</w:t>
      </w:r>
      <w:r>
        <w:rPr>
          <w:rFonts w:ascii="Arial" w:cs="Arial" w:eastAsia="Arial" w:hAnsi="Arial"/>
          <w:sz w:val="20"/>
          <w:szCs w:val="20"/>
          <w:color w:val="auto"/>
        </w:rPr>
        <w:t>. The obligation of Borrower to reimburse the applicable L/C Issuer for each drawing under each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L/C and to repay each L/C Borrowing shall be absolute, unconditional, and irrevocable, and shall be paid strictly in accordance with the terms of this Agreement under all circumstances, including the following:</w:t>
      </w:r>
    </w:p>
    <w:p>
      <w:pPr>
        <w:spacing w:after="0" w:line="200" w:lineRule="exact"/>
        <w:rPr>
          <w:sz w:val="20"/>
          <w:szCs w:val="20"/>
          <w:color w:val="auto"/>
        </w:rPr>
      </w:pPr>
    </w:p>
    <w:p>
      <w:pPr>
        <w:spacing w:after="0" w:line="229"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0220"/>
          </w:cols>
          <w:pgMar w:left="1440" w:top="582" w:right="239" w:bottom="1440" w:gutter="0" w:footer="0" w:header="0"/>
        </w:sectPr>
      </w:pPr>
    </w:p>
    <w:bookmarkStart w:id="111" w:name="page112"/>
    <w:bookmarkEnd w:id="111"/>
    <w:p>
      <w:pPr>
        <w:ind w:left="2380" w:hanging="427"/>
        <w:spacing w:after="0"/>
        <w:tabs>
          <w:tab w:leader="none" w:pos="23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lack of validity or enforceability of such L/C, this Agreement, or any other agreement or instrument relating</w:t>
      </w:r>
    </w:p>
    <w:p>
      <w:pPr>
        <w:spacing w:after="0" w:line="3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thereto;</w:t>
      </w:r>
    </w:p>
    <w:p>
      <w:pPr>
        <w:spacing w:after="0" w:line="200" w:lineRule="exact"/>
        <w:rPr>
          <w:sz w:val="20"/>
          <w:szCs w:val="20"/>
          <w:color w:val="auto"/>
        </w:rPr>
      </w:pPr>
    </w:p>
    <w:p>
      <w:pPr>
        <w:jc w:val="both"/>
        <w:ind w:left="1300" w:firstLine="653"/>
        <w:spacing w:after="0" w:line="282" w:lineRule="auto"/>
        <w:tabs>
          <w:tab w:leader="none" w:pos="247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Borrower may have at any time against any beneficiary or any transferee of such L/C (or any Person for whom any such beneficiary or any such transferee may be acting), the applicable L/C Issuer or any other Person, whether in connection with this Agreement, the transactions contemplated hereby or by such L/C or any agreement or instrument relating thereto, or any unrelated transaction;</w:t>
      </w:r>
    </w:p>
    <w:p>
      <w:pPr>
        <w:spacing w:after="0" w:line="161" w:lineRule="exact"/>
        <w:rPr>
          <w:rFonts w:ascii="Arial" w:cs="Arial" w:eastAsia="Arial" w:hAnsi="Arial"/>
          <w:sz w:val="18"/>
          <w:szCs w:val="18"/>
          <w:color w:val="auto"/>
        </w:rPr>
      </w:pPr>
    </w:p>
    <w:p>
      <w:pPr>
        <w:jc w:val="both"/>
        <w:ind w:left="1300" w:right="20" w:firstLine="653"/>
        <w:spacing w:after="0" w:line="269" w:lineRule="auto"/>
        <w:tabs>
          <w:tab w:leader="none" w:pos="2523" w:val="left"/>
        </w:tabs>
        <w:numPr>
          <w:ilvl w:val="0"/>
          <w:numId w:val="64"/>
        </w:numPr>
        <w:rPr>
          <w:rFonts w:ascii="Arial" w:cs="Arial" w:eastAsia="Arial" w:hAnsi="Arial"/>
          <w:sz w:val="19"/>
          <w:szCs w:val="19"/>
          <w:color w:val="auto"/>
        </w:rPr>
      </w:pPr>
      <w:r>
        <w:rPr>
          <w:rFonts w:ascii="Arial" w:cs="Arial" w:eastAsia="Arial" w:hAnsi="Arial"/>
          <w:sz w:val="19"/>
          <w:szCs w:val="19"/>
          <w:color w:val="auto"/>
        </w:rPr>
        <w:t>any draft, demand, certificate, or other document presented under such L/C proving to be forged, fraudulent, invalid, or insufficient in any respect or any statement therein being untrue or inaccurate in any respect; or any loss or delay in the transmission or otherwise of any document required in order to make a drawing under such L/C;</w:t>
      </w:r>
    </w:p>
    <w:p>
      <w:pPr>
        <w:spacing w:after="0" w:line="170" w:lineRule="exact"/>
        <w:rPr>
          <w:rFonts w:ascii="Arial" w:cs="Arial" w:eastAsia="Arial" w:hAnsi="Arial"/>
          <w:sz w:val="19"/>
          <w:szCs w:val="19"/>
          <w:color w:val="auto"/>
        </w:rPr>
      </w:pPr>
    </w:p>
    <w:p>
      <w:pPr>
        <w:ind w:left="1300" w:firstLine="653"/>
        <w:spacing w:after="0" w:line="260" w:lineRule="auto"/>
        <w:tabs>
          <w:tab w:leader="none" w:pos="2434" w:val="left"/>
        </w:tabs>
        <w:numPr>
          <w:ilvl w:val="0"/>
          <w:numId w:val="64"/>
        </w:numPr>
        <w:rPr>
          <w:rFonts w:ascii="Arial" w:cs="Arial" w:eastAsia="Arial" w:hAnsi="Arial"/>
          <w:sz w:val="20"/>
          <w:szCs w:val="20"/>
          <w:color w:val="auto"/>
        </w:rPr>
      </w:pPr>
      <w:r>
        <w:rPr>
          <w:rFonts w:ascii="Arial" w:cs="Arial" w:eastAsia="Arial" w:hAnsi="Arial"/>
          <w:sz w:val="20"/>
          <w:szCs w:val="20"/>
          <w:color w:val="auto"/>
        </w:rPr>
        <w:t>waiver by any L/C Issuer of any requirement that exists for such L/C Issuer’s protection and not the protection of Borrower or any waiver by such L/C Issuer which does not in fact materially prejudice Borrower;</w:t>
      </w:r>
    </w:p>
    <w:p>
      <w:pPr>
        <w:spacing w:after="0" w:line="176" w:lineRule="exact"/>
        <w:rPr>
          <w:rFonts w:ascii="Arial" w:cs="Arial" w:eastAsia="Arial" w:hAnsi="Arial"/>
          <w:sz w:val="20"/>
          <w:szCs w:val="20"/>
          <w:color w:val="auto"/>
        </w:rPr>
      </w:pPr>
    </w:p>
    <w:p>
      <w:pPr>
        <w:ind w:left="2380" w:hanging="427"/>
        <w:spacing w:after="0"/>
        <w:tabs>
          <w:tab w:leader="none" w:pos="23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honor of a demand for payment presented electronically even if such L/C requires that demand be in the form of a</w:t>
      </w:r>
    </w:p>
    <w:p>
      <w:pPr>
        <w:spacing w:after="0" w:line="61"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20"/>
          <w:szCs w:val="20"/>
          <w:color w:val="auto"/>
        </w:rPr>
        <w:t>draft;</w:t>
      </w:r>
    </w:p>
    <w:p>
      <w:pPr>
        <w:spacing w:after="0" w:line="199" w:lineRule="exact"/>
        <w:rPr>
          <w:rFonts w:ascii="Arial" w:cs="Arial" w:eastAsia="Arial" w:hAnsi="Arial"/>
          <w:sz w:val="16"/>
          <w:szCs w:val="16"/>
          <w:color w:val="auto"/>
        </w:rPr>
      </w:pPr>
    </w:p>
    <w:p>
      <w:pPr>
        <w:jc w:val="both"/>
        <w:ind w:left="1300" w:firstLine="653"/>
        <w:spacing w:after="0" w:line="250" w:lineRule="auto"/>
        <w:tabs>
          <w:tab w:leader="none" w:pos="2437" w:val="left"/>
        </w:tabs>
        <w:numPr>
          <w:ilvl w:val="0"/>
          <w:numId w:val="64"/>
        </w:numPr>
        <w:rPr>
          <w:rFonts w:ascii="Arial" w:cs="Arial" w:eastAsia="Arial" w:hAnsi="Arial"/>
          <w:sz w:val="20"/>
          <w:szCs w:val="20"/>
          <w:color w:val="auto"/>
        </w:rPr>
      </w:pPr>
      <w:r>
        <w:rPr>
          <w:rFonts w:ascii="Arial" w:cs="Arial" w:eastAsia="Arial" w:hAnsi="Arial"/>
          <w:sz w:val="20"/>
          <w:szCs w:val="20"/>
          <w:color w:val="auto"/>
        </w:rPr>
        <w:t>any payment made by the L/C Issuer in respect of an otherwise complying item presented after the date specified as the expiration date of, or the date by which documents must be received under such L/C if presentation after such date is authorized by the UCC, the ISP or the UCP, as applicable;</w:t>
      </w:r>
    </w:p>
    <w:p>
      <w:pPr>
        <w:spacing w:after="0" w:line="186" w:lineRule="exact"/>
        <w:rPr>
          <w:rFonts w:ascii="Arial" w:cs="Arial" w:eastAsia="Arial" w:hAnsi="Arial"/>
          <w:sz w:val="20"/>
          <w:szCs w:val="20"/>
          <w:color w:val="auto"/>
        </w:rPr>
      </w:pPr>
    </w:p>
    <w:p>
      <w:pPr>
        <w:jc w:val="both"/>
        <w:ind w:left="1300" w:firstLine="653"/>
        <w:spacing w:after="0" w:line="244" w:lineRule="auto"/>
        <w:tabs>
          <w:tab w:leader="none" w:pos="2511" w:val="left"/>
        </w:tabs>
        <w:numPr>
          <w:ilvl w:val="0"/>
          <w:numId w:val="64"/>
        </w:numPr>
        <w:rPr>
          <w:rFonts w:ascii="Arial" w:cs="Arial" w:eastAsia="Arial" w:hAnsi="Arial"/>
          <w:sz w:val="20"/>
          <w:szCs w:val="20"/>
          <w:color w:val="auto"/>
        </w:rPr>
      </w:pPr>
      <w:r>
        <w:rPr>
          <w:rFonts w:ascii="Arial" w:cs="Arial" w:eastAsia="Arial" w:hAnsi="Arial"/>
          <w:sz w:val="20"/>
          <w:szCs w:val="20"/>
          <w:color w:val="auto"/>
        </w:rPr>
        <w:t>any payment by the applicable L/C Issuer under such L/C against presentation of a draft or certificate that does not strictly comply with the terms of such L/C; or any payment made by the applicable L/C Issuer under such L/C to any Person purporting to be a trustee in bankruptcy, debtor-in-possession, assignee for the benefit of creditors, liquidator, receiver, or other representative of or successor to any beneficiary or any transferee of such L/C, including any arising in connection with any proceeding under any Debtor Relief Law;</w:t>
      </w:r>
    </w:p>
    <w:p>
      <w:pPr>
        <w:spacing w:after="0" w:line="194" w:lineRule="exact"/>
        <w:rPr>
          <w:rFonts w:ascii="Arial" w:cs="Arial" w:eastAsia="Arial" w:hAnsi="Arial"/>
          <w:sz w:val="20"/>
          <w:szCs w:val="20"/>
          <w:color w:val="auto"/>
        </w:rPr>
      </w:pPr>
    </w:p>
    <w:p>
      <w:pPr>
        <w:ind w:left="1300" w:firstLine="653"/>
        <w:spacing w:after="0" w:line="287" w:lineRule="auto"/>
        <w:tabs>
          <w:tab w:leader="none" w:pos="2564" w:val="left"/>
        </w:tabs>
        <w:numPr>
          <w:ilvl w:val="0"/>
          <w:numId w:val="64"/>
        </w:numPr>
        <w:rPr>
          <w:rFonts w:ascii="Arial" w:cs="Arial" w:eastAsia="Arial" w:hAnsi="Arial"/>
          <w:sz w:val="19"/>
          <w:szCs w:val="19"/>
          <w:color w:val="auto"/>
        </w:rPr>
      </w:pPr>
      <w:r>
        <w:rPr>
          <w:rFonts w:ascii="Arial" w:cs="Arial" w:eastAsia="Arial" w:hAnsi="Arial"/>
          <w:sz w:val="19"/>
          <w:szCs w:val="19"/>
          <w:color w:val="auto"/>
        </w:rPr>
        <w:t>any other circumstance or happening whatsoever, whether or not similar to any of the foregoing, including any other circumstance that might otherwise constitute a defense available to, or a discharge of, Borrower; or</w:t>
      </w:r>
    </w:p>
    <w:p>
      <w:pPr>
        <w:spacing w:after="0" w:line="152" w:lineRule="exact"/>
        <w:rPr>
          <w:rFonts w:ascii="Arial" w:cs="Arial" w:eastAsia="Arial" w:hAnsi="Arial"/>
          <w:sz w:val="19"/>
          <w:szCs w:val="19"/>
          <w:color w:val="auto"/>
        </w:rPr>
      </w:pPr>
    </w:p>
    <w:p>
      <w:pPr>
        <w:ind w:left="1300" w:firstLine="653"/>
        <w:spacing w:after="0" w:line="260" w:lineRule="auto"/>
        <w:tabs>
          <w:tab w:leader="none" w:pos="2458" w:val="left"/>
        </w:tabs>
        <w:numPr>
          <w:ilvl w:val="0"/>
          <w:numId w:val="64"/>
        </w:numPr>
        <w:rPr>
          <w:rFonts w:ascii="Arial" w:cs="Arial" w:eastAsia="Arial" w:hAnsi="Arial"/>
          <w:sz w:val="20"/>
          <w:szCs w:val="20"/>
          <w:color w:val="auto"/>
        </w:rPr>
      </w:pPr>
      <w:r>
        <w:rPr>
          <w:rFonts w:ascii="Arial" w:cs="Arial" w:eastAsia="Arial" w:hAnsi="Arial"/>
          <w:sz w:val="20"/>
          <w:szCs w:val="20"/>
          <w:color w:val="auto"/>
        </w:rPr>
        <w:t>any adverse change in the relevant exchange rates or in the availability of the Alternative Currency to Borrower or any Subsidiary or in the relevant currency markets generally.</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Borrower shall promptly examine a copy of each L/C and each amendment thereto that is delivered to it and, in the event of any claim of noncompliance with Borrower’s instructions or other irregularity, Borrower will immediately notify the applicable L/C Issuer. Borrower shall be conclusively deemed to have waived any such claim against the applicable L/C Issuer and its correspondents unless such notice is given as aforesaid.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420"/>
          </w:cols>
          <w:pgMar w:left="240" w:top="582" w:right="239" w:bottom="1440" w:gutter="0" w:footer="0" w:header="0"/>
        </w:sectPr>
      </w:pPr>
    </w:p>
    <w:bookmarkStart w:id="112" w:name="page113"/>
    <w:bookmarkEnd w:id="112"/>
    <w:p>
      <w:pPr>
        <w:jc w:val="both"/>
        <w:ind w:left="-540" w:firstLine="645"/>
        <w:spacing w:after="0" w:line="268" w:lineRule="auto"/>
        <w:tabs>
          <w:tab w:leader="none" w:pos="531"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Role of L/C Issuers </w:t>
      </w:r>
      <w:r>
        <w:rPr>
          <w:rFonts w:ascii="Arial" w:cs="Arial" w:eastAsia="Arial" w:hAnsi="Arial"/>
          <w:sz w:val="18"/>
          <w:szCs w:val="18"/>
          <w:color w:val="auto"/>
        </w:rPr>
        <w:t>Each Revolver Lender and Borrower agree that, in paying any drawing under an L/C, the applicable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L/C Issuer shall not have any responsibility to obtain any document (other than any sight draft, certificates, and documents expressly required by the L/C) or to ascertain or inquire as to the validity or accuracy of any such document or the authority of the Person executing or delivering any such document. None of the L/C Issuers, any Related Party of Administrative Agent, or any of the respective correspondents, participants, or assignees of the L/C Issuers shall be liable to any Revolver Lender for (i) any action taken or omitted in connection herewith at the request or with the approval of Revolver Lenders, Required Revolver Lenders, Required Term Loan Lenders or Required Lenders, as applicable; (ii) any action taken or omitted in the absence of gross negligence or willful misconduct; or (iii) the due execution, effectiveness, validity, or enforceability of any document or instrument related to any L/C or L/C Agreement. Borrower hereby assumes all risks of the acts or omissions of any beneficiary or transferee with respect to its use of any L/C;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this assumption is not intended to, and shall not, preclude Borrower’s pursuing such rights and remedies as it may have against the beneficiary or transferee at Law or under any other agreement. None of the L/C Issuers, any Related Party of Administrative Agent, or any of the respective correspondents, participants, or assignees of any L/C Issuer shall be liable or responsible for any of the matters described in </w:t>
      </w:r>
      <w:r>
        <w:rPr>
          <w:rFonts w:ascii="Arial" w:cs="Arial" w:eastAsia="Arial" w:hAnsi="Arial"/>
          <w:sz w:val="18"/>
          <w:szCs w:val="18"/>
          <w:b w:val="1"/>
          <w:bCs w:val="1"/>
          <w:i w:val="1"/>
          <w:iCs w:val="1"/>
          <w:color w:val="auto"/>
        </w:rPr>
        <w:t>clauses (i)</w:t>
      </w:r>
      <w:r>
        <w:rPr>
          <w:rFonts w:ascii="Arial" w:cs="Arial" w:eastAsia="Arial" w:hAnsi="Arial"/>
          <w:sz w:val="18"/>
          <w:szCs w:val="18"/>
          <w:color w:val="auto"/>
        </w:rPr>
        <w:t xml:space="preserve"> through </w:t>
      </w:r>
      <w:r>
        <w:rPr>
          <w:rFonts w:ascii="Arial" w:cs="Arial" w:eastAsia="Arial" w:hAnsi="Arial"/>
          <w:sz w:val="18"/>
          <w:szCs w:val="18"/>
          <w:b w:val="1"/>
          <w:bCs w:val="1"/>
          <w:i w:val="1"/>
          <w:iCs w:val="1"/>
          <w:color w:val="auto"/>
        </w:rPr>
        <w:t>(v)</w:t>
      </w:r>
      <w:r>
        <w:rPr>
          <w:rFonts w:ascii="Arial" w:cs="Arial" w:eastAsia="Arial" w:hAnsi="Arial"/>
          <w:sz w:val="18"/>
          <w:szCs w:val="18"/>
          <w:color w:val="auto"/>
        </w:rPr>
        <w:t xml:space="preserve"> of </w:t>
      </w:r>
      <w:r>
        <w:rPr>
          <w:rFonts w:ascii="Arial" w:cs="Arial" w:eastAsia="Arial" w:hAnsi="Arial"/>
          <w:sz w:val="18"/>
          <w:szCs w:val="18"/>
          <w:b w:val="1"/>
          <w:bCs w:val="1"/>
          <w:i w:val="1"/>
          <w:iCs w:val="1"/>
          <w:color w:val="auto"/>
        </w:rPr>
        <w:t>Section 2.3(e)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anything in such clauses to the contrary notwithstanding, Borrower may have a claim against an L/C Issuer, and an L/C Issuer may be liable to Borrower, to the extent, but only to the extent, of any direct, as opposed to consequential or exemplary, damages suffered by Borrower which Borrower proves were caused by such L/C Issuer’s willful misconduct or gross negligence or such L/C Issuer’s willful failure to pay under any L/C after the presentation to it by the beneficiary of a sight draft and certificate(s) strictly complying with the terms and conditions of an L/C. In furtherance and not in limitation of the foregoing, an L/C Issuer may accept documents that appear on their face to be in order, without responsibility for further investigation, regardless of any notice or information to the contrary, and an L/C Issuer shall not be responsible for the validity or sufficiency of any instrument transferring or assigning or purporting to transfer or assign an L/C or the rights or benefits thereunder or proceeds thereof, in whole or in part, which may prove to be invalid or ineffective for any reason. Each L/C Issuer may send an L/C or conduct any communication to or from the beneficiary via the Society for Worldwide Interbank Financial Telecommunication (“</w:t>
      </w:r>
      <w:r>
        <w:rPr>
          <w:rFonts w:ascii="Arial" w:cs="Arial" w:eastAsia="Arial" w:hAnsi="Arial"/>
          <w:sz w:val="18"/>
          <w:szCs w:val="18"/>
          <w:i w:val="1"/>
          <w:iCs w:val="1"/>
          <w:color w:val="auto"/>
        </w:rPr>
        <w:t>SWIFT</w:t>
      </w:r>
      <w:r>
        <w:rPr>
          <w:rFonts w:ascii="Arial" w:cs="Arial" w:eastAsia="Arial" w:hAnsi="Arial"/>
          <w:sz w:val="18"/>
          <w:szCs w:val="18"/>
          <w:color w:val="auto"/>
        </w:rPr>
        <w:t>”) message or overnight courier, or any other commercially reasonable means of communicating with a beneficiary.</w:t>
      </w:r>
    </w:p>
    <w:p>
      <w:pPr>
        <w:spacing w:after="0" w:line="179" w:lineRule="exact"/>
        <w:rPr>
          <w:rFonts w:ascii="Arial" w:cs="Arial" w:eastAsia="Arial" w:hAnsi="Arial"/>
          <w:sz w:val="18"/>
          <w:szCs w:val="18"/>
          <w:color w:val="auto"/>
        </w:rPr>
      </w:pPr>
    </w:p>
    <w:p>
      <w:pPr>
        <w:jc w:val="both"/>
        <w:ind w:left="-540" w:firstLine="645"/>
        <w:spacing w:after="0" w:line="255" w:lineRule="auto"/>
        <w:tabs>
          <w:tab w:leader="none" w:pos="591" w:val="left"/>
        </w:tabs>
        <w:numPr>
          <w:ilvl w:val="0"/>
          <w:numId w:val="65"/>
        </w:numPr>
        <w:rPr>
          <w:rFonts w:ascii="Arial" w:cs="Arial" w:eastAsia="Arial" w:hAnsi="Arial"/>
          <w:sz w:val="19"/>
          <w:szCs w:val="19"/>
          <w:color w:val="auto"/>
        </w:rPr>
      </w:pPr>
      <w:r>
        <w:rPr>
          <w:rFonts w:ascii="Arial" w:cs="Arial" w:eastAsia="Arial" w:hAnsi="Arial"/>
          <w:sz w:val="19"/>
          <w:szCs w:val="19"/>
          <w:b w:val="1"/>
          <w:bCs w:val="1"/>
          <w:i w:val="1"/>
          <w:iCs w:val="1"/>
          <w:color w:val="auto"/>
        </w:rPr>
        <w:t>Applicability of ISP and UCP</w:t>
      </w:r>
      <w:r>
        <w:rPr>
          <w:rFonts w:ascii="Arial" w:cs="Arial" w:eastAsia="Arial" w:hAnsi="Arial"/>
          <w:sz w:val="19"/>
          <w:szCs w:val="19"/>
          <w:color w:val="auto"/>
        </w:rPr>
        <w:t>. Unless otherwise expressly agreed by the applicable L/C Issuer and Borrower when an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L/C is issued (including any such agreement applicable to an Existing L/C), (i) the rules of the ISP shall apply to each standby L/C and each Bond L/C, and (ii) the rules of the Uniform Customs and Practice for Documentary Credits (“</w:t>
      </w:r>
      <w:r>
        <w:rPr>
          <w:rFonts w:ascii="Arial" w:cs="Arial" w:eastAsia="Arial" w:hAnsi="Arial"/>
          <w:sz w:val="19"/>
          <w:szCs w:val="19"/>
          <w:b w:val="1"/>
          <w:bCs w:val="1"/>
          <w:i w:val="1"/>
          <w:iCs w:val="1"/>
          <w:color w:val="auto"/>
        </w:rPr>
        <w:t>UCP</w:t>
      </w:r>
      <w:r>
        <w:rPr>
          <w:rFonts w:ascii="Arial" w:cs="Arial" w:eastAsia="Arial" w:hAnsi="Arial"/>
          <w:sz w:val="19"/>
          <w:szCs w:val="19"/>
          <w:color w:val="auto"/>
        </w:rPr>
        <w:t>”), as most recently published by the International Chamber of Commerce at the time of issuance, shall apply to each commercial L/C. Notwithstanding the foregoing, each L/C Issuer shall not be responsible to Borrower for, and such L/C Issuer’s rights and remedies against Borrower shall not be impaired by, any action or inaction of such L/C Issuer required or permitted under any law, order, or practice that is required or permitted to be applied to any L/C or this Agreement, including the Law or any order of a jurisdiction where such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L/C chooses such law or practice.</w:t>
      </w:r>
    </w:p>
    <w:p>
      <w:pPr>
        <w:spacing w:after="0" w:line="200" w:lineRule="exact"/>
        <w:rPr>
          <w:sz w:val="20"/>
          <w:szCs w:val="20"/>
          <w:color w:val="auto"/>
        </w:rPr>
      </w:pPr>
    </w:p>
    <w:p>
      <w:pPr>
        <w:spacing w:after="0" w:line="231"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0220"/>
          </w:cols>
          <w:pgMar w:left="1440" w:top="582" w:right="239" w:bottom="1440" w:gutter="0" w:footer="0" w:header="0"/>
        </w:sectPr>
      </w:pPr>
    </w:p>
    <w:bookmarkStart w:id="113" w:name="page114"/>
    <w:bookmarkEnd w:id="113"/>
    <w:p>
      <w:pPr>
        <w:ind w:left="-540" w:firstLine="645"/>
        <w:spacing w:after="0" w:line="260" w:lineRule="auto"/>
        <w:tabs>
          <w:tab w:leader="none" w:pos="537" w:val="left"/>
        </w:tabs>
        <w:numPr>
          <w:ilvl w:val="0"/>
          <w:numId w:val="66"/>
        </w:numPr>
        <w:rPr>
          <w:rFonts w:ascii="Arial" w:cs="Arial" w:eastAsia="Arial" w:hAnsi="Arial"/>
          <w:sz w:val="20"/>
          <w:szCs w:val="20"/>
          <w:color w:val="auto"/>
        </w:rPr>
      </w:pPr>
      <w:r>
        <w:rPr>
          <w:rFonts w:ascii="Arial" w:cs="Arial" w:eastAsia="Arial" w:hAnsi="Arial"/>
          <w:sz w:val="20"/>
          <w:szCs w:val="20"/>
          <w:b w:val="1"/>
          <w:bCs w:val="1"/>
          <w:i w:val="1"/>
          <w:iCs w:val="1"/>
          <w:color w:val="auto"/>
        </w:rPr>
        <w:t>Conflict with L/C Agreement</w:t>
      </w:r>
      <w:r>
        <w:rPr>
          <w:rFonts w:ascii="Arial" w:cs="Arial" w:eastAsia="Arial" w:hAnsi="Arial"/>
          <w:sz w:val="20"/>
          <w:szCs w:val="20"/>
          <w:color w:val="auto"/>
        </w:rPr>
        <w:t>. In the event of any conflict between the terms hereof and the terms of any L/C Agreement,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terms hereof shall control.</w:t>
      </w:r>
    </w:p>
    <w:p>
      <w:pPr>
        <w:spacing w:after="0" w:line="176" w:lineRule="exact"/>
        <w:rPr>
          <w:rFonts w:ascii="Arial" w:cs="Arial" w:eastAsia="Arial" w:hAnsi="Arial"/>
          <w:sz w:val="20"/>
          <w:szCs w:val="20"/>
          <w:color w:val="auto"/>
        </w:rPr>
      </w:pPr>
    </w:p>
    <w:p>
      <w:pPr>
        <w:ind w:left="480" w:hanging="375"/>
        <w:spacing w:after="0"/>
        <w:tabs>
          <w:tab w:leader="none" w:pos="480" w:val="left"/>
        </w:tabs>
        <w:numPr>
          <w:ilvl w:val="0"/>
          <w:numId w:val="66"/>
        </w:numPr>
        <w:rPr>
          <w:rFonts w:ascii="Arial" w:cs="Arial" w:eastAsia="Arial" w:hAnsi="Arial"/>
          <w:sz w:val="20"/>
          <w:szCs w:val="20"/>
          <w:color w:val="auto"/>
        </w:rPr>
      </w:pPr>
      <w:r>
        <w:rPr>
          <w:rFonts w:ascii="Arial" w:cs="Arial" w:eastAsia="Arial" w:hAnsi="Arial"/>
          <w:sz w:val="20"/>
          <w:szCs w:val="20"/>
          <w:b w:val="1"/>
          <w:bCs w:val="1"/>
          <w:i w:val="1"/>
          <w:iCs w:val="1"/>
          <w:color w:val="auto"/>
        </w:rPr>
        <w:t>Bond L/Cs</w:t>
      </w:r>
      <w:r>
        <w:rPr>
          <w:rFonts w:ascii="Arial" w:cs="Arial" w:eastAsia="Arial" w:hAnsi="Arial"/>
          <w:sz w:val="20"/>
          <w:szCs w:val="20"/>
          <w:color w:val="auto"/>
        </w:rPr>
        <w:t>. Notwithstanding any provision to the contrary set forth in this</w:t>
      </w:r>
      <w:r>
        <w:rPr>
          <w:rFonts w:ascii="Arial" w:cs="Arial" w:eastAsia="Arial" w:hAnsi="Arial"/>
          <w:sz w:val="20"/>
          <w:szCs w:val="20"/>
          <w:b w:val="1"/>
          <w:bCs w:val="1"/>
          <w:i w:val="1"/>
          <w:iCs w:val="1"/>
          <w:color w:val="auto"/>
        </w:rPr>
        <w:t xml:space="preserve"> Section 2.3</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00" w:firstLine="653"/>
        <w:spacing w:after="0" w:line="256" w:lineRule="auto"/>
        <w:tabs>
          <w:tab w:leader="none" w:pos="1139" w:val="left"/>
        </w:tabs>
        <w:numPr>
          <w:ilvl w:val="1"/>
          <w:numId w:val="66"/>
        </w:numPr>
        <w:rPr>
          <w:rFonts w:ascii="Arial" w:cs="Arial" w:eastAsia="Arial" w:hAnsi="Arial"/>
          <w:sz w:val="19"/>
          <w:szCs w:val="19"/>
          <w:color w:val="auto"/>
        </w:rPr>
      </w:pPr>
      <w:r>
        <w:rPr>
          <w:rFonts w:ascii="Arial" w:cs="Arial" w:eastAsia="Arial" w:hAnsi="Arial"/>
          <w:sz w:val="19"/>
          <w:szCs w:val="19"/>
          <w:color w:val="auto"/>
        </w:rPr>
        <w:t xml:space="preserve">(A) The Bond L/Cs shall be subject to the terms and conditions of this Agreement and applicable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(1) such Bond L/Cs may have expiration dates later than thirteen months from the date of issuance, so long as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such date is not later than the L/C Expiration Date; and (2) the terms of such Bond L/Cs must be acceptable to the applicable L/C Issuer and Administrative Agent, and, (I) subject to the provisions of </w:t>
      </w:r>
      <w:r>
        <w:rPr>
          <w:rFonts w:ascii="Arial" w:cs="Arial" w:eastAsia="Arial" w:hAnsi="Arial"/>
          <w:sz w:val="19"/>
          <w:szCs w:val="19"/>
          <w:b w:val="1"/>
          <w:bCs w:val="1"/>
          <w:i w:val="1"/>
          <w:iCs w:val="1"/>
          <w:color w:val="auto"/>
        </w:rPr>
        <w:t>Section 2.3(i)(ii)</w:t>
      </w:r>
      <w:r>
        <w:rPr>
          <w:rFonts w:ascii="Arial" w:cs="Arial" w:eastAsia="Arial" w:hAnsi="Arial"/>
          <w:sz w:val="19"/>
          <w:szCs w:val="19"/>
          <w:color w:val="auto"/>
        </w:rPr>
        <w:t xml:space="preserve"> and </w:t>
      </w:r>
      <w:r>
        <w:rPr>
          <w:rFonts w:ascii="Arial" w:cs="Arial" w:eastAsia="Arial" w:hAnsi="Arial"/>
          <w:sz w:val="19"/>
          <w:szCs w:val="19"/>
          <w:b w:val="1"/>
          <w:bCs w:val="1"/>
          <w:i w:val="1"/>
          <w:iCs w:val="1"/>
          <w:color w:val="auto"/>
        </w:rPr>
        <w:t>2.3(i)(iii)</w:t>
      </w:r>
      <w:r>
        <w:rPr>
          <w:rFonts w:ascii="Arial" w:cs="Arial" w:eastAsia="Arial" w:hAnsi="Arial"/>
          <w:sz w:val="19"/>
          <w:szCs w:val="19"/>
          <w:color w:val="auto"/>
        </w:rPr>
        <w:t xml:space="preserve">, may provide for the reinstatement of drawn portions of the Bond L/C, whether or not reimbursement has been received (which may have the effect of increasing the amount of such Bond L/C), (II) may provide for automatic extensions thereof, so long as such terms comply with the auto extension provisions set forth in </w:t>
      </w:r>
      <w:r>
        <w:rPr>
          <w:rFonts w:ascii="Arial" w:cs="Arial" w:eastAsia="Arial" w:hAnsi="Arial"/>
          <w:sz w:val="19"/>
          <w:szCs w:val="19"/>
          <w:b w:val="1"/>
          <w:bCs w:val="1"/>
          <w:i w:val="1"/>
          <w:iCs w:val="1"/>
          <w:color w:val="auto"/>
        </w:rPr>
        <w:t>Section 2.3(b)(iii)</w:t>
      </w:r>
      <w:r>
        <w:rPr>
          <w:rFonts w:ascii="Arial" w:cs="Arial" w:eastAsia="Arial" w:hAnsi="Arial"/>
          <w:sz w:val="19"/>
          <w:szCs w:val="19"/>
          <w:color w:val="auto"/>
        </w:rPr>
        <w:t xml:space="preserve"> hereof, and (III) may contain provisions whereby the applicable L/C Issuer is granted certain Rights in collateral and voting Rights under the related Bond Documents, which Rights are expressly assigned by the applicable L/C Issuer to Administrative Agent for the benefit of Revolver Lenders pursuant to </w:t>
      </w:r>
      <w:r>
        <w:rPr>
          <w:rFonts w:ascii="Arial" w:cs="Arial" w:eastAsia="Arial" w:hAnsi="Arial"/>
          <w:sz w:val="19"/>
          <w:szCs w:val="19"/>
          <w:b w:val="1"/>
          <w:bCs w:val="1"/>
          <w:i w:val="1"/>
          <w:iCs w:val="1"/>
          <w:color w:val="auto"/>
        </w:rPr>
        <w:t xml:space="preserve">Section 2.3(i)(iv) </w:t>
      </w:r>
      <w:r>
        <w:rPr>
          <w:rFonts w:ascii="Arial" w:cs="Arial" w:eastAsia="Arial" w:hAnsi="Arial"/>
          <w:sz w:val="19"/>
          <w:szCs w:val="19"/>
          <w:color w:val="auto"/>
        </w:rPr>
        <w:t>herein.</w:t>
      </w:r>
    </w:p>
    <w:p>
      <w:pPr>
        <w:spacing w:after="0" w:line="181" w:lineRule="exact"/>
        <w:rPr>
          <w:rFonts w:ascii="Arial" w:cs="Arial" w:eastAsia="Arial" w:hAnsi="Arial"/>
          <w:sz w:val="19"/>
          <w:szCs w:val="19"/>
          <w:color w:val="auto"/>
        </w:rPr>
      </w:pPr>
    </w:p>
    <w:p>
      <w:pPr>
        <w:jc w:val="both"/>
        <w:ind w:left="760" w:firstLine="641"/>
        <w:spacing w:after="0" w:line="243" w:lineRule="auto"/>
        <w:tabs>
          <w:tab w:leader="none" w:pos="1945" w:val="left"/>
        </w:tabs>
        <w:numPr>
          <w:ilvl w:val="2"/>
          <w:numId w:val="66"/>
        </w:numPr>
        <w:rPr>
          <w:rFonts w:ascii="Arial" w:cs="Arial" w:eastAsia="Arial" w:hAnsi="Arial"/>
          <w:sz w:val="20"/>
          <w:szCs w:val="20"/>
          <w:color w:val="auto"/>
        </w:rPr>
      </w:pPr>
      <w:r>
        <w:rPr>
          <w:rFonts w:ascii="Arial" w:cs="Arial" w:eastAsia="Arial" w:hAnsi="Arial"/>
          <w:sz w:val="20"/>
          <w:szCs w:val="20"/>
          <w:color w:val="auto"/>
        </w:rPr>
        <w:t xml:space="preserve">Borrower may request that an L/C Issuer issue Bond L/Cs by providing at least 30 days prior written notice of such request to the applicable L/C Issuer, and by delivering a certificate at least 30 days prior to the issuance of any Bond L/C to Administrative Agent demonstrating the Companies’ pro forma compliance with the financial covenant set forth in </w:t>
      </w:r>
      <w:r>
        <w:rPr>
          <w:rFonts w:ascii="Arial" w:cs="Arial" w:eastAsia="Arial" w:hAnsi="Arial"/>
          <w:sz w:val="20"/>
          <w:szCs w:val="20"/>
          <w:b w:val="1"/>
          <w:bCs w:val="1"/>
          <w:i w:val="1"/>
          <w:iCs w:val="1"/>
          <w:color w:val="auto"/>
        </w:rPr>
        <w:t>Section 11.1</w:t>
      </w:r>
      <w:r>
        <w:rPr>
          <w:rFonts w:ascii="Arial" w:cs="Arial" w:eastAsia="Arial" w:hAnsi="Arial"/>
          <w:sz w:val="20"/>
          <w:szCs w:val="20"/>
          <w:color w:val="auto"/>
        </w:rPr>
        <w:t xml:space="preserve"> herein, after giving effect to the issuance of any such Bonds and, without duplication, any Debt incurred by Borrower or any Company in support thereof, and certifying that no Default or Potential Default exists or would result after giving effect thereto.</w:t>
      </w:r>
    </w:p>
    <w:p>
      <w:pPr>
        <w:spacing w:after="0" w:line="196" w:lineRule="exact"/>
        <w:rPr>
          <w:rFonts w:ascii="Arial" w:cs="Arial" w:eastAsia="Arial" w:hAnsi="Arial"/>
          <w:sz w:val="20"/>
          <w:szCs w:val="20"/>
          <w:color w:val="auto"/>
        </w:rPr>
      </w:pPr>
    </w:p>
    <w:p>
      <w:pPr>
        <w:jc w:val="both"/>
        <w:ind w:left="100" w:firstLine="653"/>
        <w:spacing w:after="0" w:line="270" w:lineRule="auto"/>
        <w:tabs>
          <w:tab w:leader="none" w:pos="1231"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the event that the proceeds of any drawing under any Bond L/C are used to pay the purchase price of Bonds tendered or deemed tendered by the owner thereof pursuant to the related Bond Documents (such drawing, including the drawing of any accrued interest on the tendered Bonds, a “</w:t>
      </w:r>
      <w:r>
        <w:rPr>
          <w:rFonts w:ascii="Arial" w:cs="Arial" w:eastAsia="Arial" w:hAnsi="Arial"/>
          <w:sz w:val="18"/>
          <w:szCs w:val="18"/>
          <w:b w:val="1"/>
          <w:bCs w:val="1"/>
          <w:i w:val="1"/>
          <w:iCs w:val="1"/>
          <w:color w:val="auto"/>
        </w:rPr>
        <w:t>Bond Purchase Drawing</w:t>
      </w:r>
      <w:r>
        <w:rPr>
          <w:rFonts w:ascii="Arial" w:cs="Arial" w:eastAsia="Arial" w:hAnsi="Arial"/>
          <w:sz w:val="18"/>
          <w:szCs w:val="18"/>
          <w:color w:val="auto"/>
        </w:rPr>
        <w:t xml:space="preserve">”), then the stated amount of such Bond L/C will be temporarily reduced by the amount of such drawing, subject to automatic reinstatement (whether or not reimbursement for any drawings thereunder has been received or the conditions set forth in </w:t>
      </w:r>
      <w:r>
        <w:rPr>
          <w:rFonts w:ascii="Arial" w:cs="Arial" w:eastAsia="Arial" w:hAnsi="Arial"/>
          <w:sz w:val="18"/>
          <w:szCs w:val="18"/>
          <w:b w:val="1"/>
          <w:bCs w:val="1"/>
          <w:i w:val="1"/>
          <w:iCs w:val="1"/>
          <w:color w:val="auto"/>
        </w:rPr>
        <w:t>Section 7.2</w:t>
      </w:r>
      <w:r>
        <w:rPr>
          <w:rFonts w:ascii="Arial" w:cs="Arial" w:eastAsia="Arial" w:hAnsi="Arial"/>
          <w:sz w:val="18"/>
          <w:szCs w:val="18"/>
          <w:color w:val="auto"/>
        </w:rPr>
        <w:t xml:space="preserve"> have been satisfied, and without further approval from Revolver Lenders) pursuant to the provisions of the applicable Bond L/C by an amount equal to the Bond Purchase Drawing, so long as (A) the applicable L/C Issuer (or Administrative Agent, as assignee of such L/C Issuer) has been properly accounted for on the securities depository’s records as the beneficial owner of such Bonds purchased with the proceeds (or portion thereof) of the Bond L/C, or (B) such Bonds have been delivered to the appropriate custodian and registered as directed by such L/C Issuer (or Administrative Agent, as assignee of such L/C Issuer), or (C) to the extent provided for in the applicable Bond L/C, such Bonds have been remarketed in accordance with the terms of the applicable Bond Documents and released by the applicable L/C Issuer;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repurchased Bonds are not transferred to such L/C Issuer (or Administrative Agent, as assignee of such L/C Issuer) as required in </w:t>
      </w:r>
      <w:r>
        <w:rPr>
          <w:rFonts w:ascii="Arial" w:cs="Arial" w:eastAsia="Arial" w:hAnsi="Arial"/>
          <w:sz w:val="18"/>
          <w:szCs w:val="18"/>
          <w:b w:val="1"/>
          <w:bCs w:val="1"/>
          <w:i w:val="1"/>
          <w:iCs w:val="1"/>
          <w:color w:val="auto"/>
        </w:rPr>
        <w:t>clauses (A)</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(B)</w:t>
      </w:r>
      <w:r>
        <w:rPr>
          <w:rFonts w:ascii="Arial" w:cs="Arial" w:eastAsia="Arial" w:hAnsi="Arial"/>
          <w:sz w:val="18"/>
          <w:szCs w:val="18"/>
          <w:color w:val="auto"/>
        </w:rPr>
        <w:t xml:space="preserve"> preceding, then the applicable L/C Issuer shall notify Administrative Agent (who shall subsequently notify Revolver</w:t>
      </w:r>
    </w:p>
    <w:p>
      <w:pPr>
        <w:spacing w:after="0" w:line="200" w:lineRule="exact"/>
        <w:rPr>
          <w:sz w:val="20"/>
          <w:szCs w:val="20"/>
          <w:color w:val="auto"/>
        </w:rPr>
      </w:pPr>
    </w:p>
    <w:p>
      <w:pPr>
        <w:spacing w:after="0" w:line="213"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0220"/>
          </w:cols>
          <w:pgMar w:left="1440" w:top="582" w:right="239" w:bottom="1440" w:gutter="0" w:footer="0" w:header="0"/>
        </w:sectPr>
      </w:pPr>
    </w:p>
    <w:bookmarkStart w:id="114" w:name="page115"/>
    <w:bookmarkEnd w:id="114"/>
    <w:p>
      <w:pPr>
        <w:jc w:val="both"/>
        <w:ind w:left="100"/>
        <w:spacing w:after="0" w:line="250" w:lineRule="auto"/>
        <w:rPr>
          <w:sz w:val="20"/>
          <w:szCs w:val="20"/>
          <w:color w:val="auto"/>
        </w:rPr>
      </w:pPr>
      <w:r>
        <w:rPr>
          <w:rFonts w:ascii="Arial" w:cs="Arial" w:eastAsia="Arial" w:hAnsi="Arial"/>
          <w:sz w:val="20"/>
          <w:szCs w:val="20"/>
          <w:color w:val="auto"/>
        </w:rPr>
        <w:t>Lenders) of such failure. Unless otherwise directed by Required Revolver Lenders, the applicable L/C Issuer shall then deliver notice to the applicable Trustee prior to the fifth Business Day after any such Bond Purchase Drawing that the amount of such drawing will not be reinstated.</w:t>
      </w:r>
    </w:p>
    <w:p>
      <w:pPr>
        <w:spacing w:after="0" w:line="186" w:lineRule="exact"/>
        <w:rPr>
          <w:sz w:val="20"/>
          <w:szCs w:val="20"/>
          <w:color w:val="auto"/>
        </w:rPr>
      </w:pPr>
    </w:p>
    <w:p>
      <w:pPr>
        <w:jc w:val="both"/>
        <w:ind w:left="100" w:firstLine="653"/>
        <w:spacing w:after="0" w:line="242" w:lineRule="auto"/>
        <w:tabs>
          <w:tab w:leader="none" w:pos="1275" w:val="left"/>
        </w:tabs>
        <w:numPr>
          <w:ilvl w:val="0"/>
          <w:numId w:val="67"/>
        </w:numPr>
        <w:rPr>
          <w:rFonts w:ascii="Arial" w:cs="Arial" w:eastAsia="Arial" w:hAnsi="Arial"/>
          <w:sz w:val="20"/>
          <w:szCs w:val="20"/>
          <w:color w:val="auto"/>
        </w:rPr>
      </w:pPr>
      <w:r>
        <w:rPr>
          <w:rFonts w:ascii="Arial" w:cs="Arial" w:eastAsia="Arial" w:hAnsi="Arial"/>
          <w:sz w:val="20"/>
          <w:szCs w:val="20"/>
          <w:color w:val="auto"/>
        </w:rPr>
        <w:t xml:space="preserve">If the interest portion of any Bond L/C is drawn by the applicable Trustee to make scheduled interest payments on the outstanding principal amount of the Bonds, then the stated amount of such Bond L/C will be temporarily reduced by the amount of such drawing, subject to automatic reinstatement of the interest portion of such Bond L/C (whether or not reimbursement for any drawings thereunder has been received or the conditions set forth in </w:t>
      </w:r>
      <w:r>
        <w:rPr>
          <w:rFonts w:ascii="Arial" w:cs="Arial" w:eastAsia="Arial" w:hAnsi="Arial"/>
          <w:sz w:val="20"/>
          <w:szCs w:val="20"/>
          <w:b w:val="1"/>
          <w:bCs w:val="1"/>
          <w:i w:val="1"/>
          <w:iCs w:val="1"/>
          <w:color w:val="auto"/>
        </w:rPr>
        <w:t>Section 7.2</w:t>
      </w:r>
      <w:r>
        <w:rPr>
          <w:rFonts w:ascii="Arial" w:cs="Arial" w:eastAsia="Arial" w:hAnsi="Arial"/>
          <w:sz w:val="20"/>
          <w:szCs w:val="20"/>
          <w:color w:val="auto"/>
        </w:rPr>
        <w:t xml:space="preserve"> have been satisfied, and without further approval from Revolver Lenders) pursuant to the provisions of the applicable Bond L/C. Subject to compliance with </w:t>
      </w:r>
      <w:r>
        <w:rPr>
          <w:rFonts w:ascii="Arial" w:cs="Arial" w:eastAsia="Arial" w:hAnsi="Arial"/>
          <w:sz w:val="20"/>
          <w:szCs w:val="20"/>
          <w:b w:val="1"/>
          <w:bCs w:val="1"/>
          <w:i w:val="1"/>
          <w:iCs w:val="1"/>
          <w:color w:val="auto"/>
        </w:rPr>
        <w:t>Section 2.3(b)</w:t>
      </w:r>
      <w:r>
        <w:rPr>
          <w:rFonts w:ascii="Arial" w:cs="Arial" w:eastAsia="Arial" w:hAnsi="Arial"/>
          <w:sz w:val="20"/>
          <w:szCs w:val="20"/>
          <w:color w:val="auto"/>
        </w:rPr>
        <w:t xml:space="preserve"> herein, the stated amount of the related Bond L/C may be increased as required by the related Bond Documents (to reflect an increase in the maximum rate of interest or number of days of accrued interest covered by such Bond L/C or otherwise).</w:t>
      </w:r>
    </w:p>
    <w:p>
      <w:pPr>
        <w:spacing w:after="0" w:line="197" w:lineRule="exact"/>
        <w:rPr>
          <w:rFonts w:ascii="Arial" w:cs="Arial" w:eastAsia="Arial" w:hAnsi="Arial"/>
          <w:sz w:val="20"/>
          <w:szCs w:val="20"/>
          <w:color w:val="auto"/>
        </w:rPr>
      </w:pPr>
    </w:p>
    <w:p>
      <w:pPr>
        <w:jc w:val="both"/>
        <w:ind w:left="100" w:firstLine="653"/>
        <w:spacing w:after="0" w:line="268" w:lineRule="auto"/>
        <w:tabs>
          <w:tab w:leader="none" w:pos="1254"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liens and security interests securing reimbursement obligations and other obligations owed to the applicable L/C Issuer of any Bond L/C under the related Bond Documents (including, without limitation, any L/C Borrowing), any rights in and to any Bonds or other certificates of indebtedness issued to such L/C Issuer under the related Bond Documents, and any voting rights or other rights created in favor of such L/C Issuer under or pursuant to or in connection with any related Bond Documents (collectively, the “</w:t>
      </w:r>
      <w:r>
        <w:rPr>
          <w:rFonts w:ascii="Arial" w:cs="Arial" w:eastAsia="Arial" w:hAnsi="Arial"/>
          <w:sz w:val="18"/>
          <w:szCs w:val="18"/>
          <w:b w:val="1"/>
          <w:bCs w:val="1"/>
          <w:i w:val="1"/>
          <w:iCs w:val="1"/>
          <w:color w:val="auto"/>
        </w:rPr>
        <w:t>Bond Rights</w:t>
      </w:r>
      <w:r>
        <w:rPr>
          <w:rFonts w:ascii="Arial" w:cs="Arial" w:eastAsia="Arial" w:hAnsi="Arial"/>
          <w:sz w:val="18"/>
          <w:szCs w:val="18"/>
          <w:color w:val="auto"/>
        </w:rPr>
        <w:t xml:space="preserve">”), now or hereafter existing in favor of such L/C Issuer, are hereby assigned and conveyed by the applicable L/C Issuer to Administrative Agent for the ratable benefit of Revolver Lenders. Notwithstanding anything to the contrary set forth in any Bond L/C, any Bonds, or certificates of indebtedness purchased from the owner thereof by the applicable Trustee with funds received pursuant to a drawing under any Bond L/C shall be registered in the name of Administrative Agent and shall be delivered to or held by Administrative Agent or such other entity as may be specified by the applicable L/C Issuer and approved by Administrative Agent in a written instrument delivered to the applicable Trustee, for the benefit of the applicable L/C Issuer, Administrative Agent, and the other Revolver Lenders. Each L/C Issuer of a Bond L/C agrees to execute all such other assignments, conveyances, financing statements, and other documents required by Administrative Agent to effect the requirements of this </w:t>
      </w:r>
      <w:r>
        <w:rPr>
          <w:rFonts w:ascii="Arial" w:cs="Arial" w:eastAsia="Arial" w:hAnsi="Arial"/>
          <w:sz w:val="18"/>
          <w:szCs w:val="18"/>
          <w:b w:val="1"/>
          <w:bCs w:val="1"/>
          <w:i w:val="1"/>
          <w:iCs w:val="1"/>
          <w:color w:val="auto"/>
        </w:rPr>
        <w:t>Section 2.3(i)(iv)</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Revolver Lenders, Administrative Agent, and such L/C Issuer agree that in the event any Bonds or certificates of indebtedness are issued to such L/C Issuer (or Administrative Agent as the assignee of such L/C Issuer) as a result of a drawing by the applicable Trustee under the Bond L/C for which such L/C Issuer is not immediately reimbursed, and subsequently the Bonds are remarketed and such L/C Issuer is reimbursed for all amounts so advanced (which reimbursement may be a repayment of any Revolver Loan disbursed by Revolver Lenders as payment of the related L/C reimbursement obligations under </w:t>
      </w:r>
      <w:r>
        <w:rPr>
          <w:rFonts w:ascii="Arial" w:cs="Arial" w:eastAsia="Arial" w:hAnsi="Arial"/>
          <w:sz w:val="18"/>
          <w:szCs w:val="18"/>
          <w:b w:val="1"/>
          <w:bCs w:val="1"/>
          <w:i w:val="1"/>
          <w:iCs w:val="1"/>
          <w:color w:val="auto"/>
        </w:rPr>
        <w:t>Section 2.3(c)</w:t>
      </w:r>
      <w:r>
        <w:rPr>
          <w:rFonts w:ascii="Arial" w:cs="Arial" w:eastAsia="Arial" w:hAnsi="Arial"/>
          <w:sz w:val="18"/>
          <w:szCs w:val="18"/>
          <w:color w:val="auto"/>
        </w:rPr>
        <w:t xml:space="preserve"> or a repayment of an L/C Borrowing), then any Bonds or certificates of indebtedness shall be released by Administrative Agent and delivered to such Trustee without any further authorization from Revolver Lenders or such L/C Issuer.</w:t>
      </w:r>
    </w:p>
    <w:p>
      <w:pPr>
        <w:spacing w:after="0" w:line="185" w:lineRule="exact"/>
        <w:rPr>
          <w:rFonts w:ascii="Arial" w:cs="Arial" w:eastAsia="Arial" w:hAnsi="Arial"/>
          <w:sz w:val="18"/>
          <w:szCs w:val="18"/>
          <w:color w:val="auto"/>
        </w:rPr>
      </w:pPr>
    </w:p>
    <w:p>
      <w:pPr>
        <w:jc w:val="both"/>
        <w:ind w:left="100" w:firstLine="653"/>
        <w:spacing w:after="0" w:line="250" w:lineRule="auto"/>
        <w:tabs>
          <w:tab w:leader="none" w:pos="1192" w:val="left"/>
        </w:tabs>
        <w:numPr>
          <w:ilvl w:val="0"/>
          <w:numId w:val="67"/>
        </w:numPr>
        <w:rPr>
          <w:rFonts w:ascii="Arial" w:cs="Arial" w:eastAsia="Arial" w:hAnsi="Arial"/>
          <w:sz w:val="20"/>
          <w:szCs w:val="20"/>
          <w:color w:val="auto"/>
        </w:rPr>
      </w:pPr>
      <w:r>
        <w:rPr>
          <w:rFonts w:ascii="Arial" w:cs="Arial" w:eastAsia="Arial" w:hAnsi="Arial"/>
          <w:sz w:val="20"/>
          <w:szCs w:val="20"/>
          <w:color w:val="auto"/>
        </w:rPr>
        <w:t>To the extent Rights (including, without limitation, voting rights, rights to provide notice and elect remedies, and rights to approve waivers, consents, or amendments of the related Bond Documents) are created in favor of the L/C Issuers of any Bond L/C,</w:t>
      </w:r>
    </w:p>
    <w:p>
      <w:pPr>
        <w:spacing w:after="0" w:line="200" w:lineRule="exact"/>
        <w:rPr>
          <w:sz w:val="20"/>
          <w:szCs w:val="20"/>
          <w:color w:val="auto"/>
        </w:rPr>
      </w:pPr>
    </w:p>
    <w:p>
      <w:pPr>
        <w:spacing w:after="0" w:line="229"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0220"/>
          </w:cols>
          <w:pgMar w:left="1440" w:top="582" w:right="239" w:bottom="1440" w:gutter="0" w:footer="0" w:header="0"/>
        </w:sectPr>
      </w:pPr>
    </w:p>
    <w:bookmarkStart w:id="115" w:name="page116"/>
    <w:bookmarkEnd w:id="115"/>
    <w:p>
      <w:pPr>
        <w:ind w:left="640"/>
        <w:spacing w:after="0" w:line="260" w:lineRule="auto"/>
        <w:rPr>
          <w:sz w:val="20"/>
          <w:szCs w:val="20"/>
          <w:color w:val="auto"/>
        </w:rPr>
      </w:pPr>
      <w:r>
        <w:rPr>
          <w:rFonts w:ascii="Arial" w:cs="Arial" w:eastAsia="Arial" w:hAnsi="Arial"/>
          <w:sz w:val="20"/>
          <w:szCs w:val="20"/>
          <w:color w:val="auto"/>
        </w:rPr>
        <w:t>such Rights (other than ministerial, non discretionary Rights) may only be exercised with the consent, or in accordance with the directions, of Required Revolver Lenders.</w:t>
      </w:r>
    </w:p>
    <w:p>
      <w:pPr>
        <w:spacing w:after="0" w:line="177" w:lineRule="exact"/>
        <w:rPr>
          <w:sz w:val="20"/>
          <w:szCs w:val="20"/>
          <w:color w:val="auto"/>
        </w:rPr>
      </w:pPr>
    </w:p>
    <w:p>
      <w:pPr>
        <w:jc w:val="both"/>
        <w:ind w:left="640" w:firstLine="653"/>
        <w:spacing w:after="0" w:line="250" w:lineRule="auto"/>
        <w:tabs>
          <w:tab w:leader="none" w:pos="1813" w:val="left"/>
        </w:tabs>
        <w:numPr>
          <w:ilvl w:val="1"/>
          <w:numId w:val="68"/>
        </w:numPr>
        <w:rPr>
          <w:rFonts w:ascii="Arial" w:cs="Arial" w:eastAsia="Arial" w:hAnsi="Arial"/>
          <w:sz w:val="20"/>
          <w:szCs w:val="20"/>
          <w:color w:val="auto"/>
        </w:rPr>
      </w:pPr>
      <w:r>
        <w:rPr>
          <w:rFonts w:ascii="Arial" w:cs="Arial" w:eastAsia="Arial" w:hAnsi="Arial"/>
          <w:sz w:val="20"/>
          <w:szCs w:val="20"/>
          <w:color w:val="auto"/>
        </w:rPr>
        <w:t xml:space="preserve">In the event of any conflict between the terms and provisions of this </w:t>
      </w:r>
      <w:r>
        <w:rPr>
          <w:rFonts w:ascii="Arial" w:cs="Arial" w:eastAsia="Arial" w:hAnsi="Arial"/>
          <w:sz w:val="20"/>
          <w:szCs w:val="20"/>
          <w:b w:val="1"/>
          <w:bCs w:val="1"/>
          <w:i w:val="1"/>
          <w:iCs w:val="1"/>
          <w:color w:val="auto"/>
        </w:rPr>
        <w:t>Section 2.3</w:t>
      </w:r>
      <w:r>
        <w:rPr>
          <w:rFonts w:ascii="Arial" w:cs="Arial" w:eastAsia="Arial" w:hAnsi="Arial"/>
          <w:sz w:val="20"/>
          <w:szCs w:val="20"/>
          <w:color w:val="auto"/>
        </w:rPr>
        <w:t xml:space="preserve"> relating to Bond L/Cs and the terms and provisions of any Loan Paper relating to L/Cs (other than Bond L/Cs), the terms and provisions of this </w:t>
      </w:r>
      <w:r>
        <w:rPr>
          <w:rFonts w:ascii="Arial" w:cs="Arial" w:eastAsia="Arial" w:hAnsi="Arial"/>
          <w:sz w:val="20"/>
          <w:szCs w:val="20"/>
          <w:b w:val="1"/>
          <w:bCs w:val="1"/>
          <w:i w:val="1"/>
          <w:iCs w:val="1"/>
          <w:color w:val="auto"/>
        </w:rPr>
        <w:t>Section 2.3</w:t>
      </w:r>
      <w:r>
        <w:rPr>
          <w:rFonts w:ascii="Arial" w:cs="Arial" w:eastAsia="Arial" w:hAnsi="Arial"/>
          <w:sz w:val="20"/>
          <w:szCs w:val="20"/>
          <w:color w:val="auto"/>
        </w:rPr>
        <w:t xml:space="preserve"> shall control.</w:t>
      </w:r>
    </w:p>
    <w:p>
      <w:pPr>
        <w:spacing w:after="0" w:line="186" w:lineRule="exact"/>
        <w:rPr>
          <w:rFonts w:ascii="Arial" w:cs="Arial" w:eastAsia="Arial" w:hAnsi="Arial"/>
          <w:sz w:val="20"/>
          <w:szCs w:val="20"/>
          <w:color w:val="auto"/>
        </w:rPr>
      </w:pPr>
    </w:p>
    <w:p>
      <w:pPr>
        <w:jc w:val="both"/>
        <w:ind w:firstLine="645"/>
        <w:spacing w:after="0" w:line="244" w:lineRule="auto"/>
        <w:tabs>
          <w:tab w:leader="none" w:pos="1209" w:val="left"/>
        </w:tabs>
        <w:numPr>
          <w:ilvl w:val="0"/>
          <w:numId w:val="69"/>
        </w:numPr>
        <w:rPr>
          <w:rFonts w:ascii="Arial" w:cs="Arial" w:eastAsia="Arial" w:hAnsi="Arial"/>
          <w:sz w:val="20"/>
          <w:szCs w:val="20"/>
          <w:color w:val="auto"/>
        </w:rPr>
      </w:pPr>
      <w:r>
        <w:rPr>
          <w:rFonts w:ascii="Arial" w:cs="Arial" w:eastAsia="Arial" w:hAnsi="Arial"/>
          <w:sz w:val="20"/>
          <w:szCs w:val="20"/>
          <w:b w:val="1"/>
          <w:bCs w:val="1"/>
          <w:i w:val="1"/>
          <w:iCs w:val="1"/>
          <w:color w:val="auto"/>
        </w:rPr>
        <w:t>L/Cs Issued for Subsidiaries</w:t>
      </w:r>
      <w:r>
        <w:rPr>
          <w:rFonts w:ascii="Arial" w:cs="Arial" w:eastAsia="Arial" w:hAnsi="Arial"/>
          <w:sz w:val="20"/>
          <w:szCs w:val="20"/>
          <w:color w:val="auto"/>
        </w:rPr>
        <w:t>. Notwithstanding that an L/C issued or outstanding hereunder is in support of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obligations of, or is for the account of, a Subsidiary of Borrower or a Metro District, Borrower shall be obligated to reimburse the applicable L/C Issuer hereunder for any and all drawings under such L/C. Borrower hereby acknowledges that the issuance of L/Cs for the account of Subsidiaries of Borrower or a Metro District inures to the benefit of Borrower, and that Borrower’s business derives substantial benefits from the businesses of such Subsidiaries.</w:t>
      </w:r>
    </w:p>
    <w:p>
      <w:pPr>
        <w:spacing w:after="0" w:line="200" w:lineRule="exact"/>
        <w:rPr>
          <w:sz w:val="20"/>
          <w:szCs w:val="20"/>
          <w:color w:val="auto"/>
        </w:rPr>
      </w:pP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8"/>
          <w:szCs w:val="18"/>
          <w:u w:val="single" w:color="auto"/>
          <w:color w:val="auto"/>
        </w:rPr>
        <w:t>Swing Line Loans</w:t>
      </w:r>
      <w:r>
        <w:rPr>
          <w:rFonts w:ascii="Arial" w:cs="Arial" w:eastAsia="Arial" w:hAnsi="Arial"/>
          <w:sz w:val="18"/>
          <w:szCs w:val="18"/>
          <w:color w:val="auto"/>
        </w:rPr>
        <w:t>.</w:t>
      </w:r>
    </w:p>
    <w:p>
      <w:pPr>
        <w:spacing w:after="0" w:line="216" w:lineRule="exact"/>
        <w:rPr>
          <w:sz w:val="20"/>
          <w:szCs w:val="20"/>
          <w:color w:val="auto"/>
        </w:rPr>
      </w:pPr>
    </w:p>
    <w:p>
      <w:pPr>
        <w:jc w:val="both"/>
        <w:ind w:firstLine="645"/>
        <w:spacing w:after="0" w:line="267" w:lineRule="auto"/>
        <w:tabs>
          <w:tab w:leader="none" w:pos="1147"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The Swing Line</w:t>
      </w:r>
      <w:r>
        <w:rPr>
          <w:rFonts w:ascii="Arial" w:cs="Arial" w:eastAsia="Arial" w:hAnsi="Arial"/>
          <w:sz w:val="18"/>
          <w:szCs w:val="18"/>
          <w:color w:val="auto"/>
        </w:rPr>
        <w:t>. Subject to the terms and conditions set forth herein, each Swing Line Lender agrees (severally,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jointly), in reliance upon the agreements of the other Revolver Lenders set forth in this </w:t>
      </w:r>
      <w:r>
        <w:rPr>
          <w:rFonts w:ascii="Arial" w:cs="Arial" w:eastAsia="Arial" w:hAnsi="Arial"/>
          <w:sz w:val="18"/>
          <w:szCs w:val="18"/>
          <w:b w:val="1"/>
          <w:bCs w:val="1"/>
          <w:i w:val="1"/>
          <w:iCs w:val="1"/>
          <w:color w:val="auto"/>
        </w:rPr>
        <w:t>Section 2.4</w:t>
      </w:r>
      <w:r>
        <w:rPr>
          <w:rFonts w:ascii="Arial" w:cs="Arial" w:eastAsia="Arial" w:hAnsi="Arial"/>
          <w:sz w:val="18"/>
          <w:szCs w:val="18"/>
          <w:color w:val="auto"/>
        </w:rPr>
        <w:t>, to make loans (each such loan, a “</w:t>
      </w:r>
      <w:r>
        <w:rPr>
          <w:rFonts w:ascii="Arial" w:cs="Arial" w:eastAsia="Arial" w:hAnsi="Arial"/>
          <w:sz w:val="18"/>
          <w:szCs w:val="18"/>
          <w:b w:val="1"/>
          <w:bCs w:val="1"/>
          <w:i w:val="1"/>
          <w:iCs w:val="1"/>
          <w:color w:val="auto"/>
        </w:rPr>
        <w:t>Swing Line Loan</w:t>
      </w:r>
      <w:r>
        <w:rPr>
          <w:rFonts w:ascii="Arial" w:cs="Arial" w:eastAsia="Arial" w:hAnsi="Arial"/>
          <w:sz w:val="18"/>
          <w:szCs w:val="18"/>
          <w:color w:val="auto"/>
        </w:rPr>
        <w:t xml:space="preserve">”) to Borrower from time to time on any Business Day prior to the Termination Date for the Revolver Facility in an aggregate amount up to such Swing Line Lender’s Swing Line Commitment, notwithstanding the fact that such Swing Line Loans, when aggregated with the Commitment Percentage of the Outstanding Amount of Revolver Loans and L/C Exposure of such Revolver Lender acting as Swing Line Lender, may exceed the amount of such Revolver Lender’s Revolver Commitment;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after giving effect to any Swing Line Loan, (i) the aggregate Outstanding Amount of all Swing Line Loans made by the Swing Line Lenders shall not exceed the Swing Line Sublimit, (ii) the Revolver Commitment Usage shall not exceed the Revolver Commitment, and (iii) the aggregate Outstanding Amount of the Revolver Loans of any Revolver Lender, </w:t>
      </w:r>
      <w:r>
        <w:rPr>
          <w:rFonts w:ascii="Arial" w:cs="Arial" w:eastAsia="Arial" w:hAnsi="Arial"/>
          <w:sz w:val="18"/>
          <w:szCs w:val="18"/>
          <w:i w:val="1"/>
          <w:iCs w:val="1"/>
          <w:color w:val="auto"/>
        </w:rPr>
        <w:t>plus</w:t>
      </w:r>
      <w:r>
        <w:rPr>
          <w:rFonts w:ascii="Arial" w:cs="Arial" w:eastAsia="Arial" w:hAnsi="Arial"/>
          <w:sz w:val="18"/>
          <w:szCs w:val="18"/>
          <w:color w:val="auto"/>
        </w:rPr>
        <w:t xml:space="preserve"> such Revolver Lender’s Commitment Percentage of the Outstanding Amount of all L/C Exposure, </w:t>
      </w:r>
      <w:r>
        <w:rPr>
          <w:rFonts w:ascii="Arial" w:cs="Arial" w:eastAsia="Arial" w:hAnsi="Arial"/>
          <w:sz w:val="18"/>
          <w:szCs w:val="18"/>
          <w:i w:val="1"/>
          <w:iCs w:val="1"/>
          <w:color w:val="auto"/>
        </w:rPr>
        <w:t>plus</w:t>
      </w:r>
      <w:r>
        <w:rPr>
          <w:rFonts w:ascii="Arial" w:cs="Arial" w:eastAsia="Arial" w:hAnsi="Arial"/>
          <w:sz w:val="18"/>
          <w:szCs w:val="18"/>
          <w:color w:val="auto"/>
        </w:rPr>
        <w:t xml:space="preserve"> such Revolver Lender’s Commitment Percentage of the Outstanding Amount of all Swing Line Loans shall not exceed such Revolver Lender’s Revolver Commitment,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Borrower shall not use the proceeds of any Swing Line Loan to refinance any outstanding Swing Line Loan. Within the foregoing limits, and subject to the other terms and conditions hereof, Borrower may borrow under this </w:t>
      </w:r>
      <w:r>
        <w:rPr>
          <w:rFonts w:ascii="Arial" w:cs="Arial" w:eastAsia="Arial" w:hAnsi="Arial"/>
          <w:sz w:val="18"/>
          <w:szCs w:val="18"/>
          <w:b w:val="1"/>
          <w:bCs w:val="1"/>
          <w:i w:val="1"/>
          <w:iCs w:val="1"/>
          <w:color w:val="auto"/>
        </w:rPr>
        <w:t>Section 2.4</w:t>
      </w:r>
      <w:r>
        <w:rPr>
          <w:rFonts w:ascii="Arial" w:cs="Arial" w:eastAsia="Arial" w:hAnsi="Arial"/>
          <w:sz w:val="18"/>
          <w:szCs w:val="18"/>
          <w:color w:val="auto"/>
        </w:rPr>
        <w:t xml:space="preserve">, prepay under </w:t>
      </w:r>
      <w:r>
        <w:rPr>
          <w:rFonts w:ascii="Arial" w:cs="Arial" w:eastAsia="Arial" w:hAnsi="Arial"/>
          <w:sz w:val="18"/>
          <w:szCs w:val="18"/>
          <w:b w:val="1"/>
          <w:bCs w:val="1"/>
          <w:i w:val="1"/>
          <w:iCs w:val="1"/>
          <w:color w:val="auto"/>
        </w:rPr>
        <w:t>Section 3.2</w:t>
      </w:r>
      <w:r>
        <w:rPr>
          <w:rFonts w:ascii="Arial" w:cs="Arial" w:eastAsia="Arial" w:hAnsi="Arial"/>
          <w:sz w:val="18"/>
          <w:szCs w:val="18"/>
          <w:color w:val="auto"/>
        </w:rPr>
        <w:t xml:space="preserve">, and reborrow under this </w:t>
      </w:r>
      <w:r>
        <w:rPr>
          <w:rFonts w:ascii="Arial" w:cs="Arial" w:eastAsia="Arial" w:hAnsi="Arial"/>
          <w:sz w:val="18"/>
          <w:szCs w:val="18"/>
          <w:b w:val="1"/>
          <w:bCs w:val="1"/>
          <w:i w:val="1"/>
          <w:iCs w:val="1"/>
          <w:color w:val="auto"/>
        </w:rPr>
        <w:t>Section 2.4</w:t>
      </w:r>
      <w:r>
        <w:rPr>
          <w:rFonts w:ascii="Arial" w:cs="Arial" w:eastAsia="Arial" w:hAnsi="Arial"/>
          <w:sz w:val="18"/>
          <w:szCs w:val="18"/>
          <w:color w:val="auto"/>
        </w:rPr>
        <w:t xml:space="preserve">. Each Swing Line Loan shall be a Daily Floating LIBOR Loan. Immediately upon the making of a Swing Line Loan, each Revolver Lender shall be deemed to, and hereby irrevocably and unconditionally agrees to, purchase from the applicable Swing Line Lender a risk participation in such Swing Line Loan in an amount equal to the product of such Revolver Lender’s Commitment Percentage </w:t>
      </w:r>
      <w:r>
        <w:rPr>
          <w:rFonts w:ascii="Arial" w:cs="Arial" w:eastAsia="Arial" w:hAnsi="Arial"/>
          <w:sz w:val="18"/>
          <w:szCs w:val="18"/>
          <w:i w:val="1"/>
          <w:iCs w:val="1"/>
          <w:color w:val="auto"/>
        </w:rPr>
        <w:t>times</w:t>
      </w:r>
      <w:r>
        <w:rPr>
          <w:rFonts w:ascii="Arial" w:cs="Arial" w:eastAsia="Arial" w:hAnsi="Arial"/>
          <w:sz w:val="18"/>
          <w:szCs w:val="18"/>
          <w:color w:val="auto"/>
        </w:rPr>
        <w:t xml:space="preserve"> the amount of such Swing Line Loan. Notwithstanding anything to the contrary in this </w:t>
      </w:r>
      <w:r>
        <w:rPr>
          <w:rFonts w:ascii="Arial" w:cs="Arial" w:eastAsia="Arial" w:hAnsi="Arial"/>
          <w:sz w:val="18"/>
          <w:szCs w:val="18"/>
          <w:b w:val="1"/>
          <w:bCs w:val="1"/>
          <w:i w:val="1"/>
          <w:iCs w:val="1"/>
          <w:color w:val="auto"/>
        </w:rPr>
        <w:t>clause</w:t>
      </w:r>
    </w:p>
    <w:p>
      <w:pPr>
        <w:spacing w:after="0" w:line="4" w:lineRule="exact"/>
        <w:rPr>
          <w:rFonts w:ascii="Arial" w:cs="Arial" w:eastAsia="Arial" w:hAnsi="Arial"/>
          <w:sz w:val="18"/>
          <w:szCs w:val="18"/>
          <w:color w:val="auto"/>
        </w:rPr>
      </w:pPr>
    </w:p>
    <w:p>
      <w:pPr>
        <w:spacing w:after="0" w:line="269" w:lineRule="auto"/>
        <w:rPr>
          <w:rFonts w:ascii="Arial" w:cs="Arial" w:eastAsia="Arial" w:hAnsi="Arial"/>
          <w:sz w:val="18"/>
          <w:szCs w:val="18"/>
          <w:color w:val="auto"/>
        </w:rPr>
      </w:pPr>
      <w:r>
        <w:rPr>
          <w:rFonts w:ascii="Arial" w:cs="Arial" w:eastAsia="Arial" w:hAnsi="Arial"/>
          <w:sz w:val="19"/>
          <w:szCs w:val="19"/>
          <w:b w:val="1"/>
          <w:bCs w:val="1"/>
          <w:i w:val="1"/>
          <w:iCs w:val="1"/>
          <w:color w:val="auto"/>
        </w:rPr>
        <w:t>(a)</w:t>
      </w:r>
      <w:r>
        <w:rPr>
          <w:rFonts w:ascii="Arial" w:cs="Arial" w:eastAsia="Arial" w:hAnsi="Arial"/>
          <w:sz w:val="19"/>
          <w:szCs w:val="19"/>
          <w:color w:val="auto"/>
        </w:rPr>
        <w:t>, a Swing Line Lender shall not be obligated to make Swing Line Loans (x) at a time when any Revolver Lender is a Defaulting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Lender or (y) if such Swing Line Lender reasonably believes that a Revolver Lender will become a Defaulting Lender.</w:t>
      </w:r>
    </w:p>
    <w:p>
      <w:pPr>
        <w:spacing w:after="0" w:line="169" w:lineRule="exact"/>
        <w:rPr>
          <w:rFonts w:ascii="Arial" w:cs="Arial" w:eastAsia="Arial" w:hAnsi="Arial"/>
          <w:sz w:val="18"/>
          <w:szCs w:val="18"/>
          <w:color w:val="auto"/>
        </w:rPr>
      </w:pPr>
    </w:p>
    <w:p>
      <w:pPr>
        <w:jc w:val="both"/>
        <w:ind w:firstLine="645"/>
        <w:spacing w:after="0" w:line="246" w:lineRule="auto"/>
        <w:tabs>
          <w:tab w:leader="none" w:pos="1117" w:val="left"/>
        </w:tabs>
        <w:numPr>
          <w:ilvl w:val="0"/>
          <w:numId w:val="70"/>
        </w:numPr>
        <w:rPr>
          <w:rFonts w:ascii="Arial" w:cs="Arial" w:eastAsia="Arial" w:hAnsi="Arial"/>
          <w:sz w:val="20"/>
          <w:szCs w:val="20"/>
          <w:color w:val="auto"/>
        </w:rPr>
      </w:pPr>
      <w:r>
        <w:rPr>
          <w:rFonts w:ascii="Arial" w:cs="Arial" w:eastAsia="Arial" w:hAnsi="Arial"/>
          <w:sz w:val="20"/>
          <w:szCs w:val="20"/>
          <w:b w:val="1"/>
          <w:bCs w:val="1"/>
          <w:i w:val="1"/>
          <w:iCs w:val="1"/>
          <w:color w:val="auto"/>
        </w:rPr>
        <w:t>Borrowing Procedures</w:t>
      </w:r>
      <w:r>
        <w:rPr>
          <w:rFonts w:ascii="Arial" w:cs="Arial" w:eastAsia="Arial" w:hAnsi="Arial"/>
          <w:sz w:val="20"/>
          <w:szCs w:val="20"/>
          <w:color w:val="auto"/>
        </w:rPr>
        <w:t>. Each Swing Line Borrowing shall be made upon Borrower’s irrevocable notice to either Swing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Line Lender and Administrative Agent, which may be given by (A) telephone or (B) a Swing Line Loan Notice; provided that any telephonic notice must be confirmed promptly by delivery to the applicable Swing Line Lender and Administrative Agent of a Swing Line Loan Notice. Each such notice must be received by the applicable Swing</w:t>
      </w:r>
    </w:p>
    <w:p>
      <w:pPr>
        <w:spacing w:after="0" w:line="200" w:lineRule="exact"/>
        <w:rPr>
          <w:sz w:val="20"/>
          <w:szCs w:val="20"/>
          <w:color w:val="auto"/>
        </w:rPr>
      </w:pPr>
    </w:p>
    <w:p>
      <w:pPr>
        <w:spacing w:after="0" w:line="235"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0760"/>
          </w:cols>
          <w:pgMar w:left="900" w:top="582" w:right="239" w:bottom="1440" w:gutter="0" w:footer="0" w:header="0"/>
        </w:sectPr>
      </w:pPr>
    </w:p>
    <w:bookmarkStart w:id="116" w:name="page117"/>
    <w:bookmarkEnd w:id="116"/>
    <w:p>
      <w:pPr>
        <w:jc w:val="both"/>
        <w:spacing w:after="0" w:line="255" w:lineRule="auto"/>
        <w:rPr>
          <w:sz w:val="20"/>
          <w:szCs w:val="20"/>
          <w:color w:val="auto"/>
        </w:rPr>
      </w:pPr>
      <w:r>
        <w:rPr>
          <w:rFonts w:ascii="Arial" w:cs="Arial" w:eastAsia="Arial" w:hAnsi="Arial"/>
          <w:sz w:val="19"/>
          <w:szCs w:val="19"/>
          <w:color w:val="auto"/>
        </w:rPr>
        <w:t xml:space="preserve">Line Lender and Administrative Agent not later than 12:00 noon on the requested borrowing date, and shall specify (i) the amount to be borrowed, which shall be a minimum of $1,000,000, and (ii) the requested borrowing date, which shall be a Business Day. Promptly after receipt by the applicable Swing Line Lender of any telephonic Swing Line Loan Notice, such Swing Line Lender will confirm with Administrative Agent (by telephone or in writing) that Administrative Agent has also received such Swing Line Loan Notice and, if not, such Swing Line Lender will notify Administrative Agent (by telephone or in writing) of the contents thereof. Unless such Swing Line Lender has received notice (by telephone or in writing) from Administrative Agent (including at the request of any Revolver Lender) prior to 1:00 p.m. on the date of the proposed Swing Line Borrowing (A) directing such Swing Line Lender not to make such Swing Line Loan as a result of the limitations set forth in the proviso to the first sentence of </w:t>
      </w:r>
      <w:r>
        <w:rPr>
          <w:rFonts w:ascii="Arial" w:cs="Arial" w:eastAsia="Arial" w:hAnsi="Arial"/>
          <w:sz w:val="19"/>
          <w:szCs w:val="19"/>
          <w:b w:val="1"/>
          <w:bCs w:val="1"/>
          <w:i w:val="1"/>
          <w:iCs w:val="1"/>
          <w:color w:val="auto"/>
        </w:rPr>
        <w:t>Section 2.4(a)</w:t>
      </w:r>
      <w:r>
        <w:rPr>
          <w:rFonts w:ascii="Arial" w:cs="Arial" w:eastAsia="Arial" w:hAnsi="Arial"/>
          <w:sz w:val="19"/>
          <w:szCs w:val="19"/>
          <w:color w:val="auto"/>
        </w:rPr>
        <w:t xml:space="preserve">, or (B) that one or more of the applicable conditions specified in </w:t>
      </w:r>
      <w:r>
        <w:rPr>
          <w:rFonts w:ascii="Arial" w:cs="Arial" w:eastAsia="Arial" w:hAnsi="Arial"/>
          <w:sz w:val="19"/>
          <w:szCs w:val="19"/>
          <w:b w:val="1"/>
          <w:bCs w:val="1"/>
          <w:i w:val="1"/>
          <w:iCs w:val="1"/>
          <w:color w:val="auto"/>
        </w:rPr>
        <w:t>Section 7</w:t>
      </w:r>
      <w:r>
        <w:rPr>
          <w:rFonts w:ascii="Arial" w:cs="Arial" w:eastAsia="Arial" w:hAnsi="Arial"/>
          <w:sz w:val="19"/>
          <w:szCs w:val="19"/>
          <w:color w:val="auto"/>
        </w:rPr>
        <w:t xml:space="preserve"> is not then satisfied, then, subject to the terms and conditions hereof, such Swing Line Lender will, not later than 2:00 p.m. on the borrowing date specified in such Swing Line Loan Notice, make the amount of its Swing Line Loan available to Borrower.</w:t>
      </w:r>
    </w:p>
    <w:p>
      <w:pPr>
        <w:spacing w:after="0" w:line="188" w:lineRule="exact"/>
        <w:rPr>
          <w:sz w:val="20"/>
          <w:szCs w:val="20"/>
          <w:color w:val="auto"/>
        </w:rPr>
      </w:pPr>
    </w:p>
    <w:p>
      <w:pPr>
        <w:ind w:left="1060" w:hanging="415"/>
        <w:spacing w:after="0"/>
        <w:tabs>
          <w:tab w:leader="none" w:pos="1060" w:val="left"/>
        </w:tabs>
        <w:numPr>
          <w:ilvl w:val="0"/>
          <w:numId w:val="71"/>
        </w:numPr>
        <w:rPr>
          <w:rFonts w:ascii="Arial" w:cs="Arial" w:eastAsia="Arial" w:hAnsi="Arial"/>
          <w:sz w:val="20"/>
          <w:szCs w:val="20"/>
          <w:color w:val="auto"/>
        </w:rPr>
      </w:pPr>
      <w:r>
        <w:rPr>
          <w:rFonts w:ascii="Arial" w:cs="Arial" w:eastAsia="Arial" w:hAnsi="Arial"/>
          <w:sz w:val="20"/>
          <w:szCs w:val="20"/>
          <w:b w:val="1"/>
          <w:bCs w:val="1"/>
          <w:i w:val="1"/>
          <w:iCs w:val="1"/>
          <w:color w:val="auto"/>
        </w:rPr>
        <w:t>Refinancing of Swing Line Loans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40" w:firstLine="653"/>
        <w:spacing w:after="0" w:line="270" w:lineRule="auto"/>
        <w:tabs>
          <w:tab w:leader="none" w:pos="1718"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Each Swing Line Lender, as applicable, at any time in its sole and absolute discretion may request, on behalf of Borrower (which hereby irrevocably authorizes each Swing Line Lender to so request on its behalf), that each Revolver Lender make a Base Rate Loan in an amount equal to such Revolver Lender’s Commitment Percentage of the Outstanding Amount of the Swing Line Loans owed to such Swing Line Lender. Such request shall be made in writing (which written request shall be deemed to be a Loan Notice for purposes hereof) and in accordance with the requirements of </w:t>
      </w:r>
      <w:r>
        <w:rPr>
          <w:rFonts w:ascii="Arial" w:cs="Arial" w:eastAsia="Arial" w:hAnsi="Arial"/>
          <w:sz w:val="18"/>
          <w:szCs w:val="18"/>
          <w:b w:val="1"/>
          <w:bCs w:val="1"/>
          <w:i w:val="1"/>
          <w:iCs w:val="1"/>
          <w:color w:val="auto"/>
        </w:rPr>
        <w:t>Section 2.2</w:t>
      </w:r>
      <w:r>
        <w:rPr>
          <w:rFonts w:ascii="Arial" w:cs="Arial" w:eastAsia="Arial" w:hAnsi="Arial"/>
          <w:sz w:val="18"/>
          <w:szCs w:val="18"/>
          <w:color w:val="auto"/>
        </w:rPr>
        <w:t xml:space="preserve">, without regard to the minimum and multiples specified in </w:t>
      </w:r>
      <w:r>
        <w:rPr>
          <w:rFonts w:ascii="Arial" w:cs="Arial" w:eastAsia="Arial" w:hAnsi="Arial"/>
          <w:sz w:val="18"/>
          <w:szCs w:val="18"/>
          <w:b w:val="1"/>
          <w:bCs w:val="1"/>
          <w:i w:val="1"/>
          <w:iCs w:val="1"/>
          <w:color w:val="auto"/>
        </w:rPr>
        <w:t>Section 2.1</w:t>
      </w:r>
      <w:r>
        <w:rPr>
          <w:rFonts w:ascii="Arial" w:cs="Arial" w:eastAsia="Arial" w:hAnsi="Arial"/>
          <w:sz w:val="18"/>
          <w:szCs w:val="18"/>
          <w:color w:val="auto"/>
        </w:rPr>
        <w:t xml:space="preserve"> for the principal amount of Base Rate Loans, but subject to the unutilized portion of the Revolver Commitment and the conditions set forth in </w:t>
      </w:r>
      <w:r>
        <w:rPr>
          <w:rFonts w:ascii="Arial" w:cs="Arial" w:eastAsia="Arial" w:hAnsi="Arial"/>
          <w:sz w:val="18"/>
          <w:szCs w:val="18"/>
          <w:b w:val="1"/>
          <w:bCs w:val="1"/>
          <w:i w:val="1"/>
          <w:iCs w:val="1"/>
          <w:color w:val="auto"/>
        </w:rPr>
        <w:t>Section 7.2</w:t>
      </w:r>
      <w:r>
        <w:rPr>
          <w:rFonts w:ascii="Arial" w:cs="Arial" w:eastAsia="Arial" w:hAnsi="Arial"/>
          <w:sz w:val="18"/>
          <w:szCs w:val="18"/>
          <w:color w:val="auto"/>
        </w:rPr>
        <w:t xml:space="preserve">. The applicable Swing Line Lender shall furnish Borrower with a copy of the applicable Loan Notice promptly after delivering such notice to Administrative Agent. Each Revolver Lender shall make an amount equal to its Commitment Percentage of the amount specified in such Loan Notice available to Administrative Agent in immediately available funds for the account of the applicable Swing Line Lender at Administrative Agent’s Office not later than 12:00 noon on the day specified in such Loan Notice, whereupon, subject to </w:t>
      </w:r>
      <w:r>
        <w:rPr>
          <w:rFonts w:ascii="Arial" w:cs="Arial" w:eastAsia="Arial" w:hAnsi="Arial"/>
          <w:sz w:val="18"/>
          <w:szCs w:val="18"/>
          <w:b w:val="1"/>
          <w:bCs w:val="1"/>
          <w:i w:val="1"/>
          <w:iCs w:val="1"/>
          <w:color w:val="auto"/>
        </w:rPr>
        <w:t>Section 2.4(c)(ii)</w:t>
      </w:r>
      <w:r>
        <w:rPr>
          <w:rFonts w:ascii="Arial" w:cs="Arial" w:eastAsia="Arial" w:hAnsi="Arial"/>
          <w:sz w:val="18"/>
          <w:szCs w:val="18"/>
          <w:color w:val="auto"/>
        </w:rPr>
        <w:t>, each Revolver Lender that so makes funds available shall be deemed to have made a Base Rate Loan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Borrower in such amount. Administrative Agent shall remit the funds so received to the applicable Swing Line Lender.</w:t>
      </w:r>
    </w:p>
    <w:p>
      <w:pPr>
        <w:spacing w:after="0" w:line="173" w:lineRule="exact"/>
        <w:rPr>
          <w:rFonts w:ascii="Arial" w:cs="Arial" w:eastAsia="Arial" w:hAnsi="Arial"/>
          <w:sz w:val="18"/>
          <w:szCs w:val="18"/>
          <w:color w:val="auto"/>
        </w:rPr>
      </w:pPr>
    </w:p>
    <w:p>
      <w:pPr>
        <w:jc w:val="both"/>
        <w:ind w:left="640" w:firstLine="653"/>
        <w:spacing w:after="0" w:line="260" w:lineRule="auto"/>
        <w:tabs>
          <w:tab w:leader="none" w:pos="1807" w:val="left"/>
        </w:tabs>
        <w:numPr>
          <w:ilvl w:val="1"/>
          <w:numId w:val="71"/>
        </w:numPr>
        <w:rPr>
          <w:rFonts w:ascii="Arial" w:cs="Arial" w:eastAsia="Arial" w:hAnsi="Arial"/>
          <w:sz w:val="19"/>
          <w:szCs w:val="19"/>
          <w:color w:val="auto"/>
        </w:rPr>
      </w:pPr>
      <w:r>
        <w:rPr>
          <w:rFonts w:ascii="Arial" w:cs="Arial" w:eastAsia="Arial" w:hAnsi="Arial"/>
          <w:sz w:val="19"/>
          <w:szCs w:val="19"/>
          <w:color w:val="auto"/>
        </w:rPr>
        <w:t xml:space="preserve">If for any reason any Swing Line Loan cannot be refinanced by a Revolver Loan in accordance with </w:t>
      </w:r>
      <w:r>
        <w:rPr>
          <w:rFonts w:ascii="Arial" w:cs="Arial" w:eastAsia="Arial" w:hAnsi="Arial"/>
          <w:sz w:val="19"/>
          <w:szCs w:val="19"/>
          <w:b w:val="1"/>
          <w:bCs w:val="1"/>
          <w:i w:val="1"/>
          <w:i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2.4(c)(i)</w:t>
      </w:r>
      <w:r>
        <w:rPr>
          <w:rFonts w:ascii="Arial" w:cs="Arial" w:eastAsia="Arial" w:hAnsi="Arial"/>
          <w:sz w:val="19"/>
          <w:szCs w:val="19"/>
          <w:color w:val="auto"/>
        </w:rPr>
        <w:t>, the request for Base Rate Loans submitted by the applicable Swing Line Lender as set forth herein shall be deemed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be a request by such Swing Line Lender that each Revolver Lender fund its risk participation in the relevant Swing Line Loans and each Revolver Lender’s payment to Administrative Agent for the account of such Swing Line Lender pursuant to </w:t>
      </w:r>
      <w:r>
        <w:rPr>
          <w:rFonts w:ascii="Arial" w:cs="Arial" w:eastAsia="Arial" w:hAnsi="Arial"/>
          <w:sz w:val="19"/>
          <w:szCs w:val="19"/>
          <w:b w:val="1"/>
          <w:bCs w:val="1"/>
          <w:i w:val="1"/>
          <w:i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2.4(c)(i) </w:t>
      </w:r>
      <w:r>
        <w:rPr>
          <w:rFonts w:ascii="Arial" w:cs="Arial" w:eastAsia="Arial" w:hAnsi="Arial"/>
          <w:sz w:val="19"/>
          <w:szCs w:val="19"/>
          <w:color w:val="auto"/>
        </w:rPr>
        <w:t>shall be deemed payment in respect of such participation.</w:t>
      </w:r>
    </w:p>
    <w:p>
      <w:pPr>
        <w:spacing w:after="0" w:line="180" w:lineRule="exact"/>
        <w:rPr>
          <w:rFonts w:ascii="Arial" w:cs="Arial" w:eastAsia="Arial" w:hAnsi="Arial"/>
          <w:sz w:val="19"/>
          <w:szCs w:val="19"/>
          <w:color w:val="auto"/>
        </w:rPr>
      </w:pPr>
    </w:p>
    <w:p>
      <w:pPr>
        <w:jc w:val="both"/>
        <w:ind w:left="640" w:firstLine="653"/>
        <w:spacing w:after="0" w:line="263" w:lineRule="auto"/>
        <w:tabs>
          <w:tab w:leader="none" w:pos="1811" w:val="left"/>
        </w:tabs>
        <w:numPr>
          <w:ilvl w:val="1"/>
          <w:numId w:val="71"/>
        </w:numPr>
        <w:rPr>
          <w:rFonts w:ascii="Arial" w:cs="Arial" w:eastAsia="Arial" w:hAnsi="Arial"/>
          <w:sz w:val="19"/>
          <w:szCs w:val="19"/>
          <w:color w:val="auto"/>
        </w:rPr>
      </w:pPr>
      <w:r>
        <w:rPr>
          <w:rFonts w:ascii="Arial" w:cs="Arial" w:eastAsia="Arial" w:hAnsi="Arial"/>
          <w:sz w:val="19"/>
          <w:szCs w:val="19"/>
          <w:color w:val="auto"/>
        </w:rPr>
        <w:t xml:space="preserve">If any Revolver Lender fails to make available to Administrative Agent for the account of the applicable Swing Line Lender any amount required to be paid by such Revolver Lender pursuant to the foregoing provisions of this </w:t>
      </w:r>
      <w:r>
        <w:rPr>
          <w:rFonts w:ascii="Arial" w:cs="Arial" w:eastAsia="Arial" w:hAnsi="Arial"/>
          <w:sz w:val="19"/>
          <w:szCs w:val="19"/>
          <w:b w:val="1"/>
          <w:bCs w:val="1"/>
          <w:i w:val="1"/>
          <w:i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2.4(c) </w:t>
      </w:r>
      <w:r>
        <w:rPr>
          <w:rFonts w:ascii="Arial" w:cs="Arial" w:eastAsia="Arial" w:hAnsi="Arial"/>
          <w:sz w:val="19"/>
          <w:szCs w:val="19"/>
          <w:color w:val="auto"/>
        </w:rPr>
        <w:t>by the time specified in</w:t>
      </w:r>
      <w:r>
        <w:rPr>
          <w:rFonts w:ascii="Arial" w:cs="Arial" w:eastAsia="Arial" w:hAnsi="Arial"/>
          <w:sz w:val="19"/>
          <w:szCs w:val="19"/>
          <w:b w:val="1"/>
          <w:bCs w:val="1"/>
          <w:i w:val="1"/>
          <w:iCs w:val="1"/>
          <w:color w:val="auto"/>
        </w:rPr>
        <w:t xml:space="preserve"> Section 2.4(c)(i)</w:t>
      </w:r>
      <w:r>
        <w:rPr>
          <w:rFonts w:ascii="Arial" w:cs="Arial" w:eastAsia="Arial" w:hAnsi="Arial"/>
          <w:sz w:val="19"/>
          <w:szCs w:val="19"/>
          <w:color w:val="auto"/>
        </w:rPr>
        <w:t>, such Swing Line Lender shall be entitled to recover from such Revolver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Lender (acting through Administrative Agent), on demand, such amount with</w:t>
      </w:r>
    </w:p>
    <w:p>
      <w:pPr>
        <w:spacing w:after="0" w:line="200" w:lineRule="exact"/>
        <w:rPr>
          <w:sz w:val="20"/>
          <w:szCs w:val="20"/>
          <w:color w:val="auto"/>
        </w:rPr>
      </w:pPr>
    </w:p>
    <w:p>
      <w:pPr>
        <w:spacing w:after="0" w:line="220"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0760"/>
          </w:cols>
          <w:pgMar w:left="900" w:top="582" w:right="239" w:bottom="1440" w:gutter="0" w:footer="0" w:header="0"/>
        </w:sectPr>
      </w:pPr>
    </w:p>
    <w:bookmarkStart w:id="117" w:name="page118"/>
    <w:bookmarkEnd w:id="117"/>
    <w:p>
      <w:pPr>
        <w:jc w:val="both"/>
        <w:ind w:left="100"/>
        <w:spacing w:after="0" w:line="244" w:lineRule="auto"/>
        <w:rPr>
          <w:sz w:val="20"/>
          <w:szCs w:val="20"/>
          <w:color w:val="auto"/>
        </w:rPr>
      </w:pPr>
      <w:r>
        <w:rPr>
          <w:rFonts w:ascii="Arial" w:cs="Arial" w:eastAsia="Arial" w:hAnsi="Arial"/>
          <w:sz w:val="20"/>
          <w:szCs w:val="20"/>
          <w:color w:val="auto"/>
        </w:rPr>
        <w:t xml:space="preserve">interest thereon for the period from the date such payment is required to the date on which such payment is immediately available to such Swing Line Lender at a rate per annum equal to the greater of the Federal Funds Rate and a rate determined by such Swing Line Lender in accordance with banking industry rules on interbank compensation. A certificate of such Swing Line Lender submitted to any Revolver Lender (through Administrative Agent) with respect to any amounts owing under this </w:t>
      </w:r>
      <w:r>
        <w:rPr>
          <w:rFonts w:ascii="Arial" w:cs="Arial" w:eastAsia="Arial" w:hAnsi="Arial"/>
          <w:sz w:val="20"/>
          <w:szCs w:val="20"/>
          <w:b w:val="1"/>
          <w:bCs w:val="1"/>
          <w:i w:val="1"/>
          <w:iCs w:val="1"/>
          <w:color w:val="auto"/>
        </w:rPr>
        <w:t xml:space="preserve">clause (iii) </w:t>
      </w:r>
      <w:r>
        <w:rPr>
          <w:rFonts w:ascii="Arial" w:cs="Arial" w:eastAsia="Arial" w:hAnsi="Arial"/>
          <w:sz w:val="20"/>
          <w:szCs w:val="20"/>
          <w:color w:val="auto"/>
        </w:rPr>
        <w:t>shall be conclusive absent manifest error.</w:t>
      </w:r>
    </w:p>
    <w:p>
      <w:pPr>
        <w:spacing w:after="0" w:line="195" w:lineRule="exact"/>
        <w:rPr>
          <w:sz w:val="20"/>
          <w:szCs w:val="20"/>
          <w:color w:val="auto"/>
        </w:rPr>
      </w:pPr>
    </w:p>
    <w:p>
      <w:pPr>
        <w:jc w:val="both"/>
        <w:ind w:left="100" w:firstLine="653"/>
        <w:spacing w:after="0" w:line="273" w:lineRule="auto"/>
        <w:tabs>
          <w:tab w:leader="none" w:pos="1245" w:val="left"/>
        </w:tabs>
        <w:numPr>
          <w:ilvl w:val="1"/>
          <w:numId w:val="72"/>
        </w:numPr>
        <w:rPr>
          <w:rFonts w:ascii="Arial" w:cs="Arial" w:eastAsia="Arial" w:hAnsi="Arial"/>
          <w:sz w:val="18"/>
          <w:szCs w:val="18"/>
          <w:color w:val="auto"/>
        </w:rPr>
      </w:pPr>
      <w:r>
        <w:rPr>
          <w:rFonts w:ascii="Arial" w:cs="Arial" w:eastAsia="Arial" w:hAnsi="Arial"/>
          <w:sz w:val="18"/>
          <w:szCs w:val="18"/>
          <w:color w:val="auto"/>
        </w:rPr>
        <w:t xml:space="preserve">Each Revolver Lender’s obligation to make Revolver Loans or to purchase and fund risk participations in Swing Line Loans pursuant to this </w:t>
      </w:r>
      <w:r>
        <w:rPr>
          <w:rFonts w:ascii="Arial" w:cs="Arial" w:eastAsia="Arial" w:hAnsi="Arial"/>
          <w:sz w:val="18"/>
          <w:szCs w:val="18"/>
          <w:b w:val="1"/>
          <w:bCs w:val="1"/>
          <w:i w:val="1"/>
          <w:iCs w:val="1"/>
          <w:color w:val="auto"/>
        </w:rPr>
        <w:t>Section 2.4(c)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Revolver Lender may have against the applicable Swing Line Lender, Borrower, or any other Person for any reason whatsoever, (B) the occurrence or continuance of a Default or Potential Default, or (C) any other occurrence, event, or condition, whether or not similar to any of the foregoing;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each Revolver Lender’s obligation to make Revolver Loans pursuant to this</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Section 2.4(c)</w:t>
      </w:r>
      <w:r>
        <w:rPr>
          <w:rFonts w:ascii="Arial" w:cs="Arial" w:eastAsia="Arial" w:hAnsi="Arial"/>
          <w:sz w:val="18"/>
          <w:szCs w:val="18"/>
          <w:i w:val="1"/>
          <w:iCs w:val="1"/>
          <w:color w:val="auto"/>
        </w:rPr>
        <w:t xml:space="preserve"> </w:t>
      </w:r>
      <w:r>
        <w:rPr>
          <w:rFonts w:ascii="Arial" w:cs="Arial" w:eastAsia="Arial" w:hAnsi="Arial"/>
          <w:sz w:val="18"/>
          <w:szCs w:val="18"/>
          <w:color w:val="auto"/>
        </w:rPr>
        <w:t>is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conditions set forth in </w:t>
      </w:r>
      <w:r>
        <w:rPr>
          <w:rFonts w:ascii="Arial" w:cs="Arial" w:eastAsia="Arial" w:hAnsi="Arial"/>
          <w:sz w:val="18"/>
          <w:szCs w:val="18"/>
          <w:b w:val="1"/>
          <w:bCs w:val="1"/>
          <w:i w:val="1"/>
          <w:iCs w:val="1"/>
          <w:color w:val="auto"/>
        </w:rPr>
        <w:t>Section 7.2</w:t>
      </w:r>
      <w:r>
        <w:rPr>
          <w:rFonts w:ascii="Arial" w:cs="Arial" w:eastAsia="Arial" w:hAnsi="Arial"/>
          <w:sz w:val="18"/>
          <w:szCs w:val="18"/>
          <w:color w:val="auto"/>
        </w:rPr>
        <w:t>. No such funding of risk participations shall relieve or otherwise impair the obligation of Borrower to repay Swing Line Loans, together with interest as provided herein.</w:t>
      </w:r>
    </w:p>
    <w:p>
      <w:pPr>
        <w:spacing w:after="0" w:line="169" w:lineRule="exact"/>
        <w:rPr>
          <w:rFonts w:ascii="Arial" w:cs="Arial" w:eastAsia="Arial" w:hAnsi="Arial"/>
          <w:sz w:val="18"/>
          <w:szCs w:val="18"/>
          <w:color w:val="auto"/>
        </w:rPr>
      </w:pPr>
    </w:p>
    <w:p>
      <w:pPr>
        <w:ind w:left="540" w:hanging="435"/>
        <w:spacing w:after="0"/>
        <w:tabs>
          <w:tab w:leader="none" w:pos="540" w:val="left"/>
        </w:tabs>
        <w:numPr>
          <w:ilvl w:val="0"/>
          <w:numId w:val="73"/>
        </w:numPr>
        <w:rPr>
          <w:rFonts w:ascii="Arial" w:cs="Arial" w:eastAsia="Arial" w:hAnsi="Arial"/>
          <w:sz w:val="20"/>
          <w:szCs w:val="20"/>
          <w:color w:val="auto"/>
        </w:rPr>
      </w:pPr>
      <w:r>
        <w:rPr>
          <w:rFonts w:ascii="Arial" w:cs="Arial" w:eastAsia="Arial" w:hAnsi="Arial"/>
          <w:sz w:val="20"/>
          <w:szCs w:val="20"/>
          <w:b w:val="1"/>
          <w:bCs w:val="1"/>
          <w:i w:val="1"/>
          <w:iCs w:val="1"/>
          <w:color w:val="auto"/>
        </w:rPr>
        <w:t>Repayment of Participations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00" w:firstLine="653"/>
        <w:spacing w:after="0" w:line="244" w:lineRule="auto"/>
        <w:tabs>
          <w:tab w:leader="none" w:pos="1140" w:val="left"/>
        </w:tabs>
        <w:numPr>
          <w:ilvl w:val="1"/>
          <w:numId w:val="73"/>
        </w:numPr>
        <w:rPr>
          <w:rFonts w:ascii="Arial" w:cs="Arial" w:eastAsia="Arial" w:hAnsi="Arial"/>
          <w:sz w:val="20"/>
          <w:szCs w:val="20"/>
          <w:color w:val="auto"/>
        </w:rPr>
      </w:pPr>
      <w:r>
        <w:rPr>
          <w:rFonts w:ascii="Arial" w:cs="Arial" w:eastAsia="Arial" w:hAnsi="Arial"/>
          <w:sz w:val="20"/>
          <w:szCs w:val="20"/>
          <w:color w:val="auto"/>
        </w:rPr>
        <w:t>At any time after any Revolver Lender has purchased and funded a risk participation in a Swing Line Loan, if the applicable Swing Line Lender receives any payment on account of such Swing Line Loan, such Swing Line Lender will distribute to such Revolver Lender its Commitment Percentage of such payment (appropriately adjusted, in the case of interest payments, to reflect the period of time during which such Revolver Lender’s risk participation was funded) in the same funds as those received by such Swing Line Lender.</w:t>
      </w:r>
    </w:p>
    <w:p>
      <w:pPr>
        <w:spacing w:after="0" w:line="194" w:lineRule="exact"/>
        <w:rPr>
          <w:rFonts w:ascii="Arial" w:cs="Arial" w:eastAsia="Arial" w:hAnsi="Arial"/>
          <w:sz w:val="20"/>
          <w:szCs w:val="20"/>
          <w:color w:val="auto"/>
        </w:rPr>
      </w:pPr>
    </w:p>
    <w:p>
      <w:pPr>
        <w:jc w:val="both"/>
        <w:ind w:left="100" w:firstLine="653"/>
        <w:spacing w:after="0" w:line="274" w:lineRule="auto"/>
        <w:tabs>
          <w:tab w:leader="none" w:pos="1254"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If any payment received by the applicable Swing Line Lender in respect of principal or interest on any Swing Line Loan is required to be returned by such Swing Line Lender under any of the circumstances described in </w:t>
      </w:r>
      <w:r>
        <w:rPr>
          <w:rFonts w:ascii="Arial" w:cs="Arial" w:eastAsia="Arial" w:hAnsi="Arial"/>
          <w:sz w:val="18"/>
          <w:szCs w:val="18"/>
          <w:b w:val="1"/>
          <w:bCs w:val="1"/>
          <w:i w:val="1"/>
          <w:iCs w:val="1"/>
          <w:color w:val="auto"/>
        </w:rPr>
        <w:t>Section 15.12</w:t>
      </w:r>
      <w:r>
        <w:rPr>
          <w:rFonts w:ascii="Arial" w:cs="Arial" w:eastAsia="Arial" w:hAnsi="Arial"/>
          <w:sz w:val="18"/>
          <w:szCs w:val="18"/>
          <w:color w:val="auto"/>
        </w:rPr>
        <w:t xml:space="preserve"> (including pursuant to any settlement entered into by such Swing Line Lender in its discretion), each Revolver Lender shall pay to such Swing Line Lender its Commitment Percentage thereof on demand of Administrative Agent, plus interest thereon from the date of such demand to the date such amount is returned, at a rate per annum equal to the Federal Funds Rate. Administrative Agent will make such demand upon the request of such Swing Line Lender. The obligations of Revolver Lenders under this clause shall survive the payment in full of the Obligation and the termination of this Agreement.</w:t>
      </w:r>
    </w:p>
    <w:p>
      <w:pPr>
        <w:spacing w:after="0" w:line="169" w:lineRule="exact"/>
        <w:rPr>
          <w:rFonts w:ascii="Arial" w:cs="Arial" w:eastAsia="Arial" w:hAnsi="Arial"/>
          <w:sz w:val="18"/>
          <w:szCs w:val="18"/>
          <w:color w:val="auto"/>
        </w:rPr>
      </w:pPr>
    </w:p>
    <w:p>
      <w:pPr>
        <w:jc w:val="both"/>
        <w:ind w:left="-540" w:firstLine="645"/>
        <w:spacing w:after="0" w:line="282" w:lineRule="auto"/>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Interest for Account of Swing Line Lenders</w:t>
      </w:r>
      <w:r>
        <w:rPr>
          <w:rFonts w:ascii="Arial" w:cs="Arial" w:eastAsia="Arial" w:hAnsi="Arial"/>
          <w:sz w:val="18"/>
          <w:szCs w:val="18"/>
          <w:color w:val="auto"/>
        </w:rPr>
        <w:t>. Each Swing Line Lender shall be responsible for invoicing Borrower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interest on its respective Swing Line Loans. Until each Revolver Lender funds its Base Rate Loan or risk participation pursuant to this </w:t>
      </w:r>
      <w:r>
        <w:rPr>
          <w:rFonts w:ascii="Arial" w:cs="Arial" w:eastAsia="Arial" w:hAnsi="Arial"/>
          <w:sz w:val="18"/>
          <w:szCs w:val="18"/>
          <w:b w:val="1"/>
          <w:bCs w:val="1"/>
          <w:i w:val="1"/>
          <w:iCs w:val="1"/>
          <w:color w:val="auto"/>
        </w:rPr>
        <w:t xml:space="preserve">Section 2.4 </w:t>
      </w:r>
      <w:r>
        <w:rPr>
          <w:rFonts w:ascii="Arial" w:cs="Arial" w:eastAsia="Arial" w:hAnsi="Arial"/>
          <w:sz w:val="18"/>
          <w:szCs w:val="18"/>
          <w:color w:val="auto"/>
        </w:rPr>
        <w:t>to refinance such Revolver Lender’s Commitment Percentage of any Swing Line Loan, interest in respect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 Percentage of such Swing Line Loan shall be solely for the account of the applicable Swing Line Lender.</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0220"/>
          </w:cols>
          <w:pgMar w:left="1440" w:top="582" w:right="239" w:bottom="1440" w:gutter="0" w:footer="0" w:header="0"/>
        </w:sectPr>
      </w:pPr>
    </w:p>
    <w:bookmarkStart w:id="118" w:name="page119"/>
    <w:bookmarkEnd w:id="118"/>
    <w:p>
      <w:pPr>
        <w:ind w:firstLine="645"/>
        <w:spacing w:after="0" w:line="260" w:lineRule="auto"/>
        <w:tabs>
          <w:tab w:leader="none" w:pos="1085" w:val="left"/>
        </w:tabs>
        <w:numPr>
          <w:ilvl w:val="0"/>
          <w:numId w:val="74"/>
        </w:numPr>
        <w:rPr>
          <w:rFonts w:ascii="Arial" w:cs="Arial" w:eastAsia="Arial" w:hAnsi="Arial"/>
          <w:sz w:val="20"/>
          <w:szCs w:val="20"/>
          <w:color w:val="auto"/>
        </w:rPr>
      </w:pPr>
      <w:r>
        <w:rPr>
          <w:rFonts w:ascii="Arial" w:cs="Arial" w:eastAsia="Arial" w:hAnsi="Arial"/>
          <w:sz w:val="20"/>
          <w:szCs w:val="20"/>
          <w:b w:val="1"/>
          <w:bCs w:val="1"/>
          <w:i w:val="1"/>
          <w:iCs w:val="1"/>
          <w:color w:val="auto"/>
        </w:rPr>
        <w:t>Payments Directly to Swing Line Lenders</w:t>
      </w:r>
      <w:r>
        <w:rPr>
          <w:rFonts w:ascii="Arial" w:cs="Arial" w:eastAsia="Arial" w:hAnsi="Arial"/>
          <w:sz w:val="20"/>
          <w:szCs w:val="20"/>
          <w:color w:val="auto"/>
        </w:rPr>
        <w:t>. Borrower shall make all payments of principal and interest in respect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Swing Line Loans directly to the applicable Swing Line Lender.</w:t>
      </w:r>
    </w:p>
    <w:p>
      <w:pPr>
        <w:spacing w:after="0" w:line="393"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8"/>
          <w:szCs w:val="18"/>
          <w:u w:val="single" w:color="auto"/>
          <w:color w:val="auto"/>
        </w:rPr>
        <w:t>Increase in Revolver Commitments; Incremental Term Loan Facility</w:t>
      </w:r>
      <w:r>
        <w:rPr>
          <w:rFonts w:ascii="Arial" w:cs="Arial" w:eastAsia="Arial" w:hAnsi="Arial"/>
          <w:sz w:val="18"/>
          <w:szCs w:val="18"/>
          <w:color w:val="auto"/>
        </w:rPr>
        <w:t>.</w:t>
      </w:r>
    </w:p>
    <w:p>
      <w:pPr>
        <w:spacing w:after="0" w:line="216" w:lineRule="exact"/>
        <w:rPr>
          <w:sz w:val="20"/>
          <w:szCs w:val="20"/>
          <w:color w:val="auto"/>
        </w:rPr>
      </w:pPr>
    </w:p>
    <w:p>
      <w:pPr>
        <w:jc w:val="both"/>
        <w:ind w:firstLine="645"/>
        <w:spacing w:after="0" w:line="242" w:lineRule="auto"/>
        <w:tabs>
          <w:tab w:leader="none" w:pos="1079" w:val="left"/>
        </w:tabs>
        <w:numPr>
          <w:ilvl w:val="0"/>
          <w:numId w:val="75"/>
        </w:numPr>
        <w:rPr>
          <w:rFonts w:ascii="Arial" w:cs="Arial" w:eastAsia="Arial" w:hAnsi="Arial"/>
          <w:sz w:val="20"/>
          <w:szCs w:val="20"/>
          <w:color w:val="auto"/>
        </w:rPr>
      </w:pPr>
      <w:r>
        <w:rPr>
          <w:rFonts w:ascii="Arial" w:cs="Arial" w:eastAsia="Arial" w:hAnsi="Arial"/>
          <w:sz w:val="20"/>
          <w:szCs w:val="20"/>
          <w:b w:val="1"/>
          <w:bCs w:val="1"/>
          <w:i w:val="1"/>
          <w:iCs w:val="1"/>
          <w:color w:val="auto"/>
        </w:rPr>
        <w:t>Request for Increase in Revolver Commitments or Incremental Term Loan Facility</w:t>
      </w:r>
      <w:r>
        <w:rPr>
          <w:rFonts w:ascii="Arial" w:cs="Arial" w:eastAsia="Arial" w:hAnsi="Arial"/>
          <w:sz w:val="20"/>
          <w:szCs w:val="20"/>
          <w:color w:val="auto"/>
        </w:rPr>
        <w:t>. Provided there exists no Default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Potential Default, upon notice to Administrative Agent (which shall promptly notify Lenders), Borrower may, from time to time, request either (i) an increase in the Revolver Commitments, or (ii) the addition of one or more new term loan facilities under this Agreement (each, an “</w:t>
      </w:r>
      <w:r>
        <w:rPr>
          <w:rFonts w:ascii="Arial" w:cs="Arial" w:eastAsia="Arial" w:hAnsi="Arial"/>
          <w:sz w:val="20"/>
          <w:szCs w:val="20"/>
          <w:b w:val="1"/>
          <w:bCs w:val="1"/>
          <w:i w:val="1"/>
          <w:iCs w:val="1"/>
          <w:color w:val="auto"/>
        </w:rPr>
        <w:t>Incremental Term Loan Facility</w:t>
      </w:r>
      <w:r>
        <w:rPr>
          <w:rFonts w:ascii="Arial" w:cs="Arial" w:eastAsia="Arial" w:hAnsi="Arial"/>
          <w:sz w:val="20"/>
          <w:szCs w:val="20"/>
          <w:color w:val="auto"/>
        </w:rPr>
        <w:t>”, and collectively, the “</w:t>
      </w:r>
      <w:r>
        <w:rPr>
          <w:rFonts w:ascii="Arial" w:cs="Arial" w:eastAsia="Arial" w:hAnsi="Arial"/>
          <w:sz w:val="20"/>
          <w:szCs w:val="20"/>
          <w:b w:val="1"/>
          <w:bCs w:val="1"/>
          <w:i w:val="1"/>
          <w:iCs w:val="1"/>
          <w:color w:val="auto"/>
        </w:rPr>
        <w:t>Incremental Term Loan Facilities</w:t>
      </w:r>
      <w:r>
        <w:rPr>
          <w:rFonts w:ascii="Arial" w:cs="Arial" w:eastAsia="Arial" w:hAnsi="Arial"/>
          <w:sz w:val="20"/>
          <w:szCs w:val="20"/>
          <w:color w:val="auto"/>
        </w:rPr>
        <w:t xml:space="preserve">”), such that, after giving effect thereto, the sum of the Total Commitment and aggregate principal amount of loans under the Incremental Term Loan Facilities do not exceed the Maximum Facility Amount </w:t>
      </w:r>
      <w:r>
        <w:rPr>
          <w:rFonts w:ascii="Arial" w:cs="Arial" w:eastAsia="Arial" w:hAnsi="Arial"/>
          <w:sz w:val="20"/>
          <w:szCs w:val="20"/>
          <w:i w:val="1"/>
          <w:iCs w:val="1"/>
          <w:color w:val="auto"/>
        </w:rPr>
        <w:t>minus</w:t>
      </w:r>
      <w:r>
        <w:rPr>
          <w:rFonts w:ascii="Arial" w:cs="Arial" w:eastAsia="Arial" w:hAnsi="Arial"/>
          <w:sz w:val="20"/>
          <w:szCs w:val="20"/>
          <w:color w:val="auto"/>
        </w:rPr>
        <w:t xml:space="preserve"> the amount of Debt incurred and outstanding pursuant to </w:t>
      </w:r>
      <w:r>
        <w:rPr>
          <w:rFonts w:ascii="Arial" w:cs="Arial" w:eastAsia="Arial" w:hAnsi="Arial"/>
          <w:sz w:val="20"/>
          <w:szCs w:val="20"/>
          <w:b w:val="1"/>
          <w:bCs w:val="1"/>
          <w:i w:val="1"/>
          <w:iCs w:val="1"/>
          <w:color w:val="auto"/>
        </w:rPr>
        <w:t>clause (l)</w:t>
      </w:r>
      <w:r>
        <w:rPr>
          <w:rFonts w:ascii="Arial" w:cs="Arial" w:eastAsia="Arial" w:hAnsi="Arial"/>
          <w:sz w:val="20"/>
          <w:szCs w:val="20"/>
          <w:color w:val="auto"/>
        </w:rPr>
        <w:t xml:space="preserve"> of the definition of “</w:t>
      </w:r>
      <w:r>
        <w:rPr>
          <w:rFonts w:ascii="Arial" w:cs="Arial" w:eastAsia="Arial" w:hAnsi="Arial"/>
          <w:sz w:val="20"/>
          <w:szCs w:val="20"/>
          <w:i w:val="1"/>
          <w:iCs w:val="1"/>
          <w:color w:val="auto"/>
        </w:rPr>
        <w:t>Permitted Debt</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any such request shall be in a minimum amount of $10,000,000, and greater integral multiples of $500,000 thereof.</w:t>
      </w:r>
    </w:p>
    <w:p>
      <w:pPr>
        <w:spacing w:after="0" w:line="197" w:lineRule="exact"/>
        <w:rPr>
          <w:rFonts w:ascii="Arial" w:cs="Arial" w:eastAsia="Arial" w:hAnsi="Arial"/>
          <w:sz w:val="20"/>
          <w:szCs w:val="20"/>
          <w:color w:val="auto"/>
        </w:rPr>
      </w:pPr>
    </w:p>
    <w:p>
      <w:pPr>
        <w:ind w:firstLine="645"/>
        <w:spacing w:after="0" w:line="316" w:lineRule="auto"/>
        <w:tabs>
          <w:tab w:leader="none" w:pos="1144"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Additional Lenders</w:t>
      </w:r>
      <w:r>
        <w:rPr>
          <w:rFonts w:ascii="Arial" w:cs="Arial" w:eastAsia="Arial" w:hAnsi="Arial"/>
          <w:sz w:val="18"/>
          <w:szCs w:val="18"/>
          <w:color w:val="auto"/>
        </w:rPr>
        <w:t>. To achieve the full amount of a requested increase and subject to the approval of Administrative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Agent, each L/C Issuer, and each Swing Line Lender (which approvals shall not be unreasonably withheld), Borrower may:</w:t>
      </w:r>
    </w:p>
    <w:p>
      <w:pPr>
        <w:spacing w:after="0" w:line="130" w:lineRule="exact"/>
        <w:rPr>
          <w:rFonts w:ascii="Arial" w:cs="Arial" w:eastAsia="Arial" w:hAnsi="Arial"/>
          <w:sz w:val="18"/>
          <w:szCs w:val="18"/>
          <w:color w:val="auto"/>
        </w:rPr>
      </w:pPr>
    </w:p>
    <w:p>
      <w:pPr>
        <w:jc w:val="both"/>
        <w:ind w:left="640" w:firstLine="653"/>
        <w:spacing w:after="0" w:line="243" w:lineRule="auto"/>
        <w:tabs>
          <w:tab w:leader="none" w:pos="1676" w:val="left"/>
        </w:tabs>
        <w:numPr>
          <w:ilvl w:val="1"/>
          <w:numId w:val="75"/>
        </w:numPr>
        <w:rPr>
          <w:rFonts w:ascii="Arial" w:cs="Arial" w:eastAsia="Arial" w:hAnsi="Arial"/>
          <w:sz w:val="20"/>
          <w:szCs w:val="20"/>
          <w:color w:val="auto"/>
        </w:rPr>
      </w:pPr>
      <w:r>
        <w:rPr>
          <w:rFonts w:ascii="Arial" w:cs="Arial" w:eastAsia="Arial" w:hAnsi="Arial"/>
          <w:sz w:val="20"/>
          <w:szCs w:val="20"/>
          <w:color w:val="auto"/>
        </w:rPr>
        <w:t>in connection with any increase in the Revolver Commitments, (A) invite additional Eligible Assignees to become Revolver Lenders pursuant to an agreement in form and substance satisfactory to Administrative Agent and its counsel (each, a “</w:t>
      </w:r>
      <w:r>
        <w:rPr>
          <w:rFonts w:ascii="Arial" w:cs="Arial" w:eastAsia="Arial" w:hAnsi="Arial"/>
          <w:sz w:val="20"/>
          <w:szCs w:val="20"/>
          <w:b w:val="1"/>
          <w:bCs w:val="1"/>
          <w:i w:val="1"/>
          <w:iCs w:val="1"/>
          <w:color w:val="auto"/>
        </w:rPr>
        <w:t>Joinder Agreement</w:t>
      </w:r>
      <w:r>
        <w:rPr>
          <w:rFonts w:ascii="Arial" w:cs="Arial" w:eastAsia="Arial" w:hAnsi="Arial"/>
          <w:sz w:val="20"/>
          <w:szCs w:val="20"/>
          <w:color w:val="auto"/>
        </w:rPr>
        <w:t>”), and (B) request one or more Revolver Lenders to increase their respective Revolver Commitments hereunder, but each such Revolver Lender shall not be deemed to have agreed to increase its Revolver Commitment unless such Revolver Lender notifies Administrative Agent prior to any deadline specified by Borrower (in consultation with Administrative Agent) of its agreement to increase its Revolver Commitment and the amount of the increase of such Revolver Lender’s Revolver Commitment; and</w:t>
      </w:r>
    </w:p>
    <w:p>
      <w:pPr>
        <w:spacing w:after="0" w:line="193" w:lineRule="exact"/>
        <w:rPr>
          <w:rFonts w:ascii="Arial" w:cs="Arial" w:eastAsia="Arial" w:hAnsi="Arial"/>
          <w:sz w:val="20"/>
          <w:szCs w:val="20"/>
          <w:color w:val="auto"/>
        </w:rPr>
      </w:pPr>
    </w:p>
    <w:p>
      <w:pPr>
        <w:ind w:left="640" w:firstLine="653"/>
        <w:spacing w:after="0" w:line="386" w:lineRule="auto"/>
        <w:tabs>
          <w:tab w:leader="none" w:pos="1879" w:val="left"/>
        </w:tabs>
        <w:numPr>
          <w:ilvl w:val="1"/>
          <w:numId w:val="75"/>
        </w:numPr>
        <w:rPr>
          <w:rFonts w:ascii="Arial" w:cs="Arial" w:eastAsia="Arial" w:hAnsi="Arial"/>
          <w:sz w:val="16"/>
          <w:szCs w:val="16"/>
          <w:color w:val="auto"/>
        </w:rPr>
      </w:pPr>
      <w:r>
        <w:rPr>
          <w:rFonts w:ascii="Arial" w:cs="Arial" w:eastAsia="Arial" w:hAnsi="Arial"/>
          <w:sz w:val="16"/>
          <w:szCs w:val="16"/>
          <w:color w:val="auto"/>
        </w:rPr>
        <w:t xml:space="preserve">in connection with the addition of any Incremental Term Loan Facility under this Agreement, invite Eligible Assignees or one or more Lenders to become lenders under such Incremental Term Loan Facility pursuant to </w:t>
      </w:r>
      <w:r>
        <w:rPr>
          <w:rFonts w:ascii="Arial" w:cs="Arial" w:eastAsia="Arial" w:hAnsi="Arial"/>
          <w:sz w:val="16"/>
          <w:szCs w:val="16"/>
          <w:b w:val="1"/>
          <w:bCs w:val="1"/>
          <w:i w:val="1"/>
          <w:iCs w:val="1"/>
          <w:color w:val="auto"/>
        </w:rPr>
        <w:t>clause (e)</w:t>
      </w:r>
      <w:r>
        <w:rPr>
          <w:rFonts w:ascii="Arial" w:cs="Arial" w:eastAsia="Arial" w:hAnsi="Arial"/>
          <w:sz w:val="16"/>
          <w:szCs w:val="16"/>
          <w:color w:val="auto"/>
        </w:rPr>
        <w:t xml:space="preserve"> below.</w:t>
      </w:r>
    </w:p>
    <w:p>
      <w:pPr>
        <w:spacing w:after="0" w:line="83" w:lineRule="exact"/>
        <w:rPr>
          <w:rFonts w:ascii="Arial" w:cs="Arial" w:eastAsia="Arial" w:hAnsi="Arial"/>
          <w:sz w:val="16"/>
          <w:szCs w:val="16"/>
          <w:color w:val="auto"/>
        </w:rPr>
      </w:pPr>
    </w:p>
    <w:p>
      <w:pPr>
        <w:jc w:val="both"/>
        <w:ind w:firstLine="645"/>
        <w:spacing w:after="0" w:line="244" w:lineRule="auto"/>
        <w:tabs>
          <w:tab w:leader="none" w:pos="1147" w:val="left"/>
        </w:tabs>
        <w:numPr>
          <w:ilvl w:val="0"/>
          <w:numId w:val="75"/>
        </w:numPr>
        <w:rPr>
          <w:rFonts w:ascii="Arial" w:cs="Arial" w:eastAsia="Arial" w:hAnsi="Arial"/>
          <w:sz w:val="20"/>
          <w:szCs w:val="20"/>
          <w:color w:val="auto"/>
        </w:rPr>
      </w:pPr>
      <w:r>
        <w:rPr>
          <w:rFonts w:ascii="Arial" w:cs="Arial" w:eastAsia="Arial" w:hAnsi="Arial"/>
          <w:sz w:val="20"/>
          <w:szCs w:val="20"/>
          <w:b w:val="1"/>
          <w:bCs w:val="1"/>
          <w:i w:val="1"/>
          <w:iCs w:val="1"/>
          <w:color w:val="auto"/>
        </w:rPr>
        <w:t>Effective Date and Allocations</w:t>
      </w:r>
      <w:r>
        <w:rPr>
          <w:rFonts w:ascii="Arial" w:cs="Arial" w:eastAsia="Arial" w:hAnsi="Arial"/>
          <w:sz w:val="20"/>
          <w:szCs w:val="20"/>
          <w:color w:val="auto"/>
        </w:rPr>
        <w:t>. If the Revolver Commitments are increased or an Incremental Term Loan Facility 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added to this Agreement in accordance with this Section, then Administrative Agent and Borrower shall determine the effective date (the “</w:t>
      </w:r>
      <w:r>
        <w:rPr>
          <w:rFonts w:ascii="Arial" w:cs="Arial" w:eastAsia="Arial" w:hAnsi="Arial"/>
          <w:sz w:val="20"/>
          <w:szCs w:val="20"/>
          <w:b w:val="1"/>
          <w:bCs w:val="1"/>
          <w:i w:val="1"/>
          <w:iCs w:val="1"/>
          <w:color w:val="auto"/>
        </w:rPr>
        <w:t>Increase Effective Date</w:t>
      </w:r>
      <w:r>
        <w:rPr>
          <w:rFonts w:ascii="Arial" w:cs="Arial" w:eastAsia="Arial" w:hAnsi="Arial"/>
          <w:sz w:val="20"/>
          <w:szCs w:val="20"/>
          <w:color w:val="auto"/>
        </w:rPr>
        <w:t>”) and the final allocation thereof. Administrative Agent shall promptly notify Borrower, Lenders (including, without limitation, any Eligible Assignee becoming a Lender) and lenders under the Incremental Term Loan Facilities of the final allocation of such increase and the Increase Effective Date.</w:t>
      </w:r>
    </w:p>
    <w:p>
      <w:pPr>
        <w:spacing w:after="0" w:line="194" w:lineRule="exact"/>
        <w:rPr>
          <w:rFonts w:ascii="Arial" w:cs="Arial" w:eastAsia="Arial" w:hAnsi="Arial"/>
          <w:sz w:val="20"/>
          <w:szCs w:val="20"/>
          <w:color w:val="auto"/>
        </w:rPr>
      </w:pPr>
    </w:p>
    <w:p>
      <w:pPr>
        <w:ind w:right="20" w:firstLine="645"/>
        <w:spacing w:after="0" w:line="260" w:lineRule="auto"/>
        <w:tabs>
          <w:tab w:leader="none" w:pos="1171" w:val="left"/>
        </w:tabs>
        <w:numPr>
          <w:ilvl w:val="0"/>
          <w:numId w:val="75"/>
        </w:numPr>
        <w:rPr>
          <w:rFonts w:ascii="Arial" w:cs="Arial" w:eastAsia="Arial" w:hAnsi="Arial"/>
          <w:sz w:val="20"/>
          <w:szCs w:val="20"/>
          <w:color w:val="auto"/>
        </w:rPr>
      </w:pPr>
      <w:r>
        <w:rPr>
          <w:rFonts w:ascii="Arial" w:cs="Arial" w:eastAsia="Arial" w:hAnsi="Arial"/>
          <w:sz w:val="20"/>
          <w:szCs w:val="20"/>
          <w:b w:val="1"/>
          <w:bCs w:val="1"/>
          <w:i w:val="1"/>
          <w:iCs w:val="1"/>
          <w:color w:val="auto"/>
        </w:rPr>
        <w:t>Conditions to Effectiveness of Increase in Revolver Commitments</w:t>
      </w:r>
      <w:r>
        <w:rPr>
          <w:rFonts w:ascii="Arial" w:cs="Arial" w:eastAsia="Arial" w:hAnsi="Arial"/>
          <w:sz w:val="20"/>
          <w:szCs w:val="20"/>
          <w:color w:val="auto"/>
        </w:rPr>
        <w:t>. As a condition precedent to any increase in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Revolver Commitments, Borrower shall deliver to Administrative Agent:</w:t>
      </w:r>
    </w:p>
    <w:p>
      <w:pPr>
        <w:spacing w:after="0" w:line="200" w:lineRule="exact"/>
        <w:rPr>
          <w:sz w:val="20"/>
          <w:szCs w:val="20"/>
          <w:color w:val="auto"/>
        </w:rPr>
      </w:pPr>
    </w:p>
    <w:p>
      <w:pPr>
        <w:spacing w:after="0" w:line="220"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0760"/>
          </w:cols>
          <w:pgMar w:left="900" w:top="582" w:right="239" w:bottom="1440" w:gutter="0" w:footer="0" w:header="0"/>
        </w:sectPr>
      </w:pPr>
    </w:p>
    <w:bookmarkStart w:id="119" w:name="page120"/>
    <w:bookmarkEnd w:id="119"/>
    <w:p>
      <w:pPr>
        <w:ind w:left="100" w:firstLine="653"/>
        <w:spacing w:after="0" w:line="316" w:lineRule="auto"/>
        <w:tabs>
          <w:tab w:leader="none" w:pos="1197" w:val="left"/>
        </w:tabs>
        <w:numPr>
          <w:ilvl w:val="1"/>
          <w:numId w:val="76"/>
        </w:numPr>
        <w:rPr>
          <w:rFonts w:ascii="Arial" w:cs="Arial" w:eastAsia="Arial" w:hAnsi="Arial"/>
          <w:sz w:val="18"/>
          <w:szCs w:val="18"/>
          <w:color w:val="auto"/>
        </w:rPr>
      </w:pPr>
      <w:r>
        <w:rPr>
          <w:rFonts w:ascii="Arial" w:cs="Arial" w:eastAsia="Arial" w:hAnsi="Arial"/>
          <w:sz w:val="18"/>
          <w:szCs w:val="18"/>
          <w:color w:val="auto"/>
        </w:rPr>
        <w:t xml:space="preserve">Joinder Agreements executed by Borrower, Administrative Agent, and each Eligible Assignee becoming a new Revolver Lender hereunder pursuant to </w:t>
      </w:r>
      <w:r>
        <w:rPr>
          <w:rFonts w:ascii="Arial" w:cs="Arial" w:eastAsia="Arial" w:hAnsi="Arial"/>
          <w:sz w:val="18"/>
          <w:szCs w:val="18"/>
          <w:b w:val="1"/>
          <w:bCs w:val="1"/>
          <w:i w:val="1"/>
          <w:iCs w:val="1"/>
          <w:color w:val="auto"/>
        </w:rPr>
        <w:t>Section 2.5(c)</w:t>
      </w:r>
      <w:r>
        <w:rPr>
          <w:rFonts w:ascii="Arial" w:cs="Arial" w:eastAsia="Arial" w:hAnsi="Arial"/>
          <w:sz w:val="18"/>
          <w:szCs w:val="18"/>
          <w:color w:val="auto"/>
        </w:rPr>
        <w:t xml:space="preserve"> hereof, together with a completed Administrative Questionnaire;</w:t>
      </w:r>
    </w:p>
    <w:p>
      <w:pPr>
        <w:spacing w:after="0" w:line="130" w:lineRule="exact"/>
        <w:rPr>
          <w:rFonts w:ascii="Arial" w:cs="Arial" w:eastAsia="Arial" w:hAnsi="Arial"/>
          <w:sz w:val="18"/>
          <w:szCs w:val="18"/>
          <w:color w:val="auto"/>
        </w:rPr>
      </w:pPr>
    </w:p>
    <w:p>
      <w:pPr>
        <w:ind w:left="1200" w:hanging="447"/>
        <w:spacing w:after="0"/>
        <w:tabs>
          <w:tab w:leader="none" w:pos="1200" w:val="left"/>
        </w:tabs>
        <w:numPr>
          <w:ilvl w:val="1"/>
          <w:numId w:val="76"/>
        </w:numPr>
        <w:rPr>
          <w:rFonts w:ascii="Arial" w:cs="Arial" w:eastAsia="Arial" w:hAnsi="Arial"/>
          <w:sz w:val="20"/>
          <w:szCs w:val="20"/>
          <w:color w:val="auto"/>
        </w:rPr>
      </w:pPr>
      <w:r>
        <w:rPr>
          <w:rFonts w:ascii="Arial" w:cs="Arial" w:eastAsia="Arial" w:hAnsi="Arial"/>
          <w:sz w:val="20"/>
          <w:szCs w:val="20"/>
          <w:color w:val="auto"/>
        </w:rPr>
        <w:t>with respect to any Revolver Lender requesting a Note, a Note executed by Borrower; and</w:t>
      </w:r>
    </w:p>
    <w:p>
      <w:pPr>
        <w:spacing w:after="0" w:line="215" w:lineRule="exact"/>
        <w:rPr>
          <w:rFonts w:ascii="Arial" w:cs="Arial" w:eastAsia="Arial" w:hAnsi="Arial"/>
          <w:sz w:val="20"/>
          <w:szCs w:val="20"/>
          <w:color w:val="auto"/>
        </w:rPr>
      </w:pPr>
    </w:p>
    <w:p>
      <w:pPr>
        <w:jc w:val="both"/>
        <w:ind w:left="100" w:firstLine="653"/>
        <w:spacing w:after="0" w:line="272" w:lineRule="auto"/>
        <w:tabs>
          <w:tab w:leader="none" w:pos="1374" w:val="left"/>
        </w:tabs>
        <w:numPr>
          <w:ilvl w:val="1"/>
          <w:numId w:val="76"/>
        </w:numPr>
        <w:rPr>
          <w:rFonts w:ascii="Arial" w:cs="Arial" w:eastAsia="Arial" w:hAnsi="Arial"/>
          <w:sz w:val="18"/>
          <w:szCs w:val="18"/>
          <w:color w:val="auto"/>
        </w:rPr>
      </w:pPr>
      <w:r>
        <w:rPr>
          <w:rFonts w:ascii="Arial" w:cs="Arial" w:eastAsia="Arial" w:hAnsi="Arial"/>
          <w:sz w:val="18"/>
          <w:szCs w:val="18"/>
          <w:color w:val="auto"/>
        </w:rPr>
        <w:t xml:space="preserve">a certificate of each Company dated as of the Increase Effective Date signed by a Responsible Officer of Borrower and each Guarantor (A) certifying and attaching the resolutions adopted by each such entity approving or consenting to such increase, and (B) in the case of Borrower, certifying that, before and after giving effect to such increase, (1) the representations and warranties contained in </w:t>
      </w:r>
      <w:r>
        <w:rPr>
          <w:rFonts w:ascii="Arial" w:cs="Arial" w:eastAsia="Arial" w:hAnsi="Arial"/>
          <w:sz w:val="18"/>
          <w:szCs w:val="18"/>
          <w:b w:val="1"/>
          <w:bCs w:val="1"/>
          <w:i w:val="1"/>
          <w:iCs w:val="1"/>
          <w:color w:val="auto"/>
        </w:rPr>
        <w:t>Section 8</w:t>
      </w:r>
      <w:r>
        <w:rPr>
          <w:rFonts w:ascii="Arial" w:cs="Arial" w:eastAsia="Arial" w:hAnsi="Arial"/>
          <w:sz w:val="18"/>
          <w:szCs w:val="18"/>
          <w:color w:val="auto"/>
        </w:rPr>
        <w:t xml:space="preserve"> and the other Loan Papers are true and correct on and as of the Increase Effective Date, except to the extent that such representations and warranties specifically refer to an earlier date, in which case they are true and correct as of such earlier date, and (2) no Default or Potential Default exists or would result therefrom. Borrower shall prepay any Loans outstanding on the Increase Effective Date (and pay any additional amounts required pursuant to </w:t>
      </w:r>
      <w:r>
        <w:rPr>
          <w:rFonts w:ascii="Arial" w:cs="Arial" w:eastAsia="Arial" w:hAnsi="Arial"/>
          <w:sz w:val="18"/>
          <w:szCs w:val="18"/>
          <w:b w:val="1"/>
          <w:bCs w:val="1"/>
          <w:i w:val="1"/>
          <w:iCs w:val="1"/>
          <w:color w:val="auto"/>
        </w:rPr>
        <w:t>Section 4.5</w:t>
      </w:r>
      <w:r>
        <w:rPr>
          <w:rFonts w:ascii="Arial" w:cs="Arial" w:eastAsia="Arial" w:hAnsi="Arial"/>
          <w:sz w:val="18"/>
          <w:szCs w:val="18"/>
          <w:color w:val="auto"/>
        </w:rPr>
        <w:t>) to the extent necessary to keep the outstanding Loans ratable with any revised Commitment Percentages arising from any non-ratable increase in the Commitments under this Section.</w:t>
      </w:r>
    </w:p>
    <w:p>
      <w:pPr>
        <w:spacing w:after="0" w:line="171" w:lineRule="exact"/>
        <w:rPr>
          <w:rFonts w:ascii="Arial" w:cs="Arial" w:eastAsia="Arial" w:hAnsi="Arial"/>
          <w:sz w:val="18"/>
          <w:szCs w:val="18"/>
          <w:color w:val="auto"/>
        </w:rPr>
      </w:pPr>
    </w:p>
    <w:p>
      <w:pPr>
        <w:ind w:left="-540" w:firstLine="645"/>
        <w:spacing w:after="0" w:line="260" w:lineRule="auto"/>
        <w:tabs>
          <w:tab w:leader="none" w:pos="539" w:val="left"/>
        </w:tabs>
        <w:numPr>
          <w:ilvl w:val="0"/>
          <w:numId w:val="77"/>
        </w:numPr>
        <w:rPr>
          <w:rFonts w:ascii="Arial" w:cs="Arial" w:eastAsia="Arial" w:hAnsi="Arial"/>
          <w:sz w:val="20"/>
          <w:szCs w:val="20"/>
          <w:color w:val="auto"/>
        </w:rPr>
      </w:pPr>
      <w:r>
        <w:rPr>
          <w:rFonts w:ascii="Arial" w:cs="Arial" w:eastAsia="Arial" w:hAnsi="Arial"/>
          <w:sz w:val="20"/>
          <w:szCs w:val="20"/>
          <w:b w:val="1"/>
          <w:bCs w:val="1"/>
          <w:i w:val="1"/>
          <w:iCs w:val="1"/>
          <w:color w:val="auto"/>
        </w:rPr>
        <w:t>Conditions to Effectiveness of Addition of an Incremental Term Loan Facility</w:t>
      </w:r>
      <w:r>
        <w:rPr>
          <w:rFonts w:ascii="Arial" w:cs="Arial" w:eastAsia="Arial" w:hAnsi="Arial"/>
          <w:sz w:val="20"/>
          <w:szCs w:val="20"/>
          <w:color w:val="auto"/>
        </w:rPr>
        <w:t>. As a condition precedent to the addition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each Incremental Term Loan Facility, Borrower shall deliver to Administrative Agent:</w:t>
      </w:r>
    </w:p>
    <w:p>
      <w:pPr>
        <w:spacing w:after="0" w:line="176" w:lineRule="exact"/>
        <w:rPr>
          <w:rFonts w:ascii="Arial" w:cs="Arial" w:eastAsia="Arial" w:hAnsi="Arial"/>
          <w:sz w:val="20"/>
          <w:szCs w:val="20"/>
          <w:color w:val="auto"/>
        </w:rPr>
      </w:pPr>
    </w:p>
    <w:p>
      <w:pPr>
        <w:jc w:val="both"/>
        <w:ind w:left="100" w:firstLine="653"/>
        <w:spacing w:after="0" w:line="278" w:lineRule="auto"/>
        <w:tabs>
          <w:tab w:leader="none" w:pos="13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 amendment, in form and substance satisfactory to Administrative Agent and each lender under such Incremental Term Loan Facility, executed by Borrower, Administrative Agent and each lender under such Incremental Term Loan Facility, which shall include provisions relating to the maturity, pricing, and amortization of the term loan and voting rights of the lenders under such Incremental Term Loan Facility, and such other changes as Administrative Agent and the lenders under such Incremental Term Loan Facility shall deem necessary to effect the increase requested hereby;</w:t>
      </w:r>
    </w:p>
    <w:p>
      <w:pPr>
        <w:spacing w:after="0" w:line="165" w:lineRule="exact"/>
        <w:rPr>
          <w:rFonts w:ascii="Arial" w:cs="Arial" w:eastAsia="Arial" w:hAnsi="Arial"/>
          <w:sz w:val="18"/>
          <w:szCs w:val="18"/>
          <w:color w:val="auto"/>
        </w:rPr>
      </w:pPr>
    </w:p>
    <w:p>
      <w:pPr>
        <w:ind w:left="100" w:firstLine="653"/>
        <w:spacing w:after="0" w:line="260" w:lineRule="auto"/>
        <w:tabs>
          <w:tab w:leader="none" w:pos="1333" w:val="left"/>
        </w:tabs>
        <w:numPr>
          <w:ilvl w:val="1"/>
          <w:numId w:val="77"/>
        </w:numPr>
        <w:rPr>
          <w:rFonts w:ascii="Arial" w:cs="Arial" w:eastAsia="Arial" w:hAnsi="Arial"/>
          <w:sz w:val="20"/>
          <w:szCs w:val="20"/>
          <w:color w:val="auto"/>
        </w:rPr>
      </w:pPr>
      <w:r>
        <w:rPr>
          <w:rFonts w:ascii="Arial" w:cs="Arial" w:eastAsia="Arial" w:hAnsi="Arial"/>
          <w:sz w:val="20"/>
          <w:szCs w:val="20"/>
          <w:color w:val="auto"/>
        </w:rPr>
        <w:t>with respect to any lender under such Incremental Term Loan Facility requesting a promissory note, such promissory note executed by Borrower;</w:t>
      </w:r>
    </w:p>
    <w:p>
      <w:pPr>
        <w:spacing w:after="0" w:line="176" w:lineRule="exact"/>
        <w:rPr>
          <w:rFonts w:ascii="Arial" w:cs="Arial" w:eastAsia="Arial" w:hAnsi="Arial"/>
          <w:sz w:val="20"/>
          <w:szCs w:val="20"/>
          <w:color w:val="auto"/>
        </w:rPr>
      </w:pPr>
    </w:p>
    <w:p>
      <w:pPr>
        <w:ind w:left="1240" w:hanging="487"/>
        <w:spacing w:after="0"/>
        <w:tabs>
          <w:tab w:leader="none" w:pos="12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 completed Administrative Questionnaire from each lender under such Incremental Term Loan Facility; and</w:t>
      </w:r>
    </w:p>
    <w:p>
      <w:pPr>
        <w:spacing w:after="0" w:line="238" w:lineRule="exact"/>
        <w:rPr>
          <w:rFonts w:ascii="Arial" w:cs="Arial" w:eastAsia="Arial" w:hAnsi="Arial"/>
          <w:sz w:val="18"/>
          <w:szCs w:val="18"/>
          <w:color w:val="auto"/>
        </w:rPr>
      </w:pPr>
    </w:p>
    <w:p>
      <w:pPr>
        <w:jc w:val="both"/>
        <w:ind w:left="100" w:firstLine="653"/>
        <w:spacing w:after="0" w:line="273" w:lineRule="auto"/>
        <w:tabs>
          <w:tab w:leader="none" w:pos="1366"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a certificate of each Company dated as of the Increase Effective Date signed by a Responsible Officer of Borrower and each Guarantor (A) certifying and attaching the resolutions adopted by each such entity approving or consenting to such increase, and (B) in the case of Borrower, certifying that, before and after giving effect to such increase, (1) the representations and warranties contained in </w:t>
      </w:r>
      <w:r>
        <w:rPr>
          <w:rFonts w:ascii="Arial" w:cs="Arial" w:eastAsia="Arial" w:hAnsi="Arial"/>
          <w:sz w:val="18"/>
          <w:szCs w:val="18"/>
          <w:b w:val="1"/>
          <w:bCs w:val="1"/>
          <w:i w:val="1"/>
          <w:iCs w:val="1"/>
          <w:color w:val="auto"/>
        </w:rPr>
        <w:t>Section 8</w:t>
      </w:r>
      <w:r>
        <w:rPr>
          <w:rFonts w:ascii="Arial" w:cs="Arial" w:eastAsia="Arial" w:hAnsi="Arial"/>
          <w:sz w:val="18"/>
          <w:szCs w:val="18"/>
          <w:color w:val="auto"/>
        </w:rPr>
        <w:t xml:space="preserve"> and the other Loan Papers are true and correct on and as of the Increase Effective Date, except to the extent that such representations and warranties specifically refer to an earlier date, in which case they are true and correct as of such earlier date (provided, that Borrower shall only be required to make certain representations and warranties with respect to any Incremental Term Loan Facility used to consummate an acquisition permitted under </w:t>
      </w:r>
      <w:r>
        <w:rPr>
          <w:rFonts w:ascii="Arial" w:cs="Arial" w:eastAsia="Arial" w:hAnsi="Arial"/>
          <w:sz w:val="18"/>
          <w:szCs w:val="18"/>
          <w:b w:val="1"/>
          <w:bCs w:val="1"/>
          <w:i w:val="1"/>
          <w:i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10.11</w:t>
      </w:r>
      <w:r>
        <w:rPr>
          <w:rFonts w:ascii="Arial" w:cs="Arial" w:eastAsia="Arial" w:hAnsi="Arial"/>
          <w:sz w:val="18"/>
          <w:szCs w:val="18"/>
          <w:color w:val="auto"/>
        </w:rPr>
        <w:t>), and (2) no Default or Potential Default exists or would result therefrom.</w:t>
      </w:r>
    </w:p>
    <w:p>
      <w:pPr>
        <w:spacing w:after="0" w:line="200" w:lineRule="exact"/>
        <w:rPr>
          <w:sz w:val="20"/>
          <w:szCs w:val="20"/>
          <w:color w:val="auto"/>
        </w:rPr>
      </w:pPr>
    </w:p>
    <w:p>
      <w:pPr>
        <w:spacing w:after="0" w:line="212"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0220"/>
          </w:cols>
          <w:pgMar w:left="1440" w:top="582" w:right="239" w:bottom="1440" w:gutter="0" w:footer="0" w:header="0"/>
        </w:sectPr>
      </w:pPr>
    </w:p>
    <w:bookmarkStart w:id="120" w:name="page121"/>
    <w:bookmarkEnd w:id="120"/>
    <w:p>
      <w:pPr>
        <w:ind w:left="1300"/>
        <w:spacing w:after="0"/>
        <w:tabs>
          <w:tab w:leader="none" w:pos="1680" w:val="left"/>
        </w:tabs>
        <w:rPr>
          <w:sz w:val="20"/>
          <w:szCs w:val="20"/>
          <w:color w:val="auto"/>
        </w:rPr>
      </w:pPr>
      <w:r>
        <w:rPr>
          <w:rFonts w:ascii="Arial" w:cs="Arial" w:eastAsia="Arial" w:hAnsi="Arial"/>
          <w:sz w:val="20"/>
          <w:szCs w:val="20"/>
          <w:color w:val="auto"/>
        </w:rPr>
        <w:t>(f)</w:t>
      </w:r>
      <w:r>
        <w:rPr>
          <w:sz w:val="20"/>
          <w:szCs w:val="20"/>
          <w:color w:val="auto"/>
        </w:rPr>
        <w:tab/>
      </w:r>
      <w:r>
        <w:rPr>
          <w:rFonts w:ascii="Arial" w:cs="Arial" w:eastAsia="Arial" w:hAnsi="Arial"/>
          <w:sz w:val="16"/>
          <w:szCs w:val="16"/>
          <w:b w:val="1"/>
          <w:bCs w:val="1"/>
          <w:i w:val="1"/>
          <w:iCs w:val="1"/>
          <w:color w:val="auto"/>
        </w:rPr>
        <w:t>Conflicting Provisions</w:t>
      </w:r>
      <w:r>
        <w:rPr>
          <w:rFonts w:ascii="Arial" w:cs="Arial" w:eastAsia="Arial" w:hAnsi="Arial"/>
          <w:sz w:val="16"/>
          <w:szCs w:val="16"/>
          <w:color w:val="auto"/>
        </w:rPr>
        <w:t>. This Section shall supersede any provisions in</w:t>
      </w:r>
      <w:r>
        <w:rPr>
          <w:rFonts w:ascii="Arial" w:cs="Arial" w:eastAsia="Arial" w:hAnsi="Arial"/>
          <w:sz w:val="16"/>
          <w:szCs w:val="16"/>
          <w:b w:val="1"/>
          <w:bCs w:val="1"/>
          <w:i w:val="1"/>
          <w:iCs w:val="1"/>
          <w:color w:val="auto"/>
        </w:rPr>
        <w:t xml:space="preserve"> Sections 3.12 </w:t>
      </w:r>
      <w:r>
        <w:rPr>
          <w:rFonts w:ascii="Arial" w:cs="Arial" w:eastAsia="Arial" w:hAnsi="Arial"/>
          <w:sz w:val="16"/>
          <w:szCs w:val="16"/>
          <w:color w:val="auto"/>
        </w:rPr>
        <w:t>or</w:t>
      </w:r>
      <w:r>
        <w:rPr>
          <w:rFonts w:ascii="Arial" w:cs="Arial" w:eastAsia="Arial" w:hAnsi="Arial"/>
          <w:sz w:val="16"/>
          <w:szCs w:val="16"/>
          <w:b w:val="1"/>
          <w:bCs w:val="1"/>
          <w:i w:val="1"/>
          <w:iCs w:val="1"/>
          <w:color w:val="auto"/>
        </w:rPr>
        <w:t xml:space="preserve"> 15.9 </w:t>
      </w:r>
      <w:r>
        <w:rPr>
          <w:rFonts w:ascii="Arial" w:cs="Arial" w:eastAsia="Arial" w:hAnsi="Arial"/>
          <w:sz w:val="16"/>
          <w:szCs w:val="16"/>
          <w:color w:val="auto"/>
        </w:rPr>
        <w:t>to the contrary.</w:t>
      </w:r>
    </w:p>
    <w:p>
      <w:pPr>
        <w:spacing w:after="0" w:line="200" w:lineRule="exact"/>
        <w:rPr>
          <w:sz w:val="20"/>
          <w:szCs w:val="20"/>
          <w:color w:val="auto"/>
        </w:rPr>
      </w:pPr>
    </w:p>
    <w:p>
      <w:pPr>
        <w:spacing w:after="0" w:line="226"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u w:val="single" w:color="auto"/>
          <w:color w:val="auto"/>
        </w:rPr>
        <w:t>SECTION 3</w:t>
      </w:r>
      <w:r>
        <w:rPr>
          <w:sz w:val="20"/>
          <w:szCs w:val="20"/>
          <w:color w:val="auto"/>
        </w:rPr>
        <w:tab/>
      </w:r>
      <w:r>
        <w:rPr>
          <w:rFonts w:ascii="Arial" w:cs="Arial" w:eastAsia="Arial" w:hAnsi="Arial"/>
          <w:sz w:val="19"/>
          <w:szCs w:val="19"/>
          <w:b w:val="1"/>
          <w:bCs w:val="1"/>
          <w:u w:val="single" w:color="auto"/>
          <w:color w:val="auto"/>
        </w:rPr>
        <w:t>TERMS OF PAYMENT</w:t>
      </w:r>
      <w:r>
        <w:rPr>
          <w:rFonts w:ascii="Arial" w:cs="Arial" w:eastAsia="Arial" w:hAnsi="Arial"/>
          <w:sz w:val="19"/>
          <w:szCs w:val="19"/>
          <w:color w:val="auto"/>
        </w:rPr>
        <w:t>.</w:t>
      </w:r>
    </w:p>
    <w:p>
      <w:pPr>
        <w:spacing w:after="0" w:line="200" w:lineRule="exact"/>
        <w:rPr>
          <w:sz w:val="20"/>
          <w:szCs w:val="20"/>
          <w:color w:val="auto"/>
        </w:rPr>
      </w:pPr>
    </w:p>
    <w:p>
      <w:pPr>
        <w:spacing w:after="0" w:line="238"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6"/>
          <w:szCs w:val="16"/>
          <w:u w:val="single" w:color="auto"/>
          <w:color w:val="auto"/>
        </w:rPr>
        <w:t>Notes and Payments</w:t>
      </w:r>
      <w:r>
        <w:rPr>
          <w:rFonts w:ascii="Arial" w:cs="Arial" w:eastAsia="Arial" w:hAnsi="Arial"/>
          <w:sz w:val="16"/>
          <w:szCs w:val="16"/>
          <w:color w:val="auto"/>
        </w:rPr>
        <w:t>.</w:t>
      </w:r>
    </w:p>
    <w:p>
      <w:pPr>
        <w:spacing w:after="0" w:line="216" w:lineRule="exact"/>
        <w:rPr>
          <w:sz w:val="20"/>
          <w:szCs w:val="20"/>
          <w:color w:val="auto"/>
        </w:rPr>
      </w:pPr>
    </w:p>
    <w:p>
      <w:pPr>
        <w:jc w:val="both"/>
        <w:ind w:left="660" w:firstLine="645"/>
        <w:spacing w:after="0" w:line="271" w:lineRule="auto"/>
        <w:tabs>
          <w:tab w:leader="none" w:pos="1779"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Loans made by each Lender and any L/C Credit Extension shall be evidenced by one or more accounts or records maintained by such Lender and by Administrative Agent in the ordinary course of business. The accounts or records maintained by Administrative Agent and each Lender shall be conclusive absent manifest error of the amount of the Loans or L/C Credit Extension made by Lenders to Borrower and the interest and payments thereon. Any failure to so record or any error in doing so shall not, however, limit or otherwise affect the obligation of Borrower hereunder to pay any amount owing with respect to the Obligation. In the event of any conflict between the accounts and records maintained by any Lender and the accounts and records of Administrative Agent in respect of such matters, the accounts and records of Administrative Agent shall control in the absence of manifest error. Upon the request of any Lender or either Swing Line Lender, as the case may be, made through Administrative Agent, Borrower shall promptly execute and deliver to such Lender (through Administrative Agent) a Note, which shall evidence such Lender’s Loans in addition to such account or records. Each Lender may attach schedules to its Note and endorse thereon the date, Type (if applicable), amount and maturity of its Loans and payments with respect thereto.</w:t>
      </w:r>
    </w:p>
    <w:p>
      <w:pPr>
        <w:spacing w:after="0" w:line="170" w:lineRule="exact"/>
        <w:rPr>
          <w:rFonts w:ascii="Arial" w:cs="Arial" w:eastAsia="Arial" w:hAnsi="Arial"/>
          <w:sz w:val="18"/>
          <w:szCs w:val="18"/>
          <w:color w:val="auto"/>
        </w:rPr>
      </w:pPr>
    </w:p>
    <w:p>
      <w:pPr>
        <w:jc w:val="both"/>
        <w:ind w:left="660" w:firstLine="645"/>
        <w:spacing w:after="0" w:line="244" w:lineRule="auto"/>
        <w:tabs>
          <w:tab w:leader="none" w:pos="1772" w:val="left"/>
        </w:tabs>
        <w:numPr>
          <w:ilvl w:val="0"/>
          <w:numId w:val="78"/>
        </w:numPr>
        <w:rPr>
          <w:rFonts w:ascii="Arial" w:cs="Arial" w:eastAsia="Arial" w:hAnsi="Arial"/>
          <w:sz w:val="20"/>
          <w:szCs w:val="20"/>
          <w:color w:val="auto"/>
        </w:rPr>
      </w:pPr>
      <w:r>
        <w:rPr>
          <w:rFonts w:ascii="Arial" w:cs="Arial" w:eastAsia="Arial" w:hAnsi="Arial"/>
          <w:sz w:val="20"/>
          <w:szCs w:val="20"/>
          <w:color w:val="auto"/>
        </w:rPr>
        <w:t xml:space="preserve">In addition to the accounts and records referred to in </w:t>
      </w:r>
      <w:r>
        <w:rPr>
          <w:rFonts w:ascii="Arial" w:cs="Arial" w:eastAsia="Arial" w:hAnsi="Arial"/>
          <w:sz w:val="20"/>
          <w:szCs w:val="20"/>
          <w:b w:val="1"/>
          <w:bCs w:val="1"/>
          <w:i w:val="1"/>
          <w:iCs w:val="1"/>
          <w:color w:val="auto"/>
        </w:rPr>
        <w:t>clause (a)</w:t>
      </w:r>
      <w:r>
        <w:rPr>
          <w:rFonts w:ascii="Arial" w:cs="Arial" w:eastAsia="Arial" w:hAnsi="Arial"/>
          <w:sz w:val="20"/>
          <w:szCs w:val="20"/>
          <w:color w:val="auto"/>
        </w:rPr>
        <w:t xml:space="preserve"> herein, each Revolver Lender and Administrative Agent shall maintain in accordance with its usual practice accounts or records evidencing the purchases and sales by such Revolver Lender of participations in L/Cs. In the event of any conflict between the accounts and records maintained by Administrative Agent and the accounts and records of any Revolver Lender in respect of such matters, the accounts and records of Administrative Agent shall control in the absence of manifest error.</w:t>
      </w:r>
    </w:p>
    <w:p>
      <w:pPr>
        <w:spacing w:after="0" w:line="194" w:lineRule="exact"/>
        <w:rPr>
          <w:rFonts w:ascii="Arial" w:cs="Arial" w:eastAsia="Arial" w:hAnsi="Arial"/>
          <w:sz w:val="20"/>
          <w:szCs w:val="20"/>
          <w:color w:val="auto"/>
        </w:rPr>
      </w:pPr>
    </w:p>
    <w:p>
      <w:pPr>
        <w:jc w:val="both"/>
        <w:ind w:left="660" w:firstLine="645"/>
        <w:spacing w:after="0" w:line="254" w:lineRule="auto"/>
        <w:tabs>
          <w:tab w:leader="none" w:pos="1820"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Borrower must make each payment on the Obligation, without condition or deduction for any counterclaim, defense, recoupment, or setoff. All payments except with respect to principal of and interest on Loans denominated in an Alternative Currency by Borrower hereunder shall be made in Dollars to Administrative Agent, for the account of the respective Lenders to which such payment is owed, at Administrative Agent’s principal office in Dallas, Texas, in funds that will be available for immediate use by Administrative Agent by 1:00 p.m. on the day due; otherwise, but subject to </w:t>
      </w:r>
      <w:r>
        <w:rPr>
          <w:rFonts w:ascii="Arial" w:cs="Arial" w:eastAsia="Arial" w:hAnsi="Arial"/>
          <w:sz w:val="19"/>
          <w:szCs w:val="19"/>
          <w:b w:val="1"/>
          <w:bCs w:val="1"/>
          <w:i w:val="1"/>
          <w:iCs w:val="1"/>
          <w:color w:val="auto"/>
        </w:rPr>
        <w:t>Section 3.8</w:t>
      </w:r>
      <w:r>
        <w:rPr>
          <w:rFonts w:ascii="Arial" w:cs="Arial" w:eastAsia="Arial" w:hAnsi="Arial"/>
          <w:sz w:val="19"/>
          <w:szCs w:val="19"/>
          <w:color w:val="auto"/>
        </w:rPr>
        <w:t xml:space="preserve">, those funds continue to accrue interest as if they were received on the next Business Day. All payments by Borrower with respect to principal of and interest on Loans denominated in an Alternative Currency must be made by the Applicable Time; otherwise, but subject to </w:t>
      </w:r>
      <w:r>
        <w:rPr>
          <w:rFonts w:ascii="Arial" w:cs="Arial" w:eastAsia="Arial" w:hAnsi="Arial"/>
          <w:sz w:val="19"/>
          <w:szCs w:val="19"/>
          <w:b w:val="1"/>
          <w:bCs w:val="1"/>
          <w:i w:val="1"/>
          <w:iCs w:val="1"/>
          <w:color w:val="auto"/>
        </w:rPr>
        <w:t>Section 3.8</w:t>
      </w:r>
      <w:r>
        <w:rPr>
          <w:rFonts w:ascii="Arial" w:cs="Arial" w:eastAsia="Arial" w:hAnsi="Arial"/>
          <w:sz w:val="19"/>
          <w:szCs w:val="19"/>
          <w:color w:val="auto"/>
        </w:rPr>
        <w:t>, those funds continue to accrue interest as if they are received on the next Business Day. Except as otherwise expressly provided herein, all payments by the Borrower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If, for any reason, any Borrower is prohibited by any Law from making any required payment hereunder in an Alternative Currency, such Borrower shall make such payment in Dollars in the Dollar Equivalent of the Alternative Currency payment amount.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420"/>
          </w:cols>
          <w:pgMar w:left="240" w:top="582" w:right="239" w:bottom="1440" w:gutter="0" w:footer="0" w:header="0"/>
        </w:sectPr>
      </w:pPr>
    </w:p>
    <w:bookmarkStart w:id="121" w:name="page122"/>
    <w:bookmarkEnd w:id="121"/>
    <w:p>
      <w:pPr>
        <w:jc w:val="both"/>
        <w:ind w:firstLine="648"/>
        <w:spacing w:after="0" w:line="260" w:lineRule="auto"/>
        <w:rPr>
          <w:sz w:val="20"/>
          <w:szCs w:val="20"/>
          <w:color w:val="auto"/>
        </w:rPr>
      </w:pPr>
      <w:r>
        <w:rPr>
          <w:rFonts w:ascii="Arial" w:cs="Arial" w:eastAsia="Arial" w:hAnsi="Arial"/>
          <w:sz w:val="19"/>
          <w:szCs w:val="19"/>
          <w:color w:val="auto"/>
        </w:rPr>
        <w:t>Administrative Agent shall promptly distribute to each Lender its Commitment Percentage (or other payment share as provided herein) of such payment to which that Lender is entitled on the same day Administrative Agent receives the funds from Borrower if Administrative Agent receives the payment before 1:00 p.m., and otherwise before 1:00 p.m. on the following Business Day. If and to the extent that Administrative Agent does not make payments to Lenders when due, unpaid amounts shall accrue interest at the Federal Funds Rate from the due date until (but not including) the payment date.</w:t>
      </w:r>
    </w:p>
    <w:p>
      <w:pPr>
        <w:spacing w:after="0" w:line="397"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6"/>
          <w:szCs w:val="16"/>
          <w:u w:val="single" w:color="auto"/>
          <w:color w:val="auto"/>
        </w:rPr>
        <w:t>Interest and Principal Payments; Prepayments; Voluntary Commitment Reductions</w:t>
      </w:r>
      <w:r>
        <w:rPr>
          <w:rFonts w:ascii="Arial" w:cs="Arial" w:eastAsia="Arial" w:hAnsi="Arial"/>
          <w:sz w:val="16"/>
          <w:szCs w:val="16"/>
          <w:color w:val="auto"/>
        </w:rPr>
        <w:t>.</w:t>
      </w:r>
    </w:p>
    <w:p>
      <w:pPr>
        <w:spacing w:after="0" w:line="216" w:lineRule="exact"/>
        <w:rPr>
          <w:sz w:val="20"/>
          <w:szCs w:val="20"/>
          <w:color w:val="auto"/>
        </w:rPr>
      </w:pPr>
    </w:p>
    <w:p>
      <w:pPr>
        <w:jc w:val="both"/>
        <w:ind w:firstLine="645"/>
        <w:spacing w:after="0" w:line="244" w:lineRule="auto"/>
        <w:tabs>
          <w:tab w:leader="none" w:pos="1055" w:val="left"/>
        </w:tabs>
        <w:numPr>
          <w:ilvl w:val="0"/>
          <w:numId w:val="79"/>
        </w:numPr>
        <w:rPr>
          <w:rFonts w:ascii="Arial" w:cs="Arial" w:eastAsia="Arial" w:hAnsi="Arial"/>
          <w:sz w:val="20"/>
          <w:szCs w:val="20"/>
          <w:color w:val="auto"/>
        </w:rPr>
      </w:pPr>
      <w:r>
        <w:rPr>
          <w:rFonts w:ascii="Arial" w:cs="Arial" w:eastAsia="Arial" w:hAnsi="Arial"/>
          <w:sz w:val="20"/>
          <w:szCs w:val="20"/>
          <w:color w:val="auto"/>
        </w:rPr>
        <w:t>Accrued interest on each Revolver Loan or Term Loan that is a Eurocurrency Rate Loan is due and payable on the last day of its Interest Period and on the Termination Date. If any Interest Period with respect to a Revolver Loan or Term Loan that is a Eurocurrency Rate Loan is a period greater than three months, then accrued interest is also due and payable on the date three months after the commencement of the Interest Period. Accrued interest on each Base Rate Loan and each Swing Line Loan is due and payable on each Quarterly Date and on the Termination Date.</w:t>
      </w:r>
    </w:p>
    <w:p>
      <w:pPr>
        <w:spacing w:after="0" w:line="194" w:lineRule="exact"/>
        <w:rPr>
          <w:rFonts w:ascii="Arial" w:cs="Arial" w:eastAsia="Arial" w:hAnsi="Arial"/>
          <w:sz w:val="20"/>
          <w:szCs w:val="20"/>
          <w:color w:val="auto"/>
        </w:rPr>
      </w:pPr>
    </w:p>
    <w:p>
      <w:pPr>
        <w:ind w:left="1060" w:hanging="415"/>
        <w:spacing w:after="0"/>
        <w:tabs>
          <w:tab w:leader="none" w:pos="1060"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The Revolver Principal Debt is due and payable on the Termination Date for the Revolver Facility.</w:t>
      </w:r>
    </w:p>
    <w:p>
      <w:pPr>
        <w:spacing w:after="0" w:line="215" w:lineRule="exact"/>
        <w:rPr>
          <w:rFonts w:ascii="Arial" w:cs="Arial" w:eastAsia="Arial" w:hAnsi="Arial"/>
          <w:sz w:val="20"/>
          <w:szCs w:val="20"/>
          <w:color w:val="auto"/>
        </w:rPr>
      </w:pPr>
    </w:p>
    <w:p>
      <w:pPr>
        <w:ind w:firstLine="645"/>
        <w:spacing w:after="0" w:line="287" w:lineRule="auto"/>
        <w:tabs>
          <w:tab w:leader="none" w:pos="1075" w:val="left"/>
        </w:tabs>
        <w:numPr>
          <w:ilvl w:val="0"/>
          <w:numId w:val="79"/>
        </w:numPr>
        <w:rPr>
          <w:rFonts w:ascii="Arial" w:cs="Arial" w:eastAsia="Arial" w:hAnsi="Arial"/>
          <w:sz w:val="19"/>
          <w:szCs w:val="19"/>
          <w:color w:val="auto"/>
        </w:rPr>
      </w:pPr>
      <w:r>
        <w:rPr>
          <w:rFonts w:ascii="Arial" w:cs="Arial" w:eastAsia="Arial" w:hAnsi="Arial"/>
          <w:sz w:val="19"/>
          <w:szCs w:val="19"/>
          <w:color w:val="auto"/>
        </w:rPr>
        <w:t>Borrower shall repay the outstanding principal amount of each Swing Line Loan on the earlier to occur of (i) the date that is ten (10) Business Days after such Swing Line Loan is made, and (ii) the Termination Date for the Revolver Facility.</w:t>
      </w:r>
    </w:p>
    <w:p>
      <w:pPr>
        <w:spacing w:after="0" w:line="152" w:lineRule="exact"/>
        <w:rPr>
          <w:rFonts w:ascii="Arial" w:cs="Arial" w:eastAsia="Arial" w:hAnsi="Arial"/>
          <w:sz w:val="19"/>
          <w:szCs w:val="19"/>
          <w:color w:val="auto"/>
        </w:rPr>
      </w:pPr>
    </w:p>
    <w:p>
      <w:pPr>
        <w:jc w:val="both"/>
        <w:ind w:firstLine="645"/>
        <w:spacing w:after="0" w:line="244" w:lineRule="auto"/>
        <w:tabs>
          <w:tab w:leader="none" w:pos="1087"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The Term Loan Principal Debt is due and payable in equal quarterly installments, such that five percent (5%) of the Term Loan Principal Debt outstanding at the end of the Delayed Draw Availability Period is repaid (i) on the Quarterly Date occurring at the end of the first full fiscal quarter of Borrower after the last day of the Delayed Draw Availability Period, and (ii) on each consecutive Quarterly Date thereafter. A final payment is due on the Termination Date for the Term Loan Facility in an amount equal to all Term Loan Principal Debt then outstanding.</w:t>
      </w:r>
    </w:p>
    <w:p>
      <w:pPr>
        <w:spacing w:after="0" w:line="194" w:lineRule="exact"/>
        <w:rPr>
          <w:rFonts w:ascii="Arial" w:cs="Arial" w:eastAsia="Arial" w:hAnsi="Arial"/>
          <w:sz w:val="20"/>
          <w:szCs w:val="20"/>
          <w:color w:val="auto"/>
        </w:rPr>
      </w:pPr>
    </w:p>
    <w:p>
      <w:pPr>
        <w:jc w:val="both"/>
        <w:ind w:firstLine="645"/>
        <w:spacing w:after="0" w:line="260" w:lineRule="auto"/>
        <w:tabs>
          <w:tab w:leader="none" w:pos="1085"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If the Revolver Commitment Usage ever exceeds the Revolver Commitment, or if the aggregate unpaid principal amount of all outstanding Swing Line Loans ever exceeds the Swing Line Commitment, then Borrower shall immediately prepay Revolver Loans and/or Cash Collateralize the L/C Exposure in an aggregate amount equal to such excess;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Borrower shall not be required to Cash Collateralize the L/C Exposure pursuant to this </w:t>
      </w:r>
      <w:r>
        <w:rPr>
          <w:rFonts w:ascii="Arial" w:cs="Arial" w:eastAsia="Arial" w:hAnsi="Arial"/>
          <w:sz w:val="19"/>
          <w:szCs w:val="19"/>
          <w:b w:val="1"/>
          <w:bCs w:val="1"/>
          <w:i w:val="1"/>
          <w:iCs w:val="1"/>
          <w:color w:val="auto"/>
        </w:rPr>
        <w:t>Section 3.2(e)</w:t>
      </w:r>
      <w:r>
        <w:rPr>
          <w:rFonts w:ascii="Arial" w:cs="Arial" w:eastAsia="Arial" w:hAnsi="Arial"/>
          <w:sz w:val="19"/>
          <w:szCs w:val="19"/>
          <w:color w:val="auto"/>
        </w:rPr>
        <w:t xml:space="preserve"> unless, after prepayment in full of the Revolver Loans, the Revolver Commitment Usage exceeds the Revolver Commitment then in effect.</w:t>
      </w:r>
    </w:p>
    <w:p>
      <w:pPr>
        <w:spacing w:after="0" w:line="180" w:lineRule="exact"/>
        <w:rPr>
          <w:rFonts w:ascii="Arial" w:cs="Arial" w:eastAsia="Arial" w:hAnsi="Arial"/>
          <w:sz w:val="19"/>
          <w:szCs w:val="19"/>
          <w:color w:val="auto"/>
        </w:rPr>
      </w:pPr>
    </w:p>
    <w:p>
      <w:pPr>
        <w:jc w:val="both"/>
        <w:ind w:firstLine="645"/>
        <w:spacing w:after="0" w:line="257" w:lineRule="auto"/>
        <w:tabs>
          <w:tab w:leader="none" w:pos="1215" w:val="left"/>
        </w:tabs>
        <w:numPr>
          <w:ilvl w:val="0"/>
          <w:numId w:val="79"/>
        </w:numPr>
        <w:rPr>
          <w:rFonts w:ascii="Arial" w:cs="Arial" w:eastAsia="Arial" w:hAnsi="Arial"/>
          <w:sz w:val="19"/>
          <w:szCs w:val="19"/>
          <w:color w:val="auto"/>
        </w:rPr>
      </w:pPr>
      <w:r>
        <w:rPr>
          <w:rFonts w:ascii="Arial" w:cs="Arial" w:eastAsia="Arial" w:hAnsi="Arial"/>
          <w:sz w:val="19"/>
          <w:szCs w:val="19"/>
          <w:color w:val="auto"/>
        </w:rPr>
        <w:t>Without premium or penalty and upon giving at least two Business Days prior written and irrevocable notice to Administrative Agent (who shall promptly notify Revolver Lenders of its receipt of such notice and its contents), Borrower may terminate all or reduce part of the unused portion of the Revolver Commitment. Each partial reduction (unless the remaining portion of such commitment is less) must be in an amount of not less than $5,000,000 or a greater integral multiple of $1,000,000, and shall be ratable among all Revolver Lenders according to their respective Commitment Percentages. Once terminated or reduced, such commitments may not be reinstated or increased. Borrower shall not terminate or reduce the Revolver Commitment if, after giving effect thereto and to any concurrent prepayments hereunder, the Revolver Commitment Usage would exceed the Revolver Commitment. If, after giving effect to any reduction of the Revolver</w:t>
      </w:r>
    </w:p>
    <w:p>
      <w:pPr>
        <w:spacing w:after="0" w:line="200" w:lineRule="exact"/>
        <w:rPr>
          <w:sz w:val="20"/>
          <w:szCs w:val="20"/>
          <w:color w:val="auto"/>
        </w:rPr>
      </w:pPr>
    </w:p>
    <w:p>
      <w:pPr>
        <w:spacing w:after="0" w:line="224"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0760"/>
          </w:cols>
          <w:pgMar w:left="900" w:top="582" w:right="239" w:bottom="1440" w:gutter="0" w:footer="0" w:header="0"/>
        </w:sectPr>
      </w:pPr>
    </w:p>
    <w:bookmarkStart w:id="122" w:name="page123"/>
    <w:bookmarkEnd w:id="122"/>
    <w:p>
      <w:pPr>
        <w:jc w:val="both"/>
        <w:ind w:left="660"/>
        <w:spacing w:after="0" w:line="250" w:lineRule="auto"/>
        <w:rPr>
          <w:sz w:val="20"/>
          <w:szCs w:val="20"/>
          <w:color w:val="auto"/>
        </w:rPr>
      </w:pPr>
      <w:r>
        <w:rPr>
          <w:rFonts w:ascii="Arial" w:cs="Arial" w:eastAsia="Arial" w:hAnsi="Arial"/>
          <w:sz w:val="20"/>
          <w:szCs w:val="20"/>
          <w:color w:val="auto"/>
        </w:rPr>
        <w:t>Commitment, the L/C Sublimit, or the Swing Line Sublimit, exceeds the amount of the Revolver Commitment, such sublimits shall be automatically reduced by the amount of such excess. Administrative Agent will promptly notify Revolver Lenders of any such notice of termination or reduction of the Revolver Commitment.</w:t>
      </w:r>
    </w:p>
    <w:p>
      <w:pPr>
        <w:spacing w:after="0" w:line="186" w:lineRule="exact"/>
        <w:rPr>
          <w:sz w:val="20"/>
          <w:szCs w:val="20"/>
          <w:color w:val="auto"/>
        </w:rPr>
      </w:pPr>
    </w:p>
    <w:p>
      <w:pPr>
        <w:jc w:val="both"/>
        <w:ind w:left="660" w:right="20" w:firstLine="645"/>
        <w:spacing w:after="0" w:line="250" w:lineRule="auto"/>
        <w:tabs>
          <w:tab w:leader="none" w:pos="1737" w:val="left"/>
        </w:tabs>
        <w:numPr>
          <w:ilvl w:val="0"/>
          <w:numId w:val="80"/>
        </w:numPr>
        <w:rPr>
          <w:rFonts w:ascii="Arial" w:cs="Arial" w:eastAsia="Arial" w:hAnsi="Arial"/>
          <w:sz w:val="20"/>
          <w:szCs w:val="20"/>
          <w:color w:val="auto"/>
        </w:rPr>
      </w:pPr>
      <w:r>
        <w:rPr>
          <w:rFonts w:ascii="Arial" w:cs="Arial" w:eastAsia="Arial" w:hAnsi="Arial"/>
          <w:sz w:val="20"/>
          <w:szCs w:val="20"/>
          <w:color w:val="auto"/>
        </w:rPr>
        <w:t xml:space="preserve">Borrower may voluntarily prepay all or any part of the Revolver Principal Debt (other than Revolver Principal Debt under the Swing Line Subfacility, which may be prepaid in accordance with </w:t>
      </w:r>
      <w:r>
        <w:rPr>
          <w:rFonts w:ascii="Arial" w:cs="Arial" w:eastAsia="Arial" w:hAnsi="Arial"/>
          <w:sz w:val="20"/>
          <w:szCs w:val="20"/>
          <w:b w:val="1"/>
          <w:bCs w:val="1"/>
          <w:i w:val="1"/>
          <w:iCs w:val="1"/>
          <w:color w:val="auto"/>
        </w:rPr>
        <w:t>clause (h)</w:t>
      </w:r>
      <w:r>
        <w:rPr>
          <w:rFonts w:ascii="Arial" w:cs="Arial" w:eastAsia="Arial" w:hAnsi="Arial"/>
          <w:sz w:val="20"/>
          <w:szCs w:val="20"/>
          <w:color w:val="auto"/>
        </w:rPr>
        <w:t xml:space="preserve"> below) or the Term Loan Principal Debt at any time without premium or penalty, subject to the following conditions:</w:t>
      </w:r>
    </w:p>
    <w:p>
      <w:pPr>
        <w:spacing w:after="0" w:line="186" w:lineRule="exact"/>
        <w:rPr>
          <w:rFonts w:ascii="Arial" w:cs="Arial" w:eastAsia="Arial" w:hAnsi="Arial"/>
          <w:sz w:val="20"/>
          <w:szCs w:val="20"/>
          <w:color w:val="auto"/>
        </w:rPr>
      </w:pPr>
    </w:p>
    <w:p>
      <w:pPr>
        <w:jc w:val="both"/>
        <w:ind w:left="1300" w:firstLine="653"/>
        <w:spacing w:after="0" w:line="260" w:lineRule="auto"/>
        <w:tabs>
          <w:tab w:leader="none" w:pos="2396" w:val="left"/>
        </w:tabs>
        <w:numPr>
          <w:ilvl w:val="1"/>
          <w:numId w:val="80"/>
        </w:numPr>
        <w:rPr>
          <w:rFonts w:ascii="Arial" w:cs="Arial" w:eastAsia="Arial" w:hAnsi="Arial"/>
          <w:sz w:val="19"/>
          <w:szCs w:val="19"/>
          <w:color w:val="auto"/>
        </w:rPr>
      </w:pPr>
      <w:r>
        <w:rPr>
          <w:rFonts w:ascii="Arial" w:cs="Arial" w:eastAsia="Arial" w:hAnsi="Arial"/>
          <w:sz w:val="19"/>
          <w:szCs w:val="19"/>
          <w:color w:val="auto"/>
        </w:rPr>
        <w:t>Administrative Agent must receive Borrower’s written payment notice (which must be in a form acceptable to Administrative Agent and which shall specify (1) the payment date, and (2) the Type and amount of the Loan(s) to be paid; such notice shall constitute an irrevocable and binding obligation of Borrower to make a payment on the designated date) by 11:00 a.m. on (x) the first Business Day preceding the date of payment of a Revolver Loan or a Term Loan that is a Eurocurrency Rate Loan, and (y) the date of payment of a Base Rate Loan;</w:t>
      </w:r>
    </w:p>
    <w:p>
      <w:pPr>
        <w:spacing w:after="0" w:line="180" w:lineRule="exact"/>
        <w:rPr>
          <w:rFonts w:ascii="Arial" w:cs="Arial" w:eastAsia="Arial" w:hAnsi="Arial"/>
          <w:sz w:val="19"/>
          <w:szCs w:val="19"/>
          <w:color w:val="auto"/>
        </w:rPr>
      </w:pPr>
    </w:p>
    <w:p>
      <w:pPr>
        <w:ind w:left="1300" w:firstLine="653"/>
        <w:spacing w:after="0" w:line="316" w:lineRule="auto"/>
        <w:tabs>
          <w:tab w:leader="none" w:pos="2423" w:val="left"/>
        </w:tabs>
        <w:numPr>
          <w:ilvl w:val="1"/>
          <w:numId w:val="80"/>
        </w:numPr>
        <w:rPr>
          <w:rFonts w:ascii="Arial" w:cs="Arial" w:eastAsia="Arial" w:hAnsi="Arial"/>
          <w:sz w:val="18"/>
          <w:szCs w:val="18"/>
          <w:color w:val="auto"/>
        </w:rPr>
      </w:pPr>
      <w:r>
        <w:rPr>
          <w:rFonts w:ascii="Arial" w:cs="Arial" w:eastAsia="Arial" w:hAnsi="Arial"/>
          <w:sz w:val="18"/>
          <w:szCs w:val="18"/>
          <w:color w:val="auto"/>
        </w:rPr>
        <w:t>each partial payment must be in a minimum amount of at least $500,000 if a Base Rate Loan or $1,000,000 if a Revolver Loan or a Term Loan that is a Eurocurrency Rate Loan or, in either case, a greater integral multiple of $100,000;</w:t>
      </w:r>
    </w:p>
    <w:p>
      <w:pPr>
        <w:spacing w:after="0" w:line="130" w:lineRule="exact"/>
        <w:rPr>
          <w:rFonts w:ascii="Arial" w:cs="Arial" w:eastAsia="Arial" w:hAnsi="Arial"/>
          <w:sz w:val="18"/>
          <w:szCs w:val="18"/>
          <w:color w:val="auto"/>
        </w:rPr>
      </w:pPr>
    </w:p>
    <w:p>
      <w:pPr>
        <w:ind w:left="2440" w:hanging="487"/>
        <w:spacing w:after="0"/>
        <w:tabs>
          <w:tab w:leader="none" w:pos="24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 accrued interest on the principal amount so to be prepaid must also be paid in full on the date of payment;</w:t>
      </w:r>
    </w:p>
    <w:p>
      <w:pPr>
        <w:spacing w:after="0" w:line="238" w:lineRule="exact"/>
        <w:rPr>
          <w:rFonts w:ascii="Arial" w:cs="Arial" w:eastAsia="Arial" w:hAnsi="Arial"/>
          <w:sz w:val="18"/>
          <w:szCs w:val="18"/>
          <w:color w:val="auto"/>
        </w:rPr>
      </w:pPr>
    </w:p>
    <w:p>
      <w:pPr>
        <w:ind w:left="2440" w:hanging="487"/>
        <w:spacing w:after="0"/>
        <w:tabs>
          <w:tab w:leader="none" w:pos="2440" w:val="left"/>
        </w:tabs>
        <w:numPr>
          <w:ilvl w:val="1"/>
          <w:numId w:val="80"/>
        </w:numPr>
        <w:rPr>
          <w:rFonts w:ascii="Arial" w:cs="Arial" w:eastAsia="Arial" w:hAnsi="Arial"/>
          <w:sz w:val="20"/>
          <w:szCs w:val="20"/>
          <w:color w:val="auto"/>
        </w:rPr>
      </w:pPr>
      <w:r>
        <w:rPr>
          <w:rFonts w:ascii="Arial" w:cs="Arial" w:eastAsia="Arial" w:hAnsi="Arial"/>
          <w:sz w:val="20"/>
          <w:szCs w:val="20"/>
          <w:color w:val="auto"/>
        </w:rPr>
        <w:t>Borrower shall pay any related Funding Loss upon demand; and</w:t>
      </w:r>
    </w:p>
    <w:p>
      <w:pPr>
        <w:spacing w:after="0" w:line="215" w:lineRule="exact"/>
        <w:rPr>
          <w:rFonts w:ascii="Arial" w:cs="Arial" w:eastAsia="Arial" w:hAnsi="Arial"/>
          <w:sz w:val="20"/>
          <w:szCs w:val="20"/>
          <w:color w:val="auto"/>
        </w:rPr>
      </w:pPr>
    </w:p>
    <w:p>
      <w:pPr>
        <w:jc w:val="both"/>
        <w:ind w:left="1300" w:firstLine="653"/>
        <w:spacing w:after="0" w:line="250" w:lineRule="auto"/>
        <w:tabs>
          <w:tab w:leader="none" w:pos="2473" w:val="left"/>
        </w:tabs>
        <w:numPr>
          <w:ilvl w:val="1"/>
          <w:numId w:val="80"/>
        </w:numPr>
        <w:rPr>
          <w:rFonts w:ascii="Arial" w:cs="Arial" w:eastAsia="Arial" w:hAnsi="Arial"/>
          <w:sz w:val="20"/>
          <w:szCs w:val="20"/>
          <w:color w:val="auto"/>
        </w:rPr>
      </w:pPr>
      <w:r>
        <w:rPr>
          <w:rFonts w:ascii="Arial" w:cs="Arial" w:eastAsia="Arial" w:hAnsi="Arial"/>
          <w:sz w:val="20"/>
          <w:szCs w:val="20"/>
          <w:color w:val="auto"/>
        </w:rPr>
        <w:t>unless a Default or Potential Default has occurred and is continuing (or would arise as a result thereof), any prepayment of the Revolver Principal Debt may be reborrowed by Borrower, subject to the terms and conditions of the Loan Papers.</w:t>
      </w:r>
    </w:p>
    <w:p>
      <w:pPr>
        <w:spacing w:after="0" w:line="18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Administrative Agent will promptly notify each Lender of its receipt of a payment notice from Borrower, and of the amount of such Lender’s Commitment Percentage of such prepayment.</w:t>
      </w:r>
    </w:p>
    <w:p>
      <w:pPr>
        <w:spacing w:after="0" w:line="177" w:lineRule="exact"/>
        <w:rPr>
          <w:sz w:val="20"/>
          <w:szCs w:val="20"/>
          <w:color w:val="auto"/>
        </w:rPr>
      </w:pPr>
    </w:p>
    <w:p>
      <w:pPr>
        <w:jc w:val="both"/>
        <w:ind w:left="660" w:firstLine="645"/>
        <w:spacing w:after="0" w:line="258" w:lineRule="auto"/>
        <w:tabs>
          <w:tab w:leader="none" w:pos="1791"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Borrower may, upon notice to the applicable Swing Line Lender (with a copy to Administrative Agent), at any time or from time to time, voluntarily prepay Swing Line Loans owed to such Swing Line Lender, in whole or in part without premium or penalty;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 such notice must be in a form acceptable to the applicable Swing Line Lender and be received by the applicable Swing Line Lender and Administrative Agent not later than 12:00 noon on the date of the prepayment, and (ii) any such prepayment shall be in a minimum principal amount of $100,000, or a greater integral multiple thereof. Each such notice shall specify the date and amount of such prepayment. Borrower shall make such prepayment and the payment amount specified in such notice shall be due and payable on the date specified therein.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Interest Options</w:t>
      </w:r>
      <w:r>
        <w:rPr>
          <w:rFonts w:ascii="Arial" w:cs="Arial" w:eastAsia="Arial" w:hAnsi="Arial"/>
          <w:sz w:val="18"/>
          <w:szCs w:val="18"/>
          <w:color w:val="auto"/>
        </w:rPr>
        <w:t xml:space="preserve">. Except where specifically otherwise provided, (a) Revolver Loans and Term Loans bear interest at an annual rate equal to the lesser of (i) the Base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 or Eurocurrency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 for the Interest Period, if any, selected by Borrower (in each case as designated or deemed designated by Borrower), as the case may be, and (ii) the Maximum Rate,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420"/>
          </w:cols>
          <w:pgMar w:left="240" w:top="582" w:right="239" w:bottom="1440" w:gutter="0" w:footer="0" w:header="0"/>
        </w:sectPr>
      </w:pPr>
    </w:p>
    <w:bookmarkStart w:id="123" w:name="page124"/>
    <w:bookmarkEnd w:id="123"/>
    <w:p>
      <w:pPr>
        <w:jc w:val="both"/>
        <w:spacing w:after="0" w:line="250" w:lineRule="auto"/>
        <w:rPr>
          <w:sz w:val="20"/>
          <w:szCs w:val="20"/>
          <w:color w:val="auto"/>
        </w:rPr>
      </w:pPr>
      <w:r>
        <w:rPr>
          <w:rFonts w:ascii="Arial" w:cs="Arial" w:eastAsia="Arial" w:hAnsi="Arial"/>
          <w:sz w:val="20"/>
          <w:szCs w:val="20"/>
          <w:color w:val="auto"/>
        </w:rPr>
        <w:t xml:space="preserve">and (b) Swing Line Loans bear interest at an annual rate equal to the lesser of (i) Daily Floating LIBOR </w:t>
      </w:r>
      <w:r>
        <w:rPr>
          <w:rFonts w:ascii="Arial" w:cs="Arial" w:eastAsia="Arial" w:hAnsi="Arial"/>
          <w:sz w:val="20"/>
          <w:szCs w:val="20"/>
          <w:i w:val="1"/>
          <w:iCs w:val="1"/>
          <w:color w:val="auto"/>
        </w:rPr>
        <w:t>plus</w:t>
      </w:r>
      <w:r>
        <w:rPr>
          <w:rFonts w:ascii="Arial" w:cs="Arial" w:eastAsia="Arial" w:hAnsi="Arial"/>
          <w:sz w:val="20"/>
          <w:szCs w:val="20"/>
          <w:color w:val="auto"/>
        </w:rPr>
        <w:t xml:space="preserve"> the Applicable Margin and (ii) the Maximum Rate. Each change in the Base Rate, Daily Floating LIBOR, and the Maximum Rate is effective, without notice to Borrower or any other Person, upon the effective date of change.</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Notwithstanding anything to the contrary in this Agreement or any other Loan Papers, if the Administrative Agent determines (which determination shall be conclusive absent manifest error), or the Borrower or Required Lenders notify the Administrative Agent (with, in the case of the Required Lenders, a copy to Borrower) that the Borrower or Required Lenders (as applicable) have determined, that:</w:t>
      </w:r>
    </w:p>
    <w:p>
      <w:pPr>
        <w:spacing w:after="0" w:line="184" w:lineRule="exact"/>
        <w:rPr>
          <w:sz w:val="20"/>
          <w:szCs w:val="20"/>
          <w:color w:val="auto"/>
        </w:rPr>
      </w:pPr>
    </w:p>
    <w:p>
      <w:pPr>
        <w:jc w:val="both"/>
        <w:ind w:left="980" w:firstLine="649"/>
        <w:spacing w:after="0" w:line="278" w:lineRule="auto"/>
        <w:tabs>
          <w:tab w:leader="none" w:pos="2139" w:val="left"/>
        </w:tabs>
        <w:numPr>
          <w:ilvl w:val="0"/>
          <w:numId w:val="82"/>
        </w:numPr>
        <w:rPr>
          <w:rFonts w:ascii="Arial" w:cs="Arial" w:eastAsia="Arial" w:hAnsi="Arial"/>
          <w:sz w:val="20"/>
          <w:szCs w:val="20"/>
          <w:color w:val="auto"/>
        </w:rPr>
      </w:pPr>
      <w:r>
        <w:rPr>
          <w:rFonts w:ascii="Arial" w:cs="Arial" w:eastAsia="Arial" w:hAnsi="Arial"/>
          <w:sz w:val="20"/>
          <w:szCs w:val="20"/>
          <w:color w:val="auto"/>
        </w:rPr>
        <w:t>adequate and reasonable means do not exist for ascertaining LIBO Rate for any requested Interest Period, including, without limitation, because the LIBOR Screen Rate is not available or published on a current basis and such circumstances are unlikely to be temporary; or</w:t>
      </w:r>
    </w:p>
    <w:p>
      <w:pPr>
        <w:spacing w:after="0" w:line="186" w:lineRule="exact"/>
        <w:rPr>
          <w:rFonts w:ascii="Arial" w:cs="Arial" w:eastAsia="Arial" w:hAnsi="Arial"/>
          <w:sz w:val="20"/>
          <w:szCs w:val="20"/>
          <w:color w:val="auto"/>
        </w:rPr>
      </w:pPr>
    </w:p>
    <w:p>
      <w:pPr>
        <w:jc w:val="both"/>
        <w:ind w:left="980" w:firstLine="649"/>
        <w:spacing w:after="0" w:line="274" w:lineRule="auto"/>
        <w:tabs>
          <w:tab w:leader="none" w:pos="2316"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administrator of the LIBOR Screen Rate or a Governmental Authority having jurisdiction over the Administrative Agent has made a public statement identifying a specific date after which LIBO Rate or the LIBOR Screen Rate shall no longer be made available, or used for determining the interest rate of loans (such specific date, the “</w:t>
      </w:r>
      <w:r>
        <w:rPr>
          <w:rFonts w:ascii="Arial" w:cs="Arial" w:eastAsia="Arial" w:hAnsi="Arial"/>
          <w:sz w:val="20"/>
          <w:szCs w:val="20"/>
          <w:b w:val="1"/>
          <w:bCs w:val="1"/>
          <w:i w:val="1"/>
          <w:iCs w:val="1"/>
          <w:color w:val="auto"/>
        </w:rPr>
        <w:t>Scheduled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Unavailability Date</w:t>
      </w:r>
      <w:r>
        <w:rPr>
          <w:rFonts w:ascii="Arial" w:cs="Arial" w:eastAsia="Arial" w:hAnsi="Arial"/>
          <w:sz w:val="20"/>
          <w:szCs w:val="20"/>
          <w:color w:val="auto"/>
        </w:rPr>
        <w:t>”), or</w:t>
      </w:r>
    </w:p>
    <w:p>
      <w:pPr>
        <w:spacing w:after="0" w:line="192" w:lineRule="exact"/>
        <w:rPr>
          <w:rFonts w:ascii="Arial" w:cs="Arial" w:eastAsia="Arial" w:hAnsi="Arial"/>
          <w:sz w:val="20"/>
          <w:szCs w:val="20"/>
          <w:color w:val="auto"/>
        </w:rPr>
      </w:pPr>
    </w:p>
    <w:p>
      <w:pPr>
        <w:ind w:left="980" w:firstLine="649"/>
        <w:spacing w:after="0" w:line="316" w:lineRule="auto"/>
        <w:tabs>
          <w:tab w:leader="none" w:pos="2249"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syndicated loans currently being executed, or that include language similar to that contained in this </w:t>
      </w:r>
      <w:r>
        <w:rPr>
          <w:rFonts w:ascii="Arial" w:cs="Arial" w:eastAsia="Arial" w:hAnsi="Arial"/>
          <w:sz w:val="19"/>
          <w:szCs w:val="19"/>
          <w:b w:val="1"/>
          <w:bCs w:val="1"/>
          <w:i w:val="1"/>
          <w:iCs w:val="1"/>
          <w:color w:val="auto"/>
        </w:rPr>
        <w:t>Section</w:t>
      </w:r>
      <w:r>
        <w:rPr>
          <w:rFonts w:ascii="Arial" w:cs="Arial" w:eastAsia="Arial" w:hAnsi="Arial"/>
          <w:sz w:val="19"/>
          <w:szCs w:val="19"/>
          <w:color w:val="auto"/>
        </w:rPr>
        <w:t>, are being executed or amended (as applicable) to incorporate or adopt a new benchmark interest rate to replace LIBO Rate,</w:t>
      </w:r>
    </w:p>
    <w:p>
      <w:pPr>
        <w:spacing w:after="0" w:line="14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then, reasonably promptly after such determination by the Administrative Agent or receipt by the Administrative Agent of such notice, as applicable, the Administrative Agent and the Borrower may amend this Agreement to replace LIBO Rate with an alternate benchmark rate (including any mathematical or other adjustments to the benchmark (if any) incorporated therein), giving due consideration to any evolving or then existing convention for similar U.S. dollar denominated syndicated credit facilities for such alternative benchmarks (any such proposed rate, a “</w:t>
      </w:r>
      <w:r>
        <w:rPr>
          <w:rFonts w:ascii="Arial" w:cs="Arial" w:eastAsia="Arial" w:hAnsi="Arial"/>
          <w:sz w:val="18"/>
          <w:szCs w:val="18"/>
          <w:b w:val="1"/>
          <w:bCs w:val="1"/>
          <w:i w:val="1"/>
          <w:iCs w:val="1"/>
          <w:color w:val="auto"/>
        </w:rPr>
        <w:t>LIBOR Successor Rate</w:t>
      </w:r>
      <w:r>
        <w:rPr>
          <w:rFonts w:ascii="Arial" w:cs="Arial" w:eastAsia="Arial" w:hAnsi="Arial"/>
          <w:sz w:val="18"/>
          <w:szCs w:val="18"/>
          <w:color w:val="auto"/>
        </w:rPr>
        <w:t>”), together with any proposed LIBOR Successor Rate Conforming Changes (as defined below) and any such amendment shall become effective at 5:00 p.m. (New York time)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do not accept such amendment.</w:t>
      </w:r>
    </w:p>
    <w:p>
      <w:pPr>
        <w:spacing w:after="0" w:line="16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If no LIBOR Successor Rate has been determined and the circumstances under </w:t>
      </w:r>
      <w:r>
        <w:rPr>
          <w:rFonts w:ascii="Arial" w:cs="Arial" w:eastAsia="Arial" w:hAnsi="Arial"/>
          <w:sz w:val="18"/>
          <w:szCs w:val="18"/>
          <w:b w:val="1"/>
          <w:bCs w:val="1"/>
          <w:i w:val="1"/>
          <w:iCs w:val="1"/>
          <w:color w:val="auto"/>
        </w:rPr>
        <w:t>clause (i)</w:t>
      </w:r>
      <w:r>
        <w:rPr>
          <w:rFonts w:ascii="Arial" w:cs="Arial" w:eastAsia="Arial" w:hAnsi="Arial"/>
          <w:sz w:val="18"/>
          <w:szCs w:val="18"/>
          <w:color w:val="auto"/>
        </w:rPr>
        <w:t xml:space="preserve"> above exist or the Scheduled Unavailability Date has occurred (as applicable), the Administrative Agent will promptly so notify the Borrower and each Lender. Thereafter, (x) the obligation of the Lenders to make or maintain Eurocurrency Rate Loans shall be suspended, (to the extent of the affected Eurocurrency Rate Loans or Interest Periods), and (y) the Eurocurrency Rate component shall no longer be utilized in determining the Base Rate. Upon receipt of such notice, the Borrower may revoke any pending request for a borrowing of, conversion to or continuation of Eurocurrency Rate Loans (to the extent of the affected Eurocurrency Rate Loans or Interest Periods) or, failing that, will be deemed to have converted such request into a request for a Base Rate Loans (subject to the foregoing </w:t>
      </w:r>
      <w:r>
        <w:rPr>
          <w:rFonts w:ascii="Arial" w:cs="Arial" w:eastAsia="Arial" w:hAnsi="Arial"/>
          <w:sz w:val="18"/>
          <w:szCs w:val="18"/>
          <w:b w:val="1"/>
          <w:bCs w:val="1"/>
          <w:i w:val="1"/>
          <w:iCs w:val="1"/>
          <w:color w:val="auto"/>
        </w:rPr>
        <w:t>clause (y))</w:t>
      </w:r>
      <w:r>
        <w:rPr>
          <w:rFonts w:ascii="Arial" w:cs="Arial" w:eastAsia="Arial" w:hAnsi="Arial"/>
          <w:sz w:val="18"/>
          <w:szCs w:val="18"/>
          <w:color w:val="auto"/>
        </w:rPr>
        <w:t xml:space="preserve"> in the amount specified therein.</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Notwithstanding anything else herein, any definition of LIBOR Successor Rate shall provide that in no event shall such LIBOR Successor Rate be less than zero for purposes of this Agreement.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1420"/>
          </w:cols>
          <w:pgMar w:left="240" w:top="798" w:right="239" w:bottom="1440" w:gutter="0" w:footer="0" w:header="0"/>
        </w:sectPr>
      </w:pPr>
    </w:p>
    <w:bookmarkStart w:id="124" w:name="page125"/>
    <w:bookmarkEnd w:id="124"/>
    <w:p>
      <w:pPr>
        <w:jc w:val="both"/>
        <w:ind w:firstLine="648"/>
        <w:spacing w:after="0" w:line="246"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Quotation of Rates</w:t>
      </w:r>
      <w:r>
        <w:rPr>
          <w:rFonts w:ascii="Arial" w:cs="Arial" w:eastAsia="Arial" w:hAnsi="Arial"/>
          <w:sz w:val="20"/>
          <w:szCs w:val="20"/>
          <w:color w:val="auto"/>
        </w:rPr>
        <w:t>. A Responsible Officer of Borrower may call Administrative Agent before delivering a Loan Notice or Swing Line Loan Notice to receive an indication of the interest rates then in effect, but the indicated rates do not bind Administrative Agent or Lenders or affect the interest rate that is actually in effect when Borrower delivers its Loan Notice or Swing Line Loan Notice or on the Loan Date.</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Default Rate</w:t>
      </w:r>
      <w:r>
        <w:rPr>
          <w:rFonts w:ascii="Arial" w:cs="Arial" w:eastAsia="Arial" w:hAnsi="Arial"/>
          <w:sz w:val="18"/>
          <w:szCs w:val="18"/>
          <w:color w:val="auto"/>
        </w:rPr>
        <w:t>. While any Default exists, then upon the request of Required Lenders (except in the case of a Default resulting from the failure to pay Principal Debt when due, in which case, such increase shall be automatic), Borrower shall pay interest on the Principal Debt at a fluctuating interest rate per annum at all times equal to the Default Rate to the fullest extent permitted by applicable Law. If any amount (other than principal of any Loan) payable by Borrower under any Loan Paper is not paid when due (without regard to any applicable grace periods), whether at stated maturity, by acceleration, or otherwise, then upon the request of Required Lenders, such amount shall thereafter bear interest at a fluctuating interest rate per annum at all times equal to the Default Rate to the fullest extent permitted by applicable Laws. Accrued and unpaid interest on past due amounts (including interest on past due interest) shall be due and payable upon demand.</w:t>
      </w:r>
    </w:p>
    <w:p>
      <w:pPr>
        <w:spacing w:after="0" w:line="3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Interest Recapture</w:t>
      </w:r>
      <w:r>
        <w:rPr>
          <w:rFonts w:ascii="Arial" w:cs="Arial" w:eastAsia="Arial" w:hAnsi="Arial"/>
          <w:sz w:val="19"/>
          <w:szCs w:val="19"/>
          <w:color w:val="auto"/>
        </w:rPr>
        <w:t xml:space="preserve">. If the designated interest rate applicable to any Loan exceeds the Maximum Rate, the interest rate on that Loan is limited to the Maximum Rate, but any subsequent reductions in the designated rate shall not reduce the interest rate thereon below the Maximum Rate until the total amount of accrued interest equals the amount of interest that would have accrued if that designated rate had always been in effect. If at maturity (stated or by acceleration), or at final payment of the Notes, the total interest paid or accrued is less than the interest that would have accrued if the designated rates had always been in effect, then, at that time and to the extent permitted by Law, Borrower shall pay an amount equal to the difference between (a) the lesser of the amount of interest that would have accrued if the designated rates had always been in effect </w:t>
      </w:r>
      <w:r>
        <w:rPr>
          <w:rFonts w:ascii="Arial" w:cs="Arial" w:eastAsia="Arial" w:hAnsi="Arial"/>
          <w:sz w:val="19"/>
          <w:szCs w:val="19"/>
          <w:i w:val="1"/>
          <w:iCs w:val="1"/>
          <w:color w:val="auto"/>
        </w:rPr>
        <w:t>and</w:t>
      </w:r>
      <w:r>
        <w:rPr>
          <w:rFonts w:ascii="Arial" w:cs="Arial" w:eastAsia="Arial" w:hAnsi="Arial"/>
          <w:sz w:val="19"/>
          <w:szCs w:val="19"/>
          <w:color w:val="auto"/>
        </w:rPr>
        <w:t xml:space="preserve"> the amount of interest that would have accrued if the Maximum Rate had always been in effect, and (b) the amount of interest actually paid or accrued on the Notes.</w:t>
      </w:r>
    </w:p>
    <w:p>
      <w:pPr>
        <w:spacing w:after="0" w:line="39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3.7</w:t>
      </w:r>
      <w:r>
        <w:rPr>
          <w:sz w:val="20"/>
          <w:szCs w:val="20"/>
          <w:color w:val="auto"/>
        </w:rPr>
        <w:tab/>
      </w:r>
      <w:r>
        <w:rPr>
          <w:rFonts w:ascii="Arial" w:cs="Arial" w:eastAsia="Arial" w:hAnsi="Arial"/>
          <w:sz w:val="18"/>
          <w:szCs w:val="18"/>
          <w:u w:val="single" w:color="auto"/>
          <w:color w:val="auto"/>
        </w:rPr>
        <w:t>Interest Calculations; Retroactive Adjustments of Applicable Margin</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318" w:lineRule="auto"/>
        <w:tabs>
          <w:tab w:leader="none" w:pos="1079"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All computations of interest for Base Rate Loans shall be made on the basis of a year of 365 or 366 days (even when those loans are determined by the LIBO Rate),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any Loan that is repaid on the same day on which it is made shall, subject to </w:t>
      </w:r>
      <w:r>
        <w:rPr>
          <w:rFonts w:ascii="Arial" w:cs="Arial" w:eastAsia="Arial" w:hAnsi="Arial"/>
          <w:sz w:val="19"/>
          <w:szCs w:val="19"/>
          <w:b w:val="1"/>
          <w:bCs w:val="1"/>
          <w:i w:val="1"/>
          <w:iCs w:val="1"/>
          <w:color w:val="auto"/>
        </w:rPr>
        <w:t>Section 3.1(c)</w:t>
      </w:r>
      <w:r>
        <w:rPr>
          <w:rFonts w:ascii="Arial" w:cs="Arial" w:eastAsia="Arial" w:hAnsi="Arial"/>
          <w:sz w:val="19"/>
          <w:szCs w:val="19"/>
          <w:color w:val="auto"/>
        </w:rPr>
        <w:t>, bear interest for one day.</w:t>
      </w:r>
    </w:p>
    <w:p>
      <w:pPr>
        <w:spacing w:after="0" w:line="180" w:lineRule="exact"/>
        <w:rPr>
          <w:rFonts w:ascii="Arial" w:cs="Arial" w:eastAsia="Arial" w:hAnsi="Arial"/>
          <w:sz w:val="19"/>
          <w:szCs w:val="19"/>
          <w:color w:val="auto"/>
        </w:rPr>
      </w:pPr>
    </w:p>
    <w:p>
      <w:pPr>
        <w:jc w:val="both"/>
        <w:ind w:firstLine="656"/>
        <w:spacing w:after="0" w:line="300" w:lineRule="auto"/>
        <w:tabs>
          <w:tab w:leader="none" w:pos="1098" w:val="left"/>
        </w:tabs>
        <w:numPr>
          <w:ilvl w:val="0"/>
          <w:numId w:val="83"/>
        </w:numPr>
        <w:rPr>
          <w:rFonts w:ascii="Arial" w:cs="Arial" w:eastAsia="Arial" w:hAnsi="Arial"/>
          <w:sz w:val="20"/>
          <w:szCs w:val="20"/>
          <w:color w:val="auto"/>
        </w:rPr>
      </w:pPr>
      <w:r>
        <w:rPr>
          <w:rFonts w:ascii="Arial" w:cs="Arial" w:eastAsia="Arial" w:hAnsi="Arial"/>
          <w:sz w:val="20"/>
          <w:szCs w:val="20"/>
          <w:color w:val="auto"/>
        </w:rPr>
        <w:t xml:space="preserve">If, as a result of any restatement of or other adjustment to the financial statements of Borrower or for any other reason, Borrower or the Lenders determine that (i) the ratio of Net Funded Debt to Adjusted EBITDA, as calculated by Borrower pursuant to </w:t>
      </w:r>
      <w:r>
        <w:rPr>
          <w:rFonts w:ascii="Arial" w:cs="Arial" w:eastAsia="Arial" w:hAnsi="Arial"/>
          <w:sz w:val="20"/>
          <w:szCs w:val="20"/>
          <w:b w:val="1"/>
          <w:bCs w:val="1"/>
          <w:i w:val="1"/>
          <w:iCs w:val="1"/>
          <w:color w:val="auto"/>
        </w:rPr>
        <w:t>Section 11.1</w:t>
      </w:r>
      <w:r>
        <w:rPr>
          <w:rFonts w:ascii="Arial" w:cs="Arial" w:eastAsia="Arial" w:hAnsi="Arial"/>
          <w:sz w:val="20"/>
          <w:szCs w:val="20"/>
          <w:color w:val="auto"/>
        </w:rPr>
        <w:t xml:space="preserve"> as of any applicable date, was inaccurate, and (ii) a proper calculation thereof would have resulted in higher pricing and fees for such period, then Borrower shall immediately and retroactively be obligated to pay to Administrative Agent for the account of the applicable Lenders or L/C Issuers, as the case may be, promptly on demand by Administrative Agent (or, after the occurrence of an actual or deemed entry of an order for relief with respect to Borrower under Debtor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420"/>
          </w:cols>
          <w:pgMar w:left="240" w:top="798" w:right="239" w:bottom="1440" w:gutter="0" w:footer="0" w:header="0"/>
        </w:sectPr>
      </w:pPr>
    </w:p>
    <w:bookmarkStart w:id="125" w:name="page126"/>
    <w:bookmarkEnd w:id="125"/>
    <w:p>
      <w:pPr>
        <w:jc w:val="both"/>
        <w:spacing w:after="0" w:line="301" w:lineRule="auto"/>
        <w:rPr>
          <w:sz w:val="20"/>
          <w:szCs w:val="20"/>
          <w:color w:val="auto"/>
        </w:rPr>
      </w:pPr>
      <w:r>
        <w:rPr>
          <w:rFonts w:ascii="Arial" w:cs="Arial" w:eastAsia="Arial" w:hAnsi="Arial"/>
          <w:sz w:val="20"/>
          <w:szCs w:val="20"/>
          <w:color w:val="auto"/>
        </w:rPr>
        <w:t xml:space="preserve">Relief Law, automatically and without further action by Administrative Agent, any Lender, or any L/C Issuer), an amount equal to the excess of the amount of interest and fees that should have been paid for such period over the amount of interest and fees actually paid for such period. This paragraph shall not limit the rights of Administrative Agent, any Lender, or any L/C Issuer, as the case may be, under Section </w:t>
      </w:r>
      <w:r>
        <w:rPr>
          <w:rFonts w:ascii="Arial" w:cs="Arial" w:eastAsia="Arial" w:hAnsi="Arial"/>
          <w:sz w:val="20"/>
          <w:szCs w:val="20"/>
          <w:b w:val="1"/>
          <w:bCs w:val="1"/>
          <w:i w:val="1"/>
          <w:iCs w:val="1"/>
          <w:color w:val="auto"/>
        </w:rPr>
        <w:t>2.3(c)(iii)</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5.3</w:t>
      </w:r>
      <w:r>
        <w:rPr>
          <w:rFonts w:ascii="Arial" w:cs="Arial" w:eastAsia="Arial" w:hAnsi="Arial"/>
          <w:sz w:val="20"/>
          <w:szCs w:val="20"/>
          <w:color w:val="auto"/>
        </w:rPr>
        <w:t>, or</w:t>
      </w:r>
      <w:r>
        <w:rPr>
          <w:rFonts w:ascii="Arial" w:cs="Arial" w:eastAsia="Arial" w:hAnsi="Arial"/>
          <w:sz w:val="20"/>
          <w:szCs w:val="20"/>
          <w:b w:val="1"/>
          <w:bCs w:val="1"/>
          <w:i w:val="1"/>
          <w:iCs w:val="1"/>
          <w:color w:val="auto"/>
        </w:rPr>
        <w:t xml:space="preserve"> 3.3 </w:t>
      </w:r>
      <w:r>
        <w:rPr>
          <w:rFonts w:ascii="Arial" w:cs="Arial" w:eastAsia="Arial" w:hAnsi="Arial"/>
          <w:sz w:val="20"/>
          <w:szCs w:val="20"/>
          <w:color w:val="auto"/>
        </w:rPr>
        <w:t>or under</w:t>
      </w:r>
      <w:r>
        <w:rPr>
          <w:rFonts w:ascii="Arial" w:cs="Arial" w:eastAsia="Arial" w:hAnsi="Arial"/>
          <w:sz w:val="20"/>
          <w:szCs w:val="20"/>
          <w:b w:val="1"/>
          <w:bCs w:val="1"/>
          <w:i w:val="1"/>
          <w:iCs w:val="1"/>
          <w:color w:val="auto"/>
        </w:rPr>
        <w:t xml:space="preserve"> Section 12</w:t>
      </w:r>
      <w:r>
        <w:rPr>
          <w:rFonts w:ascii="Arial" w:cs="Arial" w:eastAsia="Arial" w:hAnsi="Arial"/>
          <w:sz w:val="20"/>
          <w:szCs w:val="20"/>
          <w:color w:val="auto"/>
        </w:rPr>
        <w:t>. Borrower’s obligations under this paragraph shall survive the termination of the Total Commitment and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repayment of all other Obligations hereunder.</w:t>
      </w:r>
    </w:p>
    <w:p>
      <w:pPr>
        <w:spacing w:after="0" w:line="3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Maximum Rate</w:t>
      </w:r>
      <w:r>
        <w:rPr>
          <w:rFonts w:ascii="Arial" w:cs="Arial" w:eastAsia="Arial" w:hAnsi="Arial"/>
          <w:sz w:val="18"/>
          <w:szCs w:val="18"/>
          <w:color w:val="auto"/>
        </w:rPr>
        <w:t>. Regardless of any provision contained in any Loan Paper or any document related thereto, no Lender is entitled to contract for, charge, take, reserve, receive, or apply, as interest on all or any part of the Obligation any amount in excess of the Maximum Rate, and, if Lenders ever do so, then any excess shall be treated as a partial payment of principal and any remaining excess shall be refunded to Borrower. In determining if the interest paid or payable exceeds the Maximum Rate, Borrower and Lenders shall, to the maximum extent permitted under applicable Law, (a) treat all Loans as but a single extension of credit (and Lenders and Borrower agree that is the case and that provision in this Agreement for multiple Loans is for convenience only), (b) characterize any nonprincipal payment as an expense, fee, or premium rather than as interest, (c) exclude voluntary payments and their effects, and (d) amortize, prorate, allocate, and spread the total amount of interest throughout the entire contemplated term of the Obligation. However, if the Obligation is paid in full before the end of its full contemplated term, and if the interest received for its actual period of existence exceeds the Maximum Amount, Lenders shall refund any excess (and Lenders shall not, to the extent permitted by Law, be subject to any penalties provided by any Laws for contracting for, charging, taking, reserving, or receiving interest in excess of the Maximum Amount).</w:t>
      </w:r>
    </w:p>
    <w:p>
      <w:pPr>
        <w:spacing w:after="0" w:line="38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3.9 </w:t>
      </w:r>
      <w:r>
        <w:rPr>
          <w:rFonts w:ascii="Arial" w:cs="Arial" w:eastAsia="Arial" w:hAnsi="Arial"/>
          <w:sz w:val="20"/>
          <w:szCs w:val="20"/>
          <w:u w:val="single" w:color="auto"/>
          <w:color w:val="auto"/>
        </w:rPr>
        <w:t>Interest Periods</w:t>
      </w:r>
      <w:r>
        <w:rPr>
          <w:rFonts w:ascii="Arial" w:cs="Arial" w:eastAsia="Arial" w:hAnsi="Arial"/>
          <w:sz w:val="20"/>
          <w:szCs w:val="20"/>
          <w:color w:val="auto"/>
        </w:rPr>
        <w:t>. When Borrower requests any Eurocurrency Rate Loan, Borrower may elect the applicable Interest Period. No more than ten (10) Eurocurrency Rate Interest Periods may be in effect at one time.</w:t>
      </w:r>
    </w:p>
    <w:p>
      <w:pPr>
        <w:spacing w:after="0" w:line="39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3.10</w:t>
      </w:r>
      <w:r>
        <w:rPr>
          <w:sz w:val="20"/>
          <w:szCs w:val="20"/>
          <w:color w:val="auto"/>
        </w:rPr>
        <w:tab/>
      </w:r>
      <w:r>
        <w:rPr>
          <w:rFonts w:ascii="Arial" w:cs="Arial" w:eastAsia="Arial" w:hAnsi="Arial"/>
          <w:sz w:val="18"/>
          <w:szCs w:val="18"/>
          <w:u w:val="single" w:color="auto"/>
          <w:color w:val="auto"/>
        </w:rPr>
        <w:t>Order of Application</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5"/>
        <w:spacing w:after="0" w:line="250" w:lineRule="auto"/>
        <w:tabs>
          <w:tab w:leader="none" w:pos="1766" w:val="left"/>
        </w:tabs>
        <w:numPr>
          <w:ilvl w:val="0"/>
          <w:numId w:val="84"/>
        </w:numPr>
        <w:rPr>
          <w:rFonts w:ascii="Arial" w:cs="Arial" w:eastAsia="Arial" w:hAnsi="Arial"/>
          <w:sz w:val="20"/>
          <w:szCs w:val="20"/>
          <w:color w:val="auto"/>
        </w:rPr>
      </w:pPr>
      <w:r>
        <w:rPr>
          <w:rFonts w:ascii="Arial" w:cs="Arial" w:eastAsia="Arial" w:hAnsi="Arial"/>
          <w:sz w:val="20"/>
          <w:szCs w:val="20"/>
          <w:color w:val="auto"/>
        </w:rPr>
        <w:t>If no Default or Potential Default exists, payments, and prepayments of the Obligation shall be applied first to fees then due, second to accrued interest then due and payable on the Principal Debt, and then to the remaining Obligation in the order and manner as Borrower may direct.</w:t>
      </w:r>
    </w:p>
    <w:p>
      <w:pPr>
        <w:spacing w:after="0" w:line="186" w:lineRule="exact"/>
        <w:rPr>
          <w:rFonts w:ascii="Arial" w:cs="Arial" w:eastAsia="Arial" w:hAnsi="Arial"/>
          <w:sz w:val="20"/>
          <w:szCs w:val="20"/>
          <w:color w:val="auto"/>
        </w:rPr>
      </w:pPr>
    </w:p>
    <w:p>
      <w:pPr>
        <w:jc w:val="both"/>
        <w:ind w:left="660" w:firstLine="645"/>
        <w:spacing w:after="0" w:line="271" w:lineRule="auto"/>
        <w:tabs>
          <w:tab w:leader="none" w:pos="1759"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If a Default or Potential Default exists, any payment or prepayment (including proceeds from the exercise of any Rights) shall be applied to the Obligation in the following order: (i) to the payment of all fees, expenses, and indemnities for which Administrative Agent has not been paid or reimbursed in accordance with the Loan Papers; (ii) to the ratable payment of all fees, expenses, and indemnities (other than L/C fees set forth in </w:t>
      </w:r>
      <w:r>
        <w:rPr>
          <w:rFonts w:ascii="Arial" w:cs="Arial" w:eastAsia="Arial" w:hAnsi="Arial"/>
          <w:sz w:val="18"/>
          <w:szCs w:val="18"/>
          <w:b w:val="1"/>
          <w:bCs w:val="1"/>
          <w:i w:val="1"/>
          <w:iCs w:val="1"/>
          <w:color w:val="auto"/>
        </w:rPr>
        <w:t>Section 5.3</w:t>
      </w:r>
      <w:r>
        <w:rPr>
          <w:rFonts w:ascii="Arial" w:cs="Arial" w:eastAsia="Arial" w:hAnsi="Arial"/>
          <w:sz w:val="18"/>
          <w:szCs w:val="18"/>
          <w:color w:val="auto"/>
        </w:rPr>
        <w:t xml:space="preserve"> hereof (collectively, “</w:t>
      </w:r>
      <w:r>
        <w:rPr>
          <w:rFonts w:ascii="Arial" w:cs="Arial" w:eastAsia="Arial" w:hAnsi="Arial"/>
          <w:sz w:val="18"/>
          <w:szCs w:val="18"/>
          <w:b w:val="1"/>
          <w:bCs w:val="1"/>
          <w:i w:val="1"/>
          <w:iCs w:val="1"/>
          <w:color w:val="auto"/>
        </w:rPr>
        <w:t>L/C Fees</w:t>
      </w:r>
      <w:r>
        <w:rPr>
          <w:rFonts w:ascii="Arial" w:cs="Arial" w:eastAsia="Arial" w:hAnsi="Arial"/>
          <w:sz w:val="18"/>
          <w:szCs w:val="18"/>
          <w:color w:val="auto"/>
        </w:rPr>
        <w:t xml:space="preserve">”)) for which Lenders have not been paid or reimbursed in accordance with the Loan Papers (as used in this </w:t>
      </w:r>
      <w:r>
        <w:rPr>
          <w:rFonts w:ascii="Arial" w:cs="Arial" w:eastAsia="Arial" w:hAnsi="Arial"/>
          <w:sz w:val="18"/>
          <w:szCs w:val="18"/>
          <w:b w:val="1"/>
          <w:bCs w:val="1"/>
          <w:i w:val="1"/>
          <w:iCs w:val="1"/>
          <w:color w:val="auto"/>
        </w:rPr>
        <w:t>clause (ii)</w:t>
      </w:r>
      <w:r>
        <w:rPr>
          <w:rFonts w:ascii="Arial" w:cs="Arial" w:eastAsia="Arial" w:hAnsi="Arial"/>
          <w:sz w:val="18"/>
          <w:szCs w:val="18"/>
          <w:color w:val="auto"/>
        </w:rPr>
        <w:t>, a “</w:t>
      </w:r>
      <w:r>
        <w:rPr>
          <w:rFonts w:ascii="Arial" w:cs="Arial" w:eastAsia="Arial" w:hAnsi="Arial"/>
          <w:sz w:val="18"/>
          <w:szCs w:val="18"/>
          <w:i w:val="1"/>
          <w:iCs w:val="1"/>
          <w:color w:val="auto"/>
        </w:rPr>
        <w:t>ratable payment</w:t>
      </w:r>
      <w:r>
        <w:rPr>
          <w:rFonts w:ascii="Arial" w:cs="Arial" w:eastAsia="Arial" w:hAnsi="Arial"/>
          <w:sz w:val="18"/>
          <w:szCs w:val="18"/>
          <w:color w:val="auto"/>
        </w:rPr>
        <w:t xml:space="preserve">” for any Lender shall be, on any date of determination, that proportion which the portion of the total fees, expenses, and indemnities owed to such Lender bears to the total aggregate fees, expenses, and indemnities owed to all Lenders on such date of determination); (iii) to the ratable payment of accrued and unpaid interest on the Principal Debt and L/C Fees (as used in this </w:t>
      </w:r>
      <w:r>
        <w:rPr>
          <w:rFonts w:ascii="Arial" w:cs="Arial" w:eastAsia="Arial" w:hAnsi="Arial"/>
          <w:sz w:val="18"/>
          <w:szCs w:val="18"/>
          <w:b w:val="1"/>
          <w:bCs w:val="1"/>
          <w:i w:val="1"/>
          <w:iCs w:val="1"/>
          <w:color w:val="auto"/>
        </w:rPr>
        <w:t>clause (iii)</w:t>
      </w:r>
      <w:r>
        <w:rPr>
          <w:rFonts w:ascii="Arial" w:cs="Arial" w:eastAsia="Arial" w:hAnsi="Arial"/>
          <w:sz w:val="18"/>
          <w:szCs w:val="18"/>
          <w:color w:val="auto"/>
        </w:rPr>
        <w:t>, “</w:t>
      </w:r>
      <w:r>
        <w:rPr>
          <w:rFonts w:ascii="Arial" w:cs="Arial" w:eastAsia="Arial" w:hAnsi="Arial"/>
          <w:sz w:val="18"/>
          <w:szCs w:val="18"/>
          <w:i w:val="1"/>
          <w:iCs w:val="1"/>
          <w:color w:val="auto"/>
        </w:rPr>
        <w:t>ratable payment</w:t>
      </w:r>
      <w:r>
        <w:rPr>
          <w:rFonts w:ascii="Arial" w:cs="Arial" w:eastAsia="Arial" w:hAnsi="Arial"/>
          <w:sz w:val="18"/>
          <w:szCs w:val="18"/>
          <w:color w:val="auto"/>
        </w:rPr>
        <w:t>” means, for any Lender, on any date of determination, that proportion which the accrued and unpaid interest on the Principal Debt owed to such Lender bears to the total accrued and unpaid interest on the Principal Debt owed to all Lenders);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420"/>
          </w:cols>
          <w:pgMar w:left="240" w:top="609" w:right="239" w:bottom="1440" w:gutter="0" w:footer="0" w:header="0"/>
        </w:sectPr>
      </w:pPr>
    </w:p>
    <w:bookmarkStart w:id="126" w:name="page127"/>
    <w:bookmarkEnd w:id="126"/>
    <w:p>
      <w:pPr>
        <w:jc w:val="both"/>
        <w:ind w:left="660" w:hanging="4"/>
        <w:spacing w:after="0" w:line="243" w:lineRule="auto"/>
        <w:tabs>
          <w:tab w:leader="none" w:pos="1006" w:val="left"/>
        </w:tabs>
        <w:numPr>
          <w:ilvl w:val="0"/>
          <w:numId w:val="85"/>
        </w:numPr>
        <w:rPr>
          <w:rFonts w:ascii="Arial" w:cs="Arial" w:eastAsia="Arial" w:hAnsi="Arial"/>
          <w:sz w:val="20"/>
          <w:szCs w:val="20"/>
          <w:color w:val="auto"/>
        </w:rPr>
      </w:pPr>
      <w:r>
        <w:rPr>
          <w:rFonts w:ascii="Arial" w:cs="Arial" w:eastAsia="Arial" w:hAnsi="Arial"/>
          <w:sz w:val="20"/>
          <w:szCs w:val="20"/>
          <w:color w:val="auto"/>
        </w:rPr>
        <w:t xml:space="preserve">to the ratable payment of the Principal Debt (as used in this </w:t>
      </w:r>
      <w:r>
        <w:rPr>
          <w:rFonts w:ascii="Arial" w:cs="Arial" w:eastAsia="Arial" w:hAnsi="Arial"/>
          <w:sz w:val="20"/>
          <w:szCs w:val="20"/>
          <w:b w:val="1"/>
          <w:bCs w:val="1"/>
          <w:i w:val="1"/>
          <w:iCs w:val="1"/>
          <w:color w:val="auto"/>
        </w:rPr>
        <w:t>clause (iv)</w:t>
      </w:r>
      <w:r>
        <w:rPr>
          <w:rFonts w:ascii="Arial" w:cs="Arial" w:eastAsia="Arial" w:hAnsi="Arial"/>
          <w:sz w:val="20"/>
          <w:szCs w:val="20"/>
          <w:color w:val="auto"/>
        </w:rPr>
        <w:t>, “</w:t>
      </w:r>
      <w:r>
        <w:rPr>
          <w:rFonts w:ascii="Arial" w:cs="Arial" w:eastAsia="Arial" w:hAnsi="Arial"/>
          <w:sz w:val="20"/>
          <w:szCs w:val="20"/>
          <w:i w:val="1"/>
          <w:iCs w:val="1"/>
          <w:color w:val="auto"/>
        </w:rPr>
        <w:t>ratable payment</w:t>
      </w:r>
      <w:r>
        <w:rPr>
          <w:rFonts w:ascii="Arial" w:cs="Arial" w:eastAsia="Arial" w:hAnsi="Arial"/>
          <w:sz w:val="20"/>
          <w:szCs w:val="20"/>
          <w:color w:val="auto"/>
        </w:rPr>
        <w:t>” means for any Lender, on any date of determination, that proportion which the Principal Debt owed to such Lender bears to the Principal Debt owed to all Lenders); (v) to Administrative Agent for the account of the applicable L/C Issuer, to Cash Collateralize that portion of L/C Exposure comprised of the aggregate undrawn amount of L/Cs; (vi) to the payment of the remaining Obligation in the order and manner Required Lenders deem appropriate; and (vii) the balance, if any, after all of the Obligation has been indefeasibly paid in full, to Borrower or as otherwise required by Law.</w:t>
      </w:r>
    </w:p>
    <w:p>
      <w:pPr>
        <w:spacing w:after="0" w:line="196"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b w:val="1"/>
          <w:bCs w:val="1"/>
          <w:i w:val="1"/>
          <w:iCs w:val="1"/>
          <w:color w:val="auto"/>
        </w:rPr>
        <w:t>Section 2.3(c)</w:t>
      </w:r>
      <w:r>
        <w:rPr>
          <w:rFonts w:ascii="Arial" w:cs="Arial" w:eastAsia="Arial" w:hAnsi="Arial"/>
          <w:sz w:val="20"/>
          <w:szCs w:val="20"/>
          <w:color w:val="auto"/>
        </w:rPr>
        <w:t xml:space="preserve">, amounts used to Cash Collateralize the aggregate undrawn amount of L/Cs pursuant to </w:t>
      </w:r>
      <w:r>
        <w:rPr>
          <w:rFonts w:ascii="Arial" w:cs="Arial" w:eastAsia="Arial" w:hAnsi="Arial"/>
          <w:sz w:val="20"/>
          <w:szCs w:val="20"/>
          <w:b w:val="1"/>
          <w:bCs w:val="1"/>
          <w:i w:val="1"/>
          <w:iCs w:val="1"/>
          <w:color w:val="auto"/>
        </w:rPr>
        <w:t>clause (v)</w:t>
      </w:r>
      <w:r>
        <w:rPr>
          <w:rFonts w:ascii="Arial" w:cs="Arial" w:eastAsia="Arial" w:hAnsi="Arial"/>
          <w:sz w:val="20"/>
          <w:szCs w:val="20"/>
          <w:color w:val="auto"/>
        </w:rPr>
        <w:t xml:space="preserve"> above shall be applied to satisfy drawings under such L/Cs as they occur. If any amount remains on deposit as Cash Collateral after all L/Cs have either been fully drawn or expired, such remaining amount shall be applied to the other Obligation, if any, in the order set forth above.</w:t>
      </w:r>
    </w:p>
    <w:p>
      <w:pPr>
        <w:spacing w:after="0" w:line="192" w:lineRule="exact"/>
        <w:rPr>
          <w:sz w:val="20"/>
          <w:szCs w:val="20"/>
          <w:color w:val="auto"/>
        </w:rPr>
      </w:pPr>
    </w:p>
    <w:p>
      <w:pPr>
        <w:jc w:val="both"/>
        <w:ind w:left="660" w:firstLine="648"/>
        <w:spacing w:after="0" w:line="243" w:lineRule="auto"/>
        <w:rPr>
          <w:sz w:val="20"/>
          <w:szCs w:val="20"/>
          <w:color w:val="auto"/>
        </w:rPr>
      </w:pPr>
      <w:r>
        <w:rPr>
          <w:rFonts w:ascii="Arial" w:cs="Arial" w:eastAsia="Arial" w:hAnsi="Arial"/>
          <w:sz w:val="20"/>
          <w:szCs w:val="20"/>
          <w:color w:val="auto"/>
        </w:rPr>
        <w:t xml:space="preserve">Subject to the provisions of </w:t>
      </w:r>
      <w:r>
        <w:rPr>
          <w:rFonts w:ascii="Arial" w:cs="Arial" w:eastAsia="Arial" w:hAnsi="Arial"/>
          <w:sz w:val="20"/>
          <w:szCs w:val="20"/>
          <w:b w:val="1"/>
          <w:bCs w:val="1"/>
          <w:i w:val="1"/>
          <w:iCs w:val="1"/>
          <w:color w:val="auto"/>
        </w:rPr>
        <w:t>Section 14</w:t>
      </w:r>
      <w:r>
        <w:rPr>
          <w:rFonts w:ascii="Arial" w:cs="Arial" w:eastAsia="Arial" w:hAnsi="Arial"/>
          <w:sz w:val="20"/>
          <w:szCs w:val="20"/>
          <w:color w:val="auto"/>
        </w:rPr>
        <w:t xml:space="preserve"> and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Administrative Agent shall not in any event be bound to inquire into or to determine the validity, scope, or priority of any interest or entitlement of any Lender and may suspend all payments or seek appropriate relief (including, without limitation, instructions from Required Lenders, Required Revolver Lenders or Required Term Loan Lenders or an action in the nature of interpleader) in the event of any doubt or dispute as to any apportionment or distribution contemplated hereby, Administrative Agent shall promptly distribute such amounts to each Lender in accordance with the Agreement and the related Loan Papers.</w:t>
      </w:r>
    </w:p>
    <w:p>
      <w:pPr>
        <w:spacing w:after="0" w:line="200" w:lineRule="exact"/>
        <w:rPr>
          <w:sz w:val="20"/>
          <w:szCs w:val="20"/>
          <w:color w:val="auto"/>
        </w:rPr>
      </w:pPr>
    </w:p>
    <w:p>
      <w:pPr>
        <w:spacing w:after="0" w:line="21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16"/>
          <w:szCs w:val="16"/>
          <w:u w:val="single" w:color="auto"/>
          <w:color w:val="auto"/>
        </w:rPr>
        <w:t>Payments Generally</w:t>
      </w:r>
      <w:r>
        <w:rPr>
          <w:rFonts w:ascii="Arial" w:cs="Arial" w:eastAsia="Arial" w:hAnsi="Arial"/>
          <w:sz w:val="16"/>
          <w:szCs w:val="16"/>
          <w:color w:val="auto"/>
        </w:rPr>
        <w:t>.</w:t>
      </w:r>
    </w:p>
    <w:p>
      <w:pPr>
        <w:spacing w:after="0" w:line="216" w:lineRule="exact"/>
        <w:rPr>
          <w:sz w:val="20"/>
          <w:szCs w:val="20"/>
          <w:color w:val="auto"/>
        </w:rPr>
      </w:pPr>
    </w:p>
    <w:p>
      <w:pPr>
        <w:jc w:val="both"/>
        <w:ind w:left="660" w:firstLine="645"/>
        <w:spacing w:after="0" w:line="328" w:lineRule="auto"/>
        <w:tabs>
          <w:tab w:leader="none" w:pos="1726" w:val="left"/>
        </w:tabs>
        <w:numPr>
          <w:ilvl w:val="0"/>
          <w:numId w:val="86"/>
        </w:numPr>
        <w:rPr>
          <w:rFonts w:ascii="Arial" w:cs="Arial" w:eastAsia="Arial" w:hAnsi="Arial"/>
          <w:sz w:val="16"/>
          <w:szCs w:val="16"/>
          <w:color w:val="auto"/>
        </w:rPr>
      </w:pPr>
      <w:r>
        <w:rPr>
          <w:rFonts w:ascii="Arial" w:cs="Arial" w:eastAsia="Arial" w:hAnsi="Arial"/>
          <w:sz w:val="16"/>
          <w:szCs w:val="16"/>
          <w:b w:val="1"/>
          <w:bCs w:val="1"/>
          <w:i w:val="1"/>
          <w:iCs w:val="1"/>
          <w:color w:val="auto"/>
        </w:rPr>
        <w:t>Failure to Satisfy Conditions Precedent</w:t>
      </w:r>
      <w:r>
        <w:rPr>
          <w:rFonts w:ascii="Arial" w:cs="Arial" w:eastAsia="Arial" w:hAnsi="Arial"/>
          <w:sz w:val="16"/>
          <w:szCs w:val="16"/>
          <w:color w:val="auto"/>
        </w:rPr>
        <w:t>. If any Lender makes available to Administrative Agent funds for any Loan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made by such Lender as provided in the foregoing provisions of </w:t>
      </w:r>
      <w:r>
        <w:rPr>
          <w:rFonts w:ascii="Arial" w:cs="Arial" w:eastAsia="Arial" w:hAnsi="Arial"/>
          <w:sz w:val="16"/>
          <w:szCs w:val="16"/>
          <w:b w:val="1"/>
          <w:bCs w:val="1"/>
          <w:i w:val="1"/>
          <w:iCs w:val="1"/>
          <w:color w:val="auto"/>
        </w:rPr>
        <w:t>Sections 2</w:t>
      </w:r>
      <w:r>
        <w:rPr>
          <w:rFonts w:ascii="Arial" w:cs="Arial" w:eastAsia="Arial" w:hAnsi="Arial"/>
          <w:sz w:val="16"/>
          <w:szCs w:val="16"/>
          <w:color w:val="auto"/>
        </w:rPr>
        <w:t xml:space="preserve"> or </w:t>
      </w:r>
      <w:r>
        <w:rPr>
          <w:rFonts w:ascii="Arial" w:cs="Arial" w:eastAsia="Arial" w:hAnsi="Arial"/>
          <w:sz w:val="16"/>
          <w:szCs w:val="16"/>
          <w:b w:val="1"/>
          <w:bCs w:val="1"/>
          <w:i w:val="1"/>
          <w:iCs w:val="1"/>
          <w:color w:val="auto"/>
        </w:rPr>
        <w:t>3</w:t>
      </w:r>
      <w:r>
        <w:rPr>
          <w:rFonts w:ascii="Arial" w:cs="Arial" w:eastAsia="Arial" w:hAnsi="Arial"/>
          <w:sz w:val="16"/>
          <w:szCs w:val="16"/>
          <w:color w:val="auto"/>
        </w:rPr>
        <w:t xml:space="preserve">, and such funds are not made available to Borrower by Administrative Agent because the conditions set forth in </w:t>
      </w:r>
      <w:r>
        <w:rPr>
          <w:rFonts w:ascii="Arial" w:cs="Arial" w:eastAsia="Arial" w:hAnsi="Arial"/>
          <w:sz w:val="16"/>
          <w:szCs w:val="16"/>
          <w:b w:val="1"/>
          <w:bCs w:val="1"/>
          <w:i w:val="1"/>
          <w:iCs w:val="1"/>
          <w:color w:val="auto"/>
        </w:rPr>
        <w:t>Section 7</w:t>
      </w:r>
      <w:r>
        <w:rPr>
          <w:rFonts w:ascii="Arial" w:cs="Arial" w:eastAsia="Arial" w:hAnsi="Arial"/>
          <w:sz w:val="16"/>
          <w:szCs w:val="16"/>
          <w:color w:val="auto"/>
        </w:rPr>
        <w:t xml:space="preserve"> are not satisfied or waived in accordance with the terms hereof, Administrative Agent shall return such funds (in like funds as received from such Lender) to such Lender, without interest.</w:t>
      </w:r>
    </w:p>
    <w:p>
      <w:pPr>
        <w:spacing w:after="0" w:line="128" w:lineRule="exact"/>
        <w:rPr>
          <w:rFonts w:ascii="Arial" w:cs="Arial" w:eastAsia="Arial" w:hAnsi="Arial"/>
          <w:sz w:val="16"/>
          <w:szCs w:val="16"/>
          <w:color w:val="auto"/>
        </w:rPr>
      </w:pPr>
    </w:p>
    <w:p>
      <w:pPr>
        <w:jc w:val="both"/>
        <w:ind w:left="660" w:firstLine="645"/>
        <w:spacing w:after="0" w:line="250" w:lineRule="auto"/>
        <w:tabs>
          <w:tab w:leader="none" w:pos="1858" w:val="left"/>
        </w:tabs>
        <w:numPr>
          <w:ilvl w:val="0"/>
          <w:numId w:val="86"/>
        </w:numPr>
        <w:rPr>
          <w:rFonts w:ascii="Arial" w:cs="Arial" w:eastAsia="Arial" w:hAnsi="Arial"/>
          <w:sz w:val="20"/>
          <w:szCs w:val="20"/>
          <w:color w:val="auto"/>
        </w:rPr>
      </w:pPr>
      <w:r>
        <w:rPr>
          <w:rFonts w:ascii="Arial" w:cs="Arial" w:eastAsia="Arial" w:hAnsi="Arial"/>
          <w:sz w:val="20"/>
          <w:szCs w:val="20"/>
          <w:b w:val="1"/>
          <w:bCs w:val="1"/>
          <w:i w:val="1"/>
          <w:iCs w:val="1"/>
          <w:color w:val="auto"/>
        </w:rPr>
        <w:t>Funding Source</w:t>
      </w:r>
      <w:r>
        <w:rPr>
          <w:rFonts w:ascii="Arial" w:cs="Arial" w:eastAsia="Arial" w:hAnsi="Arial"/>
          <w:sz w:val="20"/>
          <w:szCs w:val="20"/>
          <w:color w:val="auto"/>
        </w:rPr>
        <w:t>. Nothing herein shall be deemed to obligate any Lender to obtain the funds for any Loan in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particular place or manner or to constitute a representation by any Lender that it has obtained or will obtain the funds for any Loan in any particular place or manner.</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3.12 </w:t>
      </w:r>
      <w:r>
        <w:rPr>
          <w:rFonts w:ascii="Arial" w:cs="Arial" w:eastAsia="Arial" w:hAnsi="Arial"/>
          <w:sz w:val="19"/>
          <w:szCs w:val="19"/>
          <w:u w:val="single" w:color="auto"/>
          <w:color w:val="auto"/>
        </w:rPr>
        <w:t>Sharing of Payments, Etc.</w:t>
      </w:r>
      <w:r>
        <w:rPr>
          <w:rFonts w:ascii="Arial" w:cs="Arial" w:eastAsia="Arial" w:hAnsi="Arial"/>
          <w:sz w:val="19"/>
          <w:szCs w:val="19"/>
          <w:color w:val="auto"/>
        </w:rPr>
        <w:t xml:space="preserve"> If any Lender (a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Benefitted Lender</w:t>
      </w:r>
      <w:r>
        <w:rPr>
          <w:rFonts w:ascii="Arial" w:cs="Arial" w:eastAsia="Arial" w:hAnsi="Arial"/>
          <w:sz w:val="19"/>
          <w:szCs w:val="19"/>
          <w:i w:val="1"/>
          <w:iCs w:val="1"/>
          <w:color w:val="auto"/>
        </w:rPr>
        <w:t>”</w:t>
      </w:r>
      <w:r>
        <w:rPr>
          <w:rFonts w:ascii="Arial" w:cs="Arial" w:eastAsia="Arial" w:hAnsi="Arial"/>
          <w:sz w:val="19"/>
          <w:szCs w:val="19"/>
          <w:color w:val="auto"/>
        </w:rPr>
        <w:t xml:space="preserve">) shall at any time receive any payment of all or part of the Loans owing to it, or interest thereon, or receive any Collateral in respect thereof (whether voluntarily or involuntarily, by set-off, or otherwise), in a greater proportion than any such payment to or Collateral received by any other Lender, if any, in respect of such other Lender’s Loans owing to it, or interest thereon, such Benefitted Lender shall purchase for cash from the other Lenders a participating interest in such portion of each such other Lender’s Loans owing to it, or shall provide such other Lenders with the benefits of any such Collateral, or the proceeds thereof, as shall be necessary to cause such Benefitted Lender to share the excess payment or benefits of such Collateral or proceeds ratably with each Lender; </w:t>
      </w:r>
      <w:r>
        <w:rPr>
          <w:rFonts w:ascii="Arial" w:cs="Arial" w:eastAsia="Arial" w:hAnsi="Arial"/>
          <w:sz w:val="19"/>
          <w:szCs w:val="19"/>
          <w:i w:val="1"/>
          <w:iCs w:val="1"/>
          <w:color w:val="auto"/>
        </w:rPr>
        <w:t>provided, however, that</w:t>
      </w:r>
      <w:r>
        <w:rPr>
          <w:rFonts w:ascii="Arial" w:cs="Arial" w:eastAsia="Arial" w:hAnsi="Arial"/>
          <w:sz w:val="19"/>
          <w:szCs w:val="19"/>
          <w:color w:val="auto"/>
        </w:rPr>
        <w:t xml:space="preserve"> (i) if all or any portion of such excess payment or benefits is thereafter recovered from such Benefitted Lender, such purchase shall be rescinded, and the purchase price and benefits returned, to the extent of such recovery, but without interest, and (ii) the provisions of this Section shall not be construed to apply to (x) any payment made by or on behalf of Borrower pursuant to and in accordance with the express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1420"/>
          </w:cols>
          <w:pgMar w:left="240" w:top="582" w:right="239" w:bottom="1440" w:gutter="0" w:footer="0" w:header="0"/>
        </w:sectPr>
      </w:pPr>
    </w:p>
    <w:bookmarkStart w:id="127" w:name="page128"/>
    <w:bookmarkEnd w:id="127"/>
    <w:p>
      <w:pPr>
        <w:jc w:val="both"/>
        <w:spacing w:after="0" w:line="243" w:lineRule="auto"/>
        <w:rPr>
          <w:sz w:val="20"/>
          <w:szCs w:val="20"/>
          <w:color w:val="auto"/>
        </w:rPr>
      </w:pPr>
      <w:r>
        <w:rPr>
          <w:rFonts w:ascii="Arial" w:cs="Arial" w:eastAsia="Arial" w:hAnsi="Arial"/>
          <w:sz w:val="20"/>
          <w:szCs w:val="20"/>
          <w:color w:val="auto"/>
        </w:rPr>
        <w:t xml:space="preserve">terms of this Agreement (including the application of funds arising from the existence of a Defaulting Lender), (y) the application of Cash Collateral provided for in </w:t>
      </w:r>
      <w:r>
        <w:rPr>
          <w:rFonts w:ascii="Arial" w:cs="Arial" w:eastAsia="Arial" w:hAnsi="Arial"/>
          <w:sz w:val="20"/>
          <w:szCs w:val="20"/>
          <w:b w:val="1"/>
          <w:bCs w:val="1"/>
          <w:i w:val="1"/>
          <w:iCs w:val="1"/>
          <w:color w:val="auto"/>
        </w:rPr>
        <w:t>Section 3.14</w:t>
      </w:r>
      <w:r>
        <w:rPr>
          <w:rFonts w:ascii="Arial" w:cs="Arial" w:eastAsia="Arial" w:hAnsi="Arial"/>
          <w:sz w:val="20"/>
          <w:szCs w:val="20"/>
          <w:color w:val="auto"/>
        </w:rPr>
        <w:t xml:space="preserve"> or (z) any payment obtained by a Revolver Lender as consideration for the assignment of or sale of a participation in any of its Loans or subparticipations in L/C Exposure or Swing Line Loans to any assignee or participant, other than to Borrower or any Subsidiary thereof (as to which the provisions of this Section shall apply). Borrower agrees that any Lender so purchasing a participation from a Lender pursuant to this </w:t>
      </w:r>
      <w:r>
        <w:rPr>
          <w:rFonts w:ascii="Arial" w:cs="Arial" w:eastAsia="Arial" w:hAnsi="Arial"/>
          <w:sz w:val="20"/>
          <w:szCs w:val="20"/>
          <w:b w:val="1"/>
          <w:bCs w:val="1"/>
          <w:i w:val="1"/>
          <w:iCs w:val="1"/>
          <w:color w:val="auto"/>
        </w:rPr>
        <w:t>Section 3.12</w:t>
      </w:r>
      <w:r>
        <w:rPr>
          <w:rFonts w:ascii="Arial" w:cs="Arial" w:eastAsia="Arial" w:hAnsi="Arial"/>
          <w:sz w:val="20"/>
          <w:szCs w:val="20"/>
          <w:color w:val="auto"/>
        </w:rPr>
        <w:t xml:space="preserve"> may, to the fullest extent permitted by Law, exercise all of its Rights of payment (including the Right of setoff) with respect to such participation as fully as if such Person were the direct creditor of Borrower in the amount of such participation.</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3.13 </w:t>
      </w:r>
      <w:r>
        <w:rPr>
          <w:rFonts w:ascii="Arial" w:cs="Arial" w:eastAsia="Arial" w:hAnsi="Arial"/>
          <w:sz w:val="20"/>
          <w:szCs w:val="20"/>
          <w:u w:val="single" w:color="auto"/>
          <w:color w:val="auto"/>
        </w:rPr>
        <w:t>Booking Loans</w:t>
      </w:r>
      <w:r>
        <w:rPr>
          <w:rFonts w:ascii="Arial" w:cs="Arial" w:eastAsia="Arial" w:hAnsi="Arial"/>
          <w:sz w:val="20"/>
          <w:szCs w:val="20"/>
          <w:color w:val="auto"/>
        </w:rPr>
        <w:t xml:space="preserve">. To the extent permitted by Law, any Lender may make, carry, or transfer its Loans at, to, or for the account of any of its branch offices or the office of any of its Affiliates. However, no Affiliate is entitled to receive any greater payment under </w:t>
      </w:r>
      <w:r>
        <w:rPr>
          <w:rFonts w:ascii="Arial" w:cs="Arial" w:eastAsia="Arial" w:hAnsi="Arial"/>
          <w:sz w:val="20"/>
          <w:szCs w:val="20"/>
          <w:b w:val="1"/>
          <w:bCs w:val="1"/>
          <w:i w:val="1"/>
          <w:iCs w:val="1"/>
          <w:color w:val="auto"/>
        </w:rPr>
        <w:t>Section 4.3</w:t>
      </w:r>
      <w:r>
        <w:rPr>
          <w:rFonts w:ascii="Arial" w:cs="Arial" w:eastAsia="Arial" w:hAnsi="Arial"/>
          <w:sz w:val="20"/>
          <w:szCs w:val="20"/>
          <w:color w:val="auto"/>
        </w:rPr>
        <w:t xml:space="preserve"> than the transferor Lender would have been entitled to receive with respect to those Loans.</w:t>
      </w:r>
    </w:p>
    <w:p>
      <w:pPr>
        <w:spacing w:after="0" w:line="200" w:lineRule="exact"/>
        <w:rPr>
          <w:sz w:val="20"/>
          <w:szCs w:val="20"/>
          <w:color w:val="auto"/>
        </w:rPr>
      </w:pPr>
    </w:p>
    <w:p>
      <w:pPr>
        <w:spacing w:after="0" w:line="20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3.14</w:t>
      </w:r>
      <w:r>
        <w:rPr>
          <w:sz w:val="20"/>
          <w:szCs w:val="20"/>
          <w:color w:val="auto"/>
        </w:rPr>
        <w:tab/>
      </w:r>
      <w:r>
        <w:rPr>
          <w:rFonts w:ascii="Arial" w:cs="Arial" w:eastAsia="Arial" w:hAnsi="Arial"/>
          <w:sz w:val="16"/>
          <w:szCs w:val="16"/>
          <w:u w:val="single" w:color="auto"/>
          <w:color w:val="auto"/>
        </w:rPr>
        <w:t>Cash Collateral</w:t>
      </w:r>
      <w:r>
        <w:rPr>
          <w:rFonts w:ascii="Arial" w:cs="Arial" w:eastAsia="Arial" w:hAnsi="Arial"/>
          <w:sz w:val="16"/>
          <w:szCs w:val="16"/>
          <w:color w:val="auto"/>
        </w:rPr>
        <w:t>.</w:t>
      </w:r>
    </w:p>
    <w:p>
      <w:pPr>
        <w:spacing w:after="0" w:line="216" w:lineRule="exact"/>
        <w:rPr>
          <w:sz w:val="20"/>
          <w:szCs w:val="20"/>
          <w:color w:val="auto"/>
        </w:rPr>
      </w:pPr>
    </w:p>
    <w:p>
      <w:pPr>
        <w:jc w:val="both"/>
        <w:ind w:left="660" w:firstLine="645"/>
        <w:spacing w:after="0" w:line="270" w:lineRule="auto"/>
        <w:tabs>
          <w:tab w:leader="none" w:pos="178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Certain Credit Support Events</w:t>
      </w:r>
      <w:r>
        <w:rPr>
          <w:rFonts w:ascii="Arial" w:cs="Arial" w:eastAsia="Arial" w:hAnsi="Arial"/>
          <w:sz w:val="18"/>
          <w:szCs w:val="18"/>
          <w:color w:val="auto"/>
        </w:rPr>
        <w:t>. Upon the request of Administrative Agent (i) if the L/C Issuer has honored any full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partial drawing request under any L/C and such drawing has resulted in an L/C Borrowing, or (ii) if, as of the L/C Expiration Date, any L/C Obligation for any reason remains outstanding, Borrower shall, in each case, immediately Cash Collateralize the then Outstanding Amount of all L/C Obligations. At any time that there shall exist a Defaulting Lender, immediately upon the request of Administrative Agent, the L/C Issuer, or the Swing Line Lender, Borrower shall deliver to Administrative Agent Cash Collateral in an amount sufficient to cover all Fronting Exposure (after giving effect to </w:t>
      </w:r>
      <w:r>
        <w:rPr>
          <w:rFonts w:ascii="Arial" w:cs="Arial" w:eastAsia="Arial" w:hAnsi="Arial"/>
          <w:sz w:val="18"/>
          <w:szCs w:val="18"/>
          <w:b w:val="1"/>
          <w:bCs w:val="1"/>
          <w:i w:val="1"/>
          <w:iCs w:val="1"/>
          <w:color w:val="auto"/>
        </w:rPr>
        <w:t>Section 3.15(a)(iv)</w:t>
      </w:r>
      <w:r>
        <w:rPr>
          <w:rFonts w:ascii="Arial" w:cs="Arial" w:eastAsia="Arial" w:hAnsi="Arial"/>
          <w:sz w:val="18"/>
          <w:szCs w:val="18"/>
          <w:color w:val="auto"/>
        </w:rPr>
        <w:t xml:space="preserve"> and any Cash Collateral provided by the Defaulting Lender). If at any time Administrative Agent determines that any funds held as Cash Collateral are subject to any right or claim of any Person other than Administrative Agent or that the total amount of such funds is less than the aggregate Outstanding Amount of all L/C Exposure, Borrower will, forthwith upon demand by Administrative Agent, pay to Administrative Agent, as additional funds to be deposited as Cash Collateral, an amount equal to the excess of (x) such aggregate Outstanding Amount over (y) the total amount of funds, if any, then held as Cash Collateral that Administrative Agent determines to be free and clear of any such right and claim. Upon the drawing of any L/C for which funds are on deposit as Cash Collateral, such funds shall be applied, to the extent permitted under applicable Laws, to reimburse the applicable L/C Issuer.</w:t>
      </w:r>
    </w:p>
    <w:p>
      <w:pPr>
        <w:spacing w:after="0" w:line="173" w:lineRule="exact"/>
        <w:rPr>
          <w:rFonts w:ascii="Arial" w:cs="Arial" w:eastAsia="Arial" w:hAnsi="Arial"/>
          <w:sz w:val="18"/>
          <w:szCs w:val="18"/>
          <w:color w:val="auto"/>
        </w:rPr>
      </w:pPr>
    </w:p>
    <w:p>
      <w:pPr>
        <w:jc w:val="both"/>
        <w:ind w:left="660" w:firstLine="645"/>
        <w:spacing w:after="0" w:line="256" w:lineRule="auto"/>
        <w:tabs>
          <w:tab w:leader="none" w:pos="1764" w:val="left"/>
        </w:tabs>
        <w:numPr>
          <w:ilvl w:val="0"/>
          <w:numId w:val="87"/>
        </w:numPr>
        <w:rPr>
          <w:rFonts w:ascii="Arial" w:cs="Arial" w:eastAsia="Arial" w:hAnsi="Arial"/>
          <w:sz w:val="19"/>
          <w:szCs w:val="19"/>
          <w:color w:val="auto"/>
        </w:rPr>
      </w:pPr>
      <w:r>
        <w:rPr>
          <w:rFonts w:ascii="Arial" w:cs="Arial" w:eastAsia="Arial" w:hAnsi="Arial"/>
          <w:sz w:val="19"/>
          <w:szCs w:val="19"/>
          <w:b w:val="1"/>
          <w:bCs w:val="1"/>
          <w:i w:val="1"/>
          <w:iCs w:val="1"/>
          <w:color w:val="auto"/>
        </w:rPr>
        <w:t>Grant of Security Interest</w:t>
      </w:r>
      <w:r>
        <w:rPr>
          <w:rFonts w:ascii="Arial" w:cs="Arial" w:eastAsia="Arial" w:hAnsi="Arial"/>
          <w:sz w:val="19"/>
          <w:szCs w:val="19"/>
          <w:color w:val="auto"/>
        </w:rPr>
        <w:t>. All Cash Collateral (other than credit support not constituting funds subject to deposit) shall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be maintained in blocked, non-interest bearing deposit accounts at Bank of America. Borrower, and to the extent provided by any Lender, such Lender, hereby grants to (and subjects to the control of) Administrative Agent, for the benefit of Administrative Agent, the L/C Issuer, and the Lenders (including the Swing Line Lender),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9"/>
          <w:szCs w:val="19"/>
          <w:b w:val="1"/>
          <w:bCs w:val="1"/>
          <w:i w:val="1"/>
          <w:iCs w:val="1"/>
          <w:color w:val="auto"/>
        </w:rPr>
        <w:t>Section 3.14(c)</w:t>
      </w:r>
      <w:r>
        <w:rPr>
          <w:rFonts w:ascii="Arial" w:cs="Arial" w:eastAsia="Arial" w:hAnsi="Arial"/>
          <w:sz w:val="19"/>
          <w:szCs w:val="19"/>
          <w:color w:val="auto"/>
        </w:rPr>
        <w:t>. If at any time Administrative Agent determines that Cash Collateral is subject to any right or claim of any Person other than Administrative Agent as herein provided, or that the total amount of such Cash Collateral is less than the applicable Fronting Exposure and other obligations secured thereby, Borrower or the relevant Defaulting Lender will, promptly upon demand by Administrative Agent, pay or provide to Administrative Agent additional Cash Collateral in an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1420"/>
          </w:cols>
          <w:pgMar w:left="240" w:top="798" w:right="239" w:bottom="1440" w:gutter="0" w:footer="0" w:header="0"/>
        </w:sectPr>
      </w:pPr>
    </w:p>
    <w:bookmarkStart w:id="128" w:name="page129"/>
    <w:bookmarkEnd w:id="128"/>
    <w:p>
      <w:pPr>
        <w:spacing w:after="0" w:line="260" w:lineRule="auto"/>
        <w:rPr>
          <w:sz w:val="20"/>
          <w:szCs w:val="20"/>
          <w:color w:val="auto"/>
        </w:rPr>
      </w:pPr>
      <w:r>
        <w:rPr>
          <w:rFonts w:ascii="Arial" w:cs="Arial" w:eastAsia="Arial" w:hAnsi="Arial"/>
          <w:sz w:val="20"/>
          <w:szCs w:val="20"/>
          <w:color w:val="auto"/>
        </w:rPr>
        <w:t>amount sufficient to eliminate such deficiency or in the amount of such third party rights or claims to which the Cash Collateral is subject, as applicable.</w:t>
      </w:r>
    </w:p>
    <w:p>
      <w:pPr>
        <w:spacing w:after="0" w:line="177" w:lineRule="exact"/>
        <w:rPr>
          <w:sz w:val="20"/>
          <w:szCs w:val="20"/>
          <w:color w:val="auto"/>
        </w:rPr>
      </w:pPr>
    </w:p>
    <w:p>
      <w:pPr>
        <w:jc w:val="both"/>
        <w:ind w:firstLine="645"/>
        <w:spacing w:after="0" w:line="278" w:lineRule="auto"/>
        <w:tabs>
          <w:tab w:leader="none" w:pos="1106"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Application</w:t>
      </w:r>
      <w:r>
        <w:rPr>
          <w:rFonts w:ascii="Arial" w:cs="Arial" w:eastAsia="Arial" w:hAnsi="Arial"/>
          <w:sz w:val="18"/>
          <w:szCs w:val="18"/>
          <w:color w:val="auto"/>
        </w:rPr>
        <w:t>. Notwithstanding anything to the contrary contained in this Agreement, Cash Collateral provided under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this </w:t>
      </w:r>
      <w:r>
        <w:rPr>
          <w:rFonts w:ascii="Arial" w:cs="Arial" w:eastAsia="Arial" w:hAnsi="Arial"/>
          <w:sz w:val="18"/>
          <w:szCs w:val="18"/>
          <w:b w:val="1"/>
          <w:bCs w:val="1"/>
          <w:i w:val="1"/>
          <w:iCs w:val="1"/>
          <w:color w:val="auto"/>
        </w:rPr>
        <w:t>Section 3.14</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Section 2.3</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Section 3.2</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Section 3.15</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Section 13</w:t>
      </w:r>
      <w:r>
        <w:rPr>
          <w:rFonts w:ascii="Arial" w:cs="Arial" w:eastAsia="Arial" w:hAnsi="Arial"/>
          <w:sz w:val="18"/>
          <w:szCs w:val="18"/>
          <w:color w:val="auto"/>
        </w:rPr>
        <w:t xml:space="preserve"> in respect of L/C or Swing Line Loans shall be held and applied to the satisfaction of the specific L/C Obligations, Swing 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165" w:lineRule="exact"/>
        <w:rPr>
          <w:rFonts w:ascii="Arial" w:cs="Arial" w:eastAsia="Arial" w:hAnsi="Arial"/>
          <w:sz w:val="18"/>
          <w:szCs w:val="18"/>
          <w:color w:val="auto"/>
        </w:rPr>
      </w:pPr>
    </w:p>
    <w:p>
      <w:pPr>
        <w:jc w:val="both"/>
        <w:ind w:firstLine="645"/>
        <w:spacing w:after="0" w:line="243" w:lineRule="auto"/>
        <w:tabs>
          <w:tab w:leader="none" w:pos="1158" w:val="left"/>
        </w:tabs>
        <w:numPr>
          <w:ilvl w:val="0"/>
          <w:numId w:val="88"/>
        </w:numPr>
        <w:rPr>
          <w:rFonts w:ascii="Arial" w:cs="Arial" w:eastAsia="Arial" w:hAnsi="Arial"/>
          <w:sz w:val="20"/>
          <w:szCs w:val="20"/>
          <w:color w:val="auto"/>
        </w:rPr>
      </w:pPr>
      <w:r>
        <w:rPr>
          <w:rFonts w:ascii="Arial" w:cs="Arial" w:eastAsia="Arial" w:hAnsi="Arial"/>
          <w:sz w:val="20"/>
          <w:szCs w:val="20"/>
          <w:b w:val="1"/>
          <w:bCs w:val="1"/>
          <w:i w:val="1"/>
          <w:iCs w:val="1"/>
          <w:color w:val="auto"/>
        </w:rPr>
        <w:t>Release</w:t>
      </w:r>
      <w:r>
        <w:rPr>
          <w:rFonts w:ascii="Arial" w:cs="Arial" w:eastAsia="Arial" w:hAnsi="Arial"/>
          <w:sz w:val="20"/>
          <w:szCs w:val="20"/>
          <w:color w:val="auto"/>
        </w:rPr>
        <w:t>. Cash Collateral (or the appropriate portion thereof) provided to reduce Fronting Exposure or to secure other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20"/>
          <w:szCs w:val="20"/>
          <w:b w:val="1"/>
          <w:bCs w:val="1"/>
          <w:i w:val="1"/>
          <w:iCs w:val="1"/>
          <w:color w:val="auto"/>
        </w:rPr>
        <w:t>Section 15.11(b)(vi)</w:t>
      </w:r>
      <w:r>
        <w:rPr>
          <w:rFonts w:ascii="Arial" w:cs="Arial" w:eastAsia="Arial" w:hAnsi="Arial"/>
          <w:sz w:val="20"/>
          <w:szCs w:val="20"/>
          <w:color w:val="auto"/>
        </w:rPr>
        <w:t xml:space="preserve">)) or (ii) Administrative Agent’s and the L/C Issuers’ good faith determination that there exists excess Cash Collateral;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the Person providing Cash Collateral and the L/C Issuer or Swing Line Lender, as applicable, may agree that Cash Collateral shall not be released but instead held to support future anticipated Fronting Exposure or other obligations.</w:t>
      </w:r>
    </w:p>
    <w:p>
      <w:pPr>
        <w:spacing w:after="0" w:line="200" w:lineRule="exact"/>
        <w:rPr>
          <w:sz w:val="20"/>
          <w:szCs w:val="20"/>
          <w:color w:val="auto"/>
        </w:rPr>
      </w:pPr>
    </w:p>
    <w:p>
      <w:pPr>
        <w:spacing w:after="0" w:line="209"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3.15</w:t>
      </w:r>
      <w:r>
        <w:rPr>
          <w:sz w:val="20"/>
          <w:szCs w:val="20"/>
          <w:color w:val="auto"/>
        </w:rPr>
        <w:tab/>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216" w:lineRule="exact"/>
        <w:rPr>
          <w:sz w:val="20"/>
          <w:szCs w:val="20"/>
          <w:color w:val="auto"/>
        </w:rPr>
      </w:pPr>
    </w:p>
    <w:p>
      <w:pPr>
        <w:ind w:firstLine="645"/>
        <w:spacing w:after="0" w:line="316" w:lineRule="auto"/>
        <w:tabs>
          <w:tab w:leader="none" w:pos="1079"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 Notwithstanding anything to the contrary contained in this Agreement, if any Lender becomes a Defaulting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Lender, then, until such time as that Lender is no longer a Defaulting Lender, to the extent permitted by applicable Law:</w:t>
      </w:r>
    </w:p>
    <w:p>
      <w:pPr>
        <w:spacing w:after="0" w:line="130" w:lineRule="exact"/>
        <w:rPr>
          <w:rFonts w:ascii="Arial" w:cs="Arial" w:eastAsia="Arial" w:hAnsi="Arial"/>
          <w:sz w:val="18"/>
          <w:szCs w:val="18"/>
          <w:color w:val="auto"/>
        </w:rPr>
      </w:pPr>
    </w:p>
    <w:p>
      <w:pPr>
        <w:jc w:val="both"/>
        <w:ind w:left="640" w:firstLine="653"/>
        <w:spacing w:after="0" w:line="250" w:lineRule="auto"/>
        <w:tabs>
          <w:tab w:leader="none" w:pos="1713" w:val="left"/>
        </w:tabs>
        <w:numPr>
          <w:ilvl w:val="1"/>
          <w:numId w:val="89"/>
        </w:numPr>
        <w:rPr>
          <w:rFonts w:ascii="Arial" w:cs="Arial" w:eastAsia="Arial" w:hAnsi="Arial"/>
          <w:sz w:val="20"/>
          <w:szCs w:val="20"/>
          <w:color w:val="auto"/>
        </w:rPr>
      </w:pPr>
      <w:r>
        <w:rPr>
          <w:rFonts w:ascii="Arial" w:cs="Arial" w:eastAsia="Arial" w:hAnsi="Arial"/>
          <w:sz w:val="20"/>
          <w:szCs w:val="20"/>
          <w:b w:val="1"/>
          <w:bCs w:val="1"/>
          <w:i w:val="1"/>
          <w:iCs w:val="1"/>
          <w:color w:val="auto"/>
        </w:rPr>
        <w:t>Waivers and Amendments</w:t>
      </w:r>
      <w:r>
        <w:rPr>
          <w:rFonts w:ascii="Arial" w:cs="Arial" w:eastAsia="Arial" w:hAnsi="Arial"/>
          <w:sz w:val="20"/>
          <w:szCs w:val="20"/>
          <w:color w:val="auto"/>
        </w:rPr>
        <w:t>. That Defaulting Lender’s right to approve or disapprove any amendment, waiver,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consent with respect to this Agreement shall be restricted as set forth in </w:t>
      </w:r>
      <w:r>
        <w:rPr>
          <w:rFonts w:ascii="Arial" w:cs="Arial" w:eastAsia="Arial" w:hAnsi="Arial"/>
          <w:sz w:val="20"/>
          <w:szCs w:val="20"/>
          <w:b w:val="1"/>
          <w:bCs w:val="1"/>
          <w:i w:val="1"/>
          <w:iCs w:val="1"/>
          <w:color w:val="auto"/>
        </w:rPr>
        <w:t>Section 15.9</w:t>
      </w:r>
      <w:r>
        <w:rPr>
          <w:rFonts w:ascii="Arial" w:cs="Arial" w:eastAsia="Arial" w:hAnsi="Arial"/>
          <w:sz w:val="20"/>
          <w:szCs w:val="20"/>
          <w:color w:val="auto"/>
        </w:rPr>
        <w:t xml:space="preserve"> and in the definitions of “</w:t>
      </w:r>
      <w:r>
        <w:rPr>
          <w:rFonts w:ascii="Arial" w:cs="Arial" w:eastAsia="Arial" w:hAnsi="Arial"/>
          <w:sz w:val="20"/>
          <w:szCs w:val="20"/>
          <w:i w:val="1"/>
          <w:iCs w:val="1"/>
          <w:color w:val="auto"/>
        </w:rPr>
        <w:t>Required</w:t>
      </w:r>
      <w:r>
        <w:rPr>
          <w:rFonts w:ascii="Arial" w:cs="Arial" w:eastAsia="Arial" w:hAnsi="Arial"/>
          <w:sz w:val="20"/>
          <w:szCs w:val="20"/>
          <w:color w:val="auto"/>
        </w:rPr>
        <w:t xml:space="preserve"> </w:t>
      </w:r>
      <w:r>
        <w:rPr>
          <w:rFonts w:ascii="Arial" w:cs="Arial" w:eastAsia="Arial" w:hAnsi="Arial"/>
          <w:sz w:val="20"/>
          <w:szCs w:val="20"/>
          <w:i w:val="1"/>
          <w:iCs w:val="1"/>
          <w:color w:val="auto"/>
        </w:rPr>
        <w:t>Lenders</w:t>
      </w:r>
      <w:r>
        <w:rPr>
          <w:rFonts w:ascii="Arial" w:cs="Arial" w:eastAsia="Arial" w:hAnsi="Arial"/>
          <w:sz w:val="20"/>
          <w:szCs w:val="20"/>
          <w:color w:val="auto"/>
        </w:rPr>
        <w:t>”, “</w:t>
      </w:r>
      <w:r>
        <w:rPr>
          <w:rFonts w:ascii="Arial" w:cs="Arial" w:eastAsia="Arial" w:hAnsi="Arial"/>
          <w:sz w:val="20"/>
          <w:szCs w:val="20"/>
          <w:i w:val="1"/>
          <w:iCs w:val="1"/>
          <w:color w:val="auto"/>
        </w:rPr>
        <w:t>Required Revolver Lenders</w:t>
      </w:r>
      <w:r>
        <w:rPr>
          <w:rFonts w:ascii="Arial" w:cs="Arial" w:eastAsia="Arial" w:hAnsi="Arial"/>
          <w:sz w:val="20"/>
          <w:szCs w:val="20"/>
          <w:color w:val="auto"/>
        </w:rPr>
        <w:t>” and “</w:t>
      </w:r>
      <w:r>
        <w:rPr>
          <w:rFonts w:ascii="Arial" w:cs="Arial" w:eastAsia="Arial" w:hAnsi="Arial"/>
          <w:sz w:val="20"/>
          <w:szCs w:val="20"/>
          <w:i w:val="1"/>
          <w:iCs w:val="1"/>
          <w:color w:val="auto"/>
        </w:rPr>
        <w:t>Required Term Loan Lenders</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jc w:val="both"/>
        <w:ind w:left="640" w:firstLine="653"/>
        <w:spacing w:after="0" w:line="255" w:lineRule="auto"/>
        <w:tabs>
          <w:tab w:leader="none" w:pos="1971" w:val="left"/>
        </w:tabs>
        <w:numPr>
          <w:ilvl w:val="1"/>
          <w:numId w:val="89"/>
        </w:numPr>
        <w:rPr>
          <w:rFonts w:ascii="Arial" w:cs="Arial" w:eastAsia="Arial" w:hAnsi="Arial"/>
          <w:sz w:val="19"/>
          <w:szCs w:val="19"/>
          <w:color w:val="auto"/>
        </w:rPr>
      </w:pPr>
      <w:r>
        <w:rPr>
          <w:rFonts w:ascii="Arial" w:cs="Arial" w:eastAsia="Arial" w:hAnsi="Arial"/>
          <w:sz w:val="19"/>
          <w:szCs w:val="19"/>
          <w:b w:val="1"/>
          <w:bCs w:val="1"/>
          <w:i w:val="1"/>
          <w:iCs w:val="1"/>
          <w:color w:val="auto"/>
        </w:rPr>
        <w:t>Defaulting Lender Waterfall</w:t>
      </w:r>
      <w:r>
        <w:rPr>
          <w:rFonts w:ascii="Arial" w:cs="Arial" w:eastAsia="Arial" w:hAnsi="Arial"/>
          <w:sz w:val="19"/>
          <w:szCs w:val="19"/>
          <w:color w:val="auto"/>
        </w:rPr>
        <w:t>. Any payment of principal, interest, fees, or other amounts received by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Administrative Agent for the account of that Defaulting Lender (whether voluntary or mandatory, at maturity, pursuant to </w:t>
      </w:r>
      <w:r>
        <w:rPr>
          <w:rFonts w:ascii="Arial" w:cs="Arial" w:eastAsia="Arial" w:hAnsi="Arial"/>
          <w:sz w:val="19"/>
          <w:szCs w:val="19"/>
          <w:b w:val="1"/>
          <w:bCs w:val="1"/>
          <w:i w:val="1"/>
          <w:iCs w:val="1"/>
          <w:color w:val="auto"/>
        </w:rPr>
        <w:t xml:space="preserve">Sections 12 </w:t>
      </w:r>
      <w:r>
        <w:rPr>
          <w:rFonts w:ascii="Arial" w:cs="Arial" w:eastAsia="Arial" w:hAnsi="Arial"/>
          <w:sz w:val="19"/>
          <w:szCs w:val="19"/>
          <w:color w:val="auto"/>
        </w:rPr>
        <w:t>or</w:t>
      </w:r>
      <w:r>
        <w:rPr>
          <w:rFonts w:ascii="Arial" w:cs="Arial" w:eastAsia="Arial" w:hAnsi="Arial"/>
          <w:sz w:val="19"/>
          <w:szCs w:val="19"/>
          <w:b w:val="1"/>
          <w:bCs w:val="1"/>
          <w:i w:val="1"/>
          <w:iCs w:val="1"/>
          <w:color w:val="auto"/>
        </w:rPr>
        <w:t xml:space="preserve"> 13 </w:t>
      </w:r>
      <w:r>
        <w:rPr>
          <w:rFonts w:ascii="Arial" w:cs="Arial" w:eastAsia="Arial" w:hAnsi="Arial"/>
          <w:sz w:val="19"/>
          <w:szCs w:val="19"/>
          <w:color w:val="auto"/>
        </w:rPr>
        <w:t>or otherwise, and including any amounts made available to Administrative Agent by that Defaulting Lender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pursuant to </w:t>
      </w:r>
      <w:r>
        <w:rPr>
          <w:rFonts w:ascii="Arial" w:cs="Arial" w:eastAsia="Arial" w:hAnsi="Arial"/>
          <w:sz w:val="19"/>
          <w:szCs w:val="19"/>
          <w:b w:val="1"/>
          <w:bCs w:val="1"/>
          <w:i w:val="1"/>
          <w:iCs w:val="1"/>
          <w:color w:val="auto"/>
        </w:rPr>
        <w:t>Section 15.13</w:t>
      </w:r>
      <w:r>
        <w:rPr>
          <w:rFonts w:ascii="Arial" w:cs="Arial" w:eastAsia="Arial" w:hAnsi="Arial"/>
          <w:sz w:val="19"/>
          <w:szCs w:val="19"/>
          <w:color w:val="auto"/>
        </w:rPr>
        <w:t xml:space="preserve">), shall be applied at such time or times as may be determined by Administrative Agent as follows: </w:t>
      </w:r>
      <w:r>
        <w:rPr>
          <w:rFonts w:ascii="Arial" w:cs="Arial" w:eastAsia="Arial" w:hAnsi="Arial"/>
          <w:sz w:val="19"/>
          <w:szCs w:val="19"/>
          <w:i w:val="1"/>
          <w:iCs w:val="1"/>
          <w:color w:val="auto"/>
        </w:rPr>
        <w:t>first</w:t>
      </w:r>
      <w:r>
        <w:rPr>
          <w:rFonts w:ascii="Arial" w:cs="Arial" w:eastAsia="Arial" w:hAnsi="Arial"/>
          <w:sz w:val="19"/>
          <w:szCs w:val="19"/>
          <w:color w:val="auto"/>
        </w:rPr>
        <w:t>, to the payment of any amounts owing by that Defaulting Lender to Administrative Agent hereunder;</w:t>
      </w:r>
      <w:r>
        <w:rPr>
          <w:rFonts w:ascii="Arial" w:cs="Arial" w:eastAsia="Arial" w:hAnsi="Arial"/>
          <w:sz w:val="19"/>
          <w:szCs w:val="19"/>
          <w:i w:val="1"/>
          <w:iCs w:val="1"/>
          <w:color w:val="auto"/>
        </w:rPr>
        <w:t xml:space="preserve"> second</w:t>
      </w:r>
      <w:r>
        <w:rPr>
          <w:rFonts w:ascii="Arial" w:cs="Arial" w:eastAsia="Arial" w:hAnsi="Arial"/>
          <w:sz w:val="19"/>
          <w:szCs w:val="19"/>
          <w:color w:val="auto"/>
        </w:rPr>
        <w:t>, to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payment on a pro rata basis of any amounts owing by that Defaulting Lender to the L/C Issuer or Swing Line Lender hereunder; </w:t>
      </w:r>
      <w:r>
        <w:rPr>
          <w:rFonts w:ascii="Arial" w:cs="Arial" w:eastAsia="Arial" w:hAnsi="Arial"/>
          <w:sz w:val="19"/>
          <w:szCs w:val="19"/>
          <w:i w:val="1"/>
          <w:iCs w:val="1"/>
          <w:color w:val="auto"/>
        </w:rPr>
        <w:t>third</w:t>
      </w:r>
      <w:r>
        <w:rPr>
          <w:rFonts w:ascii="Arial" w:cs="Arial" w:eastAsia="Arial" w:hAnsi="Arial"/>
          <w:sz w:val="19"/>
          <w:szCs w:val="19"/>
          <w:color w:val="auto"/>
        </w:rPr>
        <w:t xml:space="preserve">, if so determined by Administrative Agent or requested by the L/C Issuer or Swing Line Lender, to be held as Cash Collateral for future funding obligations of that Defaulting Lender of any participation in any Swing Line Loan or L/C; </w:t>
      </w:r>
      <w:r>
        <w:rPr>
          <w:rFonts w:ascii="Arial" w:cs="Arial" w:eastAsia="Arial" w:hAnsi="Arial"/>
          <w:sz w:val="19"/>
          <w:szCs w:val="19"/>
          <w:i w:val="1"/>
          <w:iCs w:val="1"/>
          <w:color w:val="auto"/>
        </w:rPr>
        <w:t>fourth</w:t>
      </w:r>
      <w:r>
        <w:rPr>
          <w:rFonts w:ascii="Arial" w:cs="Arial" w:eastAsia="Arial" w:hAnsi="Arial"/>
          <w:sz w:val="19"/>
          <w:szCs w:val="19"/>
          <w:color w:val="auto"/>
        </w:rPr>
        <w:t>, as Borrower may request (so long as no Default or Potential Default exists), to the funding of any Loan in respect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which that Defaulting Lender has failed to fund its portion thereof as required by this Agreement, as determined by Administrative Agent; </w:t>
      </w:r>
      <w:r>
        <w:rPr>
          <w:rFonts w:ascii="Arial" w:cs="Arial" w:eastAsia="Arial" w:hAnsi="Arial"/>
          <w:sz w:val="19"/>
          <w:szCs w:val="19"/>
          <w:i w:val="1"/>
          <w:iCs w:val="1"/>
          <w:color w:val="auto"/>
        </w:rPr>
        <w:t>fifth</w:t>
      </w:r>
      <w:r>
        <w:rPr>
          <w:rFonts w:ascii="Arial" w:cs="Arial" w:eastAsia="Arial" w:hAnsi="Arial"/>
          <w:sz w:val="19"/>
          <w:szCs w:val="19"/>
          <w:color w:val="auto"/>
        </w:rPr>
        <w:t xml:space="preserve">, if so determined by Administrative Agent and Borrower, to be held in a non-interest bearing deposit account and released in order to satisfy obligations of that Defaulting Lender to fund Loans under this Agreement; </w:t>
      </w:r>
      <w:r>
        <w:rPr>
          <w:rFonts w:ascii="Arial" w:cs="Arial" w:eastAsia="Arial" w:hAnsi="Arial"/>
          <w:sz w:val="19"/>
          <w:szCs w:val="19"/>
          <w:i w:val="1"/>
          <w:iCs w:val="1"/>
          <w:color w:val="auto"/>
        </w:rPr>
        <w:t>sixth</w:t>
      </w:r>
      <w:r>
        <w:rPr>
          <w:rFonts w:ascii="Arial" w:cs="Arial" w:eastAsia="Arial" w:hAnsi="Arial"/>
          <w:sz w:val="19"/>
          <w:szCs w:val="19"/>
          <w:color w:val="auto"/>
        </w:rPr>
        <w:t>, to the payment of any amounts owing to the Lenders, the L/C Issuer</w:t>
      </w:r>
    </w:p>
    <w:p>
      <w:pPr>
        <w:spacing w:after="0" w:line="200" w:lineRule="exact"/>
        <w:rPr>
          <w:sz w:val="20"/>
          <w:szCs w:val="20"/>
          <w:color w:val="auto"/>
        </w:rPr>
      </w:pPr>
    </w:p>
    <w:p>
      <w:pPr>
        <w:spacing w:after="0" w:line="226"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0760"/>
          </w:cols>
          <w:pgMar w:left="900" w:top="582" w:right="239" w:bottom="1440" w:gutter="0" w:footer="0" w:header="0"/>
        </w:sectPr>
      </w:pPr>
    </w:p>
    <w:bookmarkStart w:id="129" w:name="page130"/>
    <w:bookmarkEnd w:id="129"/>
    <w:p>
      <w:pPr>
        <w:jc w:val="both"/>
        <w:ind w:left="100"/>
        <w:spacing w:after="0" w:line="270" w:lineRule="auto"/>
        <w:rPr>
          <w:sz w:val="20"/>
          <w:szCs w:val="20"/>
          <w:color w:val="auto"/>
        </w:rPr>
      </w:pPr>
      <w:r>
        <w:rPr>
          <w:rFonts w:ascii="Arial" w:cs="Arial" w:eastAsia="Arial" w:hAnsi="Arial"/>
          <w:sz w:val="18"/>
          <w:szCs w:val="18"/>
          <w:color w:val="auto"/>
        </w:rPr>
        <w:t xml:space="preserve">or Swing Line Lender as a result of any judgment of a court of competent jurisdiction obtained by any Lender, the L/C Issuer or Swing Line Lender against that Defaulting Lender as a result of that Defaulting Lender’s breach of its obligations under this Agreement; </w:t>
      </w:r>
      <w:r>
        <w:rPr>
          <w:rFonts w:ascii="Arial" w:cs="Arial" w:eastAsia="Arial" w:hAnsi="Arial"/>
          <w:sz w:val="18"/>
          <w:szCs w:val="18"/>
          <w:i w:val="1"/>
          <w:iCs w:val="1"/>
          <w:color w:val="auto"/>
        </w:rPr>
        <w:t>seventh</w:t>
      </w:r>
      <w:r>
        <w:rPr>
          <w:rFonts w:ascii="Arial" w:cs="Arial" w:eastAsia="Arial" w:hAnsi="Arial"/>
          <w:sz w:val="18"/>
          <w:szCs w:val="18"/>
          <w:color w:val="auto"/>
        </w:rPr>
        <w:t xml:space="preserve">, so long as no Default or Potential Default exists, to the payment of any amounts owing to Borrower as a result of any judgment of a court of competent jurisdiction obtained by Borrower against that Defaulting Lender as a result of that Defaulting Lender’s breach of its obligations under this Agreement; and </w:t>
      </w:r>
      <w:r>
        <w:rPr>
          <w:rFonts w:ascii="Arial" w:cs="Arial" w:eastAsia="Arial" w:hAnsi="Arial"/>
          <w:sz w:val="18"/>
          <w:szCs w:val="18"/>
          <w:i w:val="1"/>
          <w:iCs w:val="1"/>
          <w:color w:val="auto"/>
        </w:rPr>
        <w:t>eighth</w:t>
      </w:r>
      <w:r>
        <w:rPr>
          <w:rFonts w:ascii="Arial" w:cs="Arial" w:eastAsia="Arial" w:hAnsi="Arial"/>
          <w:sz w:val="18"/>
          <w:szCs w:val="18"/>
          <w:color w:val="auto"/>
        </w:rPr>
        <w:t xml:space="preserve">, to that Defaulting Lender or as otherwise directed by a court of competent jurisdiction;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(x) such payment is a payment of the principal amount of any Loans or L/C Borrowings in respect of which that Defaulting Lender has not fully funded its appropriate share and (y) such Loans or L/C Borrowings were made at a time when the conditions set forth in </w:t>
      </w:r>
      <w:r>
        <w:rPr>
          <w:rFonts w:ascii="Arial" w:cs="Arial" w:eastAsia="Arial" w:hAnsi="Arial"/>
          <w:sz w:val="18"/>
          <w:szCs w:val="18"/>
          <w:b w:val="1"/>
          <w:bCs w:val="1"/>
          <w:i w:val="1"/>
          <w:iCs w:val="1"/>
          <w:color w:val="auto"/>
        </w:rPr>
        <w:t>Section 7.2</w:t>
      </w:r>
      <w:r>
        <w:rPr>
          <w:rFonts w:ascii="Arial" w:cs="Arial" w:eastAsia="Arial" w:hAnsi="Arial"/>
          <w:sz w:val="18"/>
          <w:szCs w:val="18"/>
          <w:color w:val="auto"/>
        </w:rPr>
        <w:t xml:space="preserve"> were satisfied or waived, such payment shall be applied solely to pay the Loans of, and L/C Borrowings owed to, all non-Defaulting Lenders on a pro rata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b w:val="1"/>
          <w:bCs w:val="1"/>
          <w:i w:val="1"/>
          <w:iCs w:val="1"/>
          <w:color w:val="auto"/>
        </w:rPr>
        <w:t>Section 3.15(a)(ii)</w:t>
      </w:r>
      <w:r>
        <w:rPr>
          <w:rFonts w:ascii="Arial" w:cs="Arial" w:eastAsia="Arial" w:hAnsi="Arial"/>
          <w:sz w:val="18"/>
          <w:szCs w:val="18"/>
          <w:color w:val="auto"/>
        </w:rPr>
        <w:t xml:space="preserve"> shall be deemed paid to and redirected by that Defaulting Lender, and each Lender irrevocably consents hereto.</w:t>
      </w:r>
    </w:p>
    <w:p>
      <w:pPr>
        <w:spacing w:after="0" w:line="174" w:lineRule="exact"/>
        <w:rPr>
          <w:sz w:val="20"/>
          <w:szCs w:val="20"/>
          <w:color w:val="auto"/>
        </w:rPr>
      </w:pPr>
    </w:p>
    <w:p>
      <w:pPr>
        <w:ind w:left="1240" w:hanging="487"/>
        <w:spacing w:after="0"/>
        <w:tabs>
          <w:tab w:leader="none" w:pos="1240" w:val="left"/>
        </w:tabs>
        <w:numPr>
          <w:ilvl w:val="0"/>
          <w:numId w:val="90"/>
        </w:numPr>
        <w:rPr>
          <w:rFonts w:ascii="Arial" w:cs="Arial" w:eastAsia="Arial" w:hAnsi="Arial"/>
          <w:sz w:val="20"/>
          <w:szCs w:val="20"/>
          <w:color w:val="auto"/>
        </w:rPr>
      </w:pPr>
      <w:r>
        <w:rPr>
          <w:rFonts w:ascii="Arial" w:cs="Arial" w:eastAsia="Arial" w:hAnsi="Arial"/>
          <w:sz w:val="20"/>
          <w:szCs w:val="20"/>
          <w:b w:val="1"/>
          <w:bCs w:val="1"/>
          <w:i w:val="1"/>
          <w:iCs w:val="1"/>
          <w:color w:val="auto"/>
        </w:rPr>
        <w:t>Certain Fees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1400" w:firstLine="649"/>
        <w:spacing w:after="0" w:line="299" w:lineRule="auto"/>
        <w:tabs>
          <w:tab w:leader="none" w:pos="2971" w:val="left"/>
        </w:tabs>
        <w:numPr>
          <w:ilvl w:val="2"/>
          <w:numId w:val="90"/>
        </w:numPr>
        <w:rPr>
          <w:rFonts w:ascii="Arial" w:cs="Arial" w:eastAsia="Arial" w:hAnsi="Arial"/>
          <w:sz w:val="19"/>
          <w:szCs w:val="19"/>
          <w:color w:val="auto"/>
        </w:rPr>
      </w:pPr>
      <w:r>
        <w:rPr>
          <w:rFonts w:ascii="Arial" w:cs="Arial" w:eastAsia="Arial" w:hAnsi="Arial"/>
          <w:sz w:val="19"/>
          <w:szCs w:val="19"/>
          <w:color w:val="auto"/>
        </w:rPr>
        <w:t xml:space="preserve">No Defaulting Lender shall be entitled to receive any fee payable under </w:t>
      </w:r>
      <w:r>
        <w:rPr>
          <w:rFonts w:ascii="Arial" w:cs="Arial" w:eastAsia="Arial" w:hAnsi="Arial"/>
          <w:sz w:val="19"/>
          <w:szCs w:val="19"/>
          <w:b w:val="1"/>
          <w:bCs w:val="1"/>
          <w:i w:val="1"/>
          <w:iCs w:val="1"/>
          <w:color w:val="auto"/>
        </w:rPr>
        <w:t>Section 5.4</w:t>
      </w:r>
      <w:r>
        <w:rPr>
          <w:rFonts w:ascii="Arial" w:cs="Arial" w:eastAsia="Arial" w:hAnsi="Arial"/>
          <w:sz w:val="19"/>
          <w:szCs w:val="19"/>
          <w:color w:val="auto"/>
        </w:rPr>
        <w:t xml:space="preserve"> for any period during which such Lender is a Defaulting Lender (and Borrower shall not be required to pay any such fee that otherwise would have been required to have been paid to such Defaulting Lender).</w:t>
      </w:r>
    </w:p>
    <w:p>
      <w:pPr>
        <w:spacing w:after="0" w:line="182" w:lineRule="exact"/>
        <w:rPr>
          <w:rFonts w:ascii="Arial" w:cs="Arial" w:eastAsia="Arial" w:hAnsi="Arial"/>
          <w:sz w:val="19"/>
          <w:szCs w:val="19"/>
          <w:color w:val="auto"/>
        </w:rPr>
      </w:pPr>
    </w:p>
    <w:p>
      <w:pPr>
        <w:jc w:val="both"/>
        <w:ind w:left="1400" w:firstLine="568"/>
        <w:spacing w:after="0" w:line="299" w:lineRule="auto"/>
        <w:tabs>
          <w:tab w:leader="none" w:pos="2947" w:val="left"/>
        </w:tabs>
        <w:numPr>
          <w:ilvl w:val="1"/>
          <w:numId w:val="90"/>
        </w:numPr>
        <w:rPr>
          <w:rFonts w:ascii="Arial" w:cs="Arial" w:eastAsia="Arial" w:hAnsi="Arial"/>
          <w:sz w:val="19"/>
          <w:szCs w:val="19"/>
          <w:color w:val="auto"/>
        </w:rPr>
      </w:pPr>
      <w:r>
        <w:rPr>
          <w:rFonts w:ascii="Arial" w:cs="Arial" w:eastAsia="Arial" w:hAnsi="Arial"/>
          <w:sz w:val="19"/>
          <w:szCs w:val="19"/>
          <w:color w:val="auto"/>
        </w:rPr>
        <w:t xml:space="preserve">Each Defaulting Lender shall be entitled to receive L/C Fees for any period during which such Lender is a Defaulting Lender only to the extent allocable to its Commitment Percentage of the stated amount of all L/Cs for which it has provided Cash Collateral pursuant to </w:t>
      </w:r>
      <w:r>
        <w:rPr>
          <w:rFonts w:ascii="Arial" w:cs="Arial" w:eastAsia="Arial" w:hAnsi="Arial"/>
          <w:sz w:val="19"/>
          <w:szCs w:val="19"/>
          <w:b w:val="1"/>
          <w:bCs w:val="1"/>
          <w:i w:val="1"/>
          <w:iCs w:val="1"/>
          <w:color w:val="auto"/>
        </w:rPr>
        <w:t>Section 3.14</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jc w:val="both"/>
        <w:ind w:left="1400" w:firstLine="568"/>
        <w:spacing w:after="0" w:line="270" w:lineRule="auto"/>
        <w:tabs>
          <w:tab w:leader="none" w:pos="2947" w:val="left"/>
        </w:tabs>
        <w:numPr>
          <w:ilvl w:val="1"/>
          <w:numId w:val="90"/>
        </w:numPr>
        <w:rPr>
          <w:rFonts w:ascii="Arial" w:cs="Arial" w:eastAsia="Arial" w:hAnsi="Arial"/>
          <w:sz w:val="20"/>
          <w:szCs w:val="20"/>
          <w:color w:val="auto"/>
        </w:rPr>
      </w:pPr>
      <w:r>
        <w:rPr>
          <w:rFonts w:ascii="Arial" w:cs="Arial" w:eastAsia="Arial" w:hAnsi="Arial"/>
          <w:sz w:val="20"/>
          <w:szCs w:val="20"/>
          <w:color w:val="auto"/>
        </w:rPr>
        <w:t xml:space="preserve">With respect to any L/C Fees not required to be paid to any Defaulting Lender pursuant to </w:t>
      </w:r>
      <w:r>
        <w:rPr>
          <w:rFonts w:ascii="Arial" w:cs="Arial" w:eastAsia="Arial" w:hAnsi="Arial"/>
          <w:sz w:val="20"/>
          <w:szCs w:val="20"/>
          <w:b w:val="1"/>
          <w:bCs w:val="1"/>
          <w:i w:val="1"/>
          <w:iCs w:val="1"/>
          <w:color w:val="auto"/>
        </w:rPr>
        <w:t xml:space="preserve">clause (A) </w:t>
      </w:r>
      <w:r>
        <w:rPr>
          <w:rFonts w:ascii="Arial" w:cs="Arial" w:eastAsia="Arial" w:hAnsi="Arial"/>
          <w:sz w:val="20"/>
          <w:szCs w:val="20"/>
          <w:color w:val="auto"/>
        </w:rPr>
        <w:t>or</w:t>
      </w:r>
      <w:r>
        <w:rPr>
          <w:rFonts w:ascii="Arial" w:cs="Arial" w:eastAsia="Arial" w:hAnsi="Arial"/>
          <w:sz w:val="20"/>
          <w:szCs w:val="20"/>
          <w:b w:val="1"/>
          <w:bCs w:val="1"/>
          <w:i w:val="1"/>
          <w:iCs w:val="1"/>
          <w:color w:val="auto"/>
        </w:rPr>
        <w:t xml:space="preserve"> (B) </w:t>
      </w:r>
      <w:r>
        <w:rPr>
          <w:rFonts w:ascii="Arial" w:cs="Arial" w:eastAsia="Arial" w:hAnsi="Arial"/>
          <w:sz w:val="20"/>
          <w:szCs w:val="20"/>
          <w:color w:val="auto"/>
        </w:rPr>
        <w:t>above, Borrower shall (x) pay to each Non-Defaulting Lender that portion of any such fee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otherwise payable to such Defaulting Lender with respect to such Defaulting Lender’s participation in L/C Borrowing or Swing Line Loans that has been reallocated to such Non-Defaulting Lender pursuant to </w:t>
      </w:r>
      <w:r>
        <w:rPr>
          <w:rFonts w:ascii="Arial" w:cs="Arial" w:eastAsia="Arial" w:hAnsi="Arial"/>
          <w:sz w:val="20"/>
          <w:szCs w:val="20"/>
          <w:b w:val="1"/>
          <w:bCs w:val="1"/>
          <w:i w:val="1"/>
          <w:iCs w:val="1"/>
          <w:color w:val="auto"/>
        </w:rPr>
        <w:t xml:space="preserve">clause (iv) </w:t>
      </w:r>
      <w:r>
        <w:rPr>
          <w:rFonts w:ascii="Arial" w:cs="Arial" w:eastAsia="Arial" w:hAnsi="Arial"/>
          <w:sz w:val="20"/>
          <w:szCs w:val="20"/>
          <w:color w:val="auto"/>
        </w:rPr>
        <w:t>below, (y) pay to the applicable L/C Issuer and Swing Line Lender, as applicable, the amount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any such fee otherwise payable to such Defaulting Lender to the extent allocable to such L/C Issuer’s or Swing Line Lender’s Fronting Exposure to such Defaulting Lender, and (z) not be required to pay the remaining amount of any such fee.</w:t>
      </w:r>
    </w:p>
    <w:p>
      <w:pPr>
        <w:spacing w:after="0" w:line="199" w:lineRule="exact"/>
        <w:rPr>
          <w:rFonts w:ascii="Arial" w:cs="Arial" w:eastAsia="Arial" w:hAnsi="Arial"/>
          <w:sz w:val="20"/>
          <w:szCs w:val="20"/>
          <w:color w:val="auto"/>
        </w:rPr>
      </w:pPr>
    </w:p>
    <w:p>
      <w:pPr>
        <w:jc w:val="both"/>
        <w:ind w:left="100" w:firstLine="653"/>
        <w:spacing w:after="0" w:line="269" w:lineRule="auto"/>
        <w:tabs>
          <w:tab w:leader="none" w:pos="1245" w:val="left"/>
        </w:tabs>
        <w:numPr>
          <w:ilvl w:val="0"/>
          <w:numId w:val="90"/>
        </w:numPr>
        <w:rPr>
          <w:rFonts w:ascii="Arial" w:cs="Arial" w:eastAsia="Arial" w:hAnsi="Arial"/>
          <w:sz w:val="19"/>
          <w:szCs w:val="19"/>
          <w:color w:val="auto"/>
        </w:rPr>
      </w:pPr>
      <w:r>
        <w:rPr>
          <w:rFonts w:ascii="Arial" w:cs="Arial" w:eastAsia="Arial" w:hAnsi="Arial"/>
          <w:sz w:val="19"/>
          <w:szCs w:val="19"/>
          <w:b w:val="1"/>
          <w:bCs w:val="1"/>
          <w:i w:val="1"/>
          <w:iCs w:val="1"/>
          <w:color w:val="auto"/>
        </w:rPr>
        <w:t>Reallocation of Commitment Percentages to Reduce Fronting Exposure</w:t>
      </w:r>
      <w:r>
        <w:rPr>
          <w:rFonts w:ascii="Arial" w:cs="Arial" w:eastAsia="Arial" w:hAnsi="Arial"/>
          <w:sz w:val="19"/>
          <w:szCs w:val="19"/>
          <w:color w:val="auto"/>
        </w:rPr>
        <w:t>. During any period in which there is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Defaulting Lender, for purposes of computing the amount of the obligation of each non-Defaulting Lender to acquire, refinance, or fund participations in L/Cs or Swing Line Loans pursuant to </w:t>
      </w:r>
      <w:r>
        <w:rPr>
          <w:rFonts w:ascii="Arial" w:cs="Arial" w:eastAsia="Arial" w:hAnsi="Arial"/>
          <w:sz w:val="19"/>
          <w:szCs w:val="19"/>
          <w:b w:val="1"/>
          <w:bCs w:val="1"/>
          <w:i w:val="1"/>
          <w:iCs w:val="1"/>
          <w:color w:val="auto"/>
        </w:rPr>
        <w:t>Sections 2.3</w:t>
      </w:r>
      <w:r>
        <w:rPr>
          <w:rFonts w:ascii="Arial" w:cs="Arial" w:eastAsia="Arial" w:hAnsi="Arial"/>
          <w:sz w:val="19"/>
          <w:szCs w:val="19"/>
          <w:color w:val="auto"/>
        </w:rPr>
        <w:t xml:space="preserve"> and </w:t>
      </w:r>
      <w:r>
        <w:rPr>
          <w:rFonts w:ascii="Arial" w:cs="Arial" w:eastAsia="Arial" w:hAnsi="Arial"/>
          <w:sz w:val="19"/>
          <w:szCs w:val="19"/>
          <w:b w:val="1"/>
          <w:bCs w:val="1"/>
          <w:i w:val="1"/>
          <w:iCs w:val="1"/>
          <w:color w:val="auto"/>
        </w:rPr>
        <w:t>2.4</w:t>
      </w:r>
      <w:r>
        <w:rPr>
          <w:rFonts w:ascii="Arial" w:cs="Arial" w:eastAsia="Arial" w:hAnsi="Arial"/>
          <w:sz w:val="19"/>
          <w:szCs w:val="19"/>
          <w:color w:val="auto"/>
        </w:rPr>
        <w:t>, the</w:t>
      </w:r>
    </w:p>
    <w:p>
      <w:pPr>
        <w:spacing w:after="0" w:line="200" w:lineRule="exact"/>
        <w:rPr>
          <w:sz w:val="20"/>
          <w:szCs w:val="20"/>
          <w:color w:val="auto"/>
        </w:rPr>
      </w:pPr>
    </w:p>
    <w:p>
      <w:pPr>
        <w:spacing w:after="0" w:line="213"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0220"/>
          </w:cols>
          <w:pgMar w:left="1440" w:top="582" w:right="239" w:bottom="1440" w:gutter="0" w:footer="0" w:header="0"/>
        </w:sectPr>
      </w:pPr>
    </w:p>
    <w:bookmarkStart w:id="130" w:name="page131"/>
    <w:bookmarkEnd w:id="130"/>
    <w:p>
      <w:pPr>
        <w:jc w:val="both"/>
        <w:ind w:left="1300"/>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Commitment Percentage</w:t>
      </w:r>
      <w:r>
        <w:rPr>
          <w:rFonts w:ascii="Arial" w:cs="Arial" w:eastAsia="Arial" w:hAnsi="Arial"/>
          <w:sz w:val="19"/>
          <w:szCs w:val="19"/>
          <w:color w:val="auto"/>
        </w:rPr>
        <w:t xml:space="preserve">” of each non-Defaulting Lender shall be computed without giving effect to the Commitment of that Defaulting Lender;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obligation of each non-Defaulting Lender to acquire, refinance, or fund participations in L/Cs and Swing Line Loans shall not exceed the excess, if any, of (1) the Commitment of that non-Defaulting Lender </w:t>
      </w:r>
      <w:r>
        <w:rPr>
          <w:rFonts w:ascii="Arial" w:cs="Arial" w:eastAsia="Arial" w:hAnsi="Arial"/>
          <w:sz w:val="19"/>
          <w:szCs w:val="19"/>
          <w:i w:val="1"/>
          <w:iCs w:val="1"/>
          <w:color w:val="auto"/>
        </w:rPr>
        <w:t>over</w:t>
      </w:r>
      <w:r>
        <w:rPr>
          <w:rFonts w:ascii="Arial" w:cs="Arial" w:eastAsia="Arial" w:hAnsi="Arial"/>
          <w:sz w:val="19"/>
          <w:szCs w:val="19"/>
          <w:color w:val="auto"/>
        </w:rPr>
        <w:t xml:space="preserve"> (2) the aggregate Outstanding Amount of the Loans of that Lender. Subject to </w:t>
      </w:r>
      <w:r>
        <w:rPr>
          <w:rFonts w:ascii="Arial" w:cs="Arial" w:eastAsia="Arial" w:hAnsi="Arial"/>
          <w:sz w:val="19"/>
          <w:szCs w:val="19"/>
          <w:b w:val="1"/>
          <w:bCs w:val="1"/>
          <w:i w:val="1"/>
          <w:iCs w:val="1"/>
          <w:color w:val="auto"/>
        </w:rPr>
        <w:t>Section 15.24</w:t>
      </w:r>
      <w:r>
        <w:rPr>
          <w:rFonts w:ascii="Arial" w:cs="Arial" w:eastAsia="Arial" w:hAnsi="Arial"/>
          <w:sz w:val="19"/>
          <w:szCs w:val="19"/>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79" w:lineRule="exact"/>
        <w:rPr>
          <w:sz w:val="20"/>
          <w:szCs w:val="20"/>
          <w:color w:val="auto"/>
        </w:rPr>
      </w:pPr>
    </w:p>
    <w:p>
      <w:pPr>
        <w:jc w:val="both"/>
        <w:ind w:left="660" w:firstLine="645"/>
        <w:spacing w:after="0" w:line="271" w:lineRule="auto"/>
        <w:tabs>
          <w:tab w:leader="none" w:pos="1858"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Defaulting Lender Cure</w:t>
      </w:r>
      <w:r>
        <w:rPr>
          <w:rFonts w:ascii="Arial" w:cs="Arial" w:eastAsia="Arial" w:hAnsi="Arial"/>
          <w:sz w:val="18"/>
          <w:szCs w:val="18"/>
          <w:color w:val="auto"/>
        </w:rPr>
        <w:t>. If Borrower, Administrative Agent, the Swing Line Lenders and the L/C Issuers agree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writing in their sole discretion that a Defaulting Lender should no longer be deemed to be a Defaulting Lender,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Administrative Agent may determine to be necessary to cause the Revolver Loans and Term Loans and funded and unfunded participations in L/Cs and Swing Line Loans to be held on a pro rata basis by the Lenders in accordance with their Commitment Percentages (without giving effect to </w:t>
      </w:r>
      <w:r>
        <w:rPr>
          <w:rFonts w:ascii="Arial" w:cs="Arial" w:eastAsia="Arial" w:hAnsi="Arial"/>
          <w:sz w:val="18"/>
          <w:szCs w:val="18"/>
          <w:b w:val="1"/>
          <w:bCs w:val="1"/>
          <w:i w:val="1"/>
          <w:iCs w:val="1"/>
          <w:color w:val="auto"/>
        </w:rPr>
        <w:t>Section 3.15(a)(iv)</w:t>
      </w:r>
      <w:r>
        <w:rPr>
          <w:rFonts w:ascii="Arial" w:cs="Arial" w:eastAsia="Arial" w:hAnsi="Arial"/>
          <w:sz w:val="18"/>
          <w:szCs w:val="18"/>
          <w:color w:val="auto"/>
        </w:rPr>
        <w:t xml:space="preserve">), whereupon that Lender will cease to be a Defaulting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adjustments will be made retroactively with respect to fees accrued or payments made by or on behalf of Borrower while that Lender was a Defaulting Lender;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381"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u w:val="single" w:color="auto"/>
          <w:color w:val="auto"/>
        </w:rPr>
        <w:t>SECTION 4</w:t>
        <w:tab/>
        <w:t>TAXES, YIELD PROTECTION, AND ILLEGALITY</w:t>
      </w:r>
    </w:p>
    <w:p>
      <w:pPr>
        <w:spacing w:after="0" w:line="200" w:lineRule="exact"/>
        <w:rPr>
          <w:sz w:val="20"/>
          <w:szCs w:val="20"/>
          <w:color w:val="auto"/>
        </w:rPr>
      </w:pPr>
    </w:p>
    <w:p>
      <w:pPr>
        <w:spacing w:after="0" w:line="238"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16" w:lineRule="exact"/>
        <w:rPr>
          <w:sz w:val="20"/>
          <w:szCs w:val="20"/>
          <w:color w:val="auto"/>
        </w:rPr>
      </w:pPr>
    </w:p>
    <w:p>
      <w:pPr>
        <w:ind w:left="1700" w:hanging="395"/>
        <w:spacing w:after="0"/>
        <w:tabs>
          <w:tab w:leader="none" w:pos="1700" w:val="left"/>
        </w:tabs>
        <w:numPr>
          <w:ilvl w:val="0"/>
          <w:numId w:val="92"/>
        </w:numPr>
        <w:rPr>
          <w:rFonts w:ascii="Arial" w:cs="Arial" w:eastAsia="Arial" w:hAnsi="Arial"/>
          <w:sz w:val="20"/>
          <w:szCs w:val="20"/>
          <w:color w:val="auto"/>
        </w:rPr>
      </w:pPr>
      <w:r>
        <w:rPr>
          <w:rFonts w:ascii="Arial" w:cs="Arial" w:eastAsia="Arial" w:hAnsi="Arial"/>
          <w:sz w:val="20"/>
          <w:szCs w:val="20"/>
          <w:b w:val="1"/>
          <w:bCs w:val="1"/>
          <w:i w:val="1"/>
          <w:iCs w:val="1"/>
          <w:color w:val="auto"/>
        </w:rPr>
        <w:t>Payments Free of Taxes; Obligation to Withhold; Payments on Account of Taxes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3"/>
        <w:spacing w:after="0" w:line="243" w:lineRule="auto"/>
        <w:tabs>
          <w:tab w:leader="none" w:pos="2342" w:val="left"/>
        </w:tabs>
        <w:numPr>
          <w:ilvl w:val="1"/>
          <w:numId w:val="92"/>
        </w:numPr>
        <w:rPr>
          <w:rFonts w:ascii="Arial" w:cs="Arial" w:eastAsia="Arial" w:hAnsi="Arial"/>
          <w:sz w:val="20"/>
          <w:szCs w:val="20"/>
          <w:color w:val="auto"/>
        </w:rPr>
      </w:pPr>
      <w:r>
        <w:rPr>
          <w:rFonts w:ascii="Arial" w:cs="Arial" w:eastAsia="Arial" w:hAnsi="Arial"/>
          <w:sz w:val="20"/>
          <w:szCs w:val="20"/>
          <w:color w:val="auto"/>
        </w:rPr>
        <w:t xml:space="preserve">Any and all payments by or on account of any obligation of any Restricted Company under any Loan Paper shall be made without deduction or withholding for any Taxes, except as required by applicable Laws. If any applicable Laws (as determined in the good faith discretion of Administrative Agent) require the deduction or withholding of any Tax from any such payment by Administrative Agent or a Restricted Company, then Administrative Agent or such Restricted Company shall be entitled to make such deduction or withholding, upon the basis of the information and documentation to be delivered pursuant to </w:t>
      </w:r>
      <w:r>
        <w:rPr>
          <w:rFonts w:ascii="Arial" w:cs="Arial" w:eastAsia="Arial" w:hAnsi="Arial"/>
          <w:sz w:val="20"/>
          <w:szCs w:val="20"/>
          <w:b w:val="1"/>
          <w:bCs w:val="1"/>
          <w:i w:val="1"/>
          <w:iCs w:val="1"/>
          <w:color w:val="auto"/>
        </w:rPr>
        <w:t>subsection (e)</w:t>
      </w:r>
      <w:r>
        <w:rPr>
          <w:rFonts w:ascii="Arial" w:cs="Arial" w:eastAsia="Arial" w:hAnsi="Arial"/>
          <w:sz w:val="20"/>
          <w:szCs w:val="20"/>
          <w:color w:val="auto"/>
        </w:rPr>
        <w:t xml:space="preserve"> below.</w:t>
      </w:r>
    </w:p>
    <w:p>
      <w:pPr>
        <w:spacing w:after="0" w:line="196" w:lineRule="exact"/>
        <w:rPr>
          <w:rFonts w:ascii="Arial" w:cs="Arial" w:eastAsia="Arial" w:hAnsi="Arial"/>
          <w:sz w:val="20"/>
          <w:szCs w:val="20"/>
          <w:color w:val="auto"/>
        </w:rPr>
      </w:pPr>
    </w:p>
    <w:p>
      <w:pPr>
        <w:ind w:left="2460" w:hanging="507"/>
        <w:spacing w:after="0"/>
        <w:tabs>
          <w:tab w:leader="none" w:pos="2460" w:val="left"/>
        </w:tabs>
        <w:numPr>
          <w:ilvl w:val="1"/>
          <w:numId w:val="92"/>
        </w:numPr>
        <w:rPr>
          <w:rFonts w:ascii="Arial" w:cs="Arial" w:eastAsia="Arial" w:hAnsi="Arial"/>
          <w:sz w:val="19"/>
          <w:szCs w:val="19"/>
          <w:color w:val="auto"/>
        </w:rPr>
      </w:pPr>
      <w:r>
        <w:rPr>
          <w:rFonts w:ascii="Arial" w:cs="Arial" w:eastAsia="Arial" w:hAnsi="Arial"/>
          <w:sz w:val="19"/>
          <w:szCs w:val="19"/>
          <w:color w:val="auto"/>
        </w:rPr>
        <w:t>If any Restricted Company or Administrative Agent shall be required by the Code to withhold or deduct any</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Taxes,  including  both  United  States  Federal  backup  withholding  and  withholding  taxes,  from  any  payment,  then</w:t>
      </w:r>
    </w:p>
    <w:p>
      <w:pPr>
        <w:spacing w:after="0" w:line="11" w:lineRule="exact"/>
        <w:rPr>
          <w:sz w:val="20"/>
          <w:szCs w:val="20"/>
          <w:color w:val="auto"/>
        </w:rPr>
      </w:pPr>
    </w:p>
    <w:p>
      <w:pPr>
        <w:jc w:val="both"/>
        <w:ind w:left="1300" w:firstLine="5"/>
        <w:spacing w:after="0" w:line="266" w:lineRule="auto"/>
        <w:tabs>
          <w:tab w:leader="none" w:pos="1629"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Administrative Agent shall withhold or make such deductions as are determined by Administrative Agent to be required based upon the information and documentation it has received pursuant to </w:t>
      </w:r>
      <w:r>
        <w:rPr>
          <w:rFonts w:ascii="Arial" w:cs="Arial" w:eastAsia="Arial" w:hAnsi="Arial"/>
          <w:sz w:val="18"/>
          <w:szCs w:val="18"/>
          <w:b w:val="1"/>
          <w:bCs w:val="1"/>
          <w:i w:val="1"/>
          <w:iCs w:val="1"/>
          <w:color w:val="auto"/>
        </w:rPr>
        <w:t>subsection (e)</w:t>
      </w:r>
      <w:r>
        <w:rPr>
          <w:rFonts w:ascii="Arial" w:cs="Arial" w:eastAsia="Arial" w:hAnsi="Arial"/>
          <w:sz w:val="18"/>
          <w:szCs w:val="18"/>
          <w:color w:val="auto"/>
        </w:rPr>
        <w:t xml:space="preserve"> below, (B) Administrative Agent shall timely pay the full amount withheld or deducted to the relevant Governmental Authority in accordance with the Code, and</w:t>
      </w:r>
    </w:p>
    <w:p>
      <w:pPr>
        <w:ind w:left="1620" w:hanging="315"/>
        <w:spacing w:after="0"/>
        <w:tabs>
          <w:tab w:leader="none" w:pos="1620" w:val="left"/>
        </w:tabs>
        <w:numPr>
          <w:ilvl w:val="0"/>
          <w:numId w:val="94"/>
        </w:numPr>
        <w:rPr>
          <w:rFonts w:ascii="Arial" w:cs="Arial" w:eastAsia="Arial" w:hAnsi="Arial"/>
          <w:sz w:val="20"/>
          <w:szCs w:val="20"/>
          <w:color w:val="auto"/>
        </w:rPr>
      </w:pPr>
      <w:r>
        <w:rPr>
          <w:rFonts w:ascii="Arial" w:cs="Arial" w:eastAsia="Arial" w:hAnsi="Arial"/>
          <w:sz w:val="20"/>
          <w:szCs w:val="20"/>
          <w:color w:val="auto"/>
        </w:rPr>
        <w:t>to the extent that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ectPr>
          <w:pgSz w:w="11900" w:h="16838" w:orient="portrait"/>
          <w:cols w:equalWidth="0" w:num="1">
            <w:col w:w="11420"/>
          </w:cols>
          <w:pgMar w:left="240" w:top="582" w:right="239" w:bottom="1440" w:gutter="0" w:footer="0" w:header="0"/>
        </w:sectPr>
      </w:pPr>
    </w:p>
    <w:bookmarkStart w:id="131" w:name="page132"/>
    <w:bookmarkEnd w:id="131"/>
    <w:p>
      <w:pPr>
        <w:jc w:val="both"/>
        <w:ind w:left="100"/>
        <w:spacing w:after="0" w:line="263" w:lineRule="auto"/>
        <w:rPr>
          <w:sz w:val="20"/>
          <w:szCs w:val="20"/>
          <w:color w:val="auto"/>
        </w:rPr>
      </w:pPr>
      <w:r>
        <w:rPr>
          <w:rFonts w:ascii="Arial" w:cs="Arial" w:eastAsia="Arial" w:hAnsi="Arial"/>
          <w:sz w:val="19"/>
          <w:szCs w:val="19"/>
          <w:color w:val="auto"/>
        </w:rPr>
        <w:t xml:space="preserve">the withholding or deduction is made on account of Indemnified Taxes, the sum payable by the applicable Restricted Company shall be increased as necessary so that after any required withholding or the making of all required deductions (including deductions applicable to additional sums payable under this </w:t>
      </w:r>
      <w:r>
        <w:rPr>
          <w:rFonts w:ascii="Arial" w:cs="Arial" w:eastAsia="Arial" w:hAnsi="Arial"/>
          <w:sz w:val="19"/>
          <w:szCs w:val="19"/>
          <w:b w:val="1"/>
          <w:bCs w:val="1"/>
          <w:i w:val="1"/>
          <w:iCs w:val="1"/>
          <w:color w:val="auto"/>
        </w:rPr>
        <w:t>Section 4.1</w:t>
      </w:r>
      <w:r>
        <w:rPr>
          <w:rFonts w:ascii="Arial" w:cs="Arial" w:eastAsia="Arial" w:hAnsi="Arial"/>
          <w:sz w:val="19"/>
          <w:szCs w:val="19"/>
          <w:color w:val="auto"/>
        </w:rPr>
        <w:t>) the applicable Recipient receives an amount equal to the sum it would have received had no such withholding or deduction been made.</w:t>
      </w:r>
    </w:p>
    <w:p>
      <w:pPr>
        <w:spacing w:after="0" w:line="177" w:lineRule="exact"/>
        <w:rPr>
          <w:sz w:val="20"/>
          <w:szCs w:val="20"/>
          <w:color w:val="auto"/>
        </w:rPr>
      </w:pPr>
    </w:p>
    <w:p>
      <w:pPr>
        <w:jc w:val="both"/>
        <w:ind w:left="100" w:firstLine="653"/>
        <w:spacing w:after="0" w:line="256" w:lineRule="auto"/>
        <w:tabs>
          <w:tab w:leader="none" w:pos="1306" w:val="left"/>
        </w:tabs>
        <w:numPr>
          <w:ilvl w:val="1"/>
          <w:numId w:val="95"/>
        </w:numPr>
        <w:rPr>
          <w:rFonts w:ascii="Arial" w:cs="Arial" w:eastAsia="Arial" w:hAnsi="Arial"/>
          <w:sz w:val="19"/>
          <w:szCs w:val="19"/>
          <w:color w:val="auto"/>
        </w:rPr>
      </w:pPr>
      <w:r>
        <w:rPr>
          <w:rFonts w:ascii="Arial" w:cs="Arial" w:eastAsia="Arial" w:hAnsi="Arial"/>
          <w:sz w:val="19"/>
          <w:szCs w:val="19"/>
          <w:color w:val="auto"/>
        </w:rPr>
        <w:t xml:space="preserve">If any Restricted Company or Administrative Agent shall be required by any applicable Laws other than the Code to withhold or deduct any Taxes from any payment, then (A) such Restricted Company or Administrative Agent, as required by such Laws, shall withhold or make such deductions as are determined by it to be required based upon the information and documentation it has received pursuant to </w:t>
      </w:r>
      <w:r>
        <w:rPr>
          <w:rFonts w:ascii="Arial" w:cs="Arial" w:eastAsia="Arial" w:hAnsi="Arial"/>
          <w:sz w:val="19"/>
          <w:szCs w:val="19"/>
          <w:b w:val="1"/>
          <w:bCs w:val="1"/>
          <w:i w:val="1"/>
          <w:iCs w:val="1"/>
          <w:color w:val="auto"/>
        </w:rPr>
        <w:t>subsection (e)</w:t>
      </w:r>
      <w:r>
        <w:rPr>
          <w:rFonts w:ascii="Arial" w:cs="Arial" w:eastAsia="Arial" w:hAnsi="Arial"/>
          <w:sz w:val="19"/>
          <w:szCs w:val="19"/>
          <w:color w:val="auto"/>
        </w:rPr>
        <w:t xml:space="preserve"> below, (B) such Restricted Company or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Restricted Company shall be increased as necessary so that after any required withholding or the making of all required deductions (including deductions applicable to additional sums payable under this </w:t>
      </w:r>
      <w:r>
        <w:rPr>
          <w:rFonts w:ascii="Arial" w:cs="Arial" w:eastAsia="Arial" w:hAnsi="Arial"/>
          <w:sz w:val="19"/>
          <w:szCs w:val="19"/>
          <w:b w:val="1"/>
          <w:bCs w:val="1"/>
          <w:i w:val="1"/>
          <w:iCs w:val="1"/>
          <w:color w:val="auto"/>
        </w:rPr>
        <w:t>Section 4.1</w:t>
      </w:r>
      <w:r>
        <w:rPr>
          <w:rFonts w:ascii="Arial" w:cs="Arial" w:eastAsia="Arial" w:hAnsi="Arial"/>
          <w:sz w:val="19"/>
          <w:szCs w:val="19"/>
          <w:color w:val="auto"/>
        </w:rPr>
        <w:t>) the applicable Recipient receives an amount equal to the sum it would have received had no such withholding or deduction been made.</w:t>
      </w:r>
    </w:p>
    <w:p>
      <w:pPr>
        <w:spacing w:after="0" w:line="175" w:lineRule="exact"/>
        <w:rPr>
          <w:rFonts w:ascii="Arial" w:cs="Arial" w:eastAsia="Arial" w:hAnsi="Arial"/>
          <w:sz w:val="19"/>
          <w:szCs w:val="19"/>
          <w:color w:val="auto"/>
        </w:rPr>
      </w:pPr>
    </w:p>
    <w:p>
      <w:pPr>
        <w:jc w:val="both"/>
        <w:ind w:left="-540" w:firstLine="645"/>
        <w:spacing w:after="0" w:line="253" w:lineRule="auto"/>
        <w:tabs>
          <w:tab w:leader="none" w:pos="695" w:val="left"/>
        </w:tabs>
        <w:numPr>
          <w:ilvl w:val="0"/>
          <w:numId w:val="96"/>
        </w:numPr>
        <w:rPr>
          <w:rFonts w:ascii="Arial" w:cs="Arial" w:eastAsia="Arial" w:hAnsi="Arial"/>
          <w:sz w:val="20"/>
          <w:szCs w:val="20"/>
          <w:color w:val="auto"/>
        </w:rPr>
      </w:pPr>
      <w:r>
        <w:rPr>
          <w:rFonts w:ascii="Arial" w:cs="Arial" w:eastAsia="Arial" w:hAnsi="Arial"/>
          <w:sz w:val="20"/>
          <w:szCs w:val="20"/>
          <w:b w:val="1"/>
          <w:bCs w:val="1"/>
          <w:color w:val="auto"/>
        </w:rPr>
        <w:t xml:space="preserve">Payment of Other Taxes by Borrower. </w:t>
      </w:r>
      <w:r>
        <w:rPr>
          <w:rFonts w:ascii="Arial" w:cs="Arial" w:eastAsia="Arial" w:hAnsi="Arial"/>
          <w:sz w:val="20"/>
          <w:szCs w:val="20"/>
          <w:color w:val="auto"/>
        </w:rPr>
        <w:t>Without limiting the provisions of</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subsection (a)</w:t>
      </w:r>
      <w:r>
        <w:rPr>
          <w:rFonts w:ascii="Arial" w:cs="Arial" w:eastAsia="Arial" w:hAnsi="Arial"/>
          <w:sz w:val="20"/>
          <w:szCs w:val="20"/>
          <w:b w:val="1"/>
          <w:bCs w:val="1"/>
          <w:color w:val="auto"/>
        </w:rPr>
        <w:t xml:space="preserve"> </w:t>
      </w:r>
      <w:r>
        <w:rPr>
          <w:rFonts w:ascii="Arial" w:cs="Arial" w:eastAsia="Arial" w:hAnsi="Arial"/>
          <w:sz w:val="20"/>
          <w:szCs w:val="20"/>
          <w:color w:val="auto"/>
        </w:rPr>
        <w:t>above, the Restricted</w:t>
      </w:r>
      <w:r>
        <w:rPr>
          <w:rFonts w:ascii="Arial" w:cs="Arial" w:eastAsia="Arial" w:hAnsi="Arial"/>
          <w:sz w:val="20"/>
          <w:szCs w:val="20"/>
          <w:b w:val="1"/>
          <w:bCs w:val="1"/>
          <w:color w:val="auto"/>
        </w:rPr>
        <w:t xml:space="preserve"> </w:t>
      </w:r>
      <w:r>
        <w:rPr>
          <w:rFonts w:ascii="Arial" w:cs="Arial" w:eastAsia="Arial" w:hAnsi="Arial"/>
          <w:sz w:val="20"/>
          <w:szCs w:val="20"/>
          <w:color w:val="auto"/>
        </w:rPr>
        <w:t>Companies shall timely pay to the relevant Governmental Authority in accordance with applicable Law, or at the option of Administrative Agent timely reimburse it for the payment of, any Other Taxes.</w:t>
      </w:r>
    </w:p>
    <w:p>
      <w:pPr>
        <w:spacing w:after="0" w:line="177" w:lineRule="exact"/>
        <w:rPr>
          <w:rFonts w:ascii="Arial" w:cs="Arial" w:eastAsia="Arial" w:hAnsi="Arial"/>
          <w:sz w:val="20"/>
          <w:szCs w:val="20"/>
          <w:color w:val="auto"/>
        </w:rPr>
      </w:pPr>
    </w:p>
    <w:p>
      <w:pPr>
        <w:ind w:left="500" w:hanging="395"/>
        <w:spacing w:after="0"/>
        <w:tabs>
          <w:tab w:leader="none" w:pos="500" w:val="left"/>
        </w:tabs>
        <w:numPr>
          <w:ilvl w:val="0"/>
          <w:numId w:val="96"/>
        </w:numPr>
        <w:rPr>
          <w:rFonts w:ascii="Arial" w:cs="Arial" w:eastAsia="Arial" w:hAnsi="Arial"/>
          <w:sz w:val="20"/>
          <w:szCs w:val="20"/>
          <w:color w:val="auto"/>
        </w:rPr>
      </w:pPr>
      <w:r>
        <w:rPr>
          <w:rFonts w:ascii="Arial" w:cs="Arial" w:eastAsia="Arial" w:hAnsi="Arial"/>
          <w:sz w:val="20"/>
          <w:szCs w:val="20"/>
          <w:b w:val="1"/>
          <w:bCs w:val="1"/>
          <w:color w:val="auto"/>
        </w:rPr>
        <w:t>Tax Indemnifications.</w:t>
      </w:r>
    </w:p>
    <w:p>
      <w:pPr>
        <w:spacing w:after="0" w:line="221" w:lineRule="exact"/>
        <w:rPr>
          <w:rFonts w:ascii="Arial" w:cs="Arial" w:eastAsia="Arial" w:hAnsi="Arial"/>
          <w:sz w:val="20"/>
          <w:szCs w:val="20"/>
          <w:color w:val="auto"/>
        </w:rPr>
      </w:pPr>
    </w:p>
    <w:p>
      <w:pPr>
        <w:jc w:val="both"/>
        <w:ind w:left="100" w:firstLine="653"/>
        <w:spacing w:after="0" w:line="271" w:lineRule="auto"/>
        <w:tabs>
          <w:tab w:leader="none" w:pos="1115"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Each of the Restricted Companies shall, and does hereby, jointly and severally indemnify each Recipient, and shall make payment in respect thereof within 10 days after demand therefor, for the full amount of any Indemnified Taxes (including Indemnified Taxes imposed or asserted on or attributable to amounts payable under this </w:t>
      </w:r>
      <w:r>
        <w:rPr>
          <w:rFonts w:ascii="Arial" w:cs="Arial" w:eastAsia="Arial" w:hAnsi="Arial"/>
          <w:sz w:val="18"/>
          <w:szCs w:val="18"/>
          <w:b w:val="1"/>
          <w:bCs w:val="1"/>
          <w:i w:val="1"/>
          <w:iCs w:val="1"/>
          <w:color w:val="auto"/>
        </w:rPr>
        <w:t>Section 4.1</w:t>
      </w:r>
      <w:r>
        <w:rPr>
          <w:rFonts w:ascii="Arial" w:cs="Arial" w:eastAsia="Arial" w:hAnsi="Arial"/>
          <w:sz w:val="18"/>
          <w:szCs w:val="18"/>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Borrower by a Lender or an L/C Issuer (with a copy to Administrative Agent), or by Administrative Agent on its own behalf or on behalf of a Lender or an L/C Issuer, shall be conclusive absent manifest error. Each of the Restricted Companies shall, and does hereby, jointly and severally indemnify Administrative Agent, and shall make payment in respect thereof within 10 days after demand therefor, for any amount which a Lender or the L/C Issuer for any reason fails to pay indefeasibly to Administrative Agent as required pursuant to </w:t>
      </w:r>
      <w:r>
        <w:rPr>
          <w:rFonts w:ascii="Arial" w:cs="Arial" w:eastAsia="Arial" w:hAnsi="Arial"/>
          <w:sz w:val="18"/>
          <w:szCs w:val="18"/>
          <w:b w:val="1"/>
          <w:bCs w:val="1"/>
          <w:i w:val="1"/>
          <w:iCs w:val="1"/>
          <w:color w:val="auto"/>
        </w:rPr>
        <w:t>Section 4.1(c)(ii)</w:t>
      </w:r>
      <w:r>
        <w:rPr>
          <w:rFonts w:ascii="Arial" w:cs="Arial" w:eastAsia="Arial" w:hAnsi="Arial"/>
          <w:sz w:val="18"/>
          <w:szCs w:val="18"/>
          <w:color w:val="auto"/>
        </w:rPr>
        <w:t xml:space="preserve"> below.</w:t>
      </w:r>
    </w:p>
    <w:p>
      <w:pPr>
        <w:spacing w:after="0" w:line="171" w:lineRule="exact"/>
        <w:rPr>
          <w:sz w:val="20"/>
          <w:szCs w:val="20"/>
          <w:color w:val="auto"/>
        </w:rPr>
      </w:pPr>
    </w:p>
    <w:p>
      <w:pPr>
        <w:jc w:val="both"/>
        <w:ind w:left="100" w:firstLine="653"/>
        <w:spacing w:after="0" w:line="244" w:lineRule="auto"/>
        <w:tabs>
          <w:tab w:leader="none" w:pos="1183" w:val="left"/>
        </w:tabs>
        <w:numPr>
          <w:ilvl w:val="0"/>
          <w:numId w:val="97"/>
        </w:numPr>
        <w:rPr>
          <w:rFonts w:ascii="Arial" w:cs="Arial" w:eastAsia="Arial" w:hAnsi="Arial"/>
          <w:sz w:val="20"/>
          <w:szCs w:val="20"/>
          <w:color w:val="auto"/>
        </w:rPr>
      </w:pPr>
      <w:r>
        <w:rPr>
          <w:rFonts w:ascii="Arial" w:cs="Arial" w:eastAsia="Arial" w:hAnsi="Arial"/>
          <w:sz w:val="20"/>
          <w:szCs w:val="20"/>
          <w:color w:val="auto"/>
        </w:rPr>
        <w:t>Each Lender and each L/C Issuer shall, and does hereby, severally indemnify, and shall make payment in respect thereof within 10 days after demand therefor, (x) Administrative Agent against any Indemnified Taxes attributable to such Lender or such L/C Issuer (but only to the extent that any Restricted Company has not already indemnified Administrative Agent for such Indemnified Taxes and without limiting the obligation of the Restricted Companies to do so), (y) Administrative Agent and the Restricted Companies,</w:t>
      </w:r>
    </w:p>
    <w:p>
      <w:pPr>
        <w:spacing w:after="0" w:line="200" w:lineRule="exact"/>
        <w:rPr>
          <w:sz w:val="20"/>
          <w:szCs w:val="20"/>
          <w:color w:val="auto"/>
        </w:rPr>
      </w:pPr>
    </w:p>
    <w:p>
      <w:pPr>
        <w:spacing w:after="0" w:line="238"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68</w:t>
      </w:r>
    </w:p>
    <w:p>
      <w:pPr>
        <w:sectPr>
          <w:pgSz w:w="11900" w:h="16838" w:orient="portrait"/>
          <w:cols w:equalWidth="0" w:num="1">
            <w:col w:w="10220"/>
          </w:cols>
          <w:pgMar w:left="1440" w:top="582" w:right="239" w:bottom="1440" w:gutter="0" w:footer="0" w:header="0"/>
        </w:sectPr>
      </w:pPr>
    </w:p>
    <w:bookmarkStart w:id="132" w:name="page133"/>
    <w:bookmarkEnd w:id="132"/>
    <w:p>
      <w:pPr>
        <w:jc w:val="both"/>
        <w:ind w:left="100"/>
        <w:spacing w:after="0" w:line="272" w:lineRule="auto"/>
        <w:rPr>
          <w:sz w:val="20"/>
          <w:szCs w:val="20"/>
          <w:color w:val="auto"/>
        </w:rPr>
      </w:pPr>
      <w:r>
        <w:rPr>
          <w:rFonts w:ascii="Arial" w:cs="Arial" w:eastAsia="Arial" w:hAnsi="Arial"/>
          <w:sz w:val="18"/>
          <w:szCs w:val="18"/>
          <w:color w:val="auto"/>
        </w:rPr>
        <w:t xml:space="preserve">as applicable, against any Taxes attributable to such Lender’s failure to comply with the provisions of </w:t>
      </w:r>
      <w:r>
        <w:rPr>
          <w:rFonts w:ascii="Arial" w:cs="Arial" w:eastAsia="Arial" w:hAnsi="Arial"/>
          <w:sz w:val="18"/>
          <w:szCs w:val="18"/>
          <w:b w:val="1"/>
          <w:bCs w:val="1"/>
          <w:i w:val="1"/>
          <w:iCs w:val="1"/>
          <w:color w:val="auto"/>
        </w:rPr>
        <w:t>Section 15.11</w:t>
      </w:r>
      <w:r>
        <w:rPr>
          <w:rFonts w:ascii="Arial" w:cs="Arial" w:eastAsia="Arial" w:hAnsi="Arial"/>
          <w:sz w:val="18"/>
          <w:szCs w:val="18"/>
          <w:color w:val="auto"/>
        </w:rPr>
        <w:t xml:space="preserve"> relating to the maintenance of a Participant Register and (z) Administrative Agent and the Restricted Companies, as applicable, against any Excluded Taxes attributable to such Lender or such L/C Issuer, in each case, that are payable or paid by Administrative Agent or a Restricted Company in connection with any Loan Paper, and any reasonable expenses arising therefrom or with respect thereto, whether or not such Taxes were correctly or legally imposed or asserted by the relevant Governmental Authority. A certificate as to the amount of such payment or liability delivered to any Lender by Administrative Agent shall be conclusive absent manifest error. Each Lender and each L/C Issuer hereby authorizes Administrative Agent to set off and apply any and all amounts at any time owing to such Lender or such L/C Issuer, as the case may be, under this Agreement or any other Loan Paper against any amount due to Administrative Agent under this </w:t>
      </w:r>
      <w:r>
        <w:rPr>
          <w:rFonts w:ascii="Arial" w:cs="Arial" w:eastAsia="Arial" w:hAnsi="Arial"/>
          <w:sz w:val="18"/>
          <w:szCs w:val="18"/>
          <w:b w:val="1"/>
          <w:bCs w:val="1"/>
          <w:i w:val="1"/>
          <w:iCs w:val="1"/>
          <w:color w:val="auto"/>
        </w:rPr>
        <w:t>clause (ii)</w:t>
      </w:r>
      <w:r>
        <w:rPr>
          <w:rFonts w:ascii="Arial" w:cs="Arial" w:eastAsia="Arial" w:hAnsi="Arial"/>
          <w:sz w:val="18"/>
          <w:szCs w:val="18"/>
          <w:color w:val="auto"/>
        </w:rPr>
        <w:t>.</w:t>
      </w:r>
    </w:p>
    <w:p>
      <w:pPr>
        <w:spacing w:after="0" w:line="165" w:lineRule="exact"/>
        <w:rPr>
          <w:sz w:val="20"/>
          <w:szCs w:val="20"/>
          <w:color w:val="auto"/>
        </w:rPr>
      </w:pPr>
    </w:p>
    <w:p>
      <w:pPr>
        <w:jc w:val="both"/>
        <w:ind w:left="-540" w:firstLine="645"/>
        <w:spacing w:after="0" w:line="280" w:lineRule="auto"/>
        <w:tabs>
          <w:tab w:leader="none" w:pos="573"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Evidence of Payments. </w:t>
      </w:r>
      <w:r>
        <w:rPr>
          <w:rFonts w:ascii="Arial" w:cs="Arial" w:eastAsia="Arial" w:hAnsi="Arial"/>
          <w:sz w:val="18"/>
          <w:szCs w:val="18"/>
          <w:color w:val="auto"/>
        </w:rPr>
        <w:t>Upon request by Borrower or Administrative Agent, as the case may be, after any payment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Taxes by Borrower or by Administrative Agent to a Governmental Authority as provided in this </w:t>
      </w:r>
      <w:r>
        <w:rPr>
          <w:rFonts w:ascii="Arial" w:cs="Arial" w:eastAsia="Arial" w:hAnsi="Arial"/>
          <w:sz w:val="18"/>
          <w:szCs w:val="18"/>
          <w:b w:val="1"/>
          <w:bCs w:val="1"/>
          <w:i w:val="1"/>
          <w:iCs w:val="1"/>
          <w:color w:val="auto"/>
        </w:rPr>
        <w:t>Section 4.1</w:t>
      </w:r>
      <w:r>
        <w:rPr>
          <w:rFonts w:ascii="Arial" w:cs="Arial" w:eastAsia="Arial" w:hAnsi="Arial"/>
          <w:sz w:val="18"/>
          <w:szCs w:val="18"/>
          <w:color w:val="auto"/>
        </w:rPr>
        <w:t>, Borrower shall deliver to Administrative Agent or Administrative Agent shall deliver to Borrower, as the case may be, the original or a certified copy of a receipt issued by such Governmental Authority evidencing such payment, a copy of any return required by Laws to report such payment or other evidence of such payment reasonably satisfactory to Borrower or Administrative Agent, as the case may be.</w:t>
      </w:r>
    </w:p>
    <w:p>
      <w:pPr>
        <w:spacing w:after="0" w:line="156" w:lineRule="exact"/>
        <w:rPr>
          <w:rFonts w:ascii="Arial" w:cs="Arial" w:eastAsia="Arial" w:hAnsi="Arial"/>
          <w:sz w:val="18"/>
          <w:szCs w:val="18"/>
          <w:color w:val="auto"/>
        </w:rPr>
      </w:pPr>
    </w:p>
    <w:p>
      <w:pPr>
        <w:ind w:left="500" w:hanging="395"/>
        <w:spacing w:after="0"/>
        <w:tabs>
          <w:tab w:leader="none" w:pos="500" w:val="left"/>
        </w:tabs>
        <w:numPr>
          <w:ilvl w:val="0"/>
          <w:numId w:val="98"/>
        </w:numPr>
        <w:rPr>
          <w:rFonts w:ascii="Arial" w:cs="Arial" w:eastAsia="Arial" w:hAnsi="Arial"/>
          <w:sz w:val="20"/>
          <w:szCs w:val="20"/>
          <w:color w:val="auto"/>
        </w:rPr>
      </w:pPr>
      <w:r>
        <w:rPr>
          <w:rFonts w:ascii="Arial" w:cs="Arial" w:eastAsia="Arial" w:hAnsi="Arial"/>
          <w:sz w:val="20"/>
          <w:szCs w:val="20"/>
          <w:b w:val="1"/>
          <w:bCs w:val="1"/>
          <w:color w:val="auto"/>
        </w:rPr>
        <w:t>Status of Lenders; Tax Documentation</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left="100" w:firstLine="653"/>
        <w:spacing w:after="0" w:line="268" w:lineRule="auto"/>
        <w:tabs>
          <w:tab w:leader="none" w:pos="1128"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Any Lender that is entitled to an exemption from or reduction of withholding Tax with respect to payments made under any Loan Paper shall deliver to Borrower and Administrative Agent, at the time or times reasonably requested by Borrower or Administrative Agent, such properly completed and executed documentation reasonably requested by Borrower or Administrative Agent as will permit such payments to be made without withholding or at a reduced rate of withholding. In addition, any Lender, if reasonably requested by Borrower or Administrative Agent, shall deliver such other documentation prescribed by applicable Law or reasonably requested by Borrower or Administrative Agent as will enable Borrower or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8"/>
          <w:szCs w:val="18"/>
          <w:b w:val="1"/>
          <w:bCs w:val="1"/>
          <w:i w:val="1"/>
          <w:iCs w:val="1"/>
          <w:color w:val="auto"/>
        </w:rPr>
        <w:t>Section 4.1(e)(ii)(A)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4.1(e)(ii)(B)</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4.1(e)(ii)</w:t>
      </w:r>
    </w:p>
    <w:p>
      <w:pPr>
        <w:spacing w:after="0" w:line="2" w:lineRule="exact"/>
        <w:rPr>
          <w:rFonts w:ascii="Arial" w:cs="Arial" w:eastAsia="Arial" w:hAnsi="Arial"/>
          <w:sz w:val="18"/>
          <w:szCs w:val="18"/>
          <w:color w:val="auto"/>
        </w:rPr>
      </w:pPr>
    </w:p>
    <w:p>
      <w:pPr>
        <w:jc w:val="both"/>
        <w:ind w:left="100"/>
        <w:spacing w:after="0" w:line="241" w:lineRule="auto"/>
        <w:rPr>
          <w:rFonts w:ascii="Arial" w:cs="Arial" w:eastAsia="Arial" w:hAnsi="Arial"/>
          <w:sz w:val="18"/>
          <w:szCs w:val="18"/>
          <w:color w:val="auto"/>
        </w:rPr>
      </w:pPr>
      <w:r>
        <w:rPr>
          <w:rFonts w:ascii="Arial" w:cs="Arial" w:eastAsia="Arial" w:hAnsi="Arial"/>
          <w:sz w:val="20"/>
          <w:szCs w:val="20"/>
          <w:b w:val="1"/>
          <w:bCs w:val="1"/>
          <w:i w:val="1"/>
          <w:iCs w:val="1"/>
          <w:color w:val="auto"/>
        </w:rPr>
        <w:t xml:space="preserve">(D) </w:t>
      </w:r>
      <w:r>
        <w:rPr>
          <w:rFonts w:ascii="Arial" w:cs="Arial" w:eastAsia="Arial" w:hAnsi="Arial"/>
          <w:sz w:val="20"/>
          <w:szCs w:val="20"/>
          <w:color w:val="auto"/>
        </w:rPr>
        <w:t>below) shall not be required if in the Lender’s reasonable judgment such completion, execution or submission would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subject such Lender to any material unreimbursed cost or expense or would materially prejudice the legal or commercial position of such Lender.</w:t>
      </w:r>
    </w:p>
    <w:p>
      <w:pPr>
        <w:spacing w:after="0" w:line="196" w:lineRule="exact"/>
        <w:rPr>
          <w:rFonts w:ascii="Arial" w:cs="Arial" w:eastAsia="Arial" w:hAnsi="Arial"/>
          <w:sz w:val="18"/>
          <w:szCs w:val="18"/>
          <w:color w:val="auto"/>
        </w:rPr>
      </w:pPr>
    </w:p>
    <w:p>
      <w:pPr>
        <w:ind w:left="1180" w:hanging="427"/>
        <w:spacing w:after="0"/>
        <w:tabs>
          <w:tab w:leader="none" w:pos="1180" w:val="left"/>
        </w:tabs>
        <w:numPr>
          <w:ilvl w:val="1"/>
          <w:numId w:val="98"/>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Borrower is a U.S. Person,</w:t>
      </w:r>
    </w:p>
    <w:p>
      <w:pPr>
        <w:spacing w:after="0" w:line="215" w:lineRule="exact"/>
        <w:rPr>
          <w:rFonts w:ascii="Arial" w:cs="Arial" w:eastAsia="Arial" w:hAnsi="Arial"/>
          <w:sz w:val="20"/>
          <w:szCs w:val="20"/>
          <w:color w:val="auto"/>
        </w:rPr>
      </w:pPr>
    </w:p>
    <w:p>
      <w:pPr>
        <w:jc w:val="both"/>
        <w:ind w:left="760" w:firstLine="641"/>
        <w:spacing w:after="0" w:line="246" w:lineRule="auto"/>
        <w:tabs>
          <w:tab w:leader="none" w:pos="1904" w:val="left"/>
        </w:tabs>
        <w:numPr>
          <w:ilvl w:val="2"/>
          <w:numId w:val="98"/>
        </w:numPr>
        <w:rPr>
          <w:rFonts w:ascii="Arial" w:cs="Arial" w:eastAsia="Arial" w:hAnsi="Arial"/>
          <w:sz w:val="20"/>
          <w:szCs w:val="20"/>
          <w:color w:val="auto"/>
        </w:rPr>
      </w:pPr>
      <w:r>
        <w:rPr>
          <w:rFonts w:ascii="Arial" w:cs="Arial" w:eastAsia="Arial" w:hAnsi="Arial"/>
          <w:sz w:val="20"/>
          <w:szCs w:val="20"/>
          <w:color w:val="auto"/>
        </w:rPr>
        <w:t>any Lender that is a U.S. Person shall deliver to Borrower and Administrative Agent on or prior to the date on which such Lender becomes a Lender under this Agreement (and from time to time thereafter upon the reasonable request of Borrower or Administrative Agent), executed originals of IRS Form W-9 certifying that such Lender is exempt from U.S. federal backup withholding tax;</w:t>
      </w:r>
    </w:p>
    <w:p>
      <w:pPr>
        <w:spacing w:after="0" w:line="200" w:lineRule="exact"/>
        <w:rPr>
          <w:sz w:val="20"/>
          <w:szCs w:val="20"/>
          <w:color w:val="auto"/>
        </w:rPr>
      </w:pPr>
    </w:p>
    <w:p>
      <w:pPr>
        <w:spacing w:after="0" w:line="235"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69</w:t>
      </w:r>
    </w:p>
    <w:p>
      <w:pPr>
        <w:sectPr>
          <w:pgSz w:w="11900" w:h="16838" w:orient="portrait"/>
          <w:cols w:equalWidth="0" w:num="1">
            <w:col w:w="10220"/>
          </w:cols>
          <w:pgMar w:left="1440" w:top="582" w:right="239" w:bottom="1440" w:gutter="0" w:footer="0" w:header="0"/>
        </w:sectPr>
      </w:pPr>
    </w:p>
    <w:bookmarkStart w:id="133" w:name="page134"/>
    <w:bookmarkEnd w:id="133"/>
    <w:p>
      <w:pPr>
        <w:jc w:val="both"/>
        <w:ind w:left="760" w:firstLine="641"/>
        <w:spacing w:after="0" w:line="263" w:lineRule="auto"/>
        <w:tabs>
          <w:tab w:leader="none" w:pos="2055" w:val="left"/>
        </w:tabs>
        <w:numPr>
          <w:ilvl w:val="0"/>
          <w:numId w:val="99"/>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Borrower and Administrative Agent (in such number of copies as shall be requested by the recipient) on or prior to the date on which such Foreign Lender becomes a Lender under this Agreement (and from time to time thereafter upon the reasonable request of Borrower or Administrative Agent), whichever of the following is applicable:</w:t>
      </w:r>
    </w:p>
    <w:p>
      <w:pPr>
        <w:spacing w:after="0" w:line="176" w:lineRule="exact"/>
        <w:rPr>
          <w:rFonts w:ascii="Arial" w:cs="Arial" w:eastAsia="Arial" w:hAnsi="Arial"/>
          <w:sz w:val="19"/>
          <w:szCs w:val="19"/>
          <w:color w:val="auto"/>
        </w:rPr>
      </w:pPr>
    </w:p>
    <w:p>
      <w:pPr>
        <w:jc w:val="both"/>
        <w:ind w:left="1400" w:firstLine="649"/>
        <w:spacing w:after="0" w:line="259" w:lineRule="auto"/>
        <w:tabs>
          <w:tab w:leader="none" w:pos="2440" w:val="left"/>
        </w:tabs>
        <w:numPr>
          <w:ilvl w:val="1"/>
          <w:numId w:val="99"/>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an income tax treaty to which the United States is a party (x) with respect to payments of interest under any Loan Paper, executed originals of IRS Form W-8BEN establishing an exemption from, or reduction of, U.S. federal withholding Tax pursuant to the “interest” article of such tax treaty and (y) with respect to any other applicable payments under any Loan Paper, IRS Form W-8BEN establishing an exemption from, or reduction of, U.S. federal withholding Tax pursuant to the “business profits” or “other income” article of such tax treaty;</w:t>
      </w:r>
    </w:p>
    <w:p>
      <w:pPr>
        <w:spacing w:after="0" w:line="179" w:lineRule="exact"/>
        <w:rPr>
          <w:sz w:val="20"/>
          <w:szCs w:val="20"/>
          <w:color w:val="auto"/>
        </w:rPr>
      </w:pPr>
    </w:p>
    <w:p>
      <w:pPr>
        <w:ind w:left="2040"/>
        <w:spacing w:after="0"/>
        <w:tabs>
          <w:tab w:leader="none" w:pos="2480" w:val="left"/>
        </w:tabs>
        <w:rPr>
          <w:sz w:val="20"/>
          <w:szCs w:val="20"/>
          <w:color w:val="auto"/>
        </w:rPr>
      </w:pPr>
      <w:r>
        <w:rPr>
          <w:rFonts w:ascii="Arial" w:cs="Arial" w:eastAsia="Arial" w:hAnsi="Arial"/>
          <w:sz w:val="20"/>
          <w:szCs w:val="20"/>
          <w:color w:val="auto"/>
        </w:rPr>
        <w:t>(II)</w:t>
      </w:r>
      <w:r>
        <w:rPr>
          <w:sz w:val="20"/>
          <w:szCs w:val="20"/>
          <w:color w:val="auto"/>
        </w:rPr>
        <w:tab/>
      </w:r>
      <w:r>
        <w:rPr>
          <w:rFonts w:ascii="Arial" w:cs="Arial" w:eastAsia="Arial" w:hAnsi="Arial"/>
          <w:sz w:val="18"/>
          <w:szCs w:val="18"/>
          <w:color w:val="auto"/>
        </w:rPr>
        <w:t>executed originals of IRS Form W-8ECI;</w:t>
      </w:r>
    </w:p>
    <w:p>
      <w:pPr>
        <w:spacing w:after="0" w:line="216" w:lineRule="exact"/>
        <w:rPr>
          <w:sz w:val="20"/>
          <w:szCs w:val="20"/>
          <w:color w:val="auto"/>
        </w:rPr>
      </w:pPr>
    </w:p>
    <w:p>
      <w:pPr>
        <w:jc w:val="both"/>
        <w:ind w:left="1400" w:firstLine="649"/>
        <w:spacing w:after="0" w:line="269" w:lineRule="auto"/>
        <w:tabs>
          <w:tab w:leader="none" w:pos="2639" w:val="left"/>
        </w:tabs>
        <w:numPr>
          <w:ilvl w:val="1"/>
          <w:numId w:val="100"/>
        </w:numPr>
        <w:rPr>
          <w:rFonts w:ascii="Arial" w:cs="Arial" w:eastAsia="Arial" w:hAnsi="Arial"/>
          <w:sz w:val="18"/>
          <w:szCs w:val="18"/>
          <w:color w:val="auto"/>
        </w:rPr>
      </w:pPr>
      <w:r>
        <w:rPr>
          <w:rFonts w:ascii="Arial" w:cs="Arial" w:eastAsia="Arial" w:hAnsi="Arial"/>
          <w:sz w:val="18"/>
          <w:szCs w:val="18"/>
          <w:color w:val="auto"/>
        </w:rPr>
        <w:t xml:space="preserve">in the case of a Foreign Lender claiming the benefits of the exemption for portfolio interest under </w:t>
      </w:r>
      <w:r>
        <w:rPr>
          <w:rFonts w:ascii="Arial" w:cs="Arial" w:eastAsia="Arial" w:hAnsi="Arial"/>
          <w:sz w:val="18"/>
          <w:szCs w:val="18"/>
          <w:i w:val="1"/>
          <w:iCs w:val="1"/>
          <w:color w:val="auto"/>
        </w:rPr>
        <w:t>Section 881(c)</w:t>
      </w:r>
      <w:r>
        <w:rPr>
          <w:rFonts w:ascii="Arial" w:cs="Arial" w:eastAsia="Arial" w:hAnsi="Arial"/>
          <w:sz w:val="18"/>
          <w:szCs w:val="18"/>
          <w:color w:val="auto"/>
        </w:rPr>
        <w:t xml:space="preserve"> of the Code, (x) a certificate substantially in the form of </w:t>
      </w:r>
      <w:r>
        <w:rPr>
          <w:rFonts w:ascii="Arial" w:cs="Arial" w:eastAsia="Arial" w:hAnsi="Arial"/>
          <w:sz w:val="18"/>
          <w:szCs w:val="18"/>
          <w:b w:val="1"/>
          <w:bCs w:val="1"/>
          <w:i w:val="1"/>
          <w:iCs w:val="1"/>
          <w:color w:val="auto"/>
        </w:rPr>
        <w:t>Exhibit G-1</w:t>
      </w:r>
      <w:r>
        <w:rPr>
          <w:rFonts w:ascii="Arial" w:cs="Arial" w:eastAsia="Arial" w:hAnsi="Arial"/>
          <w:sz w:val="18"/>
          <w:szCs w:val="18"/>
          <w:color w:val="auto"/>
        </w:rPr>
        <w:t xml:space="preserve"> to the effect that such Foreign Lender is not a “bank” within the meaning of </w:t>
      </w:r>
      <w:r>
        <w:rPr>
          <w:rFonts w:ascii="Arial" w:cs="Arial" w:eastAsia="Arial" w:hAnsi="Arial"/>
          <w:sz w:val="18"/>
          <w:szCs w:val="18"/>
          <w:i w:val="1"/>
          <w:iCs w:val="1"/>
          <w:color w:val="auto"/>
        </w:rPr>
        <w:t>Section 881(c)(3)(A)</w:t>
      </w:r>
      <w:r>
        <w:rPr>
          <w:rFonts w:ascii="Arial" w:cs="Arial" w:eastAsia="Arial" w:hAnsi="Arial"/>
          <w:sz w:val="18"/>
          <w:szCs w:val="18"/>
          <w:color w:val="auto"/>
        </w:rPr>
        <w:t xml:space="preserve"> of the Code, a “10 percent shareholder” of Borrower within the meaning of </w:t>
      </w:r>
      <w:r>
        <w:rPr>
          <w:rFonts w:ascii="Arial" w:cs="Arial" w:eastAsia="Arial" w:hAnsi="Arial"/>
          <w:sz w:val="18"/>
          <w:szCs w:val="18"/>
          <w:i w:val="1"/>
          <w:iCs w:val="1"/>
          <w:color w:val="auto"/>
        </w:rPr>
        <w:t>Section 881(c)(3)(B)</w:t>
      </w:r>
      <w:r>
        <w:rPr>
          <w:rFonts w:ascii="Arial" w:cs="Arial" w:eastAsia="Arial" w:hAnsi="Arial"/>
          <w:sz w:val="18"/>
          <w:szCs w:val="18"/>
          <w:color w:val="auto"/>
        </w:rPr>
        <w:t xml:space="preserve"> of the Code, or a “controlled foreign corporation” described in </w:t>
      </w:r>
      <w:r>
        <w:rPr>
          <w:rFonts w:ascii="Arial" w:cs="Arial" w:eastAsia="Arial" w:hAnsi="Arial"/>
          <w:sz w:val="18"/>
          <w:szCs w:val="18"/>
          <w:i w:val="1"/>
          <w:iCs w:val="1"/>
          <w:color w:val="auto"/>
        </w:rPr>
        <w:t>Section 881(c)(3)(C)</w:t>
      </w:r>
      <w:r>
        <w:rPr>
          <w:rFonts w:ascii="Arial" w:cs="Arial" w:eastAsia="Arial" w:hAnsi="Arial"/>
          <w:sz w:val="18"/>
          <w:szCs w:val="18"/>
          <w:color w:val="auto"/>
        </w:rPr>
        <w:t xml:space="preserve"> of the Code (a “</w:t>
      </w:r>
      <w:r>
        <w:rPr>
          <w:rFonts w:ascii="Arial" w:cs="Arial" w:eastAsia="Arial" w:hAnsi="Arial"/>
          <w:sz w:val="18"/>
          <w:szCs w:val="18"/>
          <w:b w:val="1"/>
          <w:bCs w:val="1"/>
          <w:i w:val="1"/>
          <w:iCs w:val="1"/>
          <w:color w:val="auto"/>
        </w:rPr>
        <w:t>U.S. Tax Compliance Certificate</w:t>
      </w:r>
      <w:r>
        <w:rPr>
          <w:rFonts w:ascii="Arial" w:cs="Arial" w:eastAsia="Arial" w:hAnsi="Arial"/>
          <w:sz w:val="18"/>
          <w:szCs w:val="18"/>
          <w:color w:val="auto"/>
        </w:rPr>
        <w:t>”) and</w:t>
      </w:r>
    </w:p>
    <w:p>
      <w:pPr>
        <w:spacing w:after="0" w:line="3" w:lineRule="exact"/>
        <w:rPr>
          <w:rFonts w:ascii="Arial" w:cs="Arial" w:eastAsia="Arial" w:hAnsi="Arial"/>
          <w:sz w:val="18"/>
          <w:szCs w:val="18"/>
          <w:color w:val="auto"/>
        </w:rPr>
      </w:pPr>
    </w:p>
    <w:p>
      <w:pPr>
        <w:ind w:left="1680" w:hanging="279"/>
        <w:spacing w:after="0"/>
        <w:tabs>
          <w:tab w:leader="none" w:pos="168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executed originals of IRS Form W-8BEN; or</w:t>
      </w:r>
    </w:p>
    <w:p>
      <w:pPr>
        <w:spacing w:after="0" w:line="200" w:lineRule="exact"/>
        <w:rPr>
          <w:sz w:val="20"/>
          <w:szCs w:val="20"/>
          <w:color w:val="auto"/>
        </w:rPr>
      </w:pPr>
    </w:p>
    <w:p>
      <w:pPr>
        <w:jc w:val="both"/>
        <w:ind w:left="1400" w:firstLine="648"/>
        <w:spacing w:after="0" w:line="258" w:lineRule="auto"/>
        <w:rPr>
          <w:sz w:val="20"/>
          <w:szCs w:val="20"/>
          <w:color w:val="auto"/>
        </w:rPr>
      </w:pPr>
      <w:r>
        <w:rPr>
          <w:rFonts w:ascii="Arial" w:cs="Arial" w:eastAsia="Arial" w:hAnsi="Arial"/>
          <w:sz w:val="19"/>
          <w:szCs w:val="19"/>
          <w:color w:val="auto"/>
        </w:rPr>
        <w:t xml:space="preserve">(IV) to the extent a Foreign Lender is not the beneficial owner, executed originals of IRS Form W-8IMY, accompanied by IRS Form W-8ECI, IRS Form W-8BEN, a U.S. Tax Compliance Certificate substantially in the form of </w:t>
      </w:r>
      <w:r>
        <w:rPr>
          <w:rFonts w:ascii="Arial" w:cs="Arial" w:eastAsia="Arial" w:hAnsi="Arial"/>
          <w:sz w:val="19"/>
          <w:szCs w:val="19"/>
          <w:b w:val="1"/>
          <w:bCs w:val="1"/>
          <w:i w:val="1"/>
          <w:iCs w:val="1"/>
          <w:color w:val="auto"/>
        </w:rPr>
        <w:t>Exhibit G-2</w:t>
      </w:r>
      <w:r>
        <w:rPr>
          <w:rFonts w:ascii="Arial" w:cs="Arial" w:eastAsia="Arial" w:hAnsi="Arial"/>
          <w:sz w:val="19"/>
          <w:szCs w:val="19"/>
          <w:color w:val="auto"/>
        </w:rPr>
        <w:t xml:space="preserve"> or </w:t>
      </w:r>
      <w:r>
        <w:rPr>
          <w:rFonts w:ascii="Arial" w:cs="Arial" w:eastAsia="Arial" w:hAnsi="Arial"/>
          <w:sz w:val="19"/>
          <w:szCs w:val="19"/>
          <w:b w:val="1"/>
          <w:bCs w:val="1"/>
          <w:i w:val="1"/>
          <w:iCs w:val="1"/>
          <w:color w:val="auto"/>
        </w:rPr>
        <w:t>Exhibit G-3</w:t>
      </w:r>
      <w:r>
        <w:rPr>
          <w:rFonts w:ascii="Arial" w:cs="Arial" w:eastAsia="Arial" w:hAnsi="Arial"/>
          <w:sz w:val="19"/>
          <w:szCs w:val="19"/>
          <w:color w:val="auto"/>
        </w:rPr>
        <w:t xml:space="preserve">, IRS Form W-9, and/or other certification documents from each beneficial owner, as applicable;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9"/>
          <w:szCs w:val="19"/>
          <w:b w:val="1"/>
          <w:bCs w:val="1"/>
          <w:i w:val="1"/>
          <w:iCs w:val="1"/>
          <w:color w:val="auto"/>
        </w:rPr>
        <w:t>Exhibit G-4</w:t>
      </w:r>
      <w:r>
        <w:rPr>
          <w:rFonts w:ascii="Arial" w:cs="Arial" w:eastAsia="Arial" w:hAnsi="Arial"/>
          <w:sz w:val="19"/>
          <w:szCs w:val="19"/>
          <w:color w:val="auto"/>
        </w:rPr>
        <w:t xml:space="preserve"> on behalf of each such direct and indirect partner;</w:t>
      </w:r>
    </w:p>
    <w:p>
      <w:pPr>
        <w:spacing w:after="0" w:line="179" w:lineRule="exact"/>
        <w:rPr>
          <w:sz w:val="20"/>
          <w:szCs w:val="20"/>
          <w:color w:val="auto"/>
        </w:rPr>
      </w:pPr>
    </w:p>
    <w:p>
      <w:pPr>
        <w:jc w:val="both"/>
        <w:ind w:left="760" w:firstLine="641"/>
        <w:spacing w:after="0" w:line="258" w:lineRule="auto"/>
        <w:tabs>
          <w:tab w:leader="none" w:pos="2055"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Borrower and Administrative Agent (in such number of copies as shall be requested by the recipient) on or prior to the date on which such Foreign Lender becomes a Lender under this Agreement (and from time to time thereafter upon the reasonable request of Borrower or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Borrower or Administrative Agent to determine the withholding or deduction required to be made; and</w:t>
      </w:r>
    </w:p>
    <w:p>
      <w:pPr>
        <w:spacing w:after="0" w:line="200" w:lineRule="exact"/>
        <w:rPr>
          <w:sz w:val="20"/>
          <w:szCs w:val="20"/>
          <w:color w:val="auto"/>
        </w:rPr>
      </w:pPr>
    </w:p>
    <w:p>
      <w:pPr>
        <w:spacing w:after="0" w:line="222"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70</w:t>
      </w:r>
    </w:p>
    <w:p>
      <w:pPr>
        <w:sectPr>
          <w:pgSz w:w="11900" w:h="16838" w:orient="portrait"/>
          <w:cols w:equalWidth="0" w:num="1">
            <w:col w:w="10220"/>
          </w:cols>
          <w:pgMar w:left="1440" w:top="582" w:right="239" w:bottom="1440" w:gutter="0" w:footer="0" w:header="0"/>
        </w:sectPr>
      </w:pPr>
    </w:p>
    <w:bookmarkStart w:id="134" w:name="page135"/>
    <w:bookmarkEnd w:id="134"/>
    <w:p>
      <w:pPr>
        <w:jc w:val="both"/>
        <w:ind w:left="760" w:firstLine="641"/>
        <w:spacing w:after="0" w:line="271" w:lineRule="auto"/>
        <w:tabs>
          <w:tab w:leader="none" w:pos="189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 xml:space="preserve">if a payment made to a Lender under any Loan Paper would be subject to U.S. federal withholding Tax imposed by FATCA if such Lender were to fail to comply with the applicable reporting requirements of FATCA (including those contained in </w:t>
      </w:r>
      <w:r>
        <w:rPr>
          <w:rFonts w:ascii="Arial" w:cs="Arial" w:eastAsia="Arial" w:hAnsi="Arial"/>
          <w:sz w:val="18"/>
          <w:szCs w:val="18"/>
          <w:i w:val="1"/>
          <w:iCs w:val="1"/>
          <w:color w:val="auto"/>
        </w:rPr>
        <w:t>Section 1471(b)</w:t>
      </w:r>
      <w:r>
        <w:rPr>
          <w:rFonts w:ascii="Arial" w:cs="Arial" w:eastAsia="Arial" w:hAnsi="Arial"/>
          <w:sz w:val="18"/>
          <w:szCs w:val="18"/>
          <w:color w:val="auto"/>
        </w:rPr>
        <w:t xml:space="preserve"> or </w:t>
      </w:r>
      <w:r>
        <w:rPr>
          <w:rFonts w:ascii="Arial" w:cs="Arial" w:eastAsia="Arial" w:hAnsi="Arial"/>
          <w:sz w:val="18"/>
          <w:szCs w:val="18"/>
          <w:i w:val="1"/>
          <w:iCs w:val="1"/>
          <w:color w:val="auto"/>
        </w:rPr>
        <w:t>1472(b)</w:t>
      </w:r>
      <w:r>
        <w:rPr>
          <w:rFonts w:ascii="Arial" w:cs="Arial" w:eastAsia="Arial" w:hAnsi="Arial"/>
          <w:sz w:val="18"/>
          <w:szCs w:val="18"/>
          <w:color w:val="auto"/>
        </w:rPr>
        <w:t xml:space="preserve"> of the Code, as applicable), such Lender shall deliver to Borrower and Administrative Agent at the time or times prescribed by law and at such time or times reasonably requested by Borrower or Administrative Agent such documentation prescribed by applicable law (including as prescribed by </w:t>
      </w:r>
      <w:r>
        <w:rPr>
          <w:rFonts w:ascii="Arial" w:cs="Arial" w:eastAsia="Arial" w:hAnsi="Arial"/>
          <w:sz w:val="18"/>
          <w:szCs w:val="18"/>
          <w:i w:val="1"/>
          <w:iCs w:val="1"/>
          <w:color w:val="auto"/>
        </w:rPr>
        <w:t>Section 1471(b)(3)(C)(i)</w:t>
      </w:r>
      <w:r>
        <w:rPr>
          <w:rFonts w:ascii="Arial" w:cs="Arial" w:eastAsia="Arial" w:hAnsi="Arial"/>
          <w:sz w:val="18"/>
          <w:szCs w:val="18"/>
          <w:color w:val="auto"/>
        </w:rPr>
        <w:t xml:space="preserve"> of the Code) and such additional documentation reasonably requested by Borrower or Administrative Agent as may be necessary for Borrower and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8"/>
          <w:szCs w:val="18"/>
          <w:b w:val="1"/>
          <w:bCs w:val="1"/>
          <w:i w:val="1"/>
          <w:iCs w:val="1"/>
          <w:color w:val="auto"/>
        </w:rPr>
        <w:t>clause (D)</w:t>
      </w:r>
      <w:r>
        <w:rPr>
          <w:rFonts w:ascii="Arial" w:cs="Arial" w:eastAsia="Arial" w:hAnsi="Arial"/>
          <w:sz w:val="18"/>
          <w:szCs w:val="18"/>
          <w:color w:val="auto"/>
        </w:rPr>
        <w:t>, “FATCA” shall include any amendments made to FATCA after the date of this Agreement.</w:t>
      </w:r>
    </w:p>
    <w:p>
      <w:pPr>
        <w:spacing w:after="0" w:line="174" w:lineRule="exact"/>
        <w:rPr>
          <w:rFonts w:ascii="Arial" w:cs="Arial" w:eastAsia="Arial" w:hAnsi="Arial"/>
          <w:sz w:val="18"/>
          <w:szCs w:val="18"/>
          <w:color w:val="auto"/>
        </w:rPr>
      </w:pPr>
    </w:p>
    <w:p>
      <w:pPr>
        <w:jc w:val="both"/>
        <w:ind w:left="100" w:firstLine="653"/>
        <w:spacing w:after="0" w:line="250" w:lineRule="auto"/>
        <w:tabs>
          <w:tab w:leader="none" w:pos="1225" w:val="left"/>
        </w:tabs>
        <w:numPr>
          <w:ilvl w:val="0"/>
          <w:numId w:val="104"/>
        </w:numPr>
        <w:rPr>
          <w:rFonts w:ascii="Arial" w:cs="Arial" w:eastAsia="Arial" w:hAnsi="Arial"/>
          <w:sz w:val="20"/>
          <w:szCs w:val="20"/>
          <w:color w:val="auto"/>
        </w:rPr>
      </w:pPr>
      <w:r>
        <w:rPr>
          <w:rFonts w:ascii="Arial" w:cs="Arial" w:eastAsia="Arial" w:hAnsi="Arial"/>
          <w:sz w:val="20"/>
          <w:szCs w:val="20"/>
          <w:color w:val="auto"/>
        </w:rPr>
        <w:t xml:space="preserve">Each Lender agrees that if any form or certification it previously delivered pursuant to this </w:t>
      </w:r>
      <w:r>
        <w:rPr>
          <w:rFonts w:ascii="Arial" w:cs="Arial" w:eastAsia="Arial" w:hAnsi="Arial"/>
          <w:sz w:val="20"/>
          <w:szCs w:val="20"/>
          <w:b w:val="1"/>
          <w:bCs w:val="1"/>
          <w:i w:val="1"/>
          <w:iCs w:val="1"/>
          <w:color w:val="auto"/>
        </w:rPr>
        <w:t>Section 4.1</w:t>
      </w:r>
      <w:r>
        <w:rPr>
          <w:rFonts w:ascii="Arial" w:cs="Arial" w:eastAsia="Arial" w:hAnsi="Arial"/>
          <w:sz w:val="20"/>
          <w:szCs w:val="20"/>
          <w:color w:val="auto"/>
        </w:rPr>
        <w:t xml:space="preserve"> expires or becomes obsolete or inaccurate in any respect, it shall update such form or certification or promptly notify Borrower and Administrative Agent in writing of its legal inability to do so.</w:t>
      </w:r>
    </w:p>
    <w:p>
      <w:pPr>
        <w:spacing w:after="0" w:line="186" w:lineRule="exact"/>
        <w:rPr>
          <w:sz w:val="20"/>
          <w:szCs w:val="20"/>
          <w:color w:val="auto"/>
        </w:rPr>
      </w:pPr>
    </w:p>
    <w:p>
      <w:pPr>
        <w:jc w:val="both"/>
        <w:ind w:left="100" w:firstLine="324"/>
        <w:spacing w:after="0" w:line="269" w:lineRule="auto"/>
        <w:rPr>
          <w:sz w:val="20"/>
          <w:szCs w:val="20"/>
          <w:color w:val="auto"/>
        </w:rPr>
      </w:pPr>
      <w:r>
        <w:rPr>
          <w:rFonts w:ascii="Arial" w:cs="Arial" w:eastAsia="Arial" w:hAnsi="Arial"/>
          <w:sz w:val="19"/>
          <w:szCs w:val="19"/>
          <w:color w:val="auto"/>
        </w:rPr>
        <w:t>For purposes of determining withholding Taxes imposed under FATCA, from and after the Closing Date, Borrower and Administrative Agent shall treat (and Lenders hereby authorize Administrative Agent to treat) this Agreement as not qualifying as a “grandfathered obligation” within the meaning of Treasury Regulation Section 1.1471-2(b)(2)(i).</w:t>
      </w:r>
    </w:p>
    <w:p>
      <w:pPr>
        <w:spacing w:after="0" w:line="164" w:lineRule="exact"/>
        <w:rPr>
          <w:sz w:val="20"/>
          <w:szCs w:val="20"/>
          <w:color w:val="auto"/>
        </w:rPr>
      </w:pPr>
    </w:p>
    <w:p>
      <w:pPr>
        <w:jc w:val="both"/>
        <w:ind w:left="-540" w:firstLine="645"/>
        <w:spacing w:after="0" w:line="269" w:lineRule="auto"/>
        <w:tabs>
          <w:tab w:leader="none" w:pos="567"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 xml:space="preserve">Treatment of Certain Refunds. </w:t>
      </w:r>
      <w:r>
        <w:rPr>
          <w:rFonts w:ascii="Arial" w:cs="Arial" w:eastAsia="Arial" w:hAnsi="Arial"/>
          <w:sz w:val="18"/>
          <w:szCs w:val="18"/>
          <w:color w:val="auto"/>
        </w:rPr>
        <w:t>Unless required by applicable Laws, at no time shall Administrative Agent have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obligation to file for or otherwise pursue on behalf of a Lender or a L/C Issuer, or have any obligation to pay to any Lender or such L/C Issuer, any refund of Taxes withheld or deducted from funds paid for the account of such Lender or such L/C Issuer, as the case may be. If any Recipient determines, in its sole discretion exercised in good faith, that it has received a refund of any Taxes as to which it has been indemnified by any Restricted Company or with respect to which any Restricted Company has paid additional amounts pursuant to this </w:t>
      </w:r>
      <w:r>
        <w:rPr>
          <w:rFonts w:ascii="Arial" w:cs="Arial" w:eastAsia="Arial" w:hAnsi="Arial"/>
          <w:sz w:val="18"/>
          <w:szCs w:val="18"/>
          <w:b w:val="1"/>
          <w:bCs w:val="1"/>
          <w:i w:val="1"/>
          <w:iCs w:val="1"/>
          <w:color w:val="auto"/>
        </w:rPr>
        <w:t>Section 4.1</w:t>
      </w:r>
      <w:r>
        <w:rPr>
          <w:rFonts w:ascii="Arial" w:cs="Arial" w:eastAsia="Arial" w:hAnsi="Arial"/>
          <w:sz w:val="18"/>
          <w:szCs w:val="18"/>
          <w:color w:val="auto"/>
        </w:rPr>
        <w:t xml:space="preserve">, it shall pay to the Restricted Company an amount equal to such refund (but only to the extent of indemnity payments made, or additional amounts paid, by a Restricted Company under this </w:t>
      </w:r>
      <w:r>
        <w:rPr>
          <w:rFonts w:ascii="Arial" w:cs="Arial" w:eastAsia="Arial" w:hAnsi="Arial"/>
          <w:sz w:val="18"/>
          <w:szCs w:val="18"/>
          <w:b w:val="1"/>
          <w:bCs w:val="1"/>
          <w:i w:val="1"/>
          <w:iCs w:val="1"/>
          <w:color w:val="auto"/>
        </w:rPr>
        <w:t>Section 4.1</w:t>
      </w:r>
      <w:r>
        <w:rPr>
          <w:rFonts w:ascii="Arial" w:cs="Arial" w:eastAsia="Arial" w:hAnsi="Arial"/>
          <w:sz w:val="18"/>
          <w:szCs w:val="18"/>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Restricted Company, upon the request of the Recipient, agrees to repay the amount paid over to the Restricted Company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Restricted Company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Restricted Company or any other Person.</w:t>
      </w:r>
    </w:p>
    <w:p>
      <w:pPr>
        <w:spacing w:after="0" w:line="200" w:lineRule="exact"/>
        <w:rPr>
          <w:sz w:val="20"/>
          <w:szCs w:val="20"/>
          <w:color w:val="auto"/>
        </w:rPr>
      </w:pPr>
    </w:p>
    <w:p>
      <w:pPr>
        <w:spacing w:after="0" w:line="224"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71</w:t>
      </w:r>
    </w:p>
    <w:p>
      <w:pPr>
        <w:sectPr>
          <w:pgSz w:w="11900" w:h="16838" w:orient="portrait"/>
          <w:cols w:equalWidth="0" w:num="1">
            <w:col w:w="10220"/>
          </w:cols>
          <w:pgMar w:left="1440" w:top="582" w:right="239" w:bottom="1440" w:gutter="0" w:footer="0" w:header="0"/>
        </w:sectPr>
      </w:pPr>
    </w:p>
    <w:bookmarkStart w:id="135" w:name="page136"/>
    <w:bookmarkEnd w:id="135"/>
    <w:p>
      <w:pPr>
        <w:jc w:val="both"/>
        <w:ind w:left="660" w:firstLine="645"/>
        <w:spacing w:after="0" w:line="253" w:lineRule="auto"/>
        <w:tabs>
          <w:tab w:leader="none" w:pos="1760" w:val="left"/>
        </w:tabs>
        <w:numPr>
          <w:ilvl w:val="0"/>
          <w:numId w:val="106"/>
        </w:numPr>
        <w:rPr>
          <w:rFonts w:ascii="Arial" w:cs="Arial" w:eastAsia="Arial" w:hAnsi="Arial"/>
          <w:sz w:val="20"/>
          <w:szCs w:val="20"/>
          <w:color w:val="auto"/>
        </w:rPr>
      </w:pPr>
      <w:r>
        <w:rPr>
          <w:rFonts w:ascii="Arial" w:cs="Arial" w:eastAsia="Arial" w:hAnsi="Arial"/>
          <w:sz w:val="20"/>
          <w:szCs w:val="20"/>
          <w:b w:val="1"/>
          <w:bCs w:val="1"/>
          <w:color w:val="auto"/>
        </w:rPr>
        <w:t xml:space="preserve">Survival. </w:t>
      </w:r>
      <w:r>
        <w:rPr>
          <w:rFonts w:ascii="Arial" w:cs="Arial" w:eastAsia="Arial" w:hAnsi="Arial"/>
          <w:sz w:val="20"/>
          <w:szCs w:val="20"/>
          <w:color w:val="auto"/>
        </w:rPr>
        <w:t>Each party’s obligations under this</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Section 4.1</w:t>
      </w:r>
      <w:r>
        <w:rPr>
          <w:rFonts w:ascii="Arial" w:cs="Arial" w:eastAsia="Arial" w:hAnsi="Arial"/>
          <w:sz w:val="20"/>
          <w:szCs w:val="20"/>
          <w:b w:val="1"/>
          <w:bCs w:val="1"/>
          <w:color w:val="auto"/>
        </w:rPr>
        <w:t xml:space="preserve"> </w:t>
      </w:r>
      <w:r>
        <w:rPr>
          <w:rFonts w:ascii="Arial" w:cs="Arial" w:eastAsia="Arial" w:hAnsi="Arial"/>
          <w:sz w:val="20"/>
          <w:szCs w:val="20"/>
          <w:color w:val="auto"/>
        </w:rPr>
        <w:t>shall survive the resignation or replacement of Administrative</w:t>
      </w:r>
      <w:r>
        <w:rPr>
          <w:rFonts w:ascii="Arial" w:cs="Arial" w:eastAsia="Arial" w:hAnsi="Arial"/>
          <w:sz w:val="20"/>
          <w:szCs w:val="20"/>
          <w:b w:val="1"/>
          <w:bCs w:val="1"/>
          <w:color w:val="auto"/>
        </w:rPr>
        <w:t xml:space="preserve"> </w:t>
      </w:r>
      <w:r>
        <w:rPr>
          <w:rFonts w:ascii="Arial" w:cs="Arial" w:eastAsia="Arial" w:hAnsi="Arial"/>
          <w:sz w:val="20"/>
          <w:szCs w:val="20"/>
          <w:color w:val="auto"/>
        </w:rPr>
        <w:t>Agent or any assignment of rights by, or the replacement of, a Lender or an L/C Issuer, the termination of the Commitments and the repayment, satisfaction or discharge of all other Obligations.</w:t>
      </w:r>
    </w:p>
    <w:p>
      <w:pPr>
        <w:spacing w:after="0" w:line="4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Illegality</w:t>
      </w:r>
      <w:r>
        <w:rPr>
          <w:rFonts w:ascii="Arial" w:cs="Arial" w:eastAsia="Arial" w:hAnsi="Arial"/>
          <w:sz w:val="19"/>
          <w:szCs w:val="19"/>
          <w:color w:val="auto"/>
        </w:rPr>
        <w:t>. If any Lender determines that any Law has made it unlawful, or that any Governmental Authority has asserted that it is unlawful, for any Lender or its applicable Lending Office to make, maintain, or fund Eurocurrency Rate Loans, or to determine or charge interest rates based upon Eurocurrency Rate or Daily Floating LIBOR, or any Governmental Authority has imposed material restrictions on the authority of such Lender to purchase or sell, or to take deposits of, Dollars or any Alternative Currency in the applicable interbank market, then, on notice thereof by such Lender to Borrower through Administrative Agent, any obligation of such Lender to make or continue Eurocurrency Rate Loans or to convert Base Rate Loans to Eurocurrency Rate Loans, or to make Daily Floating LIBOR Loans, shall be suspended until such Lender notifies Administrative Agent and Borrower that the circumstances giving rise to such determination no longer exist. Upon receipt of such notice, Borrower shall, upon demand from such Lender (with a copy to Administrative Agent), prepay or, if applicable, convert all Eurocurrency Rate Loans of such Lender to Base Rate Loans, either on the last day of the Interest Period therefor (or, in the case of Daily Floating LIBOR Loans, on the next Business Day for Eurocurrency Rate Loans), if such Lender may lawfully continue to maintain such Eurocurrency Rate Loans to such day, or immediately, if such Lender may not lawfully continue to maintain such Eurocurrency Rate Loans, Daily Floating LIBOR Loans, or participations in Swing Line Loans. Upon any such prepayment or conversion, Borrower shall also pay accrued interest on the amount so prepaid or converted.</w:t>
      </w:r>
    </w:p>
    <w:p>
      <w:pPr>
        <w:spacing w:after="0" w:line="39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Inability to Determine Rates</w:t>
      </w:r>
      <w:r>
        <w:rPr>
          <w:rFonts w:ascii="Arial" w:cs="Arial" w:eastAsia="Arial" w:hAnsi="Arial"/>
          <w:sz w:val="18"/>
          <w:szCs w:val="18"/>
          <w:color w:val="auto"/>
        </w:rPr>
        <w:t xml:space="preserve">. If in connection with any request for a Eurocurrency Rate Loan or a conversion to or continuation thereof, (a) Administrative Agent determines that (i) deposits (whether in Dollars or an Alternative Currency) are not being offered to banks in the London interbank eurodollar market for the applicable amount and Interest Period of such Eurocurrency Rate Loan, or (ii) adequate and reasonable means do not exist for determining Eurocurrency Rate for any requested Interest Period with respect to a proposed Eurocurrency Rate Loan (whether in Dollars or an Alternative Currency) or in connection with an existing or proposed Base Rate Loan (in each case with respect to </w:t>
      </w:r>
      <w:r>
        <w:rPr>
          <w:rFonts w:ascii="Arial" w:cs="Arial" w:eastAsia="Arial" w:hAnsi="Arial"/>
          <w:sz w:val="18"/>
          <w:szCs w:val="18"/>
          <w:b w:val="1"/>
          <w:bCs w:val="1"/>
          <w:i w:val="1"/>
          <w:iCs w:val="1"/>
          <w:color w:val="auto"/>
        </w:rPr>
        <w:t>clause (a)(i)</w:t>
      </w:r>
      <w:r>
        <w:rPr>
          <w:rFonts w:ascii="Arial" w:cs="Arial" w:eastAsia="Arial" w:hAnsi="Arial"/>
          <w:sz w:val="18"/>
          <w:szCs w:val="18"/>
          <w:color w:val="auto"/>
        </w:rPr>
        <w:t xml:space="preserve"> above, “</w:t>
      </w:r>
      <w:r>
        <w:rPr>
          <w:rFonts w:ascii="Arial" w:cs="Arial" w:eastAsia="Arial" w:hAnsi="Arial"/>
          <w:sz w:val="18"/>
          <w:szCs w:val="18"/>
          <w:b w:val="1"/>
          <w:bCs w:val="1"/>
          <w:i w:val="1"/>
          <w:iCs w:val="1"/>
          <w:color w:val="auto"/>
        </w:rPr>
        <w:t>Impacted Loans</w:t>
      </w:r>
      <w:r>
        <w:rPr>
          <w:rFonts w:ascii="Arial" w:cs="Arial" w:eastAsia="Arial" w:hAnsi="Arial"/>
          <w:sz w:val="18"/>
          <w:szCs w:val="18"/>
          <w:color w:val="auto"/>
        </w:rPr>
        <w:t>”), or (b) Administrative Agent or the Required Lenders determine that for any reason Eurocurrency Rate for any requested Interest Period or Daily Floating LIBOR with respect to a proposed Eurocurrency Rate Loan does not adequately and fairly reflect the cost to such Lenders of funding such Loan, Administrative Agent will promptly so notify Borrower and each Lender. Thereafter, (x) the obligation of Lenders to make or maintain Eurocurrency Rate Loans shall be suspended (to the extent of the affected Eurocurrency Rate Loans or Interest Periods), and (y) in the event of a determination described in the preceding sentence with respect to Eurocurrency Rate component of the Base Rate, the utilization of Eurocurrency Rate component in determining the Base Rate shall be suspended, in each case until Administrative Agent upon the instruction of Required Lenders revokes such notice. Upon receipt of such notice, Borrower may revoke any pending request for a Loan of, conversion to or continuation of Eurocurrency Rate Loans (to the extent of the affected Eurocurrency Rate Loans or Interest Periods), or, failing that, will be deemed to have converted such request into a request for a borrowing of Base Rate Loans in the amount specified therein.</w:t>
      </w:r>
    </w:p>
    <w:p>
      <w:pPr>
        <w:spacing w:after="0" w:line="1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Notwithstanding the foregoing, if Administrative Agent has made the determination described in </w:t>
      </w:r>
      <w:r>
        <w:rPr>
          <w:rFonts w:ascii="Arial" w:cs="Arial" w:eastAsia="Arial" w:hAnsi="Arial"/>
          <w:sz w:val="20"/>
          <w:szCs w:val="20"/>
          <w:b w:val="1"/>
          <w:bCs w:val="1"/>
          <w:i w:val="1"/>
          <w:iCs w:val="1"/>
          <w:color w:val="auto"/>
        </w:rPr>
        <w:t>clause (a)(i)</w:t>
      </w:r>
      <w:r>
        <w:rPr>
          <w:rFonts w:ascii="Arial" w:cs="Arial" w:eastAsia="Arial" w:hAnsi="Arial"/>
          <w:sz w:val="20"/>
          <w:szCs w:val="20"/>
          <w:color w:val="auto"/>
        </w:rPr>
        <w:t xml:space="preserve"> of this </w:t>
      </w:r>
      <w:r>
        <w:rPr>
          <w:rFonts w:ascii="Arial" w:cs="Arial" w:eastAsia="Arial" w:hAnsi="Arial"/>
          <w:sz w:val="20"/>
          <w:szCs w:val="20"/>
          <w:b w:val="1"/>
          <w:bCs w:val="1"/>
          <w:i w:val="1"/>
          <w:iCs w:val="1"/>
          <w:color w:val="auto"/>
        </w:rPr>
        <w:t>Section</w:t>
      </w:r>
      <w:r>
        <w:rPr>
          <w:rFonts w:ascii="Arial" w:cs="Arial" w:eastAsia="Arial" w:hAnsi="Arial"/>
          <w:sz w:val="20"/>
          <w:szCs w:val="20"/>
          <w:color w:val="auto"/>
        </w:rPr>
        <w:t>, Administrative Agent, in consultation with Borrower and the affected Lenders, may establish an alternative interest rate for the Impacted Loans, in which case, such alternative rate of</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ectPr>
          <w:pgSz w:w="11900" w:h="16838" w:orient="portrait"/>
          <w:cols w:equalWidth="0" w:num="1">
            <w:col w:w="11420"/>
          </w:cols>
          <w:pgMar w:left="240" w:top="576" w:right="239" w:bottom="1440" w:gutter="0" w:footer="0" w:header="0"/>
        </w:sectPr>
      </w:pPr>
    </w:p>
    <w:bookmarkStart w:id="136" w:name="page137"/>
    <w:bookmarkEnd w:id="136"/>
    <w:p>
      <w:pPr>
        <w:jc w:val="both"/>
        <w:spacing w:after="0" w:line="272" w:lineRule="auto"/>
        <w:rPr>
          <w:sz w:val="20"/>
          <w:szCs w:val="20"/>
          <w:color w:val="auto"/>
        </w:rPr>
      </w:pPr>
      <w:r>
        <w:rPr>
          <w:rFonts w:ascii="Arial" w:cs="Arial" w:eastAsia="Arial" w:hAnsi="Arial"/>
          <w:sz w:val="18"/>
          <w:szCs w:val="18"/>
          <w:color w:val="auto"/>
        </w:rPr>
        <w:t xml:space="preserve">interest shall apply with respect to the Impacted Loans until (1) Administrative Agent revokes the notice delivered with respect to the Impacted Loans under </w:t>
      </w:r>
      <w:r>
        <w:rPr>
          <w:rFonts w:ascii="Arial" w:cs="Arial" w:eastAsia="Arial" w:hAnsi="Arial"/>
          <w:sz w:val="18"/>
          <w:szCs w:val="18"/>
          <w:b w:val="1"/>
          <w:bCs w:val="1"/>
          <w:i w:val="1"/>
          <w:iCs w:val="1"/>
          <w:color w:val="auto"/>
        </w:rPr>
        <w:t>clause (a)</w:t>
      </w:r>
      <w:r>
        <w:rPr>
          <w:rFonts w:ascii="Arial" w:cs="Arial" w:eastAsia="Arial" w:hAnsi="Arial"/>
          <w:sz w:val="18"/>
          <w:szCs w:val="18"/>
          <w:color w:val="auto"/>
        </w:rPr>
        <w:t xml:space="preserve"> of the first sentence of this </w:t>
      </w:r>
      <w:r>
        <w:rPr>
          <w:rFonts w:ascii="Arial" w:cs="Arial" w:eastAsia="Arial" w:hAnsi="Arial"/>
          <w:sz w:val="18"/>
          <w:szCs w:val="18"/>
          <w:b w:val="1"/>
          <w:bCs w:val="1"/>
          <w:i w:val="1"/>
          <w:iCs w:val="1"/>
          <w:color w:val="auto"/>
        </w:rPr>
        <w:t>Section</w:t>
      </w:r>
      <w:r>
        <w:rPr>
          <w:rFonts w:ascii="Arial" w:cs="Arial" w:eastAsia="Arial" w:hAnsi="Arial"/>
          <w:sz w:val="18"/>
          <w:szCs w:val="18"/>
          <w:color w:val="auto"/>
        </w:rPr>
        <w:t>, (2) Administrative Agent or the affected Lenders notify Administrative Agent and Borrower that such alternative interest rate does not adequately and fairly reflect the cost to such Lenders of funding the Impacted Loans, or</w:t>
      </w:r>
    </w:p>
    <w:p>
      <w:pPr>
        <w:spacing w:after="0" w:line="1" w:lineRule="exact"/>
        <w:rPr>
          <w:sz w:val="20"/>
          <w:szCs w:val="20"/>
          <w:color w:val="auto"/>
        </w:rPr>
      </w:pPr>
    </w:p>
    <w:p>
      <w:pPr>
        <w:jc w:val="both"/>
        <w:ind w:firstLine="8"/>
        <w:spacing w:after="0" w:line="276" w:lineRule="auto"/>
        <w:tabs>
          <w:tab w:leader="none" w:pos="29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Administrative Agent and Borrower written notice thereof.</w:t>
      </w:r>
    </w:p>
    <w:p>
      <w:pPr>
        <w:spacing w:after="0" w:line="38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6"/>
          <w:szCs w:val="16"/>
          <w:u w:val="single" w:color="auto"/>
          <w:color w:val="auto"/>
        </w:rPr>
        <w:t>Increased Costs; Reserves on Eurocurrency Rate Loans</w:t>
      </w:r>
      <w:r>
        <w:rPr>
          <w:rFonts w:ascii="Arial" w:cs="Arial" w:eastAsia="Arial" w:hAnsi="Arial"/>
          <w:sz w:val="16"/>
          <w:szCs w:val="16"/>
          <w:color w:val="auto"/>
        </w:rPr>
        <w:t>.</w:t>
      </w:r>
    </w:p>
    <w:p>
      <w:pPr>
        <w:spacing w:after="0" w:line="216" w:lineRule="exact"/>
        <w:rPr>
          <w:sz w:val="20"/>
          <w:szCs w:val="20"/>
          <w:color w:val="auto"/>
        </w:rPr>
      </w:pPr>
    </w:p>
    <w:p>
      <w:pPr>
        <w:ind w:left="1720" w:hanging="415"/>
        <w:spacing w:after="0"/>
        <w:tabs>
          <w:tab w:leader="none" w:pos="1720" w:val="left"/>
        </w:tabs>
        <w:numPr>
          <w:ilvl w:val="0"/>
          <w:numId w:val="108"/>
        </w:numPr>
        <w:rPr>
          <w:rFonts w:ascii="Arial" w:cs="Arial" w:eastAsia="Arial" w:hAnsi="Arial"/>
          <w:sz w:val="20"/>
          <w:szCs w:val="20"/>
          <w:color w:val="auto"/>
        </w:rPr>
      </w:pPr>
      <w:r>
        <w:rPr>
          <w:rFonts w:ascii="Arial" w:cs="Arial" w:eastAsia="Arial" w:hAnsi="Arial"/>
          <w:sz w:val="20"/>
          <w:szCs w:val="20"/>
          <w:b w:val="1"/>
          <w:bCs w:val="1"/>
          <w:i w:val="1"/>
          <w:iCs w:val="1"/>
          <w:color w:val="auto"/>
        </w:rPr>
        <w:t>Increased Costs Generally</w:t>
      </w:r>
      <w:r>
        <w:rPr>
          <w:rFonts w:ascii="Arial" w:cs="Arial" w:eastAsia="Arial" w:hAnsi="Arial"/>
          <w:sz w:val="20"/>
          <w:szCs w:val="20"/>
          <w:color w:val="auto"/>
        </w:rPr>
        <w:t>. If any Change in Law shall:</w:t>
      </w:r>
    </w:p>
    <w:p>
      <w:pPr>
        <w:spacing w:after="0" w:line="215" w:lineRule="exact"/>
        <w:rPr>
          <w:rFonts w:ascii="Arial" w:cs="Arial" w:eastAsia="Arial" w:hAnsi="Arial"/>
          <w:sz w:val="20"/>
          <w:szCs w:val="20"/>
          <w:color w:val="auto"/>
        </w:rPr>
      </w:pPr>
    </w:p>
    <w:p>
      <w:pPr>
        <w:jc w:val="both"/>
        <w:ind w:left="1300" w:right="20" w:firstLine="653"/>
        <w:spacing w:after="0" w:line="250" w:lineRule="auto"/>
        <w:tabs>
          <w:tab w:leader="none" w:pos="2382" w:val="left"/>
        </w:tabs>
        <w:numPr>
          <w:ilvl w:val="1"/>
          <w:numId w:val="108"/>
        </w:numPr>
        <w:rPr>
          <w:rFonts w:ascii="Arial" w:cs="Arial" w:eastAsia="Arial" w:hAnsi="Arial"/>
          <w:sz w:val="20"/>
          <w:szCs w:val="20"/>
          <w:color w:val="auto"/>
        </w:rPr>
      </w:pPr>
      <w:r>
        <w:rPr>
          <w:rFonts w:ascii="Arial" w:cs="Arial" w:eastAsia="Arial" w:hAnsi="Arial"/>
          <w:sz w:val="20"/>
          <w:szCs w:val="20"/>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20"/>
          <w:szCs w:val="20"/>
          <w:b w:val="1"/>
          <w:bCs w:val="1"/>
          <w:i w:val="1"/>
          <w:iCs w:val="1"/>
          <w:color w:val="auto"/>
        </w:rPr>
        <w:t>Section 4.4(e)</w:t>
      </w:r>
      <w:r>
        <w:rPr>
          <w:rFonts w:ascii="Arial" w:cs="Arial" w:eastAsia="Arial" w:hAnsi="Arial"/>
          <w:sz w:val="20"/>
          <w:szCs w:val="20"/>
          <w:color w:val="auto"/>
        </w:rPr>
        <w:t>) or the L/C Issuers;</w:t>
      </w:r>
    </w:p>
    <w:p>
      <w:pPr>
        <w:spacing w:after="0" w:line="186" w:lineRule="exact"/>
        <w:rPr>
          <w:rFonts w:ascii="Arial" w:cs="Arial" w:eastAsia="Arial" w:hAnsi="Arial"/>
          <w:sz w:val="20"/>
          <w:szCs w:val="20"/>
          <w:color w:val="auto"/>
        </w:rPr>
      </w:pPr>
    </w:p>
    <w:p>
      <w:pPr>
        <w:jc w:val="both"/>
        <w:ind w:left="1300" w:firstLine="653"/>
        <w:spacing w:after="0" w:line="291" w:lineRule="auto"/>
        <w:tabs>
          <w:tab w:leader="none" w:pos="2437" w:val="left"/>
        </w:tabs>
        <w:numPr>
          <w:ilvl w:val="1"/>
          <w:numId w:val="108"/>
        </w:numPr>
        <w:rPr>
          <w:rFonts w:ascii="Arial" w:cs="Arial" w:eastAsia="Arial" w:hAnsi="Arial"/>
          <w:sz w:val="18"/>
          <w:szCs w:val="18"/>
          <w:color w:val="auto"/>
        </w:rPr>
      </w:pPr>
      <w:r>
        <w:rPr>
          <w:rFonts w:ascii="Arial" w:cs="Arial" w:eastAsia="Arial" w:hAnsi="Arial"/>
          <w:sz w:val="18"/>
          <w:szCs w:val="18"/>
          <w:color w:val="auto"/>
        </w:rPr>
        <w:t xml:space="preserve">subject any Lender or any L/C Issuer to any Taxes (other than (A) Indemnified Taxes, (B) Taxes described in </w:t>
      </w:r>
      <w:r>
        <w:rPr>
          <w:rFonts w:ascii="Arial" w:cs="Arial" w:eastAsia="Arial" w:hAnsi="Arial"/>
          <w:sz w:val="18"/>
          <w:szCs w:val="18"/>
          <w:b w:val="1"/>
          <w:bCs w:val="1"/>
          <w:i w:val="1"/>
          <w:iCs w:val="1"/>
          <w:color w:val="auto"/>
        </w:rPr>
        <w:t xml:space="preserve">clauses (b) </w:t>
      </w:r>
      <w:r>
        <w:rPr>
          <w:rFonts w:ascii="Arial" w:cs="Arial" w:eastAsia="Arial" w:hAnsi="Arial"/>
          <w:sz w:val="18"/>
          <w:szCs w:val="18"/>
          <w:color w:val="auto"/>
        </w:rPr>
        <w:t>through</w:t>
      </w:r>
      <w:r>
        <w:rPr>
          <w:rFonts w:ascii="Arial" w:cs="Arial" w:eastAsia="Arial" w:hAnsi="Arial"/>
          <w:sz w:val="18"/>
          <w:szCs w:val="18"/>
          <w:b w:val="1"/>
          <w:bCs w:val="1"/>
          <w:i w:val="1"/>
          <w:iCs w:val="1"/>
          <w:color w:val="auto"/>
        </w:rPr>
        <w:t xml:space="preserve"> (d) </w:t>
      </w:r>
      <w:r>
        <w:rPr>
          <w:rFonts w:ascii="Arial" w:cs="Arial" w:eastAsia="Arial" w:hAnsi="Arial"/>
          <w:sz w:val="18"/>
          <w:szCs w:val="18"/>
          <w:color w:val="auto"/>
        </w:rPr>
        <w:t>of the definition of Excluded Taxes and (C) Connection Income Taxes) on its loans, loan principal,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letters of credit, commitments, or other obligations, or its deposits, reserves, other liabilities or capital attributable thereto; or</w:t>
      </w:r>
    </w:p>
    <w:p>
      <w:pPr>
        <w:spacing w:after="0" w:line="151" w:lineRule="exact"/>
        <w:rPr>
          <w:rFonts w:ascii="Arial" w:cs="Arial" w:eastAsia="Arial" w:hAnsi="Arial"/>
          <w:sz w:val="18"/>
          <w:szCs w:val="18"/>
          <w:color w:val="auto"/>
        </w:rPr>
      </w:pPr>
    </w:p>
    <w:p>
      <w:pPr>
        <w:ind w:left="1300" w:firstLine="653"/>
        <w:spacing w:after="0" w:line="287" w:lineRule="auto"/>
        <w:tabs>
          <w:tab w:leader="none" w:pos="2465" w:val="left"/>
        </w:tabs>
        <w:numPr>
          <w:ilvl w:val="1"/>
          <w:numId w:val="108"/>
        </w:numPr>
        <w:rPr>
          <w:rFonts w:ascii="Arial" w:cs="Arial" w:eastAsia="Arial" w:hAnsi="Arial"/>
          <w:sz w:val="19"/>
          <w:szCs w:val="19"/>
          <w:color w:val="auto"/>
        </w:rPr>
      </w:pPr>
      <w:r>
        <w:rPr>
          <w:rFonts w:ascii="Arial" w:cs="Arial" w:eastAsia="Arial" w:hAnsi="Arial"/>
          <w:sz w:val="19"/>
          <w:szCs w:val="19"/>
          <w:color w:val="auto"/>
        </w:rPr>
        <w:t>impose on any Lender or any L/C Issuer or the London interbank market any other condition, cost, or expense affecting this Agreement or Eurocurrency Rate Loans made by such Lender or any L/C or participation therein;</w:t>
      </w:r>
    </w:p>
    <w:p>
      <w:pPr>
        <w:spacing w:after="0" w:line="153" w:lineRule="exact"/>
        <w:rPr>
          <w:sz w:val="20"/>
          <w:szCs w:val="20"/>
          <w:color w:val="auto"/>
        </w:rPr>
      </w:pPr>
    </w:p>
    <w:p>
      <w:pPr>
        <w:jc w:val="both"/>
        <w:ind w:left="660" w:firstLine="648"/>
        <w:spacing w:after="0" w:line="258" w:lineRule="auto"/>
        <w:rPr>
          <w:sz w:val="20"/>
          <w:szCs w:val="20"/>
          <w:color w:val="auto"/>
        </w:rPr>
      </w:pPr>
      <w:r>
        <w:rPr>
          <w:rFonts w:ascii="Arial" w:cs="Arial" w:eastAsia="Arial" w:hAnsi="Arial"/>
          <w:sz w:val="19"/>
          <w:szCs w:val="19"/>
          <w:color w:val="auto"/>
        </w:rPr>
        <w:t>and the result of any of the foregoing shall be to increase the cost to such Lender of making, converting to, continuing or maintaining any Eurocurrency Rate Loan (or of maintaining its obligation to make any such Loan), or to increase the cost to such Lender or such L/C Issuer of participating in, issuing, or maintaining any L/C (or of maintaining its obligation to participate in or to issue any L/C), or to reduce the amount of any sum received or receivable by such Lender or such L/C Issuer hereunder (whether of principal, interest, or any other amount) then, upon request of such Lender or such L/C Issuer, Borrower will pay to such Lender or such L/C Issuer, as the case may be, such additional amount or amounts as will compensate such Lender or such L/C Issuer, as the case may be, for such additional costs incurred or reduction suffered.</w:t>
      </w:r>
    </w:p>
    <w:p>
      <w:pPr>
        <w:spacing w:after="0" w:line="179" w:lineRule="exact"/>
        <w:rPr>
          <w:sz w:val="20"/>
          <w:szCs w:val="20"/>
          <w:color w:val="auto"/>
        </w:rPr>
      </w:pPr>
    </w:p>
    <w:p>
      <w:pPr>
        <w:jc w:val="both"/>
        <w:ind w:left="660" w:firstLine="645"/>
        <w:spacing w:after="0" w:line="258" w:lineRule="auto"/>
        <w:tabs>
          <w:tab w:leader="none" w:pos="1764" w:val="left"/>
        </w:tabs>
        <w:numPr>
          <w:ilvl w:val="0"/>
          <w:numId w:val="109"/>
        </w:numPr>
        <w:rPr>
          <w:rFonts w:ascii="Arial" w:cs="Arial" w:eastAsia="Arial" w:hAnsi="Arial"/>
          <w:sz w:val="19"/>
          <w:szCs w:val="19"/>
          <w:color w:val="auto"/>
        </w:rPr>
      </w:pPr>
      <w:r>
        <w:rPr>
          <w:rFonts w:ascii="Arial" w:cs="Arial" w:eastAsia="Arial" w:hAnsi="Arial"/>
          <w:sz w:val="19"/>
          <w:szCs w:val="19"/>
          <w:b w:val="1"/>
          <w:bCs w:val="1"/>
          <w:i w:val="1"/>
          <w:iCs w:val="1"/>
          <w:color w:val="auto"/>
        </w:rPr>
        <w:t>Capital Requirements</w:t>
      </w:r>
      <w:r>
        <w:rPr>
          <w:rFonts w:ascii="Arial" w:cs="Arial" w:eastAsia="Arial" w:hAnsi="Arial"/>
          <w:sz w:val="19"/>
          <w:szCs w:val="19"/>
          <w:color w:val="auto"/>
        </w:rPr>
        <w:t>. If any Lender or any L/C Issuer determines that any Change in Law affecting such Lender or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applicable L/C Issuer or any Lending Office of such Lender or such Lender’s or the applicable L/C Issuer’s holding company, if any, regarding capital or liquidity requirements has or would have the effect of reducing the rate of return on such Lender’s or the applicable L/C Issuer’s capital or on the capital of such Lender’s or the applicable L/C Issuer’s holding company, if any, as a consequence of this Agreement, the Commitment of such Lender or the Loans made by, or participations in L/Cs held by, such Lender, or the L/Cs issued by the applicable L/C Issuer, to a level below that which such Lender or the applicable L/C Issuer or such Lender’s or the applicable L/C Issuer’s holding company could have achieved but for such Change in Law</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ectPr>
          <w:pgSz w:w="11900" w:h="16838" w:orient="portrait"/>
          <w:cols w:equalWidth="0" w:num="1">
            <w:col w:w="11420"/>
          </w:cols>
          <w:pgMar w:left="240" w:top="582" w:right="239" w:bottom="1440" w:gutter="0" w:footer="0" w:header="0"/>
        </w:sectPr>
      </w:pPr>
    </w:p>
    <w:bookmarkStart w:id="137" w:name="page138"/>
    <w:bookmarkEnd w:id="137"/>
    <w:p>
      <w:pPr>
        <w:jc w:val="both"/>
        <w:ind w:left="660"/>
        <w:spacing w:after="0" w:line="244" w:lineRule="auto"/>
        <w:rPr>
          <w:sz w:val="20"/>
          <w:szCs w:val="20"/>
          <w:color w:val="auto"/>
        </w:rPr>
      </w:pPr>
      <w:r>
        <w:rPr>
          <w:rFonts w:ascii="Arial" w:cs="Arial" w:eastAsia="Arial" w:hAnsi="Arial"/>
          <w:sz w:val="20"/>
          <w:szCs w:val="20"/>
          <w:color w:val="auto"/>
        </w:rPr>
        <w:t>(taking into consideration such Lender’s or the applicable L/C Issuer’s policies and the policies of such Lender’s or the applicable L/C Issuer’s holding company with respect to capital adequacy and liquidity), then from time to time, upon demand of such Lender or the applicable L/C Issuer, Borrower will pay to such Lender or the applicable L/C Issuer, as the case may be, such additional amount as will compensate such Lender or the applicable L/C Issuer or such Lender’s or the applicable L/C Issuer’s holding company for any such reduction suffered.</w:t>
      </w:r>
    </w:p>
    <w:p>
      <w:pPr>
        <w:spacing w:after="0" w:line="195" w:lineRule="exact"/>
        <w:rPr>
          <w:sz w:val="20"/>
          <w:szCs w:val="20"/>
          <w:color w:val="auto"/>
        </w:rPr>
      </w:pPr>
    </w:p>
    <w:p>
      <w:pPr>
        <w:jc w:val="both"/>
        <w:ind w:left="660" w:firstLine="645"/>
        <w:spacing w:after="0" w:line="244" w:lineRule="auto"/>
        <w:tabs>
          <w:tab w:leader="none" w:pos="1875" w:val="left"/>
        </w:tabs>
        <w:numPr>
          <w:ilvl w:val="0"/>
          <w:numId w:val="110"/>
        </w:numPr>
        <w:rPr>
          <w:rFonts w:ascii="Arial" w:cs="Arial" w:eastAsia="Arial" w:hAnsi="Arial"/>
          <w:sz w:val="20"/>
          <w:szCs w:val="20"/>
          <w:color w:val="auto"/>
        </w:rPr>
      </w:pPr>
      <w:r>
        <w:rPr>
          <w:rFonts w:ascii="Arial" w:cs="Arial" w:eastAsia="Arial" w:hAnsi="Arial"/>
          <w:sz w:val="20"/>
          <w:szCs w:val="20"/>
          <w:b w:val="1"/>
          <w:bCs w:val="1"/>
          <w:i w:val="1"/>
          <w:iCs w:val="1"/>
          <w:color w:val="auto"/>
        </w:rPr>
        <w:t>Certificates for Reimbursement</w:t>
      </w:r>
      <w:r>
        <w:rPr>
          <w:rFonts w:ascii="Arial" w:cs="Arial" w:eastAsia="Arial" w:hAnsi="Arial"/>
          <w:sz w:val="20"/>
          <w:szCs w:val="20"/>
          <w:color w:val="auto"/>
        </w:rPr>
        <w:t>. A certificate of a Lender or any L/C Issuer setting forth the amount or amounts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necessary to compensate such Lender or the applicable L/C Issuer or its holding company, as the case may be, as specified in </w:t>
      </w:r>
      <w:r>
        <w:rPr>
          <w:rFonts w:ascii="Arial" w:cs="Arial" w:eastAsia="Arial" w:hAnsi="Arial"/>
          <w:sz w:val="20"/>
          <w:szCs w:val="20"/>
          <w:b w:val="1"/>
          <w:bCs w:val="1"/>
          <w:i w:val="1"/>
          <w:iCs w:val="1"/>
          <w:color w:val="auto"/>
        </w:rPr>
        <w:t xml:space="preserve">subsection (a) </w:t>
      </w:r>
      <w:r>
        <w:rPr>
          <w:rFonts w:ascii="Arial" w:cs="Arial" w:eastAsia="Arial" w:hAnsi="Arial"/>
          <w:sz w:val="20"/>
          <w:szCs w:val="20"/>
          <w:color w:val="auto"/>
        </w:rPr>
        <w:t>or</w:t>
      </w:r>
      <w:r>
        <w:rPr>
          <w:rFonts w:ascii="Arial" w:cs="Arial" w:eastAsia="Arial" w:hAnsi="Arial"/>
          <w:sz w:val="20"/>
          <w:szCs w:val="20"/>
          <w:b w:val="1"/>
          <w:bCs w:val="1"/>
          <w:i w:val="1"/>
          <w:iCs w:val="1"/>
          <w:color w:val="auto"/>
        </w:rPr>
        <w:t xml:space="preserve"> (b) </w:t>
      </w:r>
      <w:r>
        <w:rPr>
          <w:rFonts w:ascii="Arial" w:cs="Arial" w:eastAsia="Arial" w:hAnsi="Arial"/>
          <w:sz w:val="20"/>
          <w:szCs w:val="20"/>
          <w:color w:val="auto"/>
        </w:rPr>
        <w:t>of this Section and delivered to Borrower shall be conclusive absent manifest error. Borrower shall pay such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Lender or the applicable L/C Issuer, as the case may be, the amount shown as due on any such certificate within 10 days after receipt thereof.</w:t>
      </w:r>
    </w:p>
    <w:p>
      <w:pPr>
        <w:spacing w:after="0" w:line="194" w:lineRule="exact"/>
        <w:rPr>
          <w:rFonts w:ascii="Arial" w:cs="Arial" w:eastAsia="Arial" w:hAnsi="Arial"/>
          <w:sz w:val="20"/>
          <w:szCs w:val="20"/>
          <w:color w:val="auto"/>
        </w:rPr>
      </w:pPr>
    </w:p>
    <w:p>
      <w:pPr>
        <w:jc w:val="both"/>
        <w:ind w:left="660" w:firstLine="645"/>
        <w:spacing w:after="0" w:line="257" w:lineRule="auto"/>
        <w:tabs>
          <w:tab w:leader="none" w:pos="1777" w:val="left"/>
        </w:tabs>
        <w:numPr>
          <w:ilvl w:val="0"/>
          <w:numId w:val="110"/>
        </w:numPr>
        <w:rPr>
          <w:rFonts w:ascii="Arial" w:cs="Arial" w:eastAsia="Arial" w:hAnsi="Arial"/>
          <w:sz w:val="19"/>
          <w:szCs w:val="19"/>
          <w:color w:val="auto"/>
        </w:rPr>
      </w:pPr>
      <w:r>
        <w:rPr>
          <w:rFonts w:ascii="Arial" w:cs="Arial" w:eastAsia="Arial" w:hAnsi="Arial"/>
          <w:sz w:val="19"/>
          <w:szCs w:val="19"/>
          <w:b w:val="1"/>
          <w:bCs w:val="1"/>
          <w:i w:val="1"/>
          <w:iCs w:val="1"/>
          <w:color w:val="auto"/>
        </w:rPr>
        <w:t>Delay in Requests</w:t>
      </w:r>
      <w:r>
        <w:rPr>
          <w:rFonts w:ascii="Arial" w:cs="Arial" w:eastAsia="Arial" w:hAnsi="Arial"/>
          <w:sz w:val="19"/>
          <w:szCs w:val="19"/>
          <w:color w:val="auto"/>
        </w:rPr>
        <w:t>. Failure or delay on the part of any Lender or either L/C Issuer to demand compensation pursuant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the foregoing provisions of this Section shall not constitute a waiver of such Lender’s or the applicable L/C Issuer’s right to demand such compensation,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that Borrower shall not be required to compensate a Lender or the applicable L/C Issuer pursuant to the foregoing provisions of this Section for any increased costs incurred or reductions suffered more than nine months prior to the date that such Lender or the applicable L/C Issuer, as the case may be, notifies Borrower of the Change in Law giving rise to such increased costs or reductions and of such Lender’s or the applicable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81" w:lineRule="exact"/>
        <w:rPr>
          <w:rFonts w:ascii="Arial" w:cs="Arial" w:eastAsia="Arial" w:hAnsi="Arial"/>
          <w:sz w:val="19"/>
          <w:szCs w:val="19"/>
          <w:color w:val="auto"/>
        </w:rPr>
      </w:pPr>
    </w:p>
    <w:p>
      <w:pPr>
        <w:jc w:val="both"/>
        <w:ind w:left="660" w:firstLine="645"/>
        <w:spacing w:after="0" w:line="274" w:lineRule="auto"/>
        <w:tabs>
          <w:tab w:leader="none" w:pos="1766"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Reserves on Eurocurrency Rate Loans</w:t>
      </w:r>
      <w:r>
        <w:rPr>
          <w:rFonts w:ascii="Arial" w:cs="Arial" w:eastAsia="Arial" w:hAnsi="Arial"/>
          <w:sz w:val="18"/>
          <w:szCs w:val="18"/>
          <w:color w:val="auto"/>
        </w:rPr>
        <w:t>. Borrower shall pay to each Lender, as long as such Lender shall be required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maintain reserves with respect to liabilities or assets consisting of or including Eurocurrency funds or deposits, additional interest on the unpaid principal amount of each Eurocurrency Rate Loan equal to the actual costs of such reserves allocated to such Loan by such Lender (as determined by such Lender in good faith, which determination shall be conclusive), which shall be due and payable on each date on which interest is payable on such Loan;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Borrower shall have received at least 10 days prior notice (with a copy to Administrative Agent) of such additional interest from such Lender. If a Lender fails to give notice 10 days prior to the last day of the relevant Interest Period, such additional interest shall be due and payable 10 days from receipt of such notice.</w:t>
      </w:r>
    </w:p>
    <w:p>
      <w:pPr>
        <w:spacing w:after="0" w:line="385"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Compensation for Losses</w:t>
      </w:r>
      <w:r>
        <w:rPr>
          <w:rFonts w:ascii="Arial" w:cs="Arial" w:eastAsia="Arial" w:hAnsi="Arial"/>
          <w:sz w:val="19"/>
          <w:szCs w:val="19"/>
          <w:color w:val="auto"/>
        </w:rPr>
        <w:t>. Upon demand of any Lender (with a copy to Administrative Agent) from time to time, Borrower shall promptly compensate such Lender for and hold such Lender harmless from any loss, cost, or expense incurred by it as a result of:</w:t>
      </w:r>
    </w:p>
    <w:p>
      <w:pPr>
        <w:spacing w:after="0" w:line="153" w:lineRule="exact"/>
        <w:rPr>
          <w:sz w:val="20"/>
          <w:szCs w:val="20"/>
          <w:color w:val="auto"/>
        </w:rPr>
      </w:pPr>
    </w:p>
    <w:p>
      <w:pPr>
        <w:ind w:left="660" w:right="20" w:firstLine="645"/>
        <w:spacing w:after="0" w:line="316" w:lineRule="auto"/>
        <w:tabs>
          <w:tab w:leader="none" w:pos="176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30" w:lineRule="exact"/>
        <w:rPr>
          <w:rFonts w:ascii="Arial" w:cs="Arial" w:eastAsia="Arial" w:hAnsi="Arial"/>
          <w:sz w:val="18"/>
          <w:szCs w:val="18"/>
          <w:color w:val="auto"/>
        </w:rPr>
      </w:pPr>
    </w:p>
    <w:p>
      <w:pPr>
        <w:ind w:left="660" w:firstLine="645"/>
        <w:spacing w:after="0" w:line="260" w:lineRule="auto"/>
        <w:tabs>
          <w:tab w:leader="none" w:pos="1765" w:val="left"/>
        </w:tabs>
        <w:numPr>
          <w:ilvl w:val="0"/>
          <w:numId w:val="111"/>
        </w:numPr>
        <w:rPr>
          <w:rFonts w:ascii="Arial" w:cs="Arial" w:eastAsia="Arial" w:hAnsi="Arial"/>
          <w:sz w:val="20"/>
          <w:szCs w:val="20"/>
          <w:color w:val="auto"/>
        </w:rPr>
      </w:pPr>
      <w:r>
        <w:rPr>
          <w:rFonts w:ascii="Arial" w:cs="Arial" w:eastAsia="Arial" w:hAnsi="Arial"/>
          <w:sz w:val="20"/>
          <w:szCs w:val="20"/>
          <w:color w:val="auto"/>
        </w:rPr>
        <w:t>any failure by Borrower (for a reason other than the failure of such Lender to make a Loan) to prepay, borrow, continue, or convert any Loan other than a Base Rate Loan on the date or in the amount notified by Borrower;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ectPr>
          <w:pgSz w:w="11900" w:h="16838" w:orient="portrait"/>
          <w:cols w:equalWidth="0" w:num="1">
            <w:col w:w="11420"/>
          </w:cols>
          <w:pgMar w:left="240" w:top="582" w:right="239" w:bottom="1440" w:gutter="0" w:footer="0" w:header="0"/>
        </w:sectPr>
      </w:pPr>
    </w:p>
    <w:bookmarkStart w:id="138" w:name="page139"/>
    <w:bookmarkEnd w:id="138"/>
    <w:p>
      <w:pPr>
        <w:ind w:left="660" w:right="20" w:firstLine="645"/>
        <w:spacing w:after="0" w:line="260" w:lineRule="auto"/>
        <w:tabs>
          <w:tab w:leader="none" w:pos="1728" w:val="left"/>
        </w:tabs>
        <w:numPr>
          <w:ilvl w:val="0"/>
          <w:numId w:val="112"/>
        </w:numPr>
        <w:rPr>
          <w:rFonts w:ascii="Arial" w:cs="Arial" w:eastAsia="Arial" w:hAnsi="Arial"/>
          <w:sz w:val="20"/>
          <w:szCs w:val="20"/>
          <w:color w:val="auto"/>
        </w:rPr>
      </w:pPr>
      <w:r>
        <w:rPr>
          <w:rFonts w:ascii="Arial" w:cs="Arial" w:eastAsia="Arial" w:hAnsi="Arial"/>
          <w:sz w:val="20"/>
          <w:szCs w:val="20"/>
          <w:color w:val="auto"/>
        </w:rPr>
        <w:t xml:space="preserve">any assignment of a Eurocurrency Rate Loan on a day other than the last day of the Interest Period therefor as a result of a request by Borrower pursuant to </w:t>
      </w:r>
      <w:r>
        <w:rPr>
          <w:rFonts w:ascii="Arial" w:cs="Arial" w:eastAsia="Arial" w:hAnsi="Arial"/>
          <w:sz w:val="20"/>
          <w:szCs w:val="20"/>
          <w:b w:val="1"/>
          <w:bCs w:val="1"/>
          <w:i w:val="1"/>
          <w:iCs w:val="1"/>
          <w:color w:val="auto"/>
        </w:rPr>
        <w:t>Section 15.14</w:t>
      </w:r>
      <w:r>
        <w:rPr>
          <w:rFonts w:ascii="Arial" w:cs="Arial" w:eastAsia="Arial" w:hAnsi="Arial"/>
          <w:sz w:val="20"/>
          <w:szCs w:val="20"/>
          <w:color w:val="auto"/>
        </w:rPr>
        <w:t>; or</w:t>
      </w:r>
    </w:p>
    <w:p>
      <w:pPr>
        <w:spacing w:after="0" w:line="176" w:lineRule="exact"/>
        <w:rPr>
          <w:rFonts w:ascii="Arial" w:cs="Arial" w:eastAsia="Arial" w:hAnsi="Arial"/>
          <w:sz w:val="20"/>
          <w:szCs w:val="20"/>
          <w:color w:val="auto"/>
        </w:rPr>
      </w:pPr>
    </w:p>
    <w:p>
      <w:pPr>
        <w:ind w:left="660" w:firstLine="645"/>
        <w:spacing w:after="0" w:line="287" w:lineRule="auto"/>
        <w:tabs>
          <w:tab w:leader="none" w:pos="1861" w:val="left"/>
        </w:tabs>
        <w:numPr>
          <w:ilvl w:val="0"/>
          <w:numId w:val="112"/>
        </w:numPr>
        <w:rPr>
          <w:rFonts w:ascii="Arial" w:cs="Arial" w:eastAsia="Arial" w:hAnsi="Arial"/>
          <w:sz w:val="19"/>
          <w:szCs w:val="19"/>
          <w:color w:val="auto"/>
        </w:rPr>
      </w:pPr>
      <w:r>
        <w:rPr>
          <w:rFonts w:ascii="Arial" w:cs="Arial" w:eastAsia="Arial" w:hAnsi="Arial"/>
          <w:sz w:val="19"/>
          <w:szCs w:val="19"/>
          <w:color w:val="auto"/>
        </w:rPr>
        <w:t>any failure by Borrower to make payment of any Loan or of any drawing under any L/C (or interest due thereon) denominated in the Alternative Currency on its scheduled due date or any payment thereof in a different currency;</w:t>
      </w:r>
    </w:p>
    <w:p>
      <w:pPr>
        <w:spacing w:after="0" w:line="15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including any loss of anticipated profits and any loss or expense arising from the liquidation or reemployment of funds obtained by it to maintain such Loan or from fees payable to terminate the deposits from which such funds were obtained. Borrower shall also pay any customary administrative fees charged by such Lender in connection with the foregoing.</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 xml:space="preserve">For purposes of calculating amounts payable by Borrower to Lenders under this </w:t>
      </w:r>
      <w:r>
        <w:rPr>
          <w:rFonts w:ascii="Arial" w:cs="Arial" w:eastAsia="Arial" w:hAnsi="Arial"/>
          <w:sz w:val="18"/>
          <w:szCs w:val="18"/>
          <w:b w:val="1"/>
          <w:bCs w:val="1"/>
          <w:i w:val="1"/>
          <w:iCs w:val="1"/>
          <w:color w:val="auto"/>
        </w:rPr>
        <w:t>Section 4.5</w:t>
      </w:r>
      <w:r>
        <w:rPr>
          <w:rFonts w:ascii="Arial" w:cs="Arial" w:eastAsia="Arial" w:hAnsi="Arial"/>
          <w:sz w:val="18"/>
          <w:szCs w:val="18"/>
          <w:color w:val="auto"/>
        </w:rPr>
        <w:t>, each Lender shall be deemed to have funded each Eurocurrency Rate Loan made by it at Eurocurrency Rate for such Loan by a matching deposit or other borrowing in the London interbank eurodollar market for a comparable amount and for a comparable period, whether or not such Eurocurrency Rate Loan was in fact so funded.</w:t>
      </w:r>
    </w:p>
    <w:p>
      <w:pPr>
        <w:spacing w:after="0" w:line="368"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5"/>
        <w:spacing w:after="0" w:line="272" w:lineRule="auto"/>
        <w:tabs>
          <w:tab w:leader="none" w:pos="1834" w:val="left"/>
        </w:tabs>
        <w:numPr>
          <w:ilvl w:val="0"/>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Designation of a Different Lending Office</w:t>
      </w:r>
      <w:r>
        <w:rPr>
          <w:rFonts w:ascii="Arial" w:cs="Arial" w:eastAsia="Arial" w:hAnsi="Arial"/>
          <w:sz w:val="18"/>
          <w:szCs w:val="18"/>
          <w:color w:val="auto"/>
        </w:rPr>
        <w:t>. If any Lender requests compensation under</w:t>
      </w:r>
      <w:r>
        <w:rPr>
          <w:rFonts w:ascii="Arial" w:cs="Arial" w:eastAsia="Arial" w:hAnsi="Arial"/>
          <w:sz w:val="18"/>
          <w:szCs w:val="18"/>
          <w:b w:val="1"/>
          <w:bCs w:val="1"/>
          <w:i w:val="1"/>
          <w:iCs w:val="1"/>
          <w:color w:val="auto"/>
        </w:rPr>
        <w:t xml:space="preserve"> Section 4.4</w:t>
      </w:r>
      <w:r>
        <w:rPr>
          <w:rFonts w:ascii="Arial" w:cs="Arial" w:eastAsia="Arial" w:hAnsi="Arial"/>
          <w:sz w:val="18"/>
          <w:szCs w:val="18"/>
          <w:color w:val="auto"/>
        </w:rPr>
        <w:t>, or Borrower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required to pay any Indemnified Taxes or additional amounts to any Lender or any Governmental Authority for the account of any Lender pursuant to </w:t>
      </w:r>
      <w:r>
        <w:rPr>
          <w:rFonts w:ascii="Arial" w:cs="Arial" w:eastAsia="Arial" w:hAnsi="Arial"/>
          <w:sz w:val="18"/>
          <w:szCs w:val="18"/>
          <w:b w:val="1"/>
          <w:bCs w:val="1"/>
          <w:i w:val="1"/>
          <w:iCs w:val="1"/>
          <w:color w:val="auto"/>
        </w:rPr>
        <w:t>Section 4.1</w:t>
      </w:r>
      <w:r>
        <w:rPr>
          <w:rFonts w:ascii="Arial" w:cs="Arial" w:eastAsia="Arial" w:hAnsi="Arial"/>
          <w:sz w:val="18"/>
          <w:szCs w:val="18"/>
          <w:color w:val="auto"/>
        </w:rPr>
        <w:t xml:space="preserve">, or if any Lender gives a notice pursuant to </w:t>
      </w:r>
      <w:r>
        <w:rPr>
          <w:rFonts w:ascii="Arial" w:cs="Arial" w:eastAsia="Arial" w:hAnsi="Arial"/>
          <w:sz w:val="18"/>
          <w:szCs w:val="18"/>
          <w:b w:val="1"/>
          <w:bCs w:val="1"/>
          <w:i w:val="1"/>
          <w:iCs w:val="1"/>
          <w:color w:val="auto"/>
        </w:rPr>
        <w:t>Section 4.2</w:t>
      </w:r>
      <w:r>
        <w:rPr>
          <w:rFonts w:ascii="Arial" w:cs="Arial" w:eastAsia="Arial" w:hAnsi="Arial"/>
          <w:sz w:val="18"/>
          <w:szCs w:val="18"/>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8"/>
          <w:szCs w:val="18"/>
          <w:b w:val="1"/>
          <w:bCs w:val="1"/>
          <w:i w:val="1"/>
          <w:iCs w:val="1"/>
          <w:color w:val="auto"/>
        </w:rPr>
        <w:t>Section 4.1</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4.4</w:t>
      </w:r>
      <w:r>
        <w:rPr>
          <w:rFonts w:ascii="Arial" w:cs="Arial" w:eastAsia="Arial" w:hAnsi="Arial"/>
          <w:sz w:val="18"/>
          <w:szCs w:val="18"/>
          <w:color w:val="auto"/>
        </w:rPr>
        <w:t xml:space="preserve">, as the case may be, in the future, or eliminate the need for the notice pursuant to </w:t>
      </w:r>
      <w:r>
        <w:rPr>
          <w:rFonts w:ascii="Arial" w:cs="Arial" w:eastAsia="Arial" w:hAnsi="Arial"/>
          <w:sz w:val="18"/>
          <w:szCs w:val="18"/>
          <w:b w:val="1"/>
          <w:bCs w:val="1"/>
          <w:i w:val="1"/>
          <w:iCs w:val="1"/>
          <w:color w:val="auto"/>
        </w:rPr>
        <w:t>Section 4.2</w:t>
      </w:r>
      <w:r>
        <w:rPr>
          <w:rFonts w:ascii="Arial" w:cs="Arial" w:eastAsia="Arial" w:hAnsi="Arial"/>
          <w:sz w:val="18"/>
          <w:szCs w:val="18"/>
          <w:color w:val="auto"/>
        </w:rPr>
        <w:t>, as applicable, and (ii) in each case, would not subject such Lender to any unreimbursed cost or expense and would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be materially disadvantageous to such Lender. Borrower hereby agrees to pay all reasonable costs and expenses incurred by any Lender in connection with any such designation or assignment.</w:t>
      </w:r>
    </w:p>
    <w:p>
      <w:pPr>
        <w:spacing w:after="0" w:line="171" w:lineRule="exact"/>
        <w:rPr>
          <w:rFonts w:ascii="Arial" w:cs="Arial" w:eastAsia="Arial" w:hAnsi="Arial"/>
          <w:sz w:val="18"/>
          <w:szCs w:val="18"/>
          <w:color w:val="auto"/>
        </w:rPr>
      </w:pPr>
    </w:p>
    <w:p>
      <w:pPr>
        <w:jc w:val="both"/>
        <w:ind w:left="660" w:firstLine="645"/>
        <w:spacing w:after="0" w:line="250" w:lineRule="auto"/>
        <w:tabs>
          <w:tab w:leader="none" w:pos="1777" w:val="left"/>
        </w:tabs>
        <w:numPr>
          <w:ilvl w:val="0"/>
          <w:numId w:val="113"/>
        </w:numPr>
        <w:rPr>
          <w:rFonts w:ascii="Arial" w:cs="Arial" w:eastAsia="Arial" w:hAnsi="Arial"/>
          <w:sz w:val="20"/>
          <w:szCs w:val="20"/>
          <w:color w:val="auto"/>
        </w:rPr>
      </w:pPr>
      <w:r>
        <w:rPr>
          <w:rFonts w:ascii="Arial" w:cs="Arial" w:eastAsia="Arial" w:hAnsi="Arial"/>
          <w:sz w:val="20"/>
          <w:szCs w:val="20"/>
          <w:b w:val="1"/>
          <w:bCs w:val="1"/>
          <w:i w:val="1"/>
          <w:iCs w:val="1"/>
          <w:color w:val="auto"/>
        </w:rPr>
        <w:t>Replacement of Lenders</w:t>
      </w:r>
      <w:r>
        <w:rPr>
          <w:rFonts w:ascii="Arial" w:cs="Arial" w:eastAsia="Arial" w:hAnsi="Arial"/>
          <w:sz w:val="20"/>
          <w:szCs w:val="20"/>
          <w:color w:val="auto"/>
        </w:rPr>
        <w:t>. If any Lender requests compensation under</w:t>
      </w:r>
      <w:r>
        <w:rPr>
          <w:rFonts w:ascii="Arial" w:cs="Arial" w:eastAsia="Arial" w:hAnsi="Arial"/>
          <w:sz w:val="20"/>
          <w:szCs w:val="20"/>
          <w:b w:val="1"/>
          <w:bCs w:val="1"/>
          <w:i w:val="1"/>
          <w:iCs w:val="1"/>
          <w:color w:val="auto"/>
        </w:rPr>
        <w:t xml:space="preserve"> Section 4.4</w:t>
      </w:r>
      <w:r>
        <w:rPr>
          <w:rFonts w:ascii="Arial" w:cs="Arial" w:eastAsia="Arial" w:hAnsi="Arial"/>
          <w:sz w:val="20"/>
          <w:szCs w:val="20"/>
          <w:color w:val="auto"/>
        </w:rPr>
        <w:t>, or if Borrower is required to pay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additional amount to any Lender or any Governmental Authority for the account of any Lender pursuant to </w:t>
      </w:r>
      <w:r>
        <w:rPr>
          <w:rFonts w:ascii="Arial" w:cs="Arial" w:eastAsia="Arial" w:hAnsi="Arial"/>
          <w:sz w:val="20"/>
          <w:szCs w:val="20"/>
          <w:b w:val="1"/>
          <w:bCs w:val="1"/>
          <w:i w:val="1"/>
          <w:iCs w:val="1"/>
          <w:color w:val="auto"/>
        </w:rPr>
        <w:t>Section 4.1</w:t>
      </w:r>
      <w:r>
        <w:rPr>
          <w:rFonts w:ascii="Arial" w:cs="Arial" w:eastAsia="Arial" w:hAnsi="Arial"/>
          <w:sz w:val="20"/>
          <w:szCs w:val="20"/>
          <w:color w:val="auto"/>
        </w:rPr>
        <w:t xml:space="preserve">, Borrower may replace such Lender in accordance with </w:t>
      </w:r>
      <w:r>
        <w:rPr>
          <w:rFonts w:ascii="Arial" w:cs="Arial" w:eastAsia="Arial" w:hAnsi="Arial"/>
          <w:sz w:val="20"/>
          <w:szCs w:val="20"/>
          <w:b w:val="1"/>
          <w:bCs w:val="1"/>
          <w:i w:val="1"/>
          <w:iCs w:val="1"/>
          <w:color w:val="auto"/>
        </w:rPr>
        <w:t>Section 15.14</w:t>
      </w:r>
      <w:r>
        <w:rPr>
          <w:rFonts w:ascii="Arial" w:cs="Arial" w:eastAsia="Arial" w:hAnsi="Arial"/>
          <w:sz w:val="20"/>
          <w:szCs w:val="20"/>
          <w:color w:val="auto"/>
        </w:rPr>
        <w:t>.</w:t>
      </w:r>
    </w:p>
    <w:p>
      <w:pPr>
        <w:spacing w:after="0" w:line="200" w:lineRule="exact"/>
        <w:rPr>
          <w:sz w:val="20"/>
          <w:szCs w:val="20"/>
          <w:color w:val="auto"/>
        </w:rPr>
      </w:pPr>
    </w:p>
    <w:p>
      <w:pPr>
        <w:spacing w:after="0" w:line="202"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 xml:space="preserve">4.7 </w:t>
      </w: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All of Borrower’s obligations under this </w:t>
      </w:r>
      <w:r>
        <w:rPr>
          <w:rFonts w:ascii="Arial" w:cs="Arial" w:eastAsia="Arial" w:hAnsi="Arial"/>
          <w:sz w:val="20"/>
          <w:szCs w:val="20"/>
          <w:b w:val="1"/>
          <w:bCs w:val="1"/>
          <w:i w:val="1"/>
          <w:iCs w:val="1"/>
          <w:color w:val="auto"/>
        </w:rPr>
        <w:t>Section 4</w:t>
      </w:r>
      <w:r>
        <w:rPr>
          <w:rFonts w:ascii="Arial" w:cs="Arial" w:eastAsia="Arial" w:hAnsi="Arial"/>
          <w:sz w:val="20"/>
          <w:szCs w:val="20"/>
          <w:color w:val="auto"/>
        </w:rPr>
        <w:t xml:space="preserve"> shall survive termination of the Total Commitment and repayment of the Obligation hereunder.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ectPr>
          <w:pgSz w:w="11900" w:h="16838" w:orient="portrait"/>
          <w:cols w:equalWidth="0" w:num="1">
            <w:col w:w="11420"/>
          </w:cols>
          <w:pgMar w:left="240" w:top="582" w:right="239" w:bottom="1440" w:gutter="0" w:footer="0" w:header="0"/>
        </w:sectPr>
      </w:pPr>
    </w:p>
    <w:bookmarkStart w:id="139" w:name="page140"/>
    <w:bookmarkEnd w:id="139"/>
    <w:p>
      <w:pPr>
        <w:spacing w:after="0"/>
        <w:tabs>
          <w:tab w:leader="none" w:pos="1200" w:val="left"/>
        </w:tabs>
        <w:rPr>
          <w:sz w:val="20"/>
          <w:szCs w:val="20"/>
          <w:color w:val="auto"/>
        </w:rPr>
      </w:pPr>
      <w:r>
        <w:rPr>
          <w:rFonts w:ascii="Arial" w:cs="Arial" w:eastAsia="Arial" w:hAnsi="Arial"/>
          <w:sz w:val="20"/>
          <w:szCs w:val="20"/>
          <w:b w:val="1"/>
          <w:bCs w:val="1"/>
          <w:u w:val="single" w:color="auto"/>
          <w:color w:val="auto"/>
        </w:rPr>
        <w:t>SECTION 5</w:t>
      </w:r>
      <w:r>
        <w:rPr>
          <w:sz w:val="20"/>
          <w:szCs w:val="20"/>
          <w:color w:val="auto"/>
        </w:rPr>
        <w:tab/>
      </w:r>
      <w:r>
        <w:rPr>
          <w:rFonts w:ascii="Arial" w:cs="Arial" w:eastAsia="Arial" w:hAnsi="Arial"/>
          <w:sz w:val="19"/>
          <w:szCs w:val="19"/>
          <w:b w:val="1"/>
          <w:bCs w:val="1"/>
          <w:u w:val="single" w:color="auto"/>
          <w:color w:val="auto"/>
        </w:rPr>
        <w:t>FEES</w:t>
      </w:r>
      <w:r>
        <w:rPr>
          <w:rFonts w:ascii="Arial" w:cs="Arial" w:eastAsia="Arial" w:hAnsi="Arial"/>
          <w:sz w:val="19"/>
          <w:szCs w:val="19"/>
          <w:color w:val="auto"/>
        </w:rPr>
        <w:t>.</w:t>
      </w:r>
    </w:p>
    <w:p>
      <w:pPr>
        <w:spacing w:after="0" w:line="200" w:lineRule="exact"/>
        <w:rPr>
          <w:sz w:val="20"/>
          <w:szCs w:val="20"/>
          <w:color w:val="auto"/>
        </w:rPr>
      </w:pPr>
    </w:p>
    <w:p>
      <w:pPr>
        <w:spacing w:after="0" w:line="23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6"/>
          <w:szCs w:val="16"/>
          <w:u w:val="single" w:color="auto"/>
          <w:color w:val="auto"/>
        </w:rPr>
        <w:t>Treatment of Fees</w:t>
      </w:r>
      <w:r>
        <w:rPr>
          <w:rFonts w:ascii="Arial" w:cs="Arial" w:eastAsia="Arial" w:hAnsi="Arial"/>
          <w:sz w:val="16"/>
          <w:szCs w:val="16"/>
          <w:color w:val="auto"/>
        </w:rPr>
        <w:t>. The fees described in this</w:t>
      </w:r>
      <w:r>
        <w:rPr>
          <w:rFonts w:ascii="Arial" w:cs="Arial" w:eastAsia="Arial" w:hAnsi="Arial"/>
          <w:sz w:val="16"/>
          <w:szCs w:val="16"/>
          <w:u w:val="single" w:color="auto"/>
          <w:color w:val="auto"/>
        </w:rPr>
        <w:t xml:space="preserve"> </w:t>
      </w:r>
      <w:r>
        <w:rPr>
          <w:rFonts w:ascii="Arial" w:cs="Arial" w:eastAsia="Arial" w:hAnsi="Arial"/>
          <w:sz w:val="16"/>
          <w:szCs w:val="16"/>
          <w:b w:val="1"/>
          <w:bCs w:val="1"/>
          <w:i w:val="1"/>
          <w:iCs w:val="1"/>
          <w:color w:val="auto"/>
        </w:rPr>
        <w:t>Section 5</w:t>
      </w:r>
      <w:r>
        <w:rPr>
          <w:rFonts w:ascii="Arial" w:cs="Arial" w:eastAsia="Arial" w:hAnsi="Arial"/>
          <w:sz w:val="16"/>
          <w:szCs w:val="16"/>
          <w:u w:val="single" w:color="auto"/>
          <w:color w:val="auto"/>
        </w:rPr>
        <w:t xml:space="preserve"> </w:t>
      </w:r>
      <w:r>
        <w:rPr>
          <w:rFonts w:ascii="Arial" w:cs="Arial" w:eastAsia="Arial" w:hAnsi="Arial"/>
          <w:sz w:val="16"/>
          <w:szCs w:val="16"/>
          <w:color w:val="auto"/>
        </w:rPr>
        <w:t>(a) are not compensation for the use, detention, or forbearance of money,</w:t>
      </w:r>
    </w:p>
    <w:p>
      <w:pPr>
        <w:spacing w:after="0" w:line="16" w:lineRule="exact"/>
        <w:rPr>
          <w:sz w:val="20"/>
          <w:szCs w:val="20"/>
          <w:color w:val="auto"/>
        </w:rPr>
      </w:pPr>
    </w:p>
    <w:p>
      <w:pPr>
        <w:ind w:firstLine="8"/>
        <w:spacing w:after="0" w:line="298" w:lineRule="auto"/>
        <w:tabs>
          <w:tab w:leader="none" w:pos="30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are in addition to, and not in lieu of, interest and expenses otherwise described in this Agreement, (c) are payable in accordance with </w:t>
      </w:r>
      <w:r>
        <w:rPr>
          <w:rFonts w:ascii="Arial" w:cs="Arial" w:eastAsia="Arial" w:hAnsi="Arial"/>
          <w:sz w:val="18"/>
          <w:szCs w:val="18"/>
          <w:b w:val="1"/>
          <w:bCs w:val="1"/>
          <w:i w:val="1"/>
          <w:iCs w:val="1"/>
          <w:color w:val="auto"/>
        </w:rPr>
        <w:t>Section 3.1(c)</w:t>
      </w:r>
      <w:r>
        <w:rPr>
          <w:rFonts w:ascii="Arial" w:cs="Arial" w:eastAsia="Arial" w:hAnsi="Arial"/>
          <w:sz w:val="18"/>
          <w:szCs w:val="18"/>
          <w:color w:val="auto"/>
        </w:rPr>
        <w:t>, (d) are non-refundable, and (e) to the fullest extent permitted by Law, bear interest, if not paid when due, at the Default Rate.</w:t>
      </w:r>
    </w:p>
    <w:p>
      <w:pPr>
        <w:spacing w:after="0" w:line="3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u w:val="single" w:color="auto"/>
          <w:color w:val="auto"/>
        </w:rPr>
        <w:t>Fee Letter</w:t>
      </w:r>
      <w:r>
        <w:rPr>
          <w:rFonts w:ascii="Arial" w:cs="Arial" w:eastAsia="Arial" w:hAnsi="Arial"/>
          <w:sz w:val="20"/>
          <w:szCs w:val="20"/>
          <w:color w:val="auto"/>
        </w:rPr>
        <w:t>. Borrower shall pay to the Joint Lead Arrangers and Administrative Agent, for their respective accounts or for the respective accounts of Lenders, as the case may be, fees in the amounts and at the times specified in the applicable Fee Letter. Such fees shall be fully earned when paid and shall not be refundable for any reason whatsoever.</w:t>
      </w:r>
    </w:p>
    <w:p>
      <w:pPr>
        <w:spacing w:after="0" w:line="200" w:lineRule="exact"/>
        <w:rPr>
          <w:sz w:val="20"/>
          <w:szCs w:val="20"/>
          <w:color w:val="auto"/>
        </w:rPr>
      </w:pPr>
    </w:p>
    <w:p>
      <w:pPr>
        <w:spacing w:after="0" w:line="20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6"/>
          <w:szCs w:val="16"/>
          <w:u w:val="single" w:color="auto"/>
          <w:color w:val="auto"/>
        </w:rPr>
        <w:t>L/C Fees</w:t>
      </w:r>
      <w:r>
        <w:rPr>
          <w:rFonts w:ascii="Arial" w:cs="Arial" w:eastAsia="Arial" w:hAnsi="Arial"/>
          <w:sz w:val="16"/>
          <w:szCs w:val="16"/>
          <w:color w:val="auto"/>
        </w:rPr>
        <w:t>.</w:t>
      </w:r>
    </w:p>
    <w:p>
      <w:pPr>
        <w:spacing w:after="0" w:line="216" w:lineRule="exact"/>
        <w:rPr>
          <w:sz w:val="20"/>
          <w:szCs w:val="20"/>
          <w:color w:val="auto"/>
        </w:rPr>
      </w:pPr>
    </w:p>
    <w:p>
      <w:pPr>
        <w:jc w:val="both"/>
        <w:ind w:left="660" w:firstLine="645"/>
        <w:spacing w:after="0" w:line="270" w:lineRule="auto"/>
        <w:tabs>
          <w:tab w:leader="none" w:pos="1780" w:val="left"/>
        </w:tabs>
        <w:numPr>
          <w:ilvl w:val="0"/>
          <w:numId w:val="115"/>
        </w:numPr>
        <w:rPr>
          <w:rFonts w:ascii="Arial" w:cs="Arial" w:eastAsia="Arial" w:hAnsi="Arial"/>
          <w:sz w:val="18"/>
          <w:szCs w:val="18"/>
          <w:color w:val="auto"/>
        </w:rPr>
      </w:pPr>
      <w:r>
        <w:rPr>
          <w:rFonts w:ascii="Arial" w:cs="Arial" w:eastAsia="Arial" w:hAnsi="Arial"/>
          <w:sz w:val="18"/>
          <w:szCs w:val="18"/>
          <w:b w:val="1"/>
          <w:bCs w:val="1"/>
          <w:i w:val="1"/>
          <w:iCs w:val="1"/>
          <w:color w:val="auto"/>
        </w:rPr>
        <w:t>L/C Fees</w:t>
      </w:r>
      <w:r>
        <w:rPr>
          <w:rFonts w:ascii="Arial" w:cs="Arial" w:eastAsia="Arial" w:hAnsi="Arial"/>
          <w:sz w:val="18"/>
          <w:szCs w:val="18"/>
          <w:color w:val="auto"/>
        </w:rPr>
        <w:t>. Borrower shall pay to Administrative Agent for the account of each Revolver Lender in accordance with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Commitment Percentage (i) a fee for each commercial L/C equal to 1/8 of 1% per annum times the Dollar Equivalent of the actual daily maximum amount available to be drawn under each such L/C, and (ii) a fee for each standby L/C equal to the Applicable Margin for Eurocurrency Rate Loans </w:t>
      </w:r>
      <w:r>
        <w:rPr>
          <w:rFonts w:ascii="Arial" w:cs="Arial" w:eastAsia="Arial" w:hAnsi="Arial"/>
          <w:sz w:val="18"/>
          <w:szCs w:val="18"/>
          <w:i w:val="1"/>
          <w:iCs w:val="1"/>
          <w:color w:val="auto"/>
        </w:rPr>
        <w:t>times</w:t>
      </w:r>
      <w:r>
        <w:rPr>
          <w:rFonts w:ascii="Arial" w:cs="Arial" w:eastAsia="Arial" w:hAnsi="Arial"/>
          <w:sz w:val="18"/>
          <w:szCs w:val="18"/>
          <w:color w:val="auto"/>
        </w:rPr>
        <w:t xml:space="preserve"> the Dollar Equivalent of the actual daily maximum amount available to be drawn under each such L/C;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any L/C Fees otherwise payable for the account of a Defaulting Lender with respect to any L/C as to which such Defaulting Lender has not provided Cash Collateral satisfactory to the applicable L/C Issuer pursuant to </w:t>
      </w:r>
      <w:r>
        <w:rPr>
          <w:rFonts w:ascii="Arial" w:cs="Arial" w:eastAsia="Arial" w:hAnsi="Arial"/>
          <w:sz w:val="18"/>
          <w:szCs w:val="18"/>
          <w:b w:val="1"/>
          <w:bCs w:val="1"/>
          <w:i w:val="1"/>
          <w:iCs w:val="1"/>
          <w:color w:val="auto"/>
        </w:rPr>
        <w:t>Section 2.3</w:t>
      </w:r>
      <w:r>
        <w:rPr>
          <w:rFonts w:ascii="Arial" w:cs="Arial" w:eastAsia="Arial" w:hAnsi="Arial"/>
          <w:sz w:val="18"/>
          <w:szCs w:val="18"/>
          <w:color w:val="auto"/>
        </w:rPr>
        <w:t xml:space="preserve"> shall be payable, to the maximum extent permitted by applicable Law, to the other Revolver Lenders in accordance with the upward adjustments in their respective Commitment Percentages allocable to such L/C pursuant to </w:t>
      </w:r>
      <w:r>
        <w:rPr>
          <w:rFonts w:ascii="Arial" w:cs="Arial" w:eastAsia="Arial" w:hAnsi="Arial"/>
          <w:sz w:val="18"/>
          <w:szCs w:val="18"/>
          <w:b w:val="1"/>
          <w:bCs w:val="1"/>
          <w:i w:val="1"/>
          <w:iCs w:val="1"/>
          <w:color w:val="auto"/>
        </w:rPr>
        <w:t>Section 3.15(a)(iv)</w:t>
      </w:r>
      <w:r>
        <w:rPr>
          <w:rFonts w:ascii="Arial" w:cs="Arial" w:eastAsia="Arial" w:hAnsi="Arial"/>
          <w:sz w:val="18"/>
          <w:szCs w:val="18"/>
          <w:color w:val="auto"/>
        </w:rPr>
        <w:t>, with the balance of such fee, if any, payable to the applicable L/C Issuer for its own account. Such fee for each L/C shall be due and payable quarterly in arrears on each Quarterly Date, commencing with the first such date to occur after the issuance of such L/C, and on the expiration date of such L/C. If there is any change in the Applicable Margin during any quarter, the actual daily amount of each standby L/C shall be computed and multiplied by the Applicable Margin separately for each period during such quarter that such Applicable Margin was in effect. Notwithstanding anything to the contrary contained herein, upon the request of Required Revolver Lenders, while any Default exists, the fees set forth herein with respect to L/Cs shall accrue at the Default Rate.</w:t>
      </w:r>
    </w:p>
    <w:p>
      <w:pPr>
        <w:spacing w:after="0" w:line="170" w:lineRule="exact"/>
        <w:rPr>
          <w:rFonts w:ascii="Arial" w:cs="Arial" w:eastAsia="Arial" w:hAnsi="Arial"/>
          <w:sz w:val="18"/>
          <w:szCs w:val="18"/>
          <w:color w:val="auto"/>
        </w:rPr>
      </w:pPr>
    </w:p>
    <w:p>
      <w:pPr>
        <w:jc w:val="both"/>
        <w:ind w:left="660" w:firstLine="645"/>
        <w:spacing w:after="0" w:line="272" w:lineRule="auto"/>
        <w:tabs>
          <w:tab w:leader="none" w:pos="1777" w:val="left"/>
        </w:tabs>
        <w:numPr>
          <w:ilvl w:val="0"/>
          <w:numId w:val="115"/>
        </w:numPr>
        <w:rPr>
          <w:rFonts w:ascii="Arial" w:cs="Arial" w:eastAsia="Arial" w:hAnsi="Arial"/>
          <w:sz w:val="18"/>
          <w:szCs w:val="18"/>
          <w:color w:val="auto"/>
        </w:rPr>
      </w:pPr>
      <w:r>
        <w:rPr>
          <w:rFonts w:ascii="Arial" w:cs="Arial" w:eastAsia="Arial" w:hAnsi="Arial"/>
          <w:sz w:val="18"/>
          <w:szCs w:val="18"/>
          <w:b w:val="1"/>
          <w:bCs w:val="1"/>
          <w:i w:val="1"/>
          <w:iCs w:val="1"/>
          <w:color w:val="auto"/>
        </w:rPr>
        <w:t>Fronting Fee and Documentary and Processing Charges Payable to L/C Issuers</w:t>
      </w:r>
      <w:r>
        <w:rPr>
          <w:rFonts w:ascii="Arial" w:cs="Arial" w:eastAsia="Arial" w:hAnsi="Arial"/>
          <w:sz w:val="18"/>
          <w:szCs w:val="18"/>
          <w:color w:val="auto"/>
        </w:rPr>
        <w:t>. Borrower shall pay directly to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L/C Issuer, for its own account, a fronting fee in an amount specified in the applicable Fee Letter executed by Borrower and such L/C Issuer, or such other amount as may be agreed upon by Borrower and such L/C Issuer, or, with respect to commercial L/Cs, in an amount agreed upon by Borrower and such L/C Issuers. Such fronting fee shall be due and payable (i) with respect to standby L/Cs, on the tenth Business Day after the end of each January, April, July, and October in respect of the most recently-ended quarterly period (or portion thereof, in the case of the first payment), commencing with the first such date to occur after the issuance of such L/C, on the L/C Expiration Date, and thereafter on demand, or (ii) with respect to commercial L/Cs, upon the issuance thereof and with respect to any amendment increasing the amount of such commercial L/C, on the amount of such increase, and payable upon the effectiveness of such amendment. For purposes of computing the daily amount available to be drawn under any L/C, the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ectPr>
          <w:pgSz w:w="11900" w:h="16838" w:orient="portrait"/>
          <w:cols w:equalWidth="0" w:num="1">
            <w:col w:w="11420"/>
          </w:cols>
          <w:pgMar w:left="240" w:top="792" w:right="239" w:bottom="1440" w:gutter="0" w:footer="0" w:header="0"/>
        </w:sectPr>
      </w:pPr>
    </w:p>
    <w:bookmarkStart w:id="140" w:name="page141"/>
    <w:bookmarkEnd w:id="140"/>
    <w:p>
      <w:pPr>
        <w:jc w:val="both"/>
        <w:ind w:left="660"/>
        <w:spacing w:after="0" w:line="246" w:lineRule="auto"/>
        <w:rPr>
          <w:sz w:val="20"/>
          <w:szCs w:val="20"/>
          <w:color w:val="auto"/>
        </w:rPr>
      </w:pPr>
      <w:r>
        <w:rPr>
          <w:rFonts w:ascii="Arial" w:cs="Arial" w:eastAsia="Arial" w:hAnsi="Arial"/>
          <w:sz w:val="20"/>
          <w:szCs w:val="20"/>
          <w:color w:val="auto"/>
        </w:rPr>
        <w:t xml:space="preserve">amount of such L/C shall be determined in accordance with </w:t>
      </w:r>
      <w:r>
        <w:rPr>
          <w:rFonts w:ascii="Arial" w:cs="Arial" w:eastAsia="Arial" w:hAnsi="Arial"/>
          <w:sz w:val="20"/>
          <w:szCs w:val="20"/>
          <w:b w:val="1"/>
          <w:bCs w:val="1"/>
          <w:i w:val="1"/>
          <w:iCs w:val="1"/>
          <w:color w:val="auto"/>
        </w:rPr>
        <w:t>Section 1.7</w:t>
      </w:r>
      <w:r>
        <w:rPr>
          <w:rFonts w:ascii="Arial" w:cs="Arial" w:eastAsia="Arial" w:hAnsi="Arial"/>
          <w:sz w:val="20"/>
          <w:szCs w:val="20"/>
          <w:color w:val="auto"/>
        </w:rPr>
        <w:t>. In addition, Borrower shall pay directly to the applicable L/C Issuer for its own account, in Dollars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192" w:lineRule="exact"/>
        <w:rPr>
          <w:sz w:val="20"/>
          <w:szCs w:val="20"/>
          <w:color w:val="auto"/>
        </w:rPr>
      </w:pPr>
    </w:p>
    <w:p>
      <w:pPr>
        <w:ind w:left="660" w:firstLine="645"/>
        <w:spacing w:after="0" w:line="260" w:lineRule="auto"/>
        <w:tabs>
          <w:tab w:leader="none" w:pos="1780" w:val="left"/>
        </w:tabs>
        <w:numPr>
          <w:ilvl w:val="0"/>
          <w:numId w:val="116"/>
        </w:numPr>
        <w:rPr>
          <w:rFonts w:ascii="Arial" w:cs="Arial" w:eastAsia="Arial" w:hAnsi="Arial"/>
          <w:sz w:val="20"/>
          <w:szCs w:val="20"/>
          <w:color w:val="auto"/>
        </w:rPr>
      </w:pPr>
      <w:r>
        <w:rPr>
          <w:rFonts w:ascii="Arial" w:cs="Arial" w:eastAsia="Arial" w:hAnsi="Arial"/>
          <w:sz w:val="20"/>
          <w:szCs w:val="20"/>
          <w:b w:val="1"/>
          <w:bCs w:val="1"/>
          <w:i w:val="1"/>
          <w:iCs w:val="1"/>
          <w:color w:val="auto"/>
        </w:rPr>
        <w:t>Calculation of L/C Fees</w:t>
      </w:r>
      <w:r>
        <w:rPr>
          <w:rFonts w:ascii="Arial" w:cs="Arial" w:eastAsia="Arial" w:hAnsi="Arial"/>
          <w:sz w:val="20"/>
          <w:szCs w:val="20"/>
          <w:color w:val="auto"/>
        </w:rPr>
        <w:t>. Each L/C (</w:t>
      </w:r>
      <w:r>
        <w:rPr>
          <w:rFonts w:ascii="Arial" w:cs="Arial" w:eastAsia="Arial" w:hAnsi="Arial"/>
          <w:sz w:val="20"/>
          <w:szCs w:val="20"/>
          <w:i w:val="1"/>
          <w:iCs w:val="1"/>
          <w:color w:val="auto"/>
        </w:rPr>
        <w:t>other than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 fee payable upon the issuance of the L/C) shall be calculated on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basis of a year of 360 days and the actual number of days elapsed.</w:t>
      </w:r>
    </w:p>
    <w:p>
      <w:pPr>
        <w:spacing w:after="0" w:line="3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Revolver Commitment Fee</w:t>
      </w:r>
      <w:r>
        <w:rPr>
          <w:rFonts w:ascii="Arial" w:cs="Arial" w:eastAsia="Arial" w:hAnsi="Arial"/>
          <w:sz w:val="19"/>
          <w:szCs w:val="19"/>
          <w:color w:val="auto"/>
        </w:rPr>
        <w:t xml:space="preserve">. Borrower shall pay to Administrative Agent for the account of each Revolver Lender in accordance with its Commitment Percentage, a commitment fee equal to the Applicable Percentage times the daily amount by which the Revolver Commitment exceeds the Revolver Commitment Usage (excluding from Revolver Commitment Usage, for the purposes hereof, the outstanding principal balance of Swing Line Loans). The commitment fee shall accrue at all times from the Closing Date to the Termination Date for the Revolver Facility, including at any time during which one or more of the conditions in </w:t>
      </w:r>
      <w:r>
        <w:rPr>
          <w:rFonts w:ascii="Arial" w:cs="Arial" w:eastAsia="Arial" w:hAnsi="Arial"/>
          <w:sz w:val="19"/>
          <w:szCs w:val="19"/>
          <w:b w:val="1"/>
          <w:bCs w:val="1"/>
          <w:i w:val="1"/>
          <w:iCs w:val="1"/>
          <w:color w:val="auto"/>
        </w:rPr>
        <w:t>Section 7</w:t>
      </w:r>
      <w:r>
        <w:rPr>
          <w:rFonts w:ascii="Arial" w:cs="Arial" w:eastAsia="Arial" w:hAnsi="Arial"/>
          <w:sz w:val="19"/>
          <w:szCs w:val="19"/>
          <w:color w:val="auto"/>
        </w:rPr>
        <w:t xml:space="preserve"> is not met, and shall be due and payable quarterly in arrears on each Quarterly Date, commencing with the first such date to occur after the Closing Date, and on the Termination Date for the Revolver Facility. The commitment fee shall be calculated quarterly in arrears on the basis of the actual days elapsed (including the first day but excluding the last day) in a calendar year of 360 days, and if there is any change in the Applicable Percentage during any quarter, the actual daily amount shall be computed and multiplied by the Applicable Percentage separately for each period during such quarter that such Applicable Percentage was in effect.</w:t>
      </w:r>
    </w:p>
    <w:p>
      <w:pPr>
        <w:spacing w:after="0" w:line="392"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u w:val="single" w:color="auto"/>
          <w:color w:val="auto"/>
        </w:rPr>
        <w:t>SECTION 6</w:t>
      </w:r>
      <w:r>
        <w:rPr>
          <w:sz w:val="20"/>
          <w:szCs w:val="20"/>
          <w:color w:val="auto"/>
        </w:rPr>
        <w:tab/>
      </w:r>
      <w:r>
        <w:rPr>
          <w:rFonts w:ascii="Arial" w:cs="Arial" w:eastAsia="Arial" w:hAnsi="Arial"/>
          <w:sz w:val="20"/>
          <w:szCs w:val="20"/>
          <w:b w:val="1"/>
          <w:bCs w:val="1"/>
          <w:u w:val="single" w:color="auto"/>
          <w:color w:val="auto"/>
        </w:rPr>
        <w:t>GUARANTY AND SECURITY</w:t>
      </w:r>
      <w:r>
        <w:rPr>
          <w:rFonts w:ascii="Arial" w:cs="Arial" w:eastAsia="Arial" w:hAnsi="Arial"/>
          <w:sz w:val="20"/>
          <w:szCs w:val="20"/>
          <w:color w:val="auto"/>
        </w:rPr>
        <w:t>.</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Guaranty</w:t>
      </w:r>
      <w:r>
        <w:rPr>
          <w:rFonts w:ascii="Arial" w:cs="Arial" w:eastAsia="Arial" w:hAnsi="Arial"/>
          <w:sz w:val="18"/>
          <w:szCs w:val="18"/>
          <w:color w:val="auto"/>
        </w:rPr>
        <w:t>. Full and complete payment of the Obligation under the Loan Papers shall be guaranteed in accordance with a Guaranty executed by each Restricted Company (other than Borrower) organized under the Laws of the United States (or any state thereof).</w:t>
      </w:r>
    </w:p>
    <w:p>
      <w:pPr>
        <w:spacing w:after="0" w:line="34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9"/>
          <w:szCs w:val="19"/>
          <w:u w:val="single" w:color="auto"/>
          <w:color w:val="auto"/>
        </w:rPr>
        <w:t>Collateral</w:t>
      </w:r>
      <w:r>
        <w:rPr>
          <w:rFonts w:ascii="Arial" w:cs="Arial" w:eastAsia="Arial" w:hAnsi="Arial"/>
          <w:sz w:val="19"/>
          <w:szCs w:val="19"/>
          <w:color w:val="auto"/>
        </w:rPr>
        <w:t>. Full and complete payment of the Obligation under the Loan Papers shall be secured by (a) all capital stock or other</w:t>
      </w:r>
      <w:r>
        <w:rPr>
          <w:rFonts w:ascii="Arial" w:cs="Arial" w:eastAsia="Arial" w:hAnsi="Arial"/>
          <w:sz w:val="18"/>
          <w:szCs w:val="18"/>
          <w:color w:val="auto"/>
        </w:rPr>
        <w:t xml:space="preserve"> </w:t>
      </w:r>
      <w:r>
        <w:rPr>
          <w:rFonts w:ascii="Arial" w:cs="Arial" w:eastAsia="Arial" w:hAnsi="Arial"/>
          <w:sz w:val="19"/>
          <w:szCs w:val="19"/>
          <w:color w:val="auto"/>
        </w:rPr>
        <w:t xml:space="preserve">equity interests issued to a Restricted Company by any Restricted Subsidiary organized under the Laws of the United States (or any state thereof), other than the North Star Subsidiaries and the Concessioner Subsidiaries, and (b) 65% of all capital stock or other equity interests issued to a Restricted Company organized under the Laws of the United States (or any state thereof) by any Restricted Subsidiary organized under the Laws of any country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the United States.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6.3 </w:t>
      </w:r>
      <w:r>
        <w:rPr>
          <w:rFonts w:ascii="Arial" w:cs="Arial" w:eastAsia="Arial" w:hAnsi="Arial"/>
          <w:sz w:val="20"/>
          <w:szCs w:val="20"/>
          <w:u w:val="single" w:color="auto"/>
          <w:color w:val="auto"/>
        </w:rPr>
        <w:t>Additional Collateral and Guaranties</w:t>
      </w:r>
      <w:r>
        <w:rPr>
          <w:rFonts w:ascii="Arial" w:cs="Arial" w:eastAsia="Arial" w:hAnsi="Arial"/>
          <w:sz w:val="20"/>
          <w:szCs w:val="20"/>
          <w:color w:val="auto"/>
        </w:rPr>
        <w:t xml:space="preserve">. Administrative Agent may, without notice or demand and without affecting any Person’s obligations under the Loan Papers, from time to time (a) receive and hold additional collateral from any Person for the payment of all or any part of the Obligation (including, without limitation, collateral assigned to Administrative Agent pursuant to </w:t>
      </w:r>
      <w:r>
        <w:rPr>
          <w:rFonts w:ascii="Arial" w:cs="Arial" w:eastAsia="Arial" w:hAnsi="Arial"/>
          <w:sz w:val="20"/>
          <w:szCs w:val="20"/>
          <w:b w:val="1"/>
          <w:bCs w:val="1"/>
          <w:i w:val="1"/>
          <w:iCs w:val="1"/>
          <w:color w:val="auto"/>
        </w:rPr>
        <w:t>Section 2.3(i)(iv)</w:t>
      </w:r>
      <w:r>
        <w:rPr>
          <w:rFonts w:ascii="Arial" w:cs="Arial" w:eastAsia="Arial" w:hAnsi="Arial"/>
          <w:sz w:val="20"/>
          <w:szCs w:val="20"/>
          <w:color w:val="auto"/>
        </w:rPr>
        <w:t xml:space="preserve"> herein) and exchange, enforce, or release all or any part of such additional collateral (in accordance with </w:t>
      </w:r>
      <w:r>
        <w:rPr>
          <w:rFonts w:ascii="Arial" w:cs="Arial" w:eastAsia="Arial" w:hAnsi="Arial"/>
          <w:sz w:val="20"/>
          <w:szCs w:val="20"/>
          <w:b w:val="1"/>
          <w:bCs w:val="1"/>
          <w:i w:val="1"/>
          <w:iCs w:val="1"/>
          <w:color w:val="auto"/>
        </w:rPr>
        <w:t>Section 14.9</w:t>
      </w:r>
      <w:r>
        <w:rPr>
          <w:rFonts w:ascii="Arial" w:cs="Arial" w:eastAsia="Arial" w:hAnsi="Arial"/>
          <w:sz w:val="20"/>
          <w:szCs w:val="20"/>
          <w:color w:val="auto"/>
        </w:rPr>
        <w:t>), and (b) accept and hold any endorsement or guaranty of payment of all or any part of the Obligation and release any endorser or guarantor, or any Person who has given any other security for the payment of all or any part of</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ectPr>
          <w:pgSz w:w="11900" w:h="16838" w:orient="portrait"/>
          <w:cols w:equalWidth="0" w:num="1">
            <w:col w:w="11420"/>
          </w:cols>
          <w:pgMar w:left="240" w:top="582" w:right="239" w:bottom="1440" w:gutter="0" w:footer="0" w:header="0"/>
        </w:sectPr>
      </w:pPr>
    </w:p>
    <w:bookmarkStart w:id="141" w:name="page142"/>
    <w:bookmarkEnd w:id="141"/>
    <w:p>
      <w:pPr>
        <w:spacing w:after="0"/>
        <w:rPr>
          <w:sz w:val="20"/>
          <w:szCs w:val="20"/>
          <w:color w:val="auto"/>
        </w:rPr>
      </w:pPr>
      <w:r>
        <w:rPr>
          <w:rFonts w:ascii="Arial" w:cs="Arial" w:eastAsia="Arial" w:hAnsi="Arial"/>
          <w:sz w:val="19"/>
          <w:szCs w:val="19"/>
          <w:color w:val="auto"/>
        </w:rPr>
        <w:t xml:space="preserve">the Obligation, or any other Person in any way obligated to pay all or any part of the Obligation (in accordance with </w:t>
      </w:r>
      <w:r>
        <w:rPr>
          <w:rFonts w:ascii="Arial" w:cs="Arial" w:eastAsia="Arial" w:hAnsi="Arial"/>
          <w:sz w:val="19"/>
          <w:szCs w:val="19"/>
          <w:b w:val="1"/>
          <w:bCs w:val="1"/>
          <w:i w:val="1"/>
          <w:iCs w:val="1"/>
          <w:color w:val="auto"/>
        </w:rPr>
        <w:t>Section 14.9</w:t>
      </w:r>
      <w:r>
        <w:rPr>
          <w:rFonts w:ascii="Arial" w:cs="Arial" w:eastAsia="Arial" w:hAnsi="Arial"/>
          <w:sz w:val="19"/>
          <w:szCs w:val="19"/>
          <w:color w:val="auto"/>
        </w:rPr>
        <w:t>).</w:t>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Additional Documents or Information</w:t>
      </w:r>
      <w:r>
        <w:rPr>
          <w:rFonts w:ascii="Arial" w:cs="Arial" w:eastAsia="Arial" w:hAnsi="Arial"/>
          <w:sz w:val="18"/>
          <w:szCs w:val="18"/>
          <w:color w:val="auto"/>
        </w:rPr>
        <w:t>. Each Company will execute or cause to be executed, stock powers, control agreements, and other writings in the form and content reasonably required by Administrative Agent, and shall deliver (or grant Administrative Agent the authority to file on behalf of each Company) financing statements requested by Administrative Agent. Borrower shall pay all costs of (a) filing any financing, continuation, amendment, or terminations statements, or (b) other actions taken by Administrative Agent relating to the Collateral, including, without limitation, costs, and expenses of any Lien search required by Administrative Agent.</w:t>
      </w:r>
    </w:p>
    <w:p>
      <w:pPr>
        <w:spacing w:after="0" w:line="375"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u w:val="single" w:color="auto"/>
          <w:color w:val="auto"/>
        </w:rPr>
        <w:t>SECTION 7</w:t>
      </w:r>
      <w:r>
        <w:rPr>
          <w:sz w:val="20"/>
          <w:szCs w:val="20"/>
          <w:color w:val="auto"/>
        </w:rPr>
        <w:tab/>
      </w:r>
      <w:r>
        <w:rPr>
          <w:rFonts w:ascii="Arial" w:cs="Arial" w:eastAsia="Arial" w:hAnsi="Arial"/>
          <w:sz w:val="19"/>
          <w:szCs w:val="19"/>
          <w:b w:val="1"/>
          <w:bCs w:val="1"/>
          <w:u w:val="single" w:color="auto"/>
          <w:color w:val="auto"/>
        </w:rPr>
        <w:t>CONDITIONS PRECEDENT</w:t>
      </w:r>
      <w:r>
        <w:rPr>
          <w:rFonts w:ascii="Arial" w:cs="Arial" w:eastAsia="Arial" w:hAnsi="Arial"/>
          <w:sz w:val="19"/>
          <w:szCs w:val="19"/>
          <w:color w:val="auto"/>
        </w:rPr>
        <w:t>.</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Initial Advance</w:t>
      </w:r>
      <w:r>
        <w:rPr>
          <w:rFonts w:ascii="Arial" w:cs="Arial" w:eastAsia="Arial" w:hAnsi="Arial"/>
          <w:sz w:val="19"/>
          <w:szCs w:val="19"/>
          <w:color w:val="auto"/>
        </w:rPr>
        <w:t xml:space="preserve">. Lenders will not be obligated to fund the initial Loans hereunder, and the L/C Issuers will not be obligated to issue the initial L/Cs hereunder, unless Administrative Agent has received each of the items in </w:t>
      </w:r>
      <w:r>
        <w:rPr>
          <w:rFonts w:ascii="Arial" w:cs="Arial" w:eastAsia="Arial" w:hAnsi="Arial"/>
          <w:sz w:val="19"/>
          <w:szCs w:val="19"/>
          <w:b w:val="1"/>
          <w:bCs w:val="1"/>
          <w:i w:val="1"/>
          <w:iCs w:val="1"/>
          <w:color w:val="auto"/>
        </w:rPr>
        <w:t>clauses (a)</w:t>
      </w:r>
      <w:r>
        <w:rPr>
          <w:rFonts w:ascii="Arial" w:cs="Arial" w:eastAsia="Arial" w:hAnsi="Arial"/>
          <w:sz w:val="19"/>
          <w:szCs w:val="19"/>
          <w:color w:val="auto"/>
        </w:rPr>
        <w:t xml:space="preserve"> through </w:t>
      </w:r>
      <w:r>
        <w:rPr>
          <w:rFonts w:ascii="Arial" w:cs="Arial" w:eastAsia="Arial" w:hAnsi="Arial"/>
          <w:sz w:val="19"/>
          <w:szCs w:val="19"/>
          <w:b w:val="1"/>
          <w:bCs w:val="1"/>
          <w:i w:val="1"/>
          <w:iCs w:val="1"/>
          <w:color w:val="auto"/>
        </w:rPr>
        <w:t>(k)</w:t>
      </w:r>
      <w:r>
        <w:rPr>
          <w:rFonts w:ascii="Arial" w:cs="Arial" w:eastAsia="Arial" w:hAnsi="Arial"/>
          <w:sz w:val="19"/>
          <w:szCs w:val="19"/>
          <w:color w:val="auto"/>
        </w:rPr>
        <w:t xml:space="preserve"> below, each in form and substance satisfactory to Administrative Agent and each of the Lenders, and the conditions in </w:t>
      </w:r>
      <w:r>
        <w:rPr>
          <w:rFonts w:ascii="Arial" w:cs="Arial" w:eastAsia="Arial" w:hAnsi="Arial"/>
          <w:sz w:val="19"/>
          <w:szCs w:val="19"/>
          <w:b w:val="1"/>
          <w:bCs w:val="1"/>
          <w:i w:val="1"/>
          <w:iCs w:val="1"/>
          <w:color w:val="auto"/>
        </w:rPr>
        <w:t>clauses (l)</w:t>
      </w:r>
      <w:r>
        <w:rPr>
          <w:rFonts w:ascii="Arial" w:cs="Arial" w:eastAsia="Arial" w:hAnsi="Arial"/>
          <w:sz w:val="19"/>
          <w:szCs w:val="19"/>
          <w:color w:val="auto"/>
        </w:rPr>
        <w:t xml:space="preserve"> and </w:t>
      </w:r>
      <w:r>
        <w:rPr>
          <w:rFonts w:ascii="Arial" w:cs="Arial" w:eastAsia="Arial" w:hAnsi="Arial"/>
          <w:sz w:val="19"/>
          <w:szCs w:val="19"/>
          <w:b w:val="1"/>
          <w:bCs w:val="1"/>
          <w:i w:val="1"/>
          <w:iCs w:val="1"/>
          <w:color w:val="auto"/>
        </w:rPr>
        <w:t>(m)</w:t>
      </w:r>
      <w:r>
        <w:rPr>
          <w:rFonts w:ascii="Arial" w:cs="Arial" w:eastAsia="Arial" w:hAnsi="Arial"/>
          <w:sz w:val="19"/>
          <w:szCs w:val="19"/>
          <w:color w:val="auto"/>
        </w:rPr>
        <w:t xml:space="preserve"> below have been satisfied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each item listed on </w:t>
      </w:r>
      <w:r>
        <w:rPr>
          <w:rFonts w:ascii="Arial" w:cs="Arial" w:eastAsia="Arial" w:hAnsi="Arial"/>
          <w:sz w:val="19"/>
          <w:szCs w:val="19"/>
          <w:b w:val="1"/>
          <w:bCs w:val="1"/>
          <w:i w:val="1"/>
          <w:iCs w:val="1"/>
          <w:color w:val="auto"/>
        </w:rPr>
        <w:t>Schedule 7.1</w:t>
      </w:r>
      <w:r>
        <w:rPr>
          <w:rFonts w:ascii="Arial" w:cs="Arial" w:eastAsia="Arial" w:hAnsi="Arial"/>
          <w:sz w:val="19"/>
          <w:szCs w:val="19"/>
          <w:color w:val="auto"/>
        </w:rPr>
        <w:t xml:space="preserve">, which items are hereby permitted to be delivered or satisfied after the Closing Date, but not later than the respective dates for delivery or satisfaction specified on </w:t>
      </w:r>
      <w:r>
        <w:rPr>
          <w:rFonts w:ascii="Arial" w:cs="Arial" w:eastAsia="Arial" w:hAnsi="Arial"/>
          <w:sz w:val="19"/>
          <w:szCs w:val="19"/>
          <w:b w:val="1"/>
          <w:bCs w:val="1"/>
          <w:i w:val="1"/>
          <w:iCs w:val="1"/>
          <w:color w:val="auto"/>
        </w:rPr>
        <w:t>Schedule 7.1</w:t>
      </w:r>
      <w:r>
        <w:rPr>
          <w:rFonts w:ascii="Arial" w:cs="Arial" w:eastAsia="Arial" w:hAnsi="Arial"/>
          <w:sz w:val="19"/>
          <w:szCs w:val="19"/>
          <w:color w:val="auto"/>
        </w:rPr>
        <w:t>):</w:t>
      </w:r>
    </w:p>
    <w:p>
      <w:pPr>
        <w:spacing w:after="0" w:line="181" w:lineRule="exact"/>
        <w:rPr>
          <w:sz w:val="20"/>
          <w:szCs w:val="20"/>
          <w:color w:val="auto"/>
        </w:rPr>
      </w:pPr>
    </w:p>
    <w:p>
      <w:pPr>
        <w:ind w:left="660" w:firstLine="645"/>
        <w:spacing w:after="0" w:line="260" w:lineRule="auto"/>
        <w:tabs>
          <w:tab w:leader="none" w:pos="1789" w:val="left"/>
        </w:tabs>
        <w:numPr>
          <w:ilvl w:val="1"/>
          <w:numId w:val="117"/>
        </w:numPr>
        <w:rPr>
          <w:rFonts w:ascii="Arial" w:cs="Arial" w:eastAsia="Arial" w:hAnsi="Arial"/>
          <w:sz w:val="20"/>
          <w:szCs w:val="20"/>
          <w:color w:val="auto"/>
        </w:rPr>
      </w:pPr>
      <w:r>
        <w:rPr>
          <w:rFonts w:ascii="Arial" w:cs="Arial" w:eastAsia="Arial" w:hAnsi="Arial"/>
          <w:sz w:val="20"/>
          <w:szCs w:val="20"/>
          <w:color w:val="auto"/>
        </w:rPr>
        <w:t>an executed counterpart of this Agreement, sufficient in number for distribution to Administrative Agent, each Lender, and Borrower;</w:t>
      </w:r>
    </w:p>
    <w:p>
      <w:pPr>
        <w:spacing w:after="0" w:line="176" w:lineRule="exact"/>
        <w:rPr>
          <w:rFonts w:ascii="Arial" w:cs="Arial" w:eastAsia="Arial" w:hAnsi="Arial"/>
          <w:sz w:val="20"/>
          <w:szCs w:val="20"/>
          <w:color w:val="auto"/>
        </w:rPr>
      </w:pPr>
    </w:p>
    <w:p>
      <w:pPr>
        <w:jc w:val="both"/>
        <w:ind w:left="660" w:firstLine="645"/>
        <w:spacing w:after="0" w:line="244" w:lineRule="auto"/>
        <w:tabs>
          <w:tab w:leader="none" w:pos="1749" w:val="left"/>
        </w:tabs>
        <w:numPr>
          <w:ilvl w:val="1"/>
          <w:numId w:val="117"/>
        </w:numPr>
        <w:rPr>
          <w:rFonts w:ascii="Arial" w:cs="Arial" w:eastAsia="Arial" w:hAnsi="Arial"/>
          <w:sz w:val="19"/>
          <w:szCs w:val="19"/>
          <w:color w:val="auto"/>
        </w:rPr>
      </w:pPr>
      <w:r>
        <w:rPr>
          <w:rFonts w:ascii="Arial" w:cs="Arial" w:eastAsia="Arial" w:hAnsi="Arial"/>
          <w:sz w:val="20"/>
          <w:szCs w:val="20"/>
          <w:color w:val="auto"/>
        </w:rPr>
        <w:t xml:space="preserve">(i) with respect to any Revolver Lender requesting a Revolver Note pursuant to </w:t>
      </w:r>
      <w:r>
        <w:rPr>
          <w:rFonts w:ascii="Arial" w:cs="Arial" w:eastAsia="Arial" w:hAnsi="Arial"/>
          <w:sz w:val="20"/>
          <w:szCs w:val="20"/>
          <w:b w:val="1"/>
          <w:bCs w:val="1"/>
          <w:i w:val="1"/>
          <w:iCs w:val="1"/>
          <w:color w:val="auto"/>
        </w:rPr>
        <w:t>Section 3.1(a)</w:t>
      </w:r>
      <w:r>
        <w:rPr>
          <w:rFonts w:ascii="Arial" w:cs="Arial" w:eastAsia="Arial" w:hAnsi="Arial"/>
          <w:sz w:val="20"/>
          <w:szCs w:val="20"/>
          <w:color w:val="auto"/>
        </w:rPr>
        <w:t xml:space="preserve">, a Revolver Note, payable to the order of such requesting Revolver Lender, as contemplated in </w:t>
      </w:r>
      <w:r>
        <w:rPr>
          <w:rFonts w:ascii="Arial" w:cs="Arial" w:eastAsia="Arial" w:hAnsi="Arial"/>
          <w:sz w:val="20"/>
          <w:szCs w:val="20"/>
          <w:b w:val="1"/>
          <w:bCs w:val="1"/>
          <w:i w:val="1"/>
          <w:iCs w:val="1"/>
          <w:color w:val="auto"/>
        </w:rPr>
        <w:t>Section 3.1(a)</w:t>
      </w:r>
      <w:r>
        <w:rPr>
          <w:rFonts w:ascii="Arial" w:cs="Arial" w:eastAsia="Arial" w:hAnsi="Arial"/>
          <w:sz w:val="20"/>
          <w:szCs w:val="20"/>
          <w:color w:val="auto"/>
        </w:rPr>
        <w:t xml:space="preserve">, (ii) with respect to any Term Loan Lender requesting a Term Loan Note pursuant to </w:t>
      </w:r>
      <w:r>
        <w:rPr>
          <w:rFonts w:ascii="Arial" w:cs="Arial" w:eastAsia="Arial" w:hAnsi="Arial"/>
          <w:sz w:val="20"/>
          <w:szCs w:val="20"/>
          <w:b w:val="1"/>
          <w:bCs w:val="1"/>
          <w:i w:val="1"/>
          <w:iCs w:val="1"/>
          <w:color w:val="auto"/>
        </w:rPr>
        <w:t>Section 3.1(a)</w:t>
      </w:r>
      <w:r>
        <w:rPr>
          <w:rFonts w:ascii="Arial" w:cs="Arial" w:eastAsia="Arial" w:hAnsi="Arial"/>
          <w:sz w:val="20"/>
          <w:szCs w:val="20"/>
          <w:color w:val="auto"/>
        </w:rPr>
        <w:t xml:space="preserve">, a Term Loan Note, payable to the order of such requesting Term Loan Lender, as contemplated in </w:t>
      </w:r>
      <w:r>
        <w:rPr>
          <w:rFonts w:ascii="Arial" w:cs="Arial" w:eastAsia="Arial" w:hAnsi="Arial"/>
          <w:sz w:val="20"/>
          <w:szCs w:val="20"/>
          <w:b w:val="1"/>
          <w:bCs w:val="1"/>
          <w:i w:val="1"/>
          <w:iCs w:val="1"/>
          <w:color w:val="auto"/>
        </w:rPr>
        <w:t>Section 3.1(a)</w:t>
      </w:r>
      <w:r>
        <w:rPr>
          <w:rFonts w:ascii="Arial" w:cs="Arial" w:eastAsia="Arial" w:hAnsi="Arial"/>
          <w:sz w:val="20"/>
          <w:szCs w:val="20"/>
          <w:color w:val="auto"/>
        </w:rPr>
        <w:t xml:space="preserve">, and (iii) if requested by either Swing Line Lender pursuant to </w:t>
      </w:r>
      <w:r>
        <w:rPr>
          <w:rFonts w:ascii="Arial" w:cs="Arial" w:eastAsia="Arial" w:hAnsi="Arial"/>
          <w:sz w:val="20"/>
          <w:szCs w:val="20"/>
          <w:b w:val="1"/>
          <w:bCs w:val="1"/>
          <w:i w:val="1"/>
          <w:iCs w:val="1"/>
          <w:color w:val="auto"/>
        </w:rPr>
        <w:t>Section 3.1(a)</w:t>
      </w:r>
      <w:r>
        <w:rPr>
          <w:rFonts w:ascii="Arial" w:cs="Arial" w:eastAsia="Arial" w:hAnsi="Arial"/>
          <w:sz w:val="20"/>
          <w:szCs w:val="20"/>
          <w:color w:val="auto"/>
        </w:rPr>
        <w:t>, a Swing Line Note, payable to such Swing Line Lender;</w:t>
      </w:r>
    </w:p>
    <w:p>
      <w:pPr>
        <w:spacing w:after="0" w:line="194" w:lineRule="exact"/>
        <w:rPr>
          <w:rFonts w:ascii="Arial" w:cs="Arial" w:eastAsia="Arial" w:hAnsi="Arial"/>
          <w:sz w:val="19"/>
          <w:szCs w:val="19"/>
          <w:color w:val="auto"/>
        </w:rPr>
      </w:pPr>
    </w:p>
    <w:p>
      <w:pPr>
        <w:ind w:left="1740" w:hanging="435"/>
        <w:spacing w:after="0"/>
        <w:tabs>
          <w:tab w:leader="none" w:pos="174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from any Restricted Company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Borrower) organized under the Laws of the United States (or any state thereof)</w:t>
      </w:r>
    </w:p>
    <w:p>
      <w:pPr>
        <w:spacing w:after="0" w:line="38" w:lineRule="exact"/>
        <w:rPr>
          <w:rFonts w:ascii="Arial" w:cs="Arial" w:eastAsia="Arial" w:hAnsi="Arial"/>
          <w:sz w:val="18"/>
          <w:szCs w:val="18"/>
          <w:color w:val="auto"/>
        </w:rPr>
      </w:pPr>
    </w:p>
    <w:p>
      <w:pPr>
        <w:ind w:left="660" w:hanging="4"/>
        <w:spacing w:after="0" w:line="244" w:lineRule="auto"/>
        <w:tabs>
          <w:tab w:leader="none" w:pos="898" w:val="left"/>
        </w:tabs>
        <w:numPr>
          <w:ilvl w:val="0"/>
          <w:numId w:val="118"/>
        </w:numPr>
        <w:rPr>
          <w:rFonts w:ascii="Arial" w:cs="Arial" w:eastAsia="Arial" w:hAnsi="Arial"/>
          <w:sz w:val="20"/>
          <w:szCs w:val="20"/>
          <w:color w:val="auto"/>
        </w:rPr>
      </w:pPr>
      <w:r>
        <w:rPr>
          <w:rFonts w:ascii="Arial" w:cs="Arial" w:eastAsia="Arial" w:hAnsi="Arial"/>
          <w:sz w:val="20"/>
          <w:szCs w:val="20"/>
          <w:color w:val="auto"/>
        </w:rPr>
        <w:t>that has not previously executed a Guaranty, a Guaranty executed by such Restricted Company, or (ii) that has previously executed a Guaranty, a Confirmation of Guaranty executed by such Restricted Company;</w:t>
      </w:r>
    </w:p>
    <w:p>
      <w:pPr>
        <w:spacing w:after="0" w:line="191" w:lineRule="exact"/>
        <w:rPr>
          <w:rFonts w:ascii="Arial" w:cs="Arial" w:eastAsia="Arial" w:hAnsi="Arial"/>
          <w:sz w:val="20"/>
          <w:szCs w:val="20"/>
          <w:color w:val="auto"/>
        </w:rPr>
      </w:pPr>
    </w:p>
    <w:p>
      <w:pPr>
        <w:jc w:val="both"/>
        <w:ind w:left="660" w:firstLine="645"/>
        <w:spacing w:after="0" w:line="244" w:lineRule="auto"/>
        <w:tabs>
          <w:tab w:leader="none" w:pos="1769" w:val="left"/>
        </w:tabs>
        <w:numPr>
          <w:ilvl w:val="1"/>
          <w:numId w:val="118"/>
        </w:numPr>
        <w:rPr>
          <w:rFonts w:ascii="Arial" w:cs="Arial" w:eastAsia="Arial" w:hAnsi="Arial"/>
          <w:sz w:val="20"/>
          <w:szCs w:val="20"/>
          <w:color w:val="auto"/>
        </w:rPr>
      </w:pPr>
      <w:r>
        <w:rPr>
          <w:rFonts w:ascii="Arial" w:cs="Arial" w:eastAsia="Arial" w:hAnsi="Arial"/>
          <w:sz w:val="20"/>
          <w:szCs w:val="20"/>
          <w:color w:val="auto"/>
        </w:rPr>
        <w:t xml:space="preserve">from any Restricted Company organized under the Laws of the United States (or any state thereof) holding capital stock or other equity interests of any Restricted Subsidiary (other than stock in the North Star Subsidiaries and the Concessioner Subsidiaries), (i) that has not previously executed a Pledge Agreement, a Pledge Agreement executed by such Person, pledging the portion of such capital stock or other equity interests required pursuant to </w:t>
      </w:r>
      <w:r>
        <w:rPr>
          <w:rFonts w:ascii="Arial" w:cs="Arial" w:eastAsia="Arial" w:hAnsi="Arial"/>
          <w:sz w:val="20"/>
          <w:szCs w:val="20"/>
          <w:b w:val="1"/>
          <w:bCs w:val="1"/>
          <w:i w:val="1"/>
          <w:iCs w:val="1"/>
          <w:color w:val="auto"/>
        </w:rPr>
        <w:t>Section 6.2</w:t>
      </w:r>
      <w:r>
        <w:rPr>
          <w:rFonts w:ascii="Arial" w:cs="Arial" w:eastAsia="Arial" w:hAnsi="Arial"/>
          <w:sz w:val="20"/>
          <w:szCs w:val="20"/>
          <w:color w:val="auto"/>
        </w:rPr>
        <w:t>, or (ii) that has previously executed a Pledge Agreement, a Confirmation of Pledge Agreement executed by such Person;</w:t>
      </w:r>
    </w:p>
    <w:p>
      <w:pPr>
        <w:spacing w:after="0" w:line="194" w:lineRule="exact"/>
        <w:rPr>
          <w:rFonts w:ascii="Arial" w:cs="Arial" w:eastAsia="Arial" w:hAnsi="Arial"/>
          <w:sz w:val="20"/>
          <w:szCs w:val="20"/>
          <w:color w:val="auto"/>
        </w:rPr>
      </w:pPr>
    </w:p>
    <w:p>
      <w:pPr>
        <w:ind w:left="660" w:firstLine="645"/>
        <w:spacing w:after="0" w:line="260" w:lineRule="auto"/>
        <w:tabs>
          <w:tab w:leader="none" w:pos="1879" w:val="left"/>
        </w:tabs>
        <w:numPr>
          <w:ilvl w:val="1"/>
          <w:numId w:val="118"/>
        </w:numPr>
        <w:rPr>
          <w:rFonts w:ascii="Arial" w:cs="Arial" w:eastAsia="Arial" w:hAnsi="Arial"/>
          <w:sz w:val="20"/>
          <w:szCs w:val="20"/>
          <w:color w:val="auto"/>
        </w:rPr>
      </w:pPr>
      <w:r>
        <w:rPr>
          <w:rFonts w:ascii="Arial" w:cs="Arial" w:eastAsia="Arial" w:hAnsi="Arial"/>
          <w:sz w:val="20"/>
          <w:szCs w:val="20"/>
          <w:color w:val="auto"/>
        </w:rPr>
        <w:t>an Officers’ Certificate for each Restricted Company, relating to articles of incorporation or organization, bylaws, regulations, or operating agreements, resolutions, and incumbency, as applicable;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ectPr>
          <w:pgSz w:w="11900" w:h="16838" w:orient="portrait"/>
          <w:cols w:equalWidth="0" w:num="1">
            <w:col w:w="11420"/>
          </w:cols>
          <w:pgMar w:left="240" w:top="798" w:right="239" w:bottom="1440" w:gutter="0" w:footer="0" w:header="0"/>
        </w:sectPr>
      </w:pPr>
    </w:p>
    <w:bookmarkStart w:id="142" w:name="page143"/>
    <w:bookmarkEnd w:id="142"/>
    <w:p>
      <w:pPr>
        <w:ind w:left="660" w:firstLine="645"/>
        <w:spacing w:after="0" w:line="260" w:lineRule="auto"/>
        <w:tabs>
          <w:tab w:leader="none" w:pos="178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Certificates of Existence and Good Standing (Account Status) for each domestic Restricted Company from its state of organization, each dated as of a recent date;</w:t>
      </w:r>
    </w:p>
    <w:p>
      <w:pPr>
        <w:spacing w:after="0" w:line="176" w:lineRule="exact"/>
        <w:rPr>
          <w:rFonts w:ascii="Arial" w:cs="Arial" w:eastAsia="Arial" w:hAnsi="Arial"/>
          <w:sz w:val="20"/>
          <w:szCs w:val="20"/>
          <w:color w:val="auto"/>
        </w:rPr>
      </w:pPr>
    </w:p>
    <w:p>
      <w:pPr>
        <w:jc w:val="both"/>
        <w:ind w:left="660" w:firstLine="645"/>
        <w:spacing w:after="0" w:line="250" w:lineRule="auto"/>
        <w:tabs>
          <w:tab w:leader="none" w:pos="1757" w:val="left"/>
        </w:tabs>
        <w:numPr>
          <w:ilvl w:val="0"/>
          <w:numId w:val="119"/>
        </w:numPr>
        <w:rPr>
          <w:rFonts w:ascii="Arial" w:cs="Arial" w:eastAsia="Arial" w:hAnsi="Arial"/>
          <w:sz w:val="20"/>
          <w:szCs w:val="20"/>
          <w:color w:val="auto"/>
        </w:rPr>
      </w:pPr>
      <w:r>
        <w:rPr>
          <w:rFonts w:ascii="Arial" w:cs="Arial" w:eastAsia="Arial" w:hAnsi="Arial"/>
          <w:sz w:val="20"/>
          <w:szCs w:val="20"/>
          <w:color w:val="auto"/>
        </w:rPr>
        <w:t>Legal opinions of David T. Shapiro, General Counsel of VRI, Gibson, Dunn &amp; Crutcher, LLP, special New York counsel to the Restricted Companies, and such local counsel as Administrative Agent shall request, each in form and substance satisfactory to Administrative Agent;</w:t>
      </w:r>
    </w:p>
    <w:p>
      <w:pPr>
        <w:spacing w:after="0" w:line="186" w:lineRule="exact"/>
        <w:rPr>
          <w:rFonts w:ascii="Arial" w:cs="Arial" w:eastAsia="Arial" w:hAnsi="Arial"/>
          <w:sz w:val="20"/>
          <w:szCs w:val="20"/>
          <w:color w:val="auto"/>
        </w:rPr>
      </w:pPr>
    </w:p>
    <w:p>
      <w:pPr>
        <w:jc w:val="both"/>
        <w:ind w:left="660" w:firstLine="645"/>
        <w:spacing w:after="0" w:line="273" w:lineRule="auto"/>
        <w:tabs>
          <w:tab w:leader="none" w:pos="175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a certificate signed by a Responsible Officer certifying that (i) all of the representations and warranties of the Companies in the Loan Papers are true and correct in all material respects (except to the extent qualified by materiality, in which case they shall be true and correct); (ii) no Default or Potential Default exists under the Existing Agreement; (iii) no Default or Potential Default exists or would result from the execution and delivery of the Loan Papers or the proposed funding of the Loans or issuance of L/Cs on the Closing Date; (iv) there has been no event or circumstance since July 31, 2017 that has had or could be reasonably expected to result in, either individually or in the aggregate, a Material Adverse Event; and (v) except as set forth on </w:t>
      </w:r>
      <w:r>
        <w:rPr>
          <w:rFonts w:ascii="Arial" w:cs="Arial" w:eastAsia="Arial" w:hAnsi="Arial"/>
          <w:sz w:val="18"/>
          <w:szCs w:val="18"/>
          <w:b w:val="1"/>
          <w:bCs w:val="1"/>
          <w:i w:val="1"/>
          <w:iCs w:val="1"/>
          <w:color w:val="auto"/>
        </w:rPr>
        <w:t>Schedule 8.7</w:t>
      </w:r>
      <w:r>
        <w:rPr>
          <w:rFonts w:ascii="Arial" w:cs="Arial" w:eastAsia="Arial" w:hAnsi="Arial"/>
          <w:sz w:val="18"/>
          <w:szCs w:val="18"/>
          <w:color w:val="auto"/>
        </w:rPr>
        <w:t>, there is no action, suit, investigation, or proceeding pending or, to the knowledge of Borrower, threatened, in any court or before any arbitrator or Governmental Authority that could reasonably be expected to result in a Material Adverse Event;</w:t>
      </w:r>
    </w:p>
    <w:p>
      <w:pPr>
        <w:spacing w:after="0" w:line="169" w:lineRule="exact"/>
        <w:rPr>
          <w:rFonts w:ascii="Arial" w:cs="Arial" w:eastAsia="Arial" w:hAnsi="Arial"/>
          <w:sz w:val="18"/>
          <w:szCs w:val="18"/>
          <w:color w:val="auto"/>
        </w:rPr>
      </w:pPr>
    </w:p>
    <w:p>
      <w:pPr>
        <w:ind w:left="1680" w:hanging="375"/>
        <w:spacing w:after="0"/>
        <w:tabs>
          <w:tab w:leader="none" w:pos="16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evidence that all insurance required to be maintained pursuant to the Loan Papers has been obtained and is in effect;</w:t>
      </w:r>
    </w:p>
    <w:p>
      <w:pPr>
        <w:spacing w:after="0" w:line="238" w:lineRule="exact"/>
        <w:rPr>
          <w:rFonts w:ascii="Arial" w:cs="Arial" w:eastAsia="Arial" w:hAnsi="Arial"/>
          <w:sz w:val="18"/>
          <w:szCs w:val="18"/>
          <w:color w:val="auto"/>
        </w:rPr>
      </w:pPr>
    </w:p>
    <w:p>
      <w:pPr>
        <w:jc w:val="both"/>
        <w:ind w:left="660" w:firstLine="645"/>
        <w:spacing w:after="0" w:line="246" w:lineRule="auto"/>
        <w:tabs>
          <w:tab w:leader="none" w:pos="1774" w:val="left"/>
        </w:tabs>
        <w:numPr>
          <w:ilvl w:val="0"/>
          <w:numId w:val="119"/>
        </w:numPr>
        <w:rPr>
          <w:rFonts w:ascii="Arial" w:cs="Arial" w:eastAsia="Arial" w:hAnsi="Arial"/>
          <w:sz w:val="20"/>
          <w:szCs w:val="20"/>
          <w:color w:val="auto"/>
        </w:rPr>
      </w:pPr>
      <w:r>
        <w:rPr>
          <w:rFonts w:ascii="Arial" w:cs="Arial" w:eastAsia="Arial" w:hAnsi="Arial"/>
          <w:sz w:val="20"/>
          <w:szCs w:val="20"/>
          <w:color w:val="auto"/>
        </w:rPr>
        <w:t>with respect to any Lender that reasonably requests at least 5 days prior to the Closing Date, the Borrower shall have provided to such Lender, and such Lender shall be reasonably satisfied with, the documentation and other information so requested in connection with applicable “know your customer” and anti-money-laundering rules and regulations, including, without limitation, the Act, in each case at least 3 days prior to the Closing Date.</w:t>
      </w:r>
    </w:p>
    <w:p>
      <w:pPr>
        <w:spacing w:after="0" w:line="191" w:lineRule="exact"/>
        <w:rPr>
          <w:rFonts w:ascii="Arial" w:cs="Arial" w:eastAsia="Arial" w:hAnsi="Arial"/>
          <w:sz w:val="20"/>
          <w:szCs w:val="20"/>
          <w:color w:val="auto"/>
        </w:rPr>
      </w:pPr>
    </w:p>
    <w:p>
      <w:pPr>
        <w:jc w:val="both"/>
        <w:ind w:left="660" w:firstLine="645"/>
        <w:spacing w:after="0" w:line="316" w:lineRule="auto"/>
        <w:tabs>
          <w:tab w:leader="none" w:pos="180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at least 5 days prior to the Closing Date, any Borrower that qualifies as a “legal entity customer” under the Beneficial Ownership Regulation shall deliver, to each Lender that so requests, a Beneficial Ownership Certification in relation to such Borrower;</w:t>
      </w:r>
    </w:p>
    <w:p>
      <w:pPr>
        <w:spacing w:after="0" w:line="130" w:lineRule="exact"/>
        <w:rPr>
          <w:rFonts w:ascii="Arial" w:cs="Arial" w:eastAsia="Arial" w:hAnsi="Arial"/>
          <w:sz w:val="18"/>
          <w:szCs w:val="18"/>
          <w:color w:val="auto"/>
        </w:rPr>
      </w:pPr>
    </w:p>
    <w:p>
      <w:pPr>
        <w:ind w:left="660" w:firstLine="645"/>
        <w:spacing w:after="0" w:line="260" w:lineRule="auto"/>
        <w:tabs>
          <w:tab w:leader="none" w:pos="1717" w:val="left"/>
        </w:tabs>
        <w:numPr>
          <w:ilvl w:val="0"/>
          <w:numId w:val="119"/>
        </w:numPr>
        <w:rPr>
          <w:rFonts w:ascii="Arial" w:cs="Arial" w:eastAsia="Arial" w:hAnsi="Arial"/>
          <w:sz w:val="20"/>
          <w:szCs w:val="20"/>
          <w:color w:val="auto"/>
        </w:rPr>
      </w:pPr>
      <w:r>
        <w:rPr>
          <w:rFonts w:ascii="Arial" w:cs="Arial" w:eastAsia="Arial" w:hAnsi="Arial"/>
          <w:sz w:val="20"/>
          <w:szCs w:val="20"/>
          <w:color w:val="auto"/>
        </w:rPr>
        <w:t xml:space="preserve">payment of all fees payable on or prior to the Closing Date to Administrative Agent, any Related Party of Administrative Agent, and any Lender as provided for in </w:t>
      </w:r>
      <w:r>
        <w:rPr>
          <w:rFonts w:ascii="Arial" w:cs="Arial" w:eastAsia="Arial" w:hAnsi="Arial"/>
          <w:sz w:val="20"/>
          <w:szCs w:val="20"/>
          <w:b w:val="1"/>
          <w:bCs w:val="1"/>
          <w:i w:val="1"/>
          <w:iCs w:val="1"/>
          <w:color w:val="auto"/>
        </w:rPr>
        <w:t>Section 5</w:t>
      </w:r>
      <w:r>
        <w:rPr>
          <w:rFonts w:ascii="Arial" w:cs="Arial" w:eastAsia="Arial" w:hAnsi="Arial"/>
          <w:sz w:val="20"/>
          <w:szCs w:val="20"/>
          <w:color w:val="auto"/>
        </w:rPr>
        <w:t>; and</w:t>
      </w:r>
    </w:p>
    <w:p>
      <w:pPr>
        <w:spacing w:after="0" w:line="176" w:lineRule="exact"/>
        <w:rPr>
          <w:rFonts w:ascii="Arial" w:cs="Arial" w:eastAsia="Arial" w:hAnsi="Arial"/>
          <w:sz w:val="20"/>
          <w:szCs w:val="20"/>
          <w:color w:val="auto"/>
        </w:rPr>
      </w:pPr>
    </w:p>
    <w:p>
      <w:pPr>
        <w:jc w:val="both"/>
        <w:ind w:left="660" w:firstLine="645"/>
        <w:spacing w:after="0" w:line="259" w:lineRule="auto"/>
        <w:tabs>
          <w:tab w:leader="none" w:pos="1835" w:val="left"/>
        </w:tabs>
        <w:numPr>
          <w:ilvl w:val="0"/>
          <w:numId w:val="119"/>
        </w:numPr>
        <w:rPr>
          <w:rFonts w:ascii="Arial" w:cs="Arial" w:eastAsia="Arial" w:hAnsi="Arial"/>
          <w:sz w:val="19"/>
          <w:szCs w:val="19"/>
          <w:color w:val="auto"/>
        </w:rPr>
      </w:pPr>
      <w:r>
        <w:rPr>
          <w:rFonts w:ascii="Arial" w:cs="Arial" w:eastAsia="Arial" w:hAnsi="Arial"/>
          <w:sz w:val="19"/>
          <w:szCs w:val="19"/>
          <w:color w:val="auto"/>
        </w:rPr>
        <w:t>unless waived by Administrative Agent, payment in full of all reasonable fees, expenses, and disbursements of Haynes and Boone, LLP and, without duplication, the reasonably allocated cost of internal legal services and all reasonable expenses and disbursements of internal counsel (collectively, “</w:t>
      </w:r>
      <w:r>
        <w:rPr>
          <w:rFonts w:ascii="Arial" w:cs="Arial" w:eastAsia="Arial" w:hAnsi="Arial"/>
          <w:sz w:val="19"/>
          <w:szCs w:val="19"/>
          <w:b w:val="1"/>
          <w:bCs w:val="1"/>
          <w:i w:val="1"/>
          <w:iCs w:val="1"/>
          <w:color w:val="auto"/>
        </w:rPr>
        <w:t>Attorney Costs</w:t>
      </w:r>
      <w:r>
        <w:rPr>
          <w:rFonts w:ascii="Arial" w:cs="Arial" w:eastAsia="Arial" w:hAnsi="Arial"/>
          <w:sz w:val="19"/>
          <w:szCs w:val="19"/>
          <w:color w:val="auto"/>
        </w:rPr>
        <w:t>”) of Administrative Agent to the extent invoiced prior to or on the Closing Date, plus such additional amounts of Attorney Costs as shall constitute Administrative Agent’s reasonable estimate of Attorney Costs incurred or to be incurred by it through the closing proceedings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such estimate shall not thereafter preclude a final settling of accounts between Borrower and Administrative Agent).</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Without limiting the generality of the provisions of the last paragraph of </w:t>
      </w:r>
      <w:r>
        <w:rPr>
          <w:rFonts w:ascii="Arial" w:cs="Arial" w:eastAsia="Arial" w:hAnsi="Arial"/>
          <w:sz w:val="20"/>
          <w:szCs w:val="20"/>
          <w:b w:val="1"/>
          <w:bCs w:val="1"/>
          <w:i w:val="1"/>
          <w:iCs w:val="1"/>
          <w:color w:val="auto"/>
        </w:rPr>
        <w:t>Section 14.5</w:t>
      </w:r>
      <w:r>
        <w:rPr>
          <w:rFonts w:ascii="Arial" w:cs="Arial" w:eastAsia="Arial" w:hAnsi="Arial"/>
          <w:sz w:val="20"/>
          <w:szCs w:val="20"/>
          <w:color w:val="auto"/>
        </w:rPr>
        <w:t xml:space="preserve">, for purposes of determining compliance with the conditions specified in this </w:t>
      </w:r>
      <w:r>
        <w:rPr>
          <w:rFonts w:ascii="Arial" w:cs="Arial" w:eastAsia="Arial" w:hAnsi="Arial"/>
          <w:sz w:val="20"/>
          <w:szCs w:val="20"/>
          <w:b w:val="1"/>
          <w:bCs w:val="1"/>
          <w:i w:val="1"/>
          <w:iCs w:val="1"/>
          <w:color w:val="auto"/>
        </w:rPr>
        <w:t>Section 7.1</w:t>
      </w:r>
      <w:r>
        <w:rPr>
          <w:rFonts w:ascii="Arial" w:cs="Arial" w:eastAsia="Arial" w:hAnsi="Arial"/>
          <w:sz w:val="20"/>
          <w:szCs w:val="20"/>
          <w:color w:val="auto"/>
        </w:rPr>
        <w:t>, each Lender that has signed this Agreement shall be deemed to have consented to, approved or accepted, or been satisfied with each document or other matter required thereunder to be consented to or approved by or acceptable or satisfactory to a Lender, unless Administrative Agent shall have received notice from such Lender prior to the proposed Closing Date specifying its objection thereto.</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ectPr>
          <w:pgSz w:w="11900" w:h="16838" w:orient="portrait"/>
          <w:cols w:equalWidth="0" w:num="1">
            <w:col w:w="11420"/>
          </w:cols>
          <w:pgMar w:left="240" w:top="582" w:right="239" w:bottom="1440" w:gutter="0" w:footer="0" w:header="0"/>
        </w:sectPr>
      </w:pPr>
    </w:p>
    <w:bookmarkStart w:id="143" w:name="page144"/>
    <w:bookmarkEnd w:id="143"/>
    <w:p>
      <w:pPr>
        <w:jc w:val="both"/>
        <w:ind w:firstLine="648"/>
        <w:spacing w:after="0" w:line="268"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Each Loan</w:t>
      </w:r>
      <w:r>
        <w:rPr>
          <w:rFonts w:ascii="Arial" w:cs="Arial" w:eastAsia="Arial" w:hAnsi="Arial"/>
          <w:sz w:val="18"/>
          <w:szCs w:val="18"/>
          <w:color w:val="auto"/>
        </w:rPr>
        <w:t xml:space="preserve">. The obligation of each Lender to make any Loan (other than a conversion of Loans to the other Type or a continuation of Revolver Loans as Eurocurrency Rate Loans) is subject to the following conditions precedent: (a) Administrative Agent shall have timely received a Loan Notice (or in the case of a Swing Line Loan, a Swing Line Loan Notice) or the applicable L/C Issuer shall have timely received the applicable L/C Agreement; (b) the applicable L/C Issuer shall have received any applicable L/C fee; (c) all of the representations and warranties of the Companies in the Loan Papers are true and correct in all material respects (unless they speak to a specific date or are based on facts which have changed by transactions contemplated or permitted by this Agreement); (d) no Material Adverse Event, Default or Potential Default exists or would result from the proposed funding of such Loans or issuance of L/Cs; and (e) the funding of the Loans or issuance of the L/Cs is permitted by Law. Upon Administrative Agent’s reasonable request, Borrower shall deliver to Administrative Agent evidence substantiating any of the matters in the Loan Papers that are necessary to enable Borrower to qualify for the Loans or L/Cs. Each condition precedent in this Agreement is material to the transactions contemplated by this Agreement, and time is of the essence with respect to each condition precedent. Subject to the prior approval of Required Lenders, Required Revolver Lenders or Required Term Loan Lenders, as the case may be, Lenders may fund any Loan, and the applicable L/C Issuer may issue any L/C, without all conditions being satisfied, but, to the extent permitted by Law, that funding and issuance shall not be deemed to be a waiver of the requirement that each condition precedent be satisfied as a prerequisite for any subsequent funding or issuance, unless Required Lenders, Required Revolver Lenders or Required Term Loan Lenders, as applicable, specifically waive each item in writing. Each Loan Notice (other than a Loan Notice requesting only a conversion of Loans to the other Type or a continuation as Eurocurrency Rate Loans), each Swing Line Loan Notice, and each L/C Agreement submitted by Borrower shall be deemed to be a representation and warranty that the conditions specified in this </w:t>
      </w:r>
      <w:r>
        <w:rPr>
          <w:rFonts w:ascii="Arial" w:cs="Arial" w:eastAsia="Arial" w:hAnsi="Arial"/>
          <w:sz w:val="18"/>
          <w:szCs w:val="18"/>
          <w:b w:val="1"/>
          <w:bCs w:val="1"/>
          <w:i w:val="1"/>
          <w:iCs w:val="1"/>
          <w:color w:val="auto"/>
        </w:rPr>
        <w:t>Section 7.2</w:t>
      </w:r>
      <w:r>
        <w:rPr>
          <w:rFonts w:ascii="Arial" w:cs="Arial" w:eastAsia="Arial" w:hAnsi="Arial"/>
          <w:sz w:val="18"/>
          <w:szCs w:val="18"/>
          <w:color w:val="auto"/>
        </w:rPr>
        <w:t xml:space="preserve"> have been satisfied on and as of the date of the applicable Loan or issuance of the applicable L/C. Notwithstanding anything to the contrary set forth in this </w:t>
      </w:r>
      <w:r>
        <w:rPr>
          <w:rFonts w:ascii="Arial" w:cs="Arial" w:eastAsia="Arial" w:hAnsi="Arial"/>
          <w:sz w:val="18"/>
          <w:szCs w:val="18"/>
          <w:b w:val="1"/>
          <w:bCs w:val="1"/>
          <w:i w:val="1"/>
          <w:iCs w:val="1"/>
          <w:color w:val="auto"/>
        </w:rPr>
        <w:t>Section 7.2</w:t>
      </w:r>
      <w:r>
        <w:rPr>
          <w:rFonts w:ascii="Arial" w:cs="Arial" w:eastAsia="Arial" w:hAnsi="Arial"/>
          <w:sz w:val="18"/>
          <w:szCs w:val="18"/>
          <w:color w:val="auto"/>
        </w:rPr>
        <w:t>, Lenders will not be obligated to honor any Loan Notice (including a Loan Notice converting Base Rate Loans to Eurocurrency Rate Loans or continuing Eurocurrency Rate Loans) or Swing Line Loan Notice if a Default or Potential Default exists or would result after giving effect to the proposed funding, conversion, or continuation of such Loans or issuance of L/Cs. In the case of a Loan to be denominated in an Alternative Currency, there shall not have occurred any change in national or international financial, political or economic conditions or currency exchange rates or exchange controls which in the reasonable opinion of the Administrative Agent, the Required Term Loan Lenders (in the case of any Term Loans to be denominated in an Alternative Currency) or the L/C Issuer (in the case of any L/C to be denominated in an Alternative Currency) would make it impracticable for such Loan to be denominated in the relevant Alternative Currency.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u w:val="single" w:color="auto"/>
          <w:color w:val="auto"/>
        </w:rPr>
        <w:t>SECTION 8 REPRESENTATIONS AND WARRANTIES</w:t>
      </w:r>
      <w:r>
        <w:rPr>
          <w:rFonts w:ascii="Arial" w:cs="Arial" w:eastAsia="Arial" w:hAnsi="Arial"/>
          <w:sz w:val="20"/>
          <w:szCs w:val="20"/>
          <w:color w:val="auto"/>
        </w:rPr>
        <w:t>. Borrower (and each Guarantor by execution of a Guaranty) represents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warrants to Administrative Agent and Lenders as set forth below; </w:t>
      </w:r>
      <w:r>
        <w:rPr>
          <w:rFonts w:ascii="Arial" w:cs="Arial" w:eastAsia="Arial" w:hAnsi="Arial"/>
          <w:sz w:val="20"/>
          <w:szCs w:val="20"/>
          <w:i w:val="1"/>
          <w:iCs w:val="1"/>
          <w:color w:val="auto"/>
        </w:rPr>
        <w:t>provided however</w:t>
      </w:r>
      <w:r>
        <w:rPr>
          <w:rFonts w:ascii="Arial" w:cs="Arial" w:eastAsia="Arial" w:hAnsi="Arial"/>
          <w:sz w:val="20"/>
          <w:szCs w:val="20"/>
          <w:color w:val="auto"/>
        </w:rPr>
        <w:t>, that representations and warranties of any such Guarantor shall be made solely as to such Guarantor and its Subsidiaries:</w:t>
      </w:r>
    </w:p>
    <w:p>
      <w:pPr>
        <w:spacing w:after="0" w:line="4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Regulation U</w:t>
      </w:r>
      <w:r>
        <w:rPr>
          <w:rFonts w:ascii="Arial" w:cs="Arial" w:eastAsia="Arial" w:hAnsi="Arial"/>
          <w:sz w:val="19"/>
          <w:szCs w:val="19"/>
          <w:color w:val="auto"/>
        </w:rPr>
        <w:t>. No Company is engaged principally, or as one of its important activities, in the business of extending credit for the purpose of purchasing or carrying any “</w:t>
      </w:r>
      <w:r>
        <w:rPr>
          <w:rFonts w:ascii="Arial" w:cs="Arial" w:eastAsia="Arial" w:hAnsi="Arial"/>
          <w:sz w:val="19"/>
          <w:szCs w:val="19"/>
          <w:i w:val="1"/>
          <w:iCs w:val="1"/>
          <w:color w:val="auto"/>
        </w:rPr>
        <w:t>margin stock</w:t>
      </w:r>
      <w:r>
        <w:rPr>
          <w:rFonts w:ascii="Arial" w:cs="Arial" w:eastAsia="Arial" w:hAnsi="Arial"/>
          <w:sz w:val="19"/>
          <w:szCs w:val="19"/>
          <w:color w:val="auto"/>
        </w:rPr>
        <w:t xml:space="preserve">” within the meaning of </w:t>
      </w:r>
      <w:r>
        <w:rPr>
          <w:rFonts w:ascii="Arial" w:cs="Arial" w:eastAsia="Arial" w:hAnsi="Arial"/>
          <w:sz w:val="19"/>
          <w:szCs w:val="19"/>
          <w:i w:val="1"/>
          <w:iCs w:val="1"/>
          <w:color w:val="auto"/>
        </w:rPr>
        <w:t>Regulations U</w:t>
      </w:r>
      <w:r>
        <w:rPr>
          <w:rFonts w:ascii="Arial" w:cs="Arial" w:eastAsia="Arial" w:hAnsi="Arial"/>
          <w:sz w:val="19"/>
          <w:szCs w:val="19"/>
          <w:color w:val="auto"/>
        </w:rPr>
        <w:t xml:space="preserve"> or </w:t>
      </w:r>
      <w:r>
        <w:rPr>
          <w:rFonts w:ascii="Arial" w:cs="Arial" w:eastAsia="Arial" w:hAnsi="Arial"/>
          <w:sz w:val="19"/>
          <w:szCs w:val="19"/>
          <w:i w:val="1"/>
          <w:iCs w:val="1"/>
          <w:color w:val="auto"/>
        </w:rPr>
        <w:t>X</w:t>
      </w:r>
      <w:r>
        <w:rPr>
          <w:rFonts w:ascii="Arial" w:cs="Arial" w:eastAsia="Arial" w:hAnsi="Arial"/>
          <w:sz w:val="19"/>
          <w:szCs w:val="19"/>
          <w:color w:val="auto"/>
        </w:rPr>
        <w:t xml:space="preserve"> of the Board of Governors of the Federal Reserve System, as amended. No part of the proceeds of any Loan will be used, directly or indirectly, for a purpose which violates any Law, including, without limitation, the provisions of </w:t>
      </w:r>
      <w:r>
        <w:rPr>
          <w:rFonts w:ascii="Arial" w:cs="Arial" w:eastAsia="Arial" w:hAnsi="Arial"/>
          <w:sz w:val="19"/>
          <w:szCs w:val="19"/>
          <w:i w:val="1"/>
          <w:iCs w:val="1"/>
          <w:color w:val="auto"/>
        </w:rPr>
        <w:t>Regulations U</w:t>
      </w:r>
      <w:r>
        <w:rPr>
          <w:rFonts w:ascii="Arial" w:cs="Arial" w:eastAsia="Arial" w:hAnsi="Arial"/>
          <w:sz w:val="19"/>
          <w:szCs w:val="19"/>
          <w:color w:val="auto"/>
        </w:rPr>
        <w:t xml:space="preserve"> or </w:t>
      </w:r>
      <w:r>
        <w:rPr>
          <w:rFonts w:ascii="Arial" w:cs="Arial" w:eastAsia="Arial" w:hAnsi="Arial"/>
          <w:sz w:val="19"/>
          <w:szCs w:val="19"/>
          <w:i w:val="1"/>
          <w:iCs w:val="1"/>
          <w:color w:val="auto"/>
        </w:rPr>
        <w:t>X</w:t>
      </w:r>
      <w:r>
        <w:rPr>
          <w:rFonts w:ascii="Arial" w:cs="Arial" w:eastAsia="Arial" w:hAnsi="Arial"/>
          <w:sz w:val="19"/>
          <w:szCs w:val="19"/>
          <w:color w:val="auto"/>
        </w:rPr>
        <w:t xml:space="preserve"> (as enacted by the Board of Governors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ectPr>
          <w:pgSz w:w="11900" w:h="16838" w:orient="portrait"/>
          <w:cols w:equalWidth="0" w:num="1">
            <w:col w:w="11420"/>
          </w:cols>
          <w:pgMar w:left="240" w:top="1014" w:right="239" w:bottom="1440" w:gutter="0" w:footer="0" w:header="0"/>
        </w:sectPr>
      </w:pPr>
    </w:p>
    <w:bookmarkStart w:id="144" w:name="page145"/>
    <w:bookmarkEnd w:id="144"/>
    <w:p>
      <w:pPr>
        <w:jc w:val="both"/>
        <w:spacing w:after="0" w:line="282" w:lineRule="auto"/>
        <w:rPr>
          <w:sz w:val="20"/>
          <w:szCs w:val="20"/>
          <w:color w:val="auto"/>
        </w:rPr>
      </w:pPr>
      <w:r>
        <w:rPr>
          <w:rFonts w:ascii="Arial" w:cs="Arial" w:eastAsia="Arial" w:hAnsi="Arial"/>
          <w:sz w:val="18"/>
          <w:szCs w:val="18"/>
          <w:color w:val="auto"/>
        </w:rPr>
        <w:t xml:space="preserve">of the Federal Reserve System, as amended). Following the application of the proceeds of each Loan, each L/C Borrowing, or each drawing under each L/C, not more than 25% of the value of the assets (either of Borrower only or the Companies on a consolidated basis) subject to the provisions of </w:t>
      </w:r>
      <w:r>
        <w:rPr>
          <w:rFonts w:ascii="Arial" w:cs="Arial" w:eastAsia="Arial" w:hAnsi="Arial"/>
          <w:sz w:val="18"/>
          <w:szCs w:val="18"/>
          <w:b w:val="1"/>
          <w:bCs w:val="1"/>
          <w:i w:val="1"/>
          <w:iCs w:val="1"/>
          <w:color w:val="auto"/>
        </w:rPr>
        <w:t>Section 10.5</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Section 10.10</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Section 10.11</w:t>
      </w:r>
      <w:r>
        <w:rPr>
          <w:rFonts w:ascii="Arial" w:cs="Arial" w:eastAsia="Arial" w:hAnsi="Arial"/>
          <w:sz w:val="18"/>
          <w:szCs w:val="18"/>
          <w:color w:val="auto"/>
        </w:rPr>
        <w:t xml:space="preserve"> or subject to any restriction contained in any agreement or instrument between Borrower and any Lender or any Affiliate of any Lender relating to Debt and within the scope of </w:t>
      </w:r>
      <w:r>
        <w:rPr>
          <w:rFonts w:ascii="Arial" w:cs="Arial" w:eastAsia="Arial" w:hAnsi="Arial"/>
          <w:sz w:val="18"/>
          <w:szCs w:val="18"/>
          <w:b w:val="1"/>
          <w:bCs w:val="1"/>
          <w:i w:val="1"/>
          <w:iCs w:val="1"/>
          <w:color w:val="auto"/>
        </w:rPr>
        <w:t>Section 12.8</w:t>
      </w:r>
      <w:r>
        <w:rPr>
          <w:rFonts w:ascii="Arial" w:cs="Arial" w:eastAsia="Arial" w:hAnsi="Arial"/>
          <w:sz w:val="18"/>
          <w:szCs w:val="18"/>
          <w:color w:val="auto"/>
        </w:rPr>
        <w:t xml:space="preserve"> will be margin stock.</w:t>
      </w:r>
    </w:p>
    <w:p>
      <w:pPr>
        <w:spacing w:after="0" w:line="3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Corporate Existence, Good Standing, Authority, and Compliance</w:t>
      </w:r>
      <w:r>
        <w:rPr>
          <w:rFonts w:ascii="Arial" w:cs="Arial" w:eastAsia="Arial" w:hAnsi="Arial"/>
          <w:sz w:val="16"/>
          <w:szCs w:val="16"/>
          <w:color w:val="auto"/>
        </w:rPr>
        <w:t xml:space="preserve">. Each Company is duly organized, validly existing, and in good standing under the Laws of the jurisdiction in which it is incorporated or organized as identified on </w:t>
      </w:r>
      <w:r>
        <w:rPr>
          <w:rFonts w:ascii="Arial" w:cs="Arial" w:eastAsia="Arial" w:hAnsi="Arial"/>
          <w:sz w:val="16"/>
          <w:szCs w:val="16"/>
          <w:b w:val="1"/>
          <w:bCs w:val="1"/>
          <w:i w:val="1"/>
          <w:iCs w:val="1"/>
          <w:color w:val="auto"/>
        </w:rPr>
        <w:t>Schedule 8.2</w:t>
      </w:r>
      <w:r>
        <w:rPr>
          <w:rFonts w:ascii="Arial" w:cs="Arial" w:eastAsia="Arial" w:hAnsi="Arial"/>
          <w:sz w:val="16"/>
          <w:szCs w:val="16"/>
          <w:color w:val="auto"/>
        </w:rPr>
        <w:t xml:space="preserve"> (or any revised </w:t>
      </w:r>
      <w:r>
        <w:rPr>
          <w:rFonts w:ascii="Arial" w:cs="Arial" w:eastAsia="Arial" w:hAnsi="Arial"/>
          <w:sz w:val="16"/>
          <w:szCs w:val="16"/>
          <w:b w:val="1"/>
          <w:bCs w:val="1"/>
          <w:i w:val="1"/>
          <w:iCs w:val="1"/>
          <w:color w:val="auto"/>
        </w:rPr>
        <w:t>Schedule 8.2</w:t>
      </w:r>
      <w:r>
        <w:rPr>
          <w:rFonts w:ascii="Arial" w:cs="Arial" w:eastAsia="Arial" w:hAnsi="Arial"/>
          <w:sz w:val="16"/>
          <w:szCs w:val="16"/>
          <w:color w:val="auto"/>
        </w:rPr>
        <w:t xml:space="preserve"> delivered by Borrower to Lenders evidencing changes permitted by </w:t>
      </w:r>
      <w:r>
        <w:rPr>
          <w:rFonts w:ascii="Arial" w:cs="Arial" w:eastAsia="Arial" w:hAnsi="Arial"/>
          <w:sz w:val="16"/>
          <w:szCs w:val="16"/>
          <w:b w:val="1"/>
          <w:bCs w:val="1"/>
          <w:i w:val="1"/>
          <w:iCs w:val="1"/>
          <w:color w:val="auto"/>
        </w:rPr>
        <w:t>Sections 9.10, 9.11</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10.10</w:t>
      </w:r>
      <w:r>
        <w:rPr>
          <w:rFonts w:ascii="Arial" w:cs="Arial" w:eastAsia="Arial" w:hAnsi="Arial"/>
          <w:sz w:val="16"/>
          <w:szCs w:val="16"/>
          <w:color w:val="auto"/>
        </w:rPr>
        <w:t xml:space="preserve">, or </w:t>
      </w:r>
      <w:r>
        <w:rPr>
          <w:rFonts w:ascii="Arial" w:cs="Arial" w:eastAsia="Arial" w:hAnsi="Arial"/>
          <w:sz w:val="16"/>
          <w:szCs w:val="16"/>
          <w:b w:val="1"/>
          <w:bCs w:val="1"/>
          <w:i w:val="1"/>
          <w:iCs w:val="1"/>
          <w:color w:val="auto"/>
        </w:rPr>
        <w:t>10.11</w:t>
      </w:r>
      <w:r>
        <w:rPr>
          <w:rFonts w:ascii="Arial" w:cs="Arial" w:eastAsia="Arial" w:hAnsi="Arial"/>
          <w:sz w:val="16"/>
          <w:szCs w:val="16"/>
          <w:color w:val="auto"/>
        </w:rPr>
        <w:t xml:space="preserve">). Except where failure is not a Material Adverse Event, each Restricted Company (a) is duly qualified to transact business and is in good standing as a foreign corporation or other entity in each jurisdiction where the nature and extent of its business and properties require due qualification and good standing as identified on </w:t>
      </w:r>
      <w:r>
        <w:rPr>
          <w:rFonts w:ascii="Arial" w:cs="Arial" w:eastAsia="Arial" w:hAnsi="Arial"/>
          <w:sz w:val="16"/>
          <w:szCs w:val="16"/>
          <w:b w:val="1"/>
          <w:bCs w:val="1"/>
          <w:i w:val="1"/>
          <w:iCs w:val="1"/>
          <w:color w:val="auto"/>
        </w:rPr>
        <w:t xml:space="preserve">Schedule 8.2 </w:t>
      </w:r>
      <w:r>
        <w:rPr>
          <w:rFonts w:ascii="Arial" w:cs="Arial" w:eastAsia="Arial" w:hAnsi="Arial"/>
          <w:sz w:val="16"/>
          <w:szCs w:val="16"/>
          <w:color w:val="auto"/>
        </w:rPr>
        <w:t>(or any such revised</w:t>
      </w:r>
      <w:r>
        <w:rPr>
          <w:rFonts w:ascii="Arial" w:cs="Arial" w:eastAsia="Arial" w:hAnsi="Arial"/>
          <w:sz w:val="16"/>
          <w:szCs w:val="16"/>
          <w:b w:val="1"/>
          <w:bCs w:val="1"/>
          <w:i w:val="1"/>
          <w:iCs w:val="1"/>
          <w:color w:val="auto"/>
        </w:rPr>
        <w:t xml:space="preserve"> Schedule 8.2</w:t>
      </w:r>
      <w:r>
        <w:rPr>
          <w:rFonts w:ascii="Arial" w:cs="Arial" w:eastAsia="Arial" w:hAnsi="Arial"/>
          <w:sz w:val="16"/>
          <w:szCs w:val="16"/>
          <w:color w:val="auto"/>
        </w:rPr>
        <w:t>), and (b) possesses all requisite authority, permits, licenses, consents, approvals, and power to</w:t>
      </w:r>
    </w:p>
    <w:p>
      <w:pPr>
        <w:spacing w:after="0" w:line="4" w:lineRule="exact"/>
        <w:rPr>
          <w:sz w:val="20"/>
          <w:szCs w:val="20"/>
          <w:color w:val="auto"/>
        </w:rPr>
      </w:pPr>
    </w:p>
    <w:p>
      <w:pPr>
        <w:ind w:firstLine="8"/>
        <w:spacing w:after="0" w:line="244" w:lineRule="auto"/>
        <w:tabs>
          <w:tab w:leader="none" w:pos="251" w:val="left"/>
        </w:tabs>
        <w:numPr>
          <w:ilvl w:val="0"/>
          <w:numId w:val="120"/>
        </w:numPr>
        <w:rPr>
          <w:rFonts w:ascii="Arial" w:cs="Arial" w:eastAsia="Arial" w:hAnsi="Arial"/>
          <w:sz w:val="20"/>
          <w:szCs w:val="20"/>
          <w:color w:val="auto"/>
        </w:rPr>
      </w:pPr>
      <w:r>
        <w:rPr>
          <w:rFonts w:ascii="Arial" w:cs="Arial" w:eastAsia="Arial" w:hAnsi="Arial"/>
          <w:sz w:val="20"/>
          <w:szCs w:val="20"/>
          <w:color w:val="auto"/>
        </w:rPr>
        <w:t>own or lease its assets and conduct its business as is now being, or is contemplated by this Agreement to be, conducted, and (ii) execute, deliver, and perform its obligations under the Loan Papers to which it is party.</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8.3 </w:t>
      </w:r>
      <w:r>
        <w:rPr>
          <w:rFonts w:ascii="Arial" w:cs="Arial" w:eastAsia="Arial" w:hAnsi="Arial"/>
          <w:sz w:val="20"/>
          <w:szCs w:val="20"/>
          <w:u w:val="single" w:color="auto"/>
          <w:color w:val="auto"/>
        </w:rPr>
        <w:t>Subsidiaries</w:t>
      </w:r>
      <w:r>
        <w:rPr>
          <w:rFonts w:ascii="Arial" w:cs="Arial" w:eastAsia="Arial" w:hAnsi="Arial"/>
          <w:sz w:val="20"/>
          <w:szCs w:val="20"/>
          <w:color w:val="auto"/>
        </w:rPr>
        <w:t xml:space="preserve">. VRI has no Subsidiaries,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as disclosed on </w:t>
      </w:r>
      <w:r>
        <w:rPr>
          <w:rFonts w:ascii="Arial" w:cs="Arial" w:eastAsia="Arial" w:hAnsi="Arial"/>
          <w:sz w:val="20"/>
          <w:szCs w:val="20"/>
          <w:b w:val="1"/>
          <w:bCs w:val="1"/>
          <w:i w:val="1"/>
          <w:iCs w:val="1"/>
          <w:color w:val="auto"/>
        </w:rPr>
        <w:t>Schedule 8.2</w:t>
      </w:r>
      <w:r>
        <w:rPr>
          <w:rFonts w:ascii="Arial" w:cs="Arial" w:eastAsia="Arial" w:hAnsi="Arial"/>
          <w:sz w:val="20"/>
          <w:szCs w:val="20"/>
          <w:color w:val="auto"/>
        </w:rPr>
        <w:t xml:space="preserve"> (or on any revised </w:t>
      </w:r>
      <w:r>
        <w:rPr>
          <w:rFonts w:ascii="Arial" w:cs="Arial" w:eastAsia="Arial" w:hAnsi="Arial"/>
          <w:sz w:val="20"/>
          <w:szCs w:val="20"/>
          <w:b w:val="1"/>
          <w:bCs w:val="1"/>
          <w:i w:val="1"/>
          <w:iCs w:val="1"/>
          <w:color w:val="auto"/>
        </w:rPr>
        <w:t>Schedule 8.2</w:t>
      </w:r>
      <w:r>
        <w:rPr>
          <w:rFonts w:ascii="Arial" w:cs="Arial" w:eastAsia="Arial" w:hAnsi="Arial"/>
          <w:sz w:val="20"/>
          <w:szCs w:val="20"/>
          <w:color w:val="auto"/>
        </w:rPr>
        <w:t xml:space="preserve"> delivered by Borrower to Lenders evidencing changes permitted by </w:t>
      </w:r>
      <w:r>
        <w:rPr>
          <w:rFonts w:ascii="Arial" w:cs="Arial" w:eastAsia="Arial" w:hAnsi="Arial"/>
          <w:sz w:val="20"/>
          <w:szCs w:val="20"/>
          <w:b w:val="1"/>
          <w:bCs w:val="1"/>
          <w:i w:val="1"/>
          <w:iCs w:val="1"/>
          <w:color w:val="auto"/>
        </w:rPr>
        <w:t>Sections 9.10, 9.11</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10.10</w:t>
      </w:r>
      <w:r>
        <w:rPr>
          <w:rFonts w:ascii="Arial" w:cs="Arial" w:eastAsia="Arial" w:hAnsi="Arial"/>
          <w:sz w:val="20"/>
          <w:szCs w:val="20"/>
          <w:color w:val="auto"/>
        </w:rPr>
        <w:t xml:space="preserve">, or </w:t>
      </w:r>
      <w:r>
        <w:rPr>
          <w:rFonts w:ascii="Arial" w:cs="Arial" w:eastAsia="Arial" w:hAnsi="Arial"/>
          <w:sz w:val="20"/>
          <w:szCs w:val="20"/>
          <w:b w:val="1"/>
          <w:bCs w:val="1"/>
          <w:i w:val="1"/>
          <w:iCs w:val="1"/>
          <w:color w:val="auto"/>
        </w:rPr>
        <w:t>10.11</w:t>
      </w:r>
      <w:r>
        <w:rPr>
          <w:rFonts w:ascii="Arial" w:cs="Arial" w:eastAsia="Arial" w:hAnsi="Arial"/>
          <w:sz w:val="20"/>
          <w:szCs w:val="20"/>
          <w:color w:val="auto"/>
        </w:rPr>
        <w:t xml:space="preserve">). All of the outstanding shares of capital stock (or similar voting interests) of the Restricted Companies are duly authorized, validly issued, fully paid, and nonassessable. All of the outstanding shares of capital stock of the Restricted Companies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VRI are owned of record and beneficially as set forth thereon, free and clear of any Liens, restrictions, claims, or Rights of another Person,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Permitted Liens, and are not subject to any warrant, option, or other acquisition Right of any Person or subject to any transfer restriction,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restrictions imposed by securities Laws and general corporate Laws. All Unrestricted Subsidiaries meet the requirements of “</w:t>
      </w:r>
      <w:r>
        <w:rPr>
          <w:rFonts w:ascii="Arial" w:cs="Arial" w:eastAsia="Arial" w:hAnsi="Arial"/>
          <w:sz w:val="20"/>
          <w:szCs w:val="20"/>
          <w:i w:val="1"/>
          <w:iCs w:val="1"/>
          <w:color w:val="auto"/>
        </w:rPr>
        <w:t>Unrestricted Subsidiaries</w:t>
      </w:r>
      <w:r>
        <w:rPr>
          <w:rFonts w:ascii="Arial" w:cs="Arial" w:eastAsia="Arial" w:hAnsi="Arial"/>
          <w:sz w:val="20"/>
          <w:szCs w:val="20"/>
          <w:color w:val="auto"/>
        </w:rPr>
        <w:t>” as set forth in the definition thereof. All Unrestricted Subsidiaries that are being re-designated as “</w:t>
      </w:r>
      <w:r>
        <w:rPr>
          <w:rFonts w:ascii="Arial" w:cs="Arial" w:eastAsia="Arial" w:hAnsi="Arial"/>
          <w:sz w:val="20"/>
          <w:szCs w:val="20"/>
          <w:i w:val="1"/>
          <w:iCs w:val="1"/>
          <w:color w:val="auto"/>
        </w:rPr>
        <w:t>Restricted Subsidiaries</w:t>
      </w:r>
      <w:r>
        <w:rPr>
          <w:rFonts w:ascii="Arial" w:cs="Arial" w:eastAsia="Arial" w:hAnsi="Arial"/>
          <w:sz w:val="20"/>
          <w:szCs w:val="20"/>
          <w:color w:val="auto"/>
        </w:rPr>
        <w:t xml:space="preserve">” on the Closing Date are in compliance with </w:t>
      </w:r>
      <w:r>
        <w:rPr>
          <w:rFonts w:ascii="Arial" w:cs="Arial" w:eastAsia="Arial" w:hAnsi="Arial"/>
          <w:sz w:val="20"/>
          <w:szCs w:val="20"/>
          <w:b w:val="1"/>
          <w:bCs w:val="1"/>
          <w:i w:val="1"/>
          <w:iCs w:val="1"/>
          <w:color w:val="auto"/>
        </w:rPr>
        <w:t>Section 9.11(b)</w:t>
      </w:r>
      <w:r>
        <w:rPr>
          <w:rFonts w:ascii="Arial" w:cs="Arial" w:eastAsia="Arial" w:hAnsi="Arial"/>
          <w:sz w:val="20"/>
          <w:szCs w:val="20"/>
          <w:color w:val="auto"/>
        </w:rPr>
        <w:t xml:space="preserve"> as of the Closing Date.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8.4 </w:t>
      </w:r>
      <w:r>
        <w:rPr>
          <w:rFonts w:ascii="Arial" w:cs="Arial" w:eastAsia="Arial" w:hAnsi="Arial"/>
          <w:sz w:val="19"/>
          <w:szCs w:val="19"/>
          <w:u w:val="single" w:color="auto"/>
          <w:color w:val="auto"/>
        </w:rPr>
        <w:t>Authorization and Contravention</w:t>
      </w:r>
      <w:r>
        <w:rPr>
          <w:rFonts w:ascii="Arial" w:cs="Arial" w:eastAsia="Arial" w:hAnsi="Arial"/>
          <w:sz w:val="19"/>
          <w:szCs w:val="19"/>
          <w:color w:val="auto"/>
        </w:rPr>
        <w:t>. The execution and delivery by, and enforcement against, each Restricted Company of each Loan Paper or related document to which it is a party and the performance by it of its obligations thereunder (a) are within its organizational power, (b) have been duly authorized by all necessary action, (c) require no action by or filing with any Governmental Authority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any action or filing that has been taken or made on or before the Closing Date), (d) do not violate any provision of its organizational documents, (e) do not violate any provision of Law or any order of any Governmental Authority applicable to it,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violations that individually or collectively are not a Material Adverse Event, (f) do not violate any Material Agreements to which it is a party, or (g) do not result in the creation or imposition of any Lien on any asset of any Company.</w:t>
      </w:r>
    </w:p>
    <w:p>
      <w:pPr>
        <w:spacing w:after="0" w:line="3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8.5 </w:t>
      </w:r>
      <w:r>
        <w:rPr>
          <w:rFonts w:ascii="Arial" w:cs="Arial" w:eastAsia="Arial" w:hAnsi="Arial"/>
          <w:sz w:val="20"/>
          <w:szCs w:val="20"/>
          <w:u w:val="single" w:color="auto"/>
          <w:color w:val="auto"/>
        </w:rPr>
        <w:t>Binding Effect</w:t>
      </w:r>
      <w:r>
        <w:rPr>
          <w:rFonts w:ascii="Arial" w:cs="Arial" w:eastAsia="Arial" w:hAnsi="Arial"/>
          <w:sz w:val="20"/>
          <w:szCs w:val="20"/>
          <w:color w:val="auto"/>
        </w:rPr>
        <w:t xml:space="preserve">. Upon execution and delivery by all parties thereto, each Loan Paper which is a contract will constitute a legal and binding obligation of each Restricted Company party thereto, enforceable against it in accordance with its terms, </w:t>
      </w:r>
      <w:r>
        <w:rPr>
          <w:rFonts w:ascii="Arial" w:cs="Arial" w:eastAsia="Arial" w:hAnsi="Arial"/>
          <w:sz w:val="20"/>
          <w:szCs w:val="20"/>
          <w:i w:val="1"/>
          <w:iCs w:val="1"/>
          <w:color w:val="auto"/>
        </w:rPr>
        <w:t>except</w:t>
      </w:r>
      <w:r>
        <w:rPr>
          <w:rFonts w:ascii="Arial" w:cs="Arial" w:eastAsia="Arial" w:hAnsi="Arial"/>
          <w:sz w:val="20"/>
          <w:szCs w:val="20"/>
          <w:color w:val="auto"/>
        </w:rPr>
        <w:t xml:space="preserve"> as enforceability may be limited by applicable Debtor Relief Laws and general principles of equity.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ectPr>
          <w:pgSz w:w="11900" w:h="16838" w:orient="portrait"/>
          <w:cols w:equalWidth="0" w:num="1">
            <w:col w:w="11420"/>
          </w:cols>
          <w:pgMar w:left="240" w:top="798" w:right="239" w:bottom="1440" w:gutter="0" w:footer="0" w:header="0"/>
        </w:sectPr>
      </w:pPr>
    </w:p>
    <w:bookmarkStart w:id="145" w:name="page146"/>
    <w:bookmarkEnd w:id="145"/>
    <w:p>
      <w:pPr>
        <w:jc w:val="both"/>
        <w:ind w:firstLine="648"/>
        <w:spacing w:after="0" w:line="259" w:lineRule="auto"/>
        <w:rPr>
          <w:sz w:val="20"/>
          <w:szCs w:val="20"/>
          <w:color w:val="auto"/>
        </w:rPr>
      </w:pPr>
      <w:r>
        <w:rPr>
          <w:rFonts w:ascii="Arial" w:cs="Arial" w:eastAsia="Arial" w:hAnsi="Arial"/>
          <w:sz w:val="19"/>
          <w:szCs w:val="19"/>
          <w:color w:val="auto"/>
        </w:rPr>
        <w:t xml:space="preserve">8.6 </w:t>
      </w:r>
      <w:r>
        <w:rPr>
          <w:rFonts w:ascii="Arial" w:cs="Arial" w:eastAsia="Arial" w:hAnsi="Arial"/>
          <w:sz w:val="19"/>
          <w:szCs w:val="19"/>
          <w:u w:val="single" w:color="auto"/>
          <w:color w:val="auto"/>
        </w:rPr>
        <w:t>Financial Statements</w:t>
      </w:r>
      <w:r>
        <w:rPr>
          <w:rFonts w:ascii="Arial" w:cs="Arial" w:eastAsia="Arial" w:hAnsi="Arial"/>
          <w:sz w:val="19"/>
          <w:szCs w:val="19"/>
          <w:color w:val="auto"/>
        </w:rPr>
        <w:t>. The Current Financials were prepared in accordance with GAAP and, together with the notes thereto, present fairly, in all material respects, the consolidated financial condition, results of operations, and cash flows of the Companies as of, and for the portion of the fiscal year ending on, the date or dates thereof (subject only to normal year-end adjustments)</w:t>
      </w:r>
      <w:r>
        <w:rPr>
          <w:rFonts w:ascii="Arial" w:cs="Arial" w:eastAsia="Arial" w:hAnsi="Arial"/>
          <w:sz w:val="19"/>
          <w:szCs w:val="19"/>
          <w:b w:val="1"/>
          <w:bCs w:val="1"/>
          <w:color w:val="auto"/>
        </w:rPr>
        <w:t>,</w:t>
      </w:r>
      <w:r>
        <w:rPr>
          <w:rFonts w:ascii="Arial" w:cs="Arial" w:eastAsia="Arial" w:hAnsi="Arial"/>
          <w:sz w:val="19"/>
          <w:szCs w:val="19"/>
          <w:color w:val="auto"/>
        </w:rPr>
        <w:t xml:space="preserve"> and show all material indebtedness and other liabilities, direct, or contingent, of the Companies as of such date or dates, including liabilities for Taxes, material commitments and Debt. Since the date of the Current Financials, there has been no event or circumstance, either individually or in the aggregate, that has resulted in or could reasonably be expected to result in a Material Adverse Event.</w:t>
      </w:r>
    </w:p>
    <w:p>
      <w:pPr>
        <w:spacing w:after="0" w:line="39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8.7 </w:t>
      </w:r>
      <w:r>
        <w:rPr>
          <w:rFonts w:ascii="Arial" w:cs="Arial" w:eastAsia="Arial" w:hAnsi="Arial"/>
          <w:sz w:val="20"/>
          <w:szCs w:val="20"/>
          <w:u w:val="single" w:color="auto"/>
          <w:color w:val="auto"/>
        </w:rPr>
        <w:t>Litigation</w:t>
      </w:r>
      <w:r>
        <w:rPr>
          <w:rFonts w:ascii="Arial" w:cs="Arial" w:eastAsia="Arial" w:hAnsi="Arial"/>
          <w:sz w:val="20"/>
          <w:szCs w:val="20"/>
          <w:color w:val="auto"/>
        </w:rPr>
        <w:t xml:space="preserve">. Except as disclosed on </w:t>
      </w:r>
      <w:r>
        <w:rPr>
          <w:rFonts w:ascii="Arial" w:cs="Arial" w:eastAsia="Arial" w:hAnsi="Arial"/>
          <w:sz w:val="20"/>
          <w:szCs w:val="20"/>
          <w:b w:val="1"/>
          <w:bCs w:val="1"/>
          <w:i w:val="1"/>
          <w:iCs w:val="1"/>
          <w:color w:val="auto"/>
        </w:rPr>
        <w:t>Schedule 8.7</w:t>
      </w:r>
      <w:r>
        <w:rPr>
          <w:rFonts w:ascii="Arial" w:cs="Arial" w:eastAsia="Arial" w:hAnsi="Arial"/>
          <w:sz w:val="20"/>
          <w:szCs w:val="20"/>
          <w:color w:val="auto"/>
        </w:rPr>
        <w:t>, (a) no Company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as a creditor or claimant) is subject to, or aware of the threat of, any Litigation (i) that is reasonably likely to be determined adversely to any Company and, if so adversely determined, shall result in a Material Adverse Event, or (ii) that purports to affect or pertain to this Agreement or any other Loan Paper, or any of the transactions contemplated hereby, (b) no outstanding or unpaid judgments against any Company exist, and (c) no Company is a party to, or bound by, any judicial or administrative order, judgment, decree, or consent decree relating to any past or present practice, omission, activity, or undertaking which constitutes a Material Adverse Event.</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All Tax returns of each Company required to be filed have been filed (or extensions have been granted) before delinquency,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returns for which the failure to file is not a Material Adverse Event or, in any event, likely to result in a Lien on the assets of the Companies securing any liability of the Companies (individually or when aggregated with any liability of the Companies contemplated elsewhere in this Section and in </w:t>
      </w:r>
      <w:r>
        <w:rPr>
          <w:rFonts w:ascii="Arial" w:cs="Arial" w:eastAsia="Arial" w:hAnsi="Arial"/>
          <w:sz w:val="18"/>
          <w:szCs w:val="18"/>
          <w:b w:val="1"/>
          <w:bCs w:val="1"/>
          <w:i w:val="1"/>
          <w:iCs w:val="1"/>
          <w:color w:val="auto"/>
        </w:rPr>
        <w:t>Sections 8.9</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Section 8.10</w:t>
      </w:r>
      <w:r>
        <w:rPr>
          <w:rFonts w:ascii="Arial" w:cs="Arial" w:eastAsia="Arial" w:hAnsi="Arial"/>
          <w:sz w:val="18"/>
          <w:szCs w:val="18"/>
          <w:color w:val="auto"/>
        </w:rPr>
        <w:t xml:space="preserve"> herein that is reasonably likely to be secured by Liens) in excess of the Threshold Amount, and all Taxes shown as due and payable in such returns have been paid before delinquency,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Taxes for which the criteria for Permitted Liens (as specified in </w:t>
      </w:r>
      <w:r>
        <w:rPr>
          <w:rFonts w:ascii="Arial" w:cs="Arial" w:eastAsia="Arial" w:hAnsi="Arial"/>
          <w:sz w:val="18"/>
          <w:szCs w:val="18"/>
          <w:b w:val="1"/>
          <w:bCs w:val="1"/>
          <w:i w:val="1"/>
          <w:iCs w:val="1"/>
          <w:color w:val="auto"/>
        </w:rPr>
        <w:t>clause (j)</w:t>
      </w:r>
      <w:r>
        <w:rPr>
          <w:rFonts w:ascii="Arial" w:cs="Arial" w:eastAsia="Arial" w:hAnsi="Arial"/>
          <w:sz w:val="18"/>
          <w:szCs w:val="18"/>
          <w:color w:val="auto"/>
        </w:rPr>
        <w:t xml:space="preserve"> of the definition of </w:t>
      </w:r>
      <w:r>
        <w:rPr>
          <w:rFonts w:ascii="Arial" w:cs="Arial" w:eastAsia="Arial" w:hAnsi="Arial"/>
          <w:sz w:val="18"/>
          <w:szCs w:val="18"/>
          <w:i w:val="1"/>
          <w:iCs w:val="1"/>
          <w:color w:val="auto"/>
        </w:rPr>
        <w:t>“Permitted Liens”</w:t>
      </w:r>
      <w:r>
        <w:rPr>
          <w:rFonts w:ascii="Arial" w:cs="Arial" w:eastAsia="Arial" w:hAnsi="Arial"/>
          <w:sz w:val="18"/>
          <w:szCs w:val="18"/>
          <w:color w:val="auto"/>
        </w:rPr>
        <w:t xml:space="preserve">) have been satisfied, for which nonpayment is not a Material Adverse Event or, in any event, likely to result in a Lien on the assets of the Companies securing any liability of the Companies (individually or when aggregated with any liability of the Companies contemplated elsewhere in this Section and in </w:t>
      </w:r>
      <w:r>
        <w:rPr>
          <w:rFonts w:ascii="Arial" w:cs="Arial" w:eastAsia="Arial" w:hAnsi="Arial"/>
          <w:sz w:val="18"/>
          <w:szCs w:val="18"/>
          <w:b w:val="1"/>
          <w:bCs w:val="1"/>
          <w:i w:val="1"/>
          <w:iCs w:val="1"/>
          <w:color w:val="auto"/>
        </w:rPr>
        <w:t>Section 8.9</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8.10 </w:t>
      </w:r>
      <w:r>
        <w:rPr>
          <w:rFonts w:ascii="Arial" w:cs="Arial" w:eastAsia="Arial" w:hAnsi="Arial"/>
          <w:sz w:val="18"/>
          <w:szCs w:val="18"/>
          <w:color w:val="auto"/>
        </w:rPr>
        <w:t>herein that reasonably likely to be secured by Liens) in excess of the Threshold Amount, or which are being contested in good faith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appropriate proceedings diligently conducted and for which adequate reserves have been provided. There is no proposed Tax assessment against any Company that would, if made, result in a Material Adverse Event or, in any event, result in a Lien on the assets of such Company or Companies securing any liability (individually or when aggregated with any liability of the Companies contemplated elsewhere in this Section and in </w:t>
      </w:r>
      <w:r>
        <w:rPr>
          <w:rFonts w:ascii="Arial" w:cs="Arial" w:eastAsia="Arial" w:hAnsi="Arial"/>
          <w:sz w:val="18"/>
          <w:szCs w:val="18"/>
          <w:b w:val="1"/>
          <w:bCs w:val="1"/>
          <w:i w:val="1"/>
          <w:iCs w:val="1"/>
          <w:color w:val="auto"/>
        </w:rPr>
        <w:t>Section 8.9</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Section 8.10</w:t>
      </w:r>
      <w:r>
        <w:rPr>
          <w:rFonts w:ascii="Arial" w:cs="Arial" w:eastAsia="Arial" w:hAnsi="Arial"/>
          <w:sz w:val="18"/>
          <w:szCs w:val="18"/>
          <w:color w:val="auto"/>
        </w:rPr>
        <w:t xml:space="preserve"> herein that is reasonably likely to be secured by Liens) in excess of the Threshold Amount.</w:t>
      </w:r>
    </w:p>
    <w:p>
      <w:pPr>
        <w:spacing w:after="0" w:line="39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xml:space="preserve">. Except as disclosed on </w:t>
      </w:r>
      <w:r>
        <w:rPr>
          <w:rFonts w:ascii="Arial" w:cs="Arial" w:eastAsia="Arial" w:hAnsi="Arial"/>
          <w:sz w:val="18"/>
          <w:szCs w:val="18"/>
          <w:b w:val="1"/>
          <w:bCs w:val="1"/>
          <w:i w:val="1"/>
          <w:iCs w:val="1"/>
          <w:color w:val="auto"/>
        </w:rPr>
        <w:t>Schedule 8.9</w:t>
      </w:r>
      <w:r>
        <w:rPr>
          <w:rFonts w:ascii="Arial" w:cs="Arial" w:eastAsia="Arial" w:hAnsi="Arial"/>
          <w:sz w:val="18"/>
          <w:szCs w:val="18"/>
          <w:color w:val="auto"/>
        </w:rPr>
        <w:t xml:space="preserve"> and except for conditions, circumstances, or violations that are not, individually or in the aggregate, a Material Adverse Event or, in any event, likely to result in a Lien on the assets of the Companies securing liability of the Companies (individually or when aggregated with any liability of the Companies contemplated elsewhere in this Section and in </w:t>
      </w:r>
      <w:r>
        <w:rPr>
          <w:rFonts w:ascii="Arial" w:cs="Arial" w:eastAsia="Arial" w:hAnsi="Arial"/>
          <w:sz w:val="18"/>
          <w:szCs w:val="18"/>
          <w:b w:val="1"/>
          <w:bCs w:val="1"/>
          <w:i w:val="1"/>
          <w:iCs w:val="1"/>
          <w:color w:val="auto"/>
        </w:rPr>
        <w:t xml:space="preserve">Section 8.8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Section 8.10 </w:t>
      </w:r>
      <w:r>
        <w:rPr>
          <w:rFonts w:ascii="Arial" w:cs="Arial" w:eastAsia="Arial" w:hAnsi="Arial"/>
          <w:sz w:val="18"/>
          <w:szCs w:val="18"/>
          <w:color w:val="auto"/>
        </w:rPr>
        <w:t>herein that is reasonably likely to be secured by Liens) in excess of the Threshold Amount, no Company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knows of any environmental condition or circumstance adversely affecting any Company’s properties or operations, (b) has, to its knowledge, received any written report of any Company’s violation of any Environmental Law, or (c) knows that any Company is under any obligation imposed by a Governmental Authority to remedy any violation of any Environmental Law. Except as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ectPr>
          <w:pgSz w:w="11900" w:h="16838" w:orient="portrait"/>
          <w:cols w:equalWidth="0" w:num="1">
            <w:col w:w="11420"/>
          </w:cols>
          <w:pgMar w:left="240" w:top="1014" w:right="239" w:bottom="1440" w:gutter="0" w:footer="0" w:header="0"/>
        </w:sectPr>
      </w:pPr>
    </w:p>
    <w:bookmarkStart w:id="146" w:name="page147"/>
    <w:bookmarkEnd w:id="146"/>
    <w:p>
      <w:pPr>
        <w:jc w:val="both"/>
        <w:spacing w:after="0" w:line="276" w:lineRule="auto"/>
        <w:rPr>
          <w:sz w:val="20"/>
          <w:szCs w:val="20"/>
          <w:color w:val="auto"/>
        </w:rPr>
      </w:pPr>
      <w:r>
        <w:rPr>
          <w:rFonts w:ascii="Arial" w:cs="Arial" w:eastAsia="Arial" w:hAnsi="Arial"/>
          <w:sz w:val="18"/>
          <w:szCs w:val="18"/>
          <w:color w:val="auto"/>
        </w:rPr>
        <w:t xml:space="preserve">disclosed on </w:t>
      </w:r>
      <w:r>
        <w:rPr>
          <w:rFonts w:ascii="Arial" w:cs="Arial" w:eastAsia="Arial" w:hAnsi="Arial"/>
          <w:sz w:val="18"/>
          <w:szCs w:val="18"/>
          <w:b w:val="1"/>
          <w:bCs w:val="1"/>
          <w:i w:val="1"/>
          <w:iCs w:val="1"/>
          <w:color w:val="auto"/>
        </w:rPr>
        <w:t>Schedule 8.9</w:t>
      </w:r>
      <w:r>
        <w:rPr>
          <w:rFonts w:ascii="Arial" w:cs="Arial" w:eastAsia="Arial" w:hAnsi="Arial"/>
          <w:sz w:val="18"/>
          <w:szCs w:val="18"/>
          <w:color w:val="auto"/>
        </w:rPr>
        <w:t xml:space="preserve">, each Company believes that its properties and operations do not violate any Environmental Law,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violations that are not, individually or in the aggregate, a Material Adverse Event or, in any event, likely to result in a Lien on the assets of the Companies securing liability of the Companies (individually or when aggregated with any liability of the Companies contemplated elsewhere in this Section and in </w:t>
      </w:r>
      <w:r>
        <w:rPr>
          <w:rFonts w:ascii="Arial" w:cs="Arial" w:eastAsia="Arial" w:hAnsi="Arial"/>
          <w:sz w:val="18"/>
          <w:szCs w:val="18"/>
          <w:b w:val="1"/>
          <w:bCs w:val="1"/>
          <w:i w:val="1"/>
          <w:iCs w:val="1"/>
          <w:color w:val="auto"/>
        </w:rPr>
        <w:t>Section 8.8</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Section 8.10</w:t>
      </w:r>
      <w:r>
        <w:rPr>
          <w:rFonts w:ascii="Arial" w:cs="Arial" w:eastAsia="Arial" w:hAnsi="Arial"/>
          <w:sz w:val="18"/>
          <w:szCs w:val="18"/>
          <w:color w:val="auto"/>
        </w:rPr>
        <w:t xml:space="preserve"> herein that is reasonably likely to be secured by Liens) in excess of the Threshold Amount. No facility of any Company is used for, or to the knowledge of any Company has been used for, treatment or disposal of any Hazardous Substance or storage of Hazardous Substances,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in material compliance with applicable Environmental Laws.</w:t>
      </w:r>
    </w:p>
    <w:p>
      <w:pPr>
        <w:spacing w:after="0" w:line="3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 xml:space="preserve">8.10 </w:t>
      </w:r>
      <w:r>
        <w:rPr>
          <w:rFonts w:ascii="Arial" w:cs="Arial" w:eastAsia="Arial" w:hAnsi="Arial"/>
          <w:sz w:val="19"/>
          <w:szCs w:val="19"/>
          <w:u w:val="single" w:color="auto"/>
          <w:color w:val="auto"/>
        </w:rPr>
        <w:t>Employee Plans</w:t>
      </w:r>
      <w:r>
        <w:rPr>
          <w:rFonts w:ascii="Arial" w:cs="Arial" w:eastAsia="Arial" w:hAnsi="Arial"/>
          <w:sz w:val="19"/>
          <w:szCs w:val="19"/>
          <w:color w:val="auto"/>
        </w:rPr>
        <w:t>. Each Employee Plan is in compliance in all material respects with, and has been administered in compliance with, the applicable provisions of ERISA, the Code, and any other applicable law. No Employee Plan is subject to the “</w:t>
      </w:r>
      <w:r>
        <w:rPr>
          <w:rFonts w:ascii="Arial" w:cs="Arial" w:eastAsia="Arial" w:hAnsi="Arial"/>
          <w:sz w:val="19"/>
          <w:szCs w:val="19"/>
          <w:i w:val="1"/>
          <w:iCs w:val="1"/>
          <w:color w:val="auto"/>
        </w:rPr>
        <w:t>at-risk</w:t>
      </w:r>
      <w:r>
        <w:rPr>
          <w:rFonts w:ascii="Arial" w:cs="Arial" w:eastAsia="Arial" w:hAnsi="Arial"/>
          <w:sz w:val="19"/>
          <w:szCs w:val="19"/>
          <w:color w:val="auto"/>
        </w:rPr>
        <w:t xml:space="preserve">” requirements in </w:t>
      </w:r>
      <w:r>
        <w:rPr>
          <w:rFonts w:ascii="Arial" w:cs="Arial" w:eastAsia="Arial" w:hAnsi="Arial"/>
          <w:sz w:val="19"/>
          <w:szCs w:val="19"/>
          <w:i w:val="1"/>
          <w:iCs w:val="1"/>
          <w:color w:val="auto"/>
        </w:rPr>
        <w:t xml:space="preserve">section 303 </w:t>
      </w:r>
      <w:r>
        <w:rPr>
          <w:rFonts w:ascii="Arial" w:cs="Arial" w:eastAsia="Arial" w:hAnsi="Arial"/>
          <w:sz w:val="19"/>
          <w:szCs w:val="19"/>
          <w:color w:val="auto"/>
        </w:rPr>
        <w:t>of ERISA and</w:t>
      </w:r>
      <w:r>
        <w:rPr>
          <w:rFonts w:ascii="Arial" w:cs="Arial" w:eastAsia="Arial" w:hAnsi="Arial"/>
          <w:sz w:val="19"/>
          <w:szCs w:val="19"/>
          <w:i w:val="1"/>
          <w:iCs w:val="1"/>
          <w:color w:val="auto"/>
        </w:rPr>
        <w:t xml:space="preserve"> section 430 </w:t>
      </w:r>
      <w:r>
        <w:rPr>
          <w:rFonts w:ascii="Arial" w:cs="Arial" w:eastAsia="Arial" w:hAnsi="Arial"/>
          <w:sz w:val="19"/>
          <w:szCs w:val="19"/>
          <w:color w:val="auto"/>
        </w:rPr>
        <w:t>of the Code. Except where the occurrence or existence, individually or in the aggregate, is not a Material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Adverse Event or, in any event, likely to result in a Lien on the assets of any Company or the Companies securing liability of any Company or the Companies (individually or when aggregated with any liability of the Companies contemplated elsewhere in this Section and in </w:t>
      </w:r>
      <w:r>
        <w:rPr>
          <w:rFonts w:ascii="Arial" w:cs="Arial" w:eastAsia="Arial" w:hAnsi="Arial"/>
          <w:sz w:val="19"/>
          <w:szCs w:val="19"/>
          <w:b w:val="1"/>
          <w:bCs w:val="1"/>
          <w:i w:val="1"/>
          <w:iCs w:val="1"/>
          <w:color w:val="auto"/>
        </w:rPr>
        <w:t>Section 8.8</w:t>
      </w:r>
      <w:r>
        <w:rPr>
          <w:rFonts w:ascii="Arial" w:cs="Arial" w:eastAsia="Arial" w:hAnsi="Arial"/>
          <w:sz w:val="19"/>
          <w:szCs w:val="19"/>
          <w:color w:val="auto"/>
        </w:rPr>
        <w:t xml:space="preserve"> and </w:t>
      </w:r>
      <w:r>
        <w:rPr>
          <w:rFonts w:ascii="Arial" w:cs="Arial" w:eastAsia="Arial" w:hAnsi="Arial"/>
          <w:sz w:val="19"/>
          <w:szCs w:val="19"/>
          <w:b w:val="1"/>
          <w:bCs w:val="1"/>
          <w:i w:val="1"/>
          <w:iCs w:val="1"/>
          <w:color w:val="auto"/>
        </w:rPr>
        <w:t>Section 8.9</w:t>
      </w:r>
      <w:r>
        <w:rPr>
          <w:rFonts w:ascii="Arial" w:cs="Arial" w:eastAsia="Arial" w:hAnsi="Arial"/>
          <w:sz w:val="19"/>
          <w:szCs w:val="19"/>
          <w:color w:val="auto"/>
        </w:rPr>
        <w:t xml:space="preserve"> herein that is reasonably likely to be secured by Liens) in excess of the Threshold Amount, (a) no Employee Plan or Multiemployer Plan, as applicable, has any “</w:t>
      </w:r>
      <w:r>
        <w:rPr>
          <w:rFonts w:ascii="Arial" w:cs="Arial" w:eastAsia="Arial" w:hAnsi="Arial"/>
          <w:sz w:val="19"/>
          <w:szCs w:val="19"/>
          <w:i w:val="1"/>
          <w:iCs w:val="1"/>
          <w:color w:val="auto"/>
        </w:rPr>
        <w:t>unpaid minimum required contribution</w:t>
      </w:r>
      <w:r>
        <w:rPr>
          <w:rFonts w:ascii="Arial" w:cs="Arial" w:eastAsia="Arial" w:hAnsi="Arial"/>
          <w:sz w:val="19"/>
          <w:szCs w:val="19"/>
          <w:color w:val="auto"/>
        </w:rPr>
        <w:t xml:space="preserve">” (as described in </w:t>
      </w:r>
      <w:r>
        <w:rPr>
          <w:rFonts w:ascii="Arial" w:cs="Arial" w:eastAsia="Arial" w:hAnsi="Arial"/>
          <w:sz w:val="19"/>
          <w:szCs w:val="19"/>
          <w:i w:val="1"/>
          <w:iCs w:val="1"/>
          <w:color w:val="auto"/>
        </w:rPr>
        <w:t>section 4971(c)(4)</w:t>
      </w:r>
      <w:r>
        <w:rPr>
          <w:rFonts w:ascii="Arial" w:cs="Arial" w:eastAsia="Arial" w:hAnsi="Arial"/>
          <w:sz w:val="19"/>
          <w:szCs w:val="19"/>
          <w:color w:val="auto"/>
        </w:rPr>
        <w:t xml:space="preserve"> of the Code), whether or not waived, or any </w:t>
      </w:r>
      <w:r>
        <w:rPr>
          <w:rFonts w:ascii="Arial" w:cs="Arial" w:eastAsia="Arial" w:hAnsi="Arial"/>
          <w:sz w:val="19"/>
          <w:szCs w:val="19"/>
          <w:i w:val="1"/>
          <w:iCs w:val="1"/>
          <w:color w:val="auto"/>
        </w:rPr>
        <w:t>“accumulated funding deficiency”</w:t>
      </w:r>
      <w:r>
        <w:rPr>
          <w:rFonts w:ascii="Arial" w:cs="Arial" w:eastAsia="Arial" w:hAnsi="Arial"/>
          <w:sz w:val="19"/>
          <w:szCs w:val="19"/>
          <w:color w:val="auto"/>
        </w:rPr>
        <w:t xml:space="preserve"> (as defined in </w:t>
      </w:r>
      <w:r>
        <w:rPr>
          <w:rFonts w:ascii="Arial" w:cs="Arial" w:eastAsia="Arial" w:hAnsi="Arial"/>
          <w:sz w:val="19"/>
          <w:szCs w:val="19"/>
          <w:i w:val="1"/>
          <w:iCs w:val="1"/>
          <w:color w:val="auto"/>
        </w:rPr>
        <w:t>section 302</w:t>
      </w:r>
      <w:r>
        <w:rPr>
          <w:rFonts w:ascii="Arial" w:cs="Arial" w:eastAsia="Arial" w:hAnsi="Arial"/>
          <w:sz w:val="19"/>
          <w:szCs w:val="19"/>
          <w:color w:val="auto"/>
        </w:rPr>
        <w:t xml:space="preserve"> of ERISA </w:t>
      </w:r>
      <w:r>
        <w:rPr>
          <w:rFonts w:ascii="Arial" w:cs="Arial" w:eastAsia="Arial" w:hAnsi="Arial"/>
          <w:sz w:val="19"/>
          <w:szCs w:val="19"/>
          <w:i w:val="1"/>
          <w:iCs w:val="1"/>
          <w:color w:val="auto"/>
        </w:rPr>
        <w:t>or section 412</w:t>
      </w:r>
      <w:r>
        <w:rPr>
          <w:rFonts w:ascii="Arial" w:cs="Arial" w:eastAsia="Arial" w:hAnsi="Arial"/>
          <w:sz w:val="19"/>
          <w:szCs w:val="19"/>
          <w:color w:val="auto"/>
        </w:rPr>
        <w:t xml:space="preserve"> of the Code), (b) no Company nor any ERISA Affiliate has incurred liability under ERISA to the PBGC in connection with any Employee Plan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required insurance premiums, all of which have been paid), (c) no Company nor any ERISA Affiliate has withdrawn in whole or in part from participation in a Multiemployer Plan, (d) no Company nor any ERISA Affiliate, nor any Multiemployer Plan to which any Company or any ERISA Affiliate contributes to or has contributed to, has received notice concerning the determination that the Multiemployer Plan is, or is expected to be, insolvent or in reorganization, within the meaning of </w:t>
      </w:r>
      <w:r>
        <w:rPr>
          <w:rFonts w:ascii="Arial" w:cs="Arial" w:eastAsia="Arial" w:hAnsi="Arial"/>
          <w:sz w:val="19"/>
          <w:szCs w:val="19"/>
          <w:i w:val="1"/>
          <w:iCs w:val="1"/>
          <w:color w:val="auto"/>
        </w:rPr>
        <w:t>Title IV</w:t>
      </w:r>
      <w:r>
        <w:rPr>
          <w:rFonts w:ascii="Arial" w:cs="Arial" w:eastAsia="Arial" w:hAnsi="Arial"/>
          <w:sz w:val="19"/>
          <w:szCs w:val="19"/>
          <w:color w:val="auto"/>
        </w:rPr>
        <w:t xml:space="preserve"> of ERISA, (e) no Company nor any ERISA Affiliate has engaged in any </w:t>
      </w:r>
      <w:r>
        <w:rPr>
          <w:rFonts w:ascii="Arial" w:cs="Arial" w:eastAsia="Arial" w:hAnsi="Arial"/>
          <w:sz w:val="19"/>
          <w:szCs w:val="19"/>
          <w:i w:val="1"/>
          <w:iCs w:val="1"/>
          <w:color w:val="auto"/>
        </w:rPr>
        <w:t xml:space="preserve">“prohibited transaction” </w:t>
      </w:r>
      <w:r>
        <w:rPr>
          <w:rFonts w:ascii="Arial" w:cs="Arial" w:eastAsia="Arial" w:hAnsi="Arial"/>
          <w:sz w:val="19"/>
          <w:szCs w:val="19"/>
          <w:color w:val="auto"/>
        </w:rPr>
        <w:t>(as defined in</w:t>
      </w:r>
      <w:r>
        <w:rPr>
          <w:rFonts w:ascii="Arial" w:cs="Arial" w:eastAsia="Arial" w:hAnsi="Arial"/>
          <w:sz w:val="19"/>
          <w:szCs w:val="19"/>
          <w:i w:val="1"/>
          <w:iCs w:val="1"/>
          <w:color w:val="auto"/>
        </w:rPr>
        <w:t xml:space="preserve"> section 406 </w:t>
      </w:r>
      <w:r>
        <w:rPr>
          <w:rFonts w:ascii="Arial" w:cs="Arial" w:eastAsia="Arial" w:hAnsi="Arial"/>
          <w:sz w:val="19"/>
          <w:szCs w:val="19"/>
          <w:color w:val="auto"/>
        </w:rPr>
        <w:t>of ERISA or</w:t>
      </w:r>
      <w:r>
        <w:rPr>
          <w:rFonts w:ascii="Arial" w:cs="Arial" w:eastAsia="Arial" w:hAnsi="Arial"/>
          <w:sz w:val="19"/>
          <w:szCs w:val="19"/>
          <w:i w:val="1"/>
          <w:iCs w:val="1"/>
          <w:color w:val="auto"/>
        </w:rPr>
        <w:t xml:space="preserve"> section 4975 </w:t>
      </w:r>
      <w:r>
        <w:rPr>
          <w:rFonts w:ascii="Arial" w:cs="Arial" w:eastAsia="Arial" w:hAnsi="Arial"/>
          <w:sz w:val="19"/>
          <w:szCs w:val="19"/>
          <w:color w:val="auto"/>
        </w:rPr>
        <w:t>of the Code), and (f) no</w:t>
      </w:r>
      <w:r>
        <w:rPr>
          <w:rFonts w:ascii="Arial" w:cs="Arial" w:eastAsia="Arial" w:hAnsi="Arial"/>
          <w:sz w:val="19"/>
          <w:szCs w:val="19"/>
          <w:i w:val="1"/>
          <w:iCs w:val="1"/>
          <w:color w:val="auto"/>
        </w:rPr>
        <w:t xml:space="preserve"> “reportable event” </w:t>
      </w:r>
      <w:r>
        <w:rPr>
          <w:rFonts w:ascii="Arial" w:cs="Arial" w:eastAsia="Arial" w:hAnsi="Arial"/>
          <w:sz w:val="19"/>
          <w:szCs w:val="19"/>
          <w:color w:val="auto"/>
        </w:rPr>
        <w:t>(as defined in</w:t>
      </w:r>
      <w:r>
        <w:rPr>
          <w:rFonts w:ascii="Arial" w:cs="Arial" w:eastAsia="Arial" w:hAnsi="Arial"/>
          <w:sz w:val="19"/>
          <w:szCs w:val="19"/>
          <w:i w:val="1"/>
          <w:iCs w:val="1"/>
          <w:color w:val="auto"/>
        </w:rPr>
        <w:t xml:space="preserve"> section 4043 </w:t>
      </w:r>
      <w:r>
        <w:rPr>
          <w:rFonts w:ascii="Arial" w:cs="Arial" w:eastAsia="Arial" w:hAnsi="Arial"/>
          <w:sz w:val="19"/>
          <w:szCs w:val="19"/>
          <w:color w:val="auto"/>
        </w:rPr>
        <w:t>of ERISA) has occurred with respect to an Employee Plan, excluding events for which the notice requirement is waived under applicable</w:t>
      </w:r>
      <w:r>
        <w:rPr>
          <w:rFonts w:ascii="Arial" w:cs="Arial" w:eastAsia="Arial" w:hAnsi="Arial"/>
          <w:sz w:val="19"/>
          <w:szCs w:val="19"/>
          <w:i w:val="1"/>
          <w:iCs w:val="1"/>
          <w:color w:val="auto"/>
        </w:rPr>
        <w:t xml:space="preserve"> </w:t>
      </w:r>
      <w:r>
        <w:rPr>
          <w:rFonts w:ascii="Arial" w:cs="Arial" w:eastAsia="Arial" w:hAnsi="Arial"/>
          <w:sz w:val="19"/>
          <w:szCs w:val="19"/>
          <w:color w:val="auto"/>
        </w:rPr>
        <w:t>PBGC regulations.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8.11</w:t>
      </w:r>
      <w:r>
        <w:rPr>
          <w:sz w:val="20"/>
          <w:szCs w:val="20"/>
          <w:color w:val="auto"/>
        </w:rPr>
        <w:tab/>
      </w:r>
      <w:r>
        <w:rPr>
          <w:rFonts w:ascii="Arial" w:cs="Arial" w:eastAsia="Arial" w:hAnsi="Arial"/>
          <w:sz w:val="16"/>
          <w:szCs w:val="16"/>
          <w:u w:val="single" w:color="auto"/>
          <w:color w:val="auto"/>
        </w:rPr>
        <w:t>Properties and Liens</w:t>
      </w:r>
      <w:r>
        <w:rPr>
          <w:rFonts w:ascii="Arial" w:cs="Arial" w:eastAsia="Arial" w:hAnsi="Arial"/>
          <w:sz w:val="16"/>
          <w:szCs w:val="16"/>
          <w:color w:val="auto"/>
        </w:rPr>
        <w:t>.</w:t>
      </w:r>
    </w:p>
    <w:p>
      <w:pPr>
        <w:spacing w:after="0" w:line="216" w:lineRule="exact"/>
        <w:rPr>
          <w:sz w:val="20"/>
          <w:szCs w:val="20"/>
          <w:color w:val="auto"/>
        </w:rPr>
      </w:pPr>
    </w:p>
    <w:p>
      <w:pPr>
        <w:jc w:val="both"/>
        <w:ind w:left="660" w:firstLine="645"/>
        <w:spacing w:after="0" w:line="250" w:lineRule="auto"/>
        <w:tabs>
          <w:tab w:leader="none" w:pos="1834" w:val="left"/>
        </w:tabs>
        <w:numPr>
          <w:ilvl w:val="0"/>
          <w:numId w:val="121"/>
        </w:numPr>
        <w:rPr>
          <w:rFonts w:ascii="Arial" w:cs="Arial" w:eastAsia="Arial" w:hAnsi="Arial"/>
          <w:sz w:val="20"/>
          <w:szCs w:val="20"/>
          <w:color w:val="auto"/>
        </w:rPr>
      </w:pPr>
      <w:r>
        <w:rPr>
          <w:rFonts w:ascii="Arial" w:cs="Arial" w:eastAsia="Arial" w:hAnsi="Arial"/>
          <w:sz w:val="20"/>
          <w:szCs w:val="20"/>
          <w:color w:val="auto"/>
        </w:rPr>
        <w:t>Each Company has good and marketable title in fee simple to, or a valid leasehold interest in, all material property reflected on the Current Financials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for property that is obsolete or that has been disposed of in the ordinary course of business or as otherwise permitted by </w:t>
      </w:r>
      <w:r>
        <w:rPr>
          <w:rFonts w:ascii="Arial" w:cs="Arial" w:eastAsia="Arial" w:hAnsi="Arial"/>
          <w:sz w:val="20"/>
          <w:szCs w:val="20"/>
          <w:b w:val="1"/>
          <w:bCs w:val="1"/>
          <w:i w:val="1"/>
          <w:iCs w:val="1"/>
          <w:color w:val="auto"/>
        </w:rPr>
        <w:t>Section 10.10</w:t>
      </w:r>
      <w:r>
        <w:rPr>
          <w:rFonts w:ascii="Arial" w:cs="Arial" w:eastAsia="Arial" w:hAnsi="Arial"/>
          <w:sz w:val="20"/>
          <w:szCs w:val="20"/>
          <w:color w:val="auto"/>
        </w:rPr>
        <w:t xml:space="preserve"> or </w:t>
      </w:r>
      <w:r>
        <w:rPr>
          <w:rFonts w:ascii="Arial" w:cs="Arial" w:eastAsia="Arial" w:hAnsi="Arial"/>
          <w:sz w:val="20"/>
          <w:szCs w:val="20"/>
          <w:b w:val="1"/>
          <w:bCs w:val="1"/>
          <w:i w:val="1"/>
          <w:iCs w:val="1"/>
          <w:color w:val="auto"/>
        </w:rPr>
        <w:t>Section 10.11</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jc w:val="both"/>
        <w:ind w:left="660" w:firstLine="645"/>
        <w:spacing w:after="0" w:line="250" w:lineRule="auto"/>
        <w:tabs>
          <w:tab w:leader="none" w:pos="1812" w:val="left"/>
        </w:tabs>
        <w:numPr>
          <w:ilvl w:val="0"/>
          <w:numId w:val="121"/>
        </w:numPr>
        <w:rPr>
          <w:rFonts w:ascii="Arial" w:cs="Arial" w:eastAsia="Arial" w:hAnsi="Arial"/>
          <w:sz w:val="20"/>
          <w:szCs w:val="20"/>
          <w:color w:val="auto"/>
        </w:rPr>
      </w:pPr>
      <w:r>
        <w:rPr>
          <w:rFonts w:ascii="Arial" w:cs="Arial" w:eastAsia="Arial" w:hAnsi="Arial"/>
          <w:sz w:val="20"/>
          <w:szCs w:val="20"/>
          <w:color w:val="auto"/>
        </w:rPr>
        <w:t>Except for Permitted Liens, no Lien exists on any property of any Company (including, without limitation, the Forest Service Permits and the Water Rights), and the execution, delivery, performance, or observance of the Loan Papers will not require or result in the creation of any Lien on any Company’s property.</w:t>
      </w:r>
    </w:p>
    <w:p>
      <w:pPr>
        <w:spacing w:after="0" w:line="186" w:lineRule="exact"/>
        <w:rPr>
          <w:rFonts w:ascii="Arial" w:cs="Arial" w:eastAsia="Arial" w:hAnsi="Arial"/>
          <w:sz w:val="20"/>
          <w:szCs w:val="20"/>
          <w:color w:val="auto"/>
        </w:rPr>
      </w:pPr>
    </w:p>
    <w:p>
      <w:pPr>
        <w:ind w:left="660" w:firstLine="645"/>
        <w:spacing w:after="0" w:line="260" w:lineRule="auto"/>
        <w:tabs>
          <w:tab w:leader="none" w:pos="1767" w:val="left"/>
        </w:tabs>
        <w:numPr>
          <w:ilvl w:val="0"/>
          <w:numId w:val="121"/>
        </w:numPr>
        <w:rPr>
          <w:rFonts w:ascii="Arial" w:cs="Arial" w:eastAsia="Arial" w:hAnsi="Arial"/>
          <w:sz w:val="20"/>
          <w:szCs w:val="20"/>
          <w:color w:val="auto"/>
        </w:rPr>
      </w:pPr>
      <w:r>
        <w:rPr>
          <w:rFonts w:ascii="Arial" w:cs="Arial" w:eastAsia="Arial" w:hAnsi="Arial"/>
          <w:sz w:val="20"/>
          <w:szCs w:val="20"/>
          <w:color w:val="auto"/>
        </w:rPr>
        <w:t>As of the date hereof, the Forest Service Permits constitute all of the material licenses, permits, or leases from the U.S. held by the Companies for use in connection with their respective skiing businesses.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ectPr>
          <w:pgSz w:w="11900" w:h="16838" w:orient="portrait"/>
          <w:cols w:equalWidth="0" w:num="1">
            <w:col w:w="11420"/>
          </w:cols>
          <w:pgMar w:left="240" w:top="798" w:right="239" w:bottom="1440" w:gutter="0" w:footer="0" w:header="0"/>
        </w:sectPr>
      </w:pPr>
    </w:p>
    <w:bookmarkStart w:id="147" w:name="page148"/>
    <w:bookmarkEnd w:id="147"/>
    <w:p>
      <w:pPr>
        <w:jc w:val="both"/>
        <w:ind w:left="660" w:firstLine="645"/>
        <w:spacing w:after="0" w:line="260" w:lineRule="auto"/>
        <w:tabs>
          <w:tab w:leader="none" w:pos="1804" w:val="left"/>
        </w:tabs>
        <w:numPr>
          <w:ilvl w:val="0"/>
          <w:numId w:val="122"/>
        </w:numPr>
        <w:rPr>
          <w:rFonts w:ascii="Arial" w:cs="Arial" w:eastAsia="Arial" w:hAnsi="Arial"/>
          <w:sz w:val="19"/>
          <w:szCs w:val="19"/>
          <w:color w:val="auto"/>
        </w:rPr>
      </w:pPr>
      <w:r>
        <w:rPr>
          <w:rFonts w:ascii="Arial" w:cs="Arial" w:eastAsia="Arial" w:hAnsi="Arial"/>
          <w:sz w:val="19"/>
          <w:szCs w:val="19"/>
          <w:color w:val="auto"/>
        </w:rPr>
        <w:t>Each of the Water Rights is, to the knowledge of the Companies, in full force and effect and, to the knowledge of the Companies, there is no material default or existing condition which with the giving of notice or the passage of time or both would cause a material default under any Water Right that is material to the operation of the Companies. Subject to the available supply and to the terms and conditions of the applicable decrees, the Companies’ Water Rights provide a dependable, legal and physical snowmaking, irrigation, and domestic water supply for the operation of the Companies’ businesses.</w:t>
      </w:r>
    </w:p>
    <w:p>
      <w:pPr>
        <w:spacing w:after="0" w:line="180" w:lineRule="exact"/>
        <w:rPr>
          <w:rFonts w:ascii="Arial" w:cs="Arial" w:eastAsia="Arial" w:hAnsi="Arial"/>
          <w:sz w:val="19"/>
          <w:szCs w:val="19"/>
          <w:color w:val="auto"/>
        </w:rPr>
      </w:pPr>
    </w:p>
    <w:p>
      <w:pPr>
        <w:ind w:left="660" w:firstLine="645"/>
        <w:spacing w:after="0" w:line="260" w:lineRule="auto"/>
        <w:tabs>
          <w:tab w:leader="none" w:pos="1806" w:val="left"/>
        </w:tabs>
        <w:numPr>
          <w:ilvl w:val="0"/>
          <w:numId w:val="122"/>
        </w:numPr>
        <w:rPr>
          <w:rFonts w:ascii="Arial" w:cs="Arial" w:eastAsia="Arial" w:hAnsi="Arial"/>
          <w:sz w:val="20"/>
          <w:szCs w:val="20"/>
          <w:color w:val="auto"/>
        </w:rPr>
      </w:pPr>
      <w:r>
        <w:rPr>
          <w:rFonts w:ascii="Arial" w:cs="Arial" w:eastAsia="Arial" w:hAnsi="Arial"/>
          <w:sz w:val="20"/>
          <w:szCs w:val="20"/>
          <w:color w:val="auto"/>
        </w:rPr>
        <w:t xml:space="preserve">As of the Closing Date, (i) the Companies own the Critical Assets set forth on </w:t>
      </w:r>
      <w:r>
        <w:rPr>
          <w:rFonts w:ascii="Arial" w:cs="Arial" w:eastAsia="Arial" w:hAnsi="Arial"/>
          <w:sz w:val="20"/>
          <w:szCs w:val="20"/>
          <w:b w:val="1"/>
          <w:bCs w:val="1"/>
          <w:i w:val="1"/>
          <w:iCs w:val="1"/>
          <w:color w:val="auto"/>
        </w:rPr>
        <w:t>Schedule 8.11</w:t>
      </w:r>
      <w:r>
        <w:rPr>
          <w:rFonts w:ascii="Arial" w:cs="Arial" w:eastAsia="Arial" w:hAnsi="Arial"/>
          <w:sz w:val="20"/>
          <w:szCs w:val="20"/>
          <w:color w:val="auto"/>
        </w:rPr>
        <w:t>, and (ii) each Existing Critical Asset is owned by a Restricted Subsidiary of Borrower.</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8.12 </w:t>
      </w:r>
      <w:r>
        <w:rPr>
          <w:rFonts w:ascii="Arial" w:cs="Arial" w:eastAsia="Arial" w:hAnsi="Arial"/>
          <w:sz w:val="20"/>
          <w:szCs w:val="20"/>
          <w:u w:val="single" w:color="auto"/>
          <w:color w:val="auto"/>
        </w:rPr>
        <w:t>Government Regulations</w:t>
      </w:r>
      <w:r>
        <w:rPr>
          <w:rFonts w:ascii="Arial" w:cs="Arial" w:eastAsia="Arial" w:hAnsi="Arial"/>
          <w:sz w:val="20"/>
          <w:szCs w:val="20"/>
          <w:color w:val="auto"/>
        </w:rPr>
        <w:t>. No Company or Controlling Person is or is required to be registered as an “</w:t>
      </w:r>
      <w:r>
        <w:rPr>
          <w:rFonts w:ascii="Arial" w:cs="Arial" w:eastAsia="Arial" w:hAnsi="Arial"/>
          <w:sz w:val="20"/>
          <w:szCs w:val="20"/>
          <w:i w:val="1"/>
          <w:iCs w:val="1"/>
          <w:color w:val="auto"/>
        </w:rPr>
        <w:t>investment company</w:t>
      </w:r>
      <w:r>
        <w:rPr>
          <w:rFonts w:ascii="Arial" w:cs="Arial" w:eastAsia="Arial" w:hAnsi="Arial"/>
          <w:sz w:val="20"/>
          <w:szCs w:val="20"/>
          <w:color w:val="auto"/>
        </w:rPr>
        <w:t>” under the Investment Company Act of 1940.</w:t>
      </w:r>
    </w:p>
    <w:p>
      <w:pPr>
        <w:spacing w:after="0" w:line="39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8.13 </w:t>
      </w:r>
      <w:r>
        <w:rPr>
          <w:rFonts w:ascii="Arial" w:cs="Arial" w:eastAsia="Arial" w:hAnsi="Arial"/>
          <w:sz w:val="20"/>
          <w:szCs w:val="20"/>
          <w:u w:val="single" w:color="auto"/>
          <w:color w:val="auto"/>
        </w:rPr>
        <w:t>Transactions with Affiliates</w:t>
      </w:r>
      <w:r>
        <w:rPr>
          <w:rFonts w:ascii="Arial" w:cs="Arial" w:eastAsia="Arial" w:hAnsi="Arial"/>
          <w:sz w:val="20"/>
          <w:szCs w:val="20"/>
          <w:color w:val="auto"/>
        </w:rPr>
        <w:t xml:space="preserve">. Except as set forth in </w:t>
      </w:r>
      <w:r>
        <w:rPr>
          <w:rFonts w:ascii="Arial" w:cs="Arial" w:eastAsia="Arial" w:hAnsi="Arial"/>
          <w:sz w:val="20"/>
          <w:szCs w:val="20"/>
          <w:b w:val="1"/>
          <w:bCs w:val="1"/>
          <w:i w:val="1"/>
          <w:iCs w:val="1"/>
          <w:color w:val="auto"/>
        </w:rPr>
        <w:t>Schedule 8.13</w:t>
      </w:r>
      <w:r>
        <w:rPr>
          <w:rFonts w:ascii="Arial" w:cs="Arial" w:eastAsia="Arial" w:hAnsi="Arial"/>
          <w:sz w:val="20"/>
          <w:szCs w:val="20"/>
          <w:color w:val="auto"/>
        </w:rPr>
        <w:t xml:space="preserve"> and </w:t>
      </w:r>
      <w:r>
        <w:rPr>
          <w:rFonts w:ascii="Arial" w:cs="Arial" w:eastAsia="Arial" w:hAnsi="Arial"/>
          <w:sz w:val="20"/>
          <w:szCs w:val="20"/>
          <w:i w:val="1"/>
          <w:iCs w:val="1"/>
          <w:color w:val="auto"/>
        </w:rPr>
        <w:t>except</w:t>
      </w:r>
      <w:r>
        <w:rPr>
          <w:rFonts w:ascii="Arial" w:cs="Arial" w:eastAsia="Arial" w:hAnsi="Arial"/>
          <w:sz w:val="20"/>
          <w:szCs w:val="20"/>
          <w:color w:val="auto"/>
        </w:rPr>
        <w:t xml:space="preserve"> for other transactions which do not, in the aggregate, cost the Restricted Companies more than $2,000,000 in any fiscal year, no Restricted Company is a party to any transaction with any Affiliate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another Restricted Company), </w:t>
      </w:r>
      <w:r>
        <w:rPr>
          <w:rFonts w:ascii="Arial" w:cs="Arial" w:eastAsia="Arial" w:hAnsi="Arial"/>
          <w:sz w:val="20"/>
          <w:szCs w:val="20"/>
          <w:i w:val="1"/>
          <w:iCs w:val="1"/>
          <w:color w:val="auto"/>
        </w:rPr>
        <w:t>except</w:t>
      </w:r>
      <w:r>
        <w:rPr>
          <w:rFonts w:ascii="Arial" w:cs="Arial" w:eastAsia="Arial" w:hAnsi="Arial"/>
          <w:sz w:val="20"/>
          <w:szCs w:val="20"/>
          <w:color w:val="auto"/>
        </w:rPr>
        <w:t xml:space="preserve"> upon fair and reasonable terms not materially less favorable than it could obtain or could become entitled to in an arm’s-length transaction with a Person that was not its Affiliate.</w:t>
      </w:r>
    </w:p>
    <w:p>
      <w:pPr>
        <w:spacing w:after="0" w:line="200" w:lineRule="exact"/>
        <w:rPr>
          <w:sz w:val="20"/>
          <w:szCs w:val="20"/>
          <w:color w:val="auto"/>
        </w:rPr>
      </w:pPr>
    </w:p>
    <w:p>
      <w:pPr>
        <w:spacing w:after="0" w:line="20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8.14</w:t>
      </w:r>
      <w:r>
        <w:rPr>
          <w:sz w:val="20"/>
          <w:szCs w:val="20"/>
          <w:color w:val="auto"/>
        </w:rPr>
        <w:tab/>
      </w:r>
      <w:r>
        <w:rPr>
          <w:rFonts w:ascii="Arial" w:cs="Arial" w:eastAsia="Arial" w:hAnsi="Arial"/>
          <w:sz w:val="18"/>
          <w:szCs w:val="18"/>
          <w:u w:val="single" w:color="auto"/>
          <w:color w:val="auto"/>
        </w:rPr>
        <w:t>Debt</w:t>
      </w:r>
      <w:r>
        <w:rPr>
          <w:rFonts w:ascii="Arial" w:cs="Arial" w:eastAsia="Arial" w:hAnsi="Arial"/>
          <w:sz w:val="18"/>
          <w:szCs w:val="18"/>
          <w:color w:val="auto"/>
        </w:rPr>
        <w:t>. No Company is an obligor on any Debt,</w:t>
      </w:r>
      <w:r>
        <w:rPr>
          <w:rFonts w:ascii="Arial" w:cs="Arial" w:eastAsia="Arial" w:hAnsi="Arial"/>
          <w:sz w:val="18"/>
          <w:szCs w:val="18"/>
          <w:u w:val="single" w:color="auto"/>
          <w:color w:val="auto"/>
        </w:rPr>
        <w:t xml:space="preserve"> </w:t>
      </w:r>
      <w:r>
        <w:rPr>
          <w:rFonts w:ascii="Arial" w:cs="Arial" w:eastAsia="Arial" w:hAnsi="Arial"/>
          <w:sz w:val="18"/>
          <w:szCs w:val="18"/>
          <w:i w:val="1"/>
          <w:iCs w:val="1"/>
          <w:color w:val="auto"/>
        </w:rPr>
        <w:t>other than</w:t>
      </w:r>
      <w:r>
        <w:rPr>
          <w:rFonts w:ascii="Arial" w:cs="Arial" w:eastAsia="Arial" w:hAnsi="Arial"/>
          <w:sz w:val="18"/>
          <w:szCs w:val="18"/>
          <w:u w:val="single" w:color="auto"/>
          <w:color w:val="auto"/>
        </w:rPr>
        <w:t xml:space="preserve"> </w:t>
      </w:r>
      <w:r>
        <w:rPr>
          <w:rFonts w:ascii="Arial" w:cs="Arial" w:eastAsia="Arial" w:hAnsi="Arial"/>
          <w:sz w:val="18"/>
          <w:szCs w:val="18"/>
          <w:color w:val="auto"/>
        </w:rPr>
        <w:t>Permitted Debt.</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8.15 </w:t>
      </w:r>
      <w:r>
        <w:rPr>
          <w:rFonts w:ascii="Arial" w:cs="Arial" w:eastAsia="Arial" w:hAnsi="Arial"/>
          <w:sz w:val="20"/>
          <w:szCs w:val="20"/>
          <w:u w:val="single" w:color="auto"/>
          <w:color w:val="auto"/>
        </w:rPr>
        <w:t>Material Agreements</w:t>
      </w:r>
      <w:r>
        <w:rPr>
          <w:rFonts w:ascii="Arial" w:cs="Arial" w:eastAsia="Arial" w:hAnsi="Arial"/>
          <w:sz w:val="20"/>
          <w:szCs w:val="20"/>
          <w:color w:val="auto"/>
        </w:rPr>
        <w:t>. All Material Agreements to which any Restricted Company is a party are in full force and effect, and no default or potential default (a) exists on the part of any Restricted Company thereunder that is a Material Adverse Event or (b) would result from the consummation of the transactions contemplated by this Agreement or any other Loan Paper.</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8.16 </w:t>
      </w:r>
      <w:r>
        <w:rPr>
          <w:rFonts w:ascii="Arial" w:cs="Arial" w:eastAsia="Arial" w:hAnsi="Arial"/>
          <w:sz w:val="19"/>
          <w:szCs w:val="19"/>
          <w:u w:val="single" w:color="auto"/>
          <w:color w:val="auto"/>
        </w:rPr>
        <w:t>Labor Matters</w:t>
      </w:r>
      <w:r>
        <w:rPr>
          <w:rFonts w:ascii="Arial" w:cs="Arial" w:eastAsia="Arial" w:hAnsi="Arial"/>
          <w:sz w:val="19"/>
          <w:szCs w:val="19"/>
          <w:color w:val="auto"/>
        </w:rPr>
        <w:t xml:space="preserve">. There are no binding agreements of any type with any labor union, labor organization, collective bargaining unit or employee group to which any Company is bound,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agreements which may be entered into after the Closing Date which do not constitute a Material Adverse Event. No actual or threatened strikes, labor disputes, slow downs, walkouts, or other concerted interruptions of operations by the employees of any Company that constitute a Material Adverse Event exist. Hours worked by and payment made to employees of the Companies have not been in violation of the </w:t>
      </w:r>
      <w:r>
        <w:rPr>
          <w:rFonts w:ascii="Arial" w:cs="Arial" w:eastAsia="Arial" w:hAnsi="Arial"/>
          <w:sz w:val="19"/>
          <w:szCs w:val="19"/>
          <w:i w:val="1"/>
          <w:iCs w:val="1"/>
          <w:color w:val="auto"/>
        </w:rPr>
        <w:t>Fair Labor Standards Act,</w:t>
      </w:r>
      <w:r>
        <w:rPr>
          <w:rFonts w:ascii="Arial" w:cs="Arial" w:eastAsia="Arial" w:hAnsi="Arial"/>
          <w:sz w:val="19"/>
          <w:szCs w:val="19"/>
          <w:color w:val="auto"/>
        </w:rPr>
        <w:t xml:space="preserve"> as amended, or any other applicable Law dealing with labor matters,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any violations, individually or collectively, that are not a Material Adverse Event. All payments due from any Company for employee health and welfare insurance have been paid or accrued as a liability on its books,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any nonpayments that are not, individually or collectively, a Material Adverse Event.</w:t>
      </w:r>
    </w:p>
    <w:p>
      <w:pPr>
        <w:spacing w:after="0" w:line="39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8.17 </w:t>
      </w:r>
      <w:r>
        <w:rPr>
          <w:rFonts w:ascii="Arial" w:cs="Arial" w:eastAsia="Arial" w:hAnsi="Arial"/>
          <w:sz w:val="20"/>
          <w:szCs w:val="20"/>
          <w:u w:val="single" w:color="auto"/>
          <w:color w:val="auto"/>
        </w:rPr>
        <w:t>Solvency</w:t>
      </w:r>
      <w:r>
        <w:rPr>
          <w:rFonts w:ascii="Arial" w:cs="Arial" w:eastAsia="Arial" w:hAnsi="Arial"/>
          <w:sz w:val="20"/>
          <w:szCs w:val="20"/>
          <w:color w:val="auto"/>
        </w:rPr>
        <w:t>. On the Closing Date, on each Loan Date, and on each date of an L/C Credit Extension, Borrower, and each Guarantor are, and after giving effect to the requested Loan, will be, Solvent.</w:t>
      </w:r>
    </w:p>
    <w:p>
      <w:pPr>
        <w:spacing w:after="0" w:line="3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8.18 </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Each Company owns (or otherwise holds rights to use) all material Intellectual Property, licenses, permits, and trade names necessary to continue to conduct its businesses as presently conducted by it and proposed to be conducted by it immediately after the Closing Date. To its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ectPr>
          <w:pgSz w:w="11900" w:h="16838" w:orient="portrait"/>
          <w:cols w:equalWidth="0" w:num="1">
            <w:col w:w="11420"/>
          </w:cols>
          <w:pgMar w:left="240" w:top="582" w:right="239" w:bottom="1440" w:gutter="0" w:footer="0" w:header="0"/>
        </w:sectPr>
      </w:pPr>
    </w:p>
    <w:bookmarkStart w:id="148" w:name="page149"/>
    <w:bookmarkEnd w:id="148"/>
    <w:p>
      <w:pPr>
        <w:jc w:val="both"/>
        <w:spacing w:after="0" w:line="242" w:lineRule="auto"/>
        <w:rPr>
          <w:sz w:val="20"/>
          <w:szCs w:val="20"/>
          <w:color w:val="auto"/>
        </w:rPr>
      </w:pPr>
      <w:r>
        <w:rPr>
          <w:rFonts w:ascii="Arial" w:cs="Arial" w:eastAsia="Arial" w:hAnsi="Arial"/>
          <w:sz w:val="20"/>
          <w:szCs w:val="20"/>
          <w:color w:val="auto"/>
        </w:rPr>
        <w:t xml:space="preserve">knowledge, each Company is conducting its business without infringement or claim of infringement of any license, patent, copyright, service mark, trademark, trade name, trade secret, or other intellectual property right of others,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any infringements or claims that, if successfully asserted against or determined adversely to any Company, would not, individually or collectively, constitute a Material Adverse Event, and to the best of each Company’s knowledge, no slogan or other advertising device, product, process, method, substance, or part or other material now employed, or now contemplated to be employed, by such Company infringes upon any rights held by any other Person. To the knowledge of any Company as of the date hereof, no infringement or claim of infringement by others of any material Intellectual Property, license, permit, trade name, or other intellectual property of any Company exists,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claims which will not result in a Material Adverse Event.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8.19 </w:t>
      </w:r>
      <w:r>
        <w:rPr>
          <w:rFonts w:ascii="Arial" w:cs="Arial" w:eastAsia="Arial" w:hAnsi="Arial"/>
          <w:sz w:val="19"/>
          <w:szCs w:val="19"/>
          <w:u w:val="single" w:color="auto"/>
          <w:color w:val="auto"/>
        </w:rPr>
        <w:t>Full Disclosure</w:t>
      </w:r>
      <w:r>
        <w:rPr>
          <w:rFonts w:ascii="Arial" w:cs="Arial" w:eastAsia="Arial" w:hAnsi="Arial"/>
          <w:sz w:val="19"/>
          <w:szCs w:val="19"/>
          <w:color w:val="auto"/>
        </w:rPr>
        <w:t>. Each material fact or condition relating to the Loan Papers or the financial condition, business, or property of any Company has been disclosed to Administrative Agent. All reports, financial statements, certificates, and other information furnished by any Company to Administrative Agent in connection with the Loan Papers on or before the Closing Date was, taken as a whole, true and accurate in all material respects or based on reasonable estimates on the date the information is stated or certified.</w:t>
      </w:r>
    </w:p>
    <w:p>
      <w:pPr>
        <w:spacing w:after="0" w:line="3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8.20 </w:t>
      </w:r>
      <w:r>
        <w:rPr>
          <w:rFonts w:ascii="Arial" w:cs="Arial" w:eastAsia="Arial" w:hAnsi="Arial"/>
          <w:sz w:val="20"/>
          <w:szCs w:val="20"/>
          <w:u w:val="single" w:color="auto"/>
          <w:color w:val="auto"/>
        </w:rPr>
        <w:t>Insurance</w:t>
      </w:r>
      <w:r>
        <w:rPr>
          <w:rFonts w:ascii="Arial" w:cs="Arial" w:eastAsia="Arial" w:hAnsi="Arial"/>
          <w:sz w:val="20"/>
          <w:szCs w:val="20"/>
          <w:color w:val="auto"/>
        </w:rPr>
        <w:t>. The properties of the Companies are insured with financially sound and reputable insurance companies not Affiliates of the Companies, in such amounts, with such deductibles and covering such risks as are customarily carried by companies engaged in similar businesses and owning similar properties in localities where the Companies operate.</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8.21 </w:t>
      </w:r>
      <w:r>
        <w:rPr>
          <w:rFonts w:ascii="Arial" w:cs="Arial" w:eastAsia="Arial" w:hAnsi="Arial"/>
          <w:sz w:val="19"/>
          <w:szCs w:val="19"/>
          <w:u w:val="single" w:color="auto"/>
          <w:color w:val="auto"/>
        </w:rPr>
        <w:t>Compliance with Laws</w:t>
      </w:r>
      <w:r>
        <w:rPr>
          <w:rFonts w:ascii="Arial" w:cs="Arial" w:eastAsia="Arial" w:hAnsi="Arial"/>
          <w:sz w:val="19"/>
          <w:szCs w:val="19"/>
          <w:color w:val="auto"/>
        </w:rPr>
        <w:t>. Each Company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result in a Material Adverse Event.</w:t>
      </w:r>
    </w:p>
    <w:p>
      <w:pPr>
        <w:spacing w:after="0" w:line="3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8.22 </w:t>
      </w:r>
      <w:r>
        <w:rPr>
          <w:rFonts w:ascii="Arial" w:cs="Arial" w:eastAsia="Arial" w:hAnsi="Arial"/>
          <w:sz w:val="20"/>
          <w:szCs w:val="20"/>
          <w:u w:val="single" w:color="auto"/>
          <w:color w:val="auto"/>
        </w:rPr>
        <w:t>OFAC</w:t>
      </w:r>
      <w:r>
        <w:rPr>
          <w:rFonts w:ascii="Arial" w:cs="Arial" w:eastAsia="Arial" w:hAnsi="Arial"/>
          <w:sz w:val="20"/>
          <w:szCs w:val="20"/>
          <w:color w:val="auto"/>
        </w:rPr>
        <w:t>. No Company, or, to the knowledge of any Company, any director, officer, employee, agent or representative thereof, is an individual or entity that is, or is owned or controlled by any individual or entity that is currently the target of any Sanctions, and no Company is located, organized or resident in a Designated Jurisdiction.</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8.23 </w:t>
      </w:r>
      <w:r>
        <w:rPr>
          <w:rFonts w:ascii="Arial" w:cs="Arial" w:eastAsia="Arial" w:hAnsi="Arial"/>
          <w:sz w:val="20"/>
          <w:szCs w:val="20"/>
          <w:u w:val="single" w:color="auto"/>
          <w:color w:val="auto"/>
        </w:rPr>
        <w:t>Anti-Corruption Laws</w:t>
      </w:r>
      <w:r>
        <w:rPr>
          <w:rFonts w:ascii="Arial" w:cs="Arial" w:eastAsia="Arial" w:hAnsi="Arial"/>
          <w:sz w:val="20"/>
          <w:szCs w:val="20"/>
          <w:color w:val="auto"/>
        </w:rPr>
        <w:t>. Each Company is in compliance in all material respects with Anti-Corruption Laws applicable to such Company, and each Company has instituted and maintains compliance policies and procedures applicable to such Company with respect to applicable Anti-Corruption Laws.</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8.24 </w:t>
      </w:r>
      <w:r>
        <w:rPr>
          <w:rFonts w:ascii="Arial" w:cs="Arial" w:eastAsia="Arial" w:hAnsi="Arial"/>
          <w:sz w:val="20"/>
          <w:szCs w:val="20"/>
          <w:u w:val="single" w:color="auto"/>
          <w:color w:val="auto"/>
        </w:rPr>
        <w:t>Taxpayer Identification Number</w:t>
      </w:r>
      <w:r>
        <w:rPr>
          <w:rFonts w:ascii="Arial" w:cs="Arial" w:eastAsia="Arial" w:hAnsi="Arial"/>
          <w:sz w:val="20"/>
          <w:szCs w:val="20"/>
          <w:color w:val="auto"/>
        </w:rPr>
        <w:t xml:space="preserve">. The true and correct U.S. taxpayer identification number of Borrower and each Restricted Subsidiary is set forth on </w:t>
      </w:r>
      <w:r>
        <w:rPr>
          <w:rFonts w:ascii="Arial" w:cs="Arial" w:eastAsia="Arial" w:hAnsi="Arial"/>
          <w:sz w:val="20"/>
          <w:szCs w:val="20"/>
          <w:b w:val="1"/>
          <w:bCs w:val="1"/>
          <w:i w:val="1"/>
          <w:iCs w:val="1"/>
          <w:color w:val="auto"/>
        </w:rPr>
        <w:t>Schedule 8.24</w:t>
      </w:r>
      <w:r>
        <w:rPr>
          <w:rFonts w:ascii="Arial" w:cs="Arial" w:eastAsia="Arial" w:hAnsi="Arial"/>
          <w:sz w:val="20"/>
          <w:szCs w:val="20"/>
          <w:color w:val="auto"/>
        </w:rPr>
        <w: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ectPr>
          <w:pgSz w:w="11900" w:h="16838" w:orient="portrait"/>
          <w:cols w:equalWidth="0" w:num="1">
            <w:col w:w="11420"/>
          </w:cols>
          <w:pgMar w:left="240" w:top="798" w:right="239" w:bottom="1440" w:gutter="0" w:footer="0" w:header="0"/>
        </w:sectPr>
      </w:pPr>
    </w:p>
    <w:bookmarkStart w:id="149" w:name="page150"/>
    <w:bookmarkEnd w:id="149"/>
    <w:p>
      <w:pPr>
        <w:ind w:left="660"/>
        <w:spacing w:after="0"/>
        <w:tabs>
          <w:tab w:leader="none" w:pos="1160" w:val="left"/>
        </w:tabs>
        <w:rPr>
          <w:sz w:val="20"/>
          <w:szCs w:val="20"/>
          <w:color w:val="auto"/>
        </w:rPr>
      </w:pPr>
      <w:r>
        <w:rPr>
          <w:rFonts w:ascii="Arial" w:cs="Arial" w:eastAsia="Arial" w:hAnsi="Arial"/>
          <w:sz w:val="20"/>
          <w:szCs w:val="20"/>
          <w:color w:val="auto"/>
        </w:rPr>
        <w:t>8.25</w:t>
      </w:r>
      <w:r>
        <w:rPr>
          <w:sz w:val="20"/>
          <w:szCs w:val="20"/>
          <w:color w:val="auto"/>
        </w:rPr>
        <w:tab/>
      </w:r>
      <w:r>
        <w:rPr>
          <w:rFonts w:ascii="Arial" w:cs="Arial" w:eastAsia="Arial" w:hAnsi="Arial"/>
          <w:sz w:val="18"/>
          <w:szCs w:val="18"/>
          <w:u w:val="single" w:color="auto"/>
          <w:color w:val="auto"/>
        </w:rPr>
        <w:t xml:space="preserve">EEA Financial Institution </w:t>
      </w:r>
      <w:r>
        <w:rPr>
          <w:rFonts w:ascii="Arial" w:cs="Arial" w:eastAsia="Arial" w:hAnsi="Arial"/>
          <w:sz w:val="18"/>
          <w:szCs w:val="18"/>
          <w:color w:val="auto"/>
        </w:rPr>
        <w:t>Neither Borrower nor any Guarantor is an EEA Financial Institution.</w:t>
      </w:r>
    </w:p>
    <w:p>
      <w:pPr>
        <w:spacing w:after="0" w:line="200" w:lineRule="exact"/>
        <w:rPr>
          <w:sz w:val="20"/>
          <w:szCs w:val="20"/>
          <w:color w:val="auto"/>
        </w:rPr>
      </w:pPr>
    </w:p>
    <w:p>
      <w:pPr>
        <w:spacing w:after="0" w:line="23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8.26 </w:t>
      </w:r>
      <w:r>
        <w:rPr>
          <w:rFonts w:ascii="Arial" w:cs="Arial" w:eastAsia="Arial" w:hAnsi="Arial"/>
          <w:sz w:val="20"/>
          <w:szCs w:val="20"/>
          <w:u w:val="single" w:color="auto"/>
          <w:color w:val="auto"/>
        </w:rPr>
        <w:t>Beneficial Ownership</w:t>
      </w:r>
      <w:r>
        <w:rPr>
          <w:rFonts w:ascii="Arial" w:cs="Arial" w:eastAsia="Arial" w:hAnsi="Arial"/>
          <w:sz w:val="20"/>
          <w:szCs w:val="20"/>
          <w:color w:val="auto"/>
        </w:rPr>
        <w:t xml:space="preserve"> As of the Closing Date, the information included in each Beneficial Ownership Certification, if applicable, is true and correct in all respects.</w:t>
      </w:r>
    </w:p>
    <w:p>
      <w:pPr>
        <w:spacing w:after="0" w:line="387"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b w:val="1"/>
          <w:bCs w:val="1"/>
          <w:u w:val="single" w:color="auto"/>
          <w:color w:val="auto"/>
        </w:rPr>
        <w:t>SECTION 9</w:t>
      </w:r>
      <w:r>
        <w:rPr>
          <w:sz w:val="20"/>
          <w:szCs w:val="20"/>
          <w:color w:val="auto"/>
        </w:rPr>
        <w:tab/>
      </w:r>
      <w:r>
        <w:rPr>
          <w:rFonts w:ascii="Arial" w:cs="Arial" w:eastAsia="Arial" w:hAnsi="Arial"/>
          <w:sz w:val="18"/>
          <w:szCs w:val="18"/>
          <w:b w:val="1"/>
          <w:bCs w:val="1"/>
          <w:u w:val="single" w:color="auto"/>
          <w:color w:val="auto"/>
        </w:rPr>
        <w:t>AFFIRMATIVE COVENANTS</w:t>
      </w:r>
      <w:r>
        <w:rPr>
          <w:rFonts w:ascii="Arial" w:cs="Arial" w:eastAsia="Arial" w:hAnsi="Arial"/>
          <w:sz w:val="18"/>
          <w:szCs w:val="18"/>
          <w:color w:val="auto"/>
        </w:rPr>
        <w:t>. So long as Lenders are committed to fund Loans and the L/C Issuers are committed to issue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L/Cs under this Agreement, and thereafter until the Obligation is paid in full, Borrower covenants and agrees as follows:</w:t>
      </w:r>
    </w:p>
    <w:p>
      <w:pPr>
        <w:spacing w:after="0" w:line="20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8"/>
          <w:szCs w:val="18"/>
          <w:u w:val="single" w:color="auto"/>
          <w:color w:val="auto"/>
        </w:rPr>
        <w:t>Items to be Furnished</w:t>
      </w:r>
      <w:r>
        <w:rPr>
          <w:rFonts w:ascii="Arial" w:cs="Arial" w:eastAsia="Arial" w:hAnsi="Arial"/>
          <w:sz w:val="18"/>
          <w:szCs w:val="18"/>
          <w:color w:val="auto"/>
        </w:rPr>
        <w:t>. Borrower shall cause the following to be furnished to each Lender:</w:t>
      </w:r>
    </w:p>
    <w:p>
      <w:pPr>
        <w:spacing w:after="0" w:line="216" w:lineRule="exact"/>
        <w:rPr>
          <w:sz w:val="20"/>
          <w:szCs w:val="20"/>
          <w:color w:val="auto"/>
        </w:rPr>
      </w:pPr>
    </w:p>
    <w:p>
      <w:pPr>
        <w:jc w:val="both"/>
        <w:ind w:left="660" w:firstLine="645"/>
        <w:spacing w:after="0" w:line="256" w:lineRule="auto"/>
        <w:tabs>
          <w:tab w:leader="none" w:pos="1798" w:val="left"/>
        </w:tabs>
        <w:numPr>
          <w:ilvl w:val="0"/>
          <w:numId w:val="123"/>
        </w:numPr>
        <w:rPr>
          <w:rFonts w:ascii="Arial" w:cs="Arial" w:eastAsia="Arial" w:hAnsi="Arial"/>
          <w:sz w:val="19"/>
          <w:szCs w:val="19"/>
          <w:color w:val="auto"/>
        </w:rPr>
      </w:pPr>
      <w:r>
        <w:rPr>
          <w:rFonts w:ascii="Arial" w:cs="Arial" w:eastAsia="Arial" w:hAnsi="Arial"/>
          <w:sz w:val="19"/>
          <w:szCs w:val="19"/>
          <w:color w:val="auto"/>
        </w:rPr>
        <w:t>With respect to each fiscal year of the Companies, within 5 Business Days after the date required to be filed with the Securities and Exchange Commission as part of the Companies’ periodic reporting, Financial Statements showing the consolidated financial condition and results of operations of the Companies as of, and for the year ended on, that last day, accompanied by: (A) the unqualified opinion of a “</w:t>
      </w:r>
      <w:r>
        <w:rPr>
          <w:rFonts w:ascii="Arial" w:cs="Arial" w:eastAsia="Arial" w:hAnsi="Arial"/>
          <w:sz w:val="19"/>
          <w:szCs w:val="19"/>
          <w:i w:val="1"/>
          <w:iCs w:val="1"/>
          <w:color w:val="auto"/>
        </w:rPr>
        <w:t>Registered Public Accounting Firm</w:t>
      </w:r>
      <w:r>
        <w:rPr>
          <w:rFonts w:ascii="Arial" w:cs="Arial" w:eastAsia="Arial" w:hAnsi="Arial"/>
          <w:sz w:val="19"/>
          <w:szCs w:val="19"/>
          <w:color w:val="auto"/>
        </w:rPr>
        <w:t>” (as such term is specified in the Securities Laws) of nationally-recognized standing, based on an audit using generally accepted auditing standards and applicable Securities Laws, that the Financial Statements were prepared in accordance with GAAP and present fairly, in all material respects, the consolidated financial condition and results of operations of the Companies, (B) any management letter prepared by the accounting firm delivered in connection with its audit, (C) a certificate from the accounting firm to Administrative Agent indicating that during its audit it obtained no knowledge of any Default or Potential Default, or if it obtained knowledge, the nature and period of existence thereof, and (D) a Compliance Certificate with respect to the Financial Statements.</w:t>
      </w:r>
    </w:p>
    <w:p>
      <w:pPr>
        <w:spacing w:after="0" w:line="181" w:lineRule="exact"/>
        <w:rPr>
          <w:rFonts w:ascii="Arial" w:cs="Arial" w:eastAsia="Arial" w:hAnsi="Arial"/>
          <w:sz w:val="19"/>
          <w:szCs w:val="19"/>
          <w:color w:val="auto"/>
        </w:rPr>
      </w:pPr>
    </w:p>
    <w:p>
      <w:pPr>
        <w:jc w:val="both"/>
        <w:ind w:left="660" w:firstLine="645"/>
        <w:spacing w:after="0" w:line="244" w:lineRule="auto"/>
        <w:tabs>
          <w:tab w:leader="none" w:pos="1865" w:val="left"/>
        </w:tabs>
        <w:numPr>
          <w:ilvl w:val="0"/>
          <w:numId w:val="123"/>
        </w:numPr>
        <w:rPr>
          <w:rFonts w:ascii="Arial" w:cs="Arial" w:eastAsia="Arial" w:hAnsi="Arial"/>
          <w:sz w:val="20"/>
          <w:szCs w:val="20"/>
          <w:color w:val="auto"/>
        </w:rPr>
      </w:pPr>
      <w:r>
        <w:rPr>
          <w:rFonts w:ascii="Arial" w:cs="Arial" w:eastAsia="Arial" w:hAnsi="Arial"/>
          <w:sz w:val="20"/>
          <w:szCs w:val="20"/>
          <w:color w:val="auto"/>
        </w:rPr>
        <w:t>With respect to each fiscal quarter of the Companies (other than the last fiscal quarter of each fiscal year), within 5 Business Days after the date required to be filed with the Securities and Exchange Commission as part of the Companies periodic reportings, Financial Statements showing the consolidated financial condition and results of operations of the Companies for such fiscal quarter and for the period from the beginning of the current fiscal year to the last day of such fiscal quarter, accompanied by a Compliance Certificate with respect to the Financial Statements.</w:t>
      </w:r>
    </w:p>
    <w:p>
      <w:pPr>
        <w:spacing w:after="0" w:line="194" w:lineRule="exact"/>
        <w:rPr>
          <w:rFonts w:ascii="Arial" w:cs="Arial" w:eastAsia="Arial" w:hAnsi="Arial"/>
          <w:sz w:val="20"/>
          <w:szCs w:val="20"/>
          <w:color w:val="auto"/>
        </w:rPr>
      </w:pPr>
    </w:p>
    <w:p>
      <w:pPr>
        <w:ind w:left="660" w:right="20" w:firstLine="645"/>
        <w:spacing w:after="0" w:line="260" w:lineRule="auto"/>
        <w:tabs>
          <w:tab w:leader="none" w:pos="1747" w:val="left"/>
        </w:tabs>
        <w:numPr>
          <w:ilvl w:val="0"/>
          <w:numId w:val="123"/>
        </w:numPr>
        <w:rPr>
          <w:rFonts w:ascii="Arial" w:cs="Arial" w:eastAsia="Arial" w:hAnsi="Arial"/>
          <w:sz w:val="20"/>
          <w:szCs w:val="20"/>
          <w:color w:val="auto"/>
        </w:rPr>
      </w:pPr>
      <w:r>
        <w:rPr>
          <w:rFonts w:ascii="Arial" w:cs="Arial" w:eastAsia="Arial" w:hAnsi="Arial"/>
          <w:sz w:val="20"/>
          <w:szCs w:val="20"/>
          <w:color w:val="auto"/>
        </w:rPr>
        <w:t>Promptly after receipt, a copy of each interim or special audit report, management letter, and recommendations issued by independent accountants with respect to any Company or its financial records.</w:t>
      </w:r>
    </w:p>
    <w:p>
      <w:pPr>
        <w:spacing w:after="0" w:line="176" w:lineRule="exact"/>
        <w:rPr>
          <w:rFonts w:ascii="Arial" w:cs="Arial" w:eastAsia="Arial" w:hAnsi="Arial"/>
          <w:sz w:val="20"/>
          <w:szCs w:val="20"/>
          <w:color w:val="auto"/>
        </w:rPr>
      </w:pPr>
    </w:p>
    <w:p>
      <w:pPr>
        <w:jc w:val="both"/>
        <w:ind w:left="660" w:firstLine="645"/>
        <w:spacing w:after="0" w:line="273" w:lineRule="auto"/>
        <w:tabs>
          <w:tab w:leader="none" w:pos="174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Notice, promptly after any Company knows or has reason to know, of (i) the existence and status of any Litigation that, if determined adversely to any Company, would be a Material Adverse Event, (ii) any change in any material fact or circumstance represented or warranted by any Restricted Company in connection with any Loan Paper, (iii) the receipt by any Company of notice of any violation or alleged violation of any Environmental Law or ERISA (which individually or collectively with other violations or allegations is reasonably likely to constitute a Material Adverse Event), (iv) a Default or Potential Default, specifying the nature thereof and what action the Restricted Companies have taken, are taking, or propose to take, (v) any breach or nonperformance of, or default under, a Material Agreement of a Restricted Company that is reasonably likely to result in a Material Adverse Event, (vi) any material change in accounting policies or financial reporting practices by any Restricted Company, (vii) the occurrence of any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ectPr>
          <w:pgSz w:w="11900" w:h="16838" w:orient="portrait"/>
          <w:cols w:equalWidth="0" w:num="1">
            <w:col w:w="11420"/>
          </w:cols>
          <w:pgMar w:left="240" w:top="798" w:right="239" w:bottom="1440" w:gutter="0" w:footer="0" w:header="0"/>
        </w:sectPr>
      </w:pPr>
    </w:p>
    <w:bookmarkStart w:id="150" w:name="page151"/>
    <w:bookmarkEnd w:id="150"/>
    <w:p>
      <w:pPr>
        <w:jc w:val="both"/>
        <w:ind w:left="4"/>
        <w:spacing w:after="0" w:line="273" w:lineRule="auto"/>
        <w:rPr>
          <w:sz w:val="20"/>
          <w:szCs w:val="20"/>
          <w:color w:val="auto"/>
        </w:rPr>
      </w:pPr>
      <w:r>
        <w:rPr>
          <w:rFonts w:ascii="Arial" w:cs="Arial" w:eastAsia="Arial" w:hAnsi="Arial"/>
          <w:sz w:val="18"/>
          <w:szCs w:val="18"/>
          <w:color w:val="auto"/>
        </w:rPr>
        <w:t>Internal Control Event, or (viii) the occurrence of any event pursuant to which any “</w:t>
      </w:r>
      <w:r>
        <w:rPr>
          <w:rFonts w:ascii="Arial" w:cs="Arial" w:eastAsia="Arial" w:hAnsi="Arial"/>
          <w:sz w:val="18"/>
          <w:szCs w:val="18"/>
          <w:i w:val="1"/>
          <w:iCs w:val="1"/>
          <w:color w:val="auto"/>
        </w:rPr>
        <w:t>person</w:t>
      </w:r>
      <w:r>
        <w:rPr>
          <w:rFonts w:ascii="Arial" w:cs="Arial" w:eastAsia="Arial" w:hAnsi="Arial"/>
          <w:sz w:val="18"/>
          <w:szCs w:val="18"/>
          <w:color w:val="auto"/>
        </w:rPr>
        <w:t>” or “</w:t>
      </w:r>
      <w:r>
        <w:rPr>
          <w:rFonts w:ascii="Arial" w:cs="Arial" w:eastAsia="Arial" w:hAnsi="Arial"/>
          <w:sz w:val="18"/>
          <w:szCs w:val="18"/>
          <w:i w:val="1"/>
          <w:iCs w:val="1"/>
          <w:color w:val="auto"/>
        </w:rPr>
        <w:t>group</w:t>
      </w:r>
      <w:r>
        <w:rPr>
          <w:rFonts w:ascii="Arial" w:cs="Arial" w:eastAsia="Arial" w:hAnsi="Arial"/>
          <w:sz w:val="18"/>
          <w:szCs w:val="18"/>
          <w:color w:val="auto"/>
        </w:rPr>
        <w:t xml:space="preserve">” (as such terms are used in </w:t>
      </w:r>
      <w:r>
        <w:rPr>
          <w:rFonts w:ascii="Arial" w:cs="Arial" w:eastAsia="Arial" w:hAnsi="Arial"/>
          <w:sz w:val="18"/>
          <w:szCs w:val="18"/>
          <w:i w:val="1"/>
          <w:iCs w:val="1"/>
          <w:color w:val="auto"/>
        </w:rPr>
        <w:t xml:space="preserve">Sections 13(d) </w:t>
      </w:r>
      <w:r>
        <w:rPr>
          <w:rFonts w:ascii="Arial" w:cs="Arial" w:eastAsia="Arial" w:hAnsi="Arial"/>
          <w:sz w:val="18"/>
          <w:szCs w:val="18"/>
          <w:color w:val="auto"/>
        </w:rPr>
        <w:t>and</w:t>
      </w:r>
      <w:r>
        <w:rPr>
          <w:rFonts w:ascii="Arial" w:cs="Arial" w:eastAsia="Arial" w:hAnsi="Arial"/>
          <w:sz w:val="18"/>
          <w:szCs w:val="18"/>
          <w:i w:val="1"/>
          <w:iCs w:val="1"/>
          <w:color w:val="auto"/>
        </w:rPr>
        <w:t xml:space="preserve"> 14(d) </w:t>
      </w:r>
      <w:r>
        <w:rPr>
          <w:rFonts w:ascii="Arial" w:cs="Arial" w:eastAsia="Arial" w:hAnsi="Arial"/>
          <w:sz w:val="18"/>
          <w:szCs w:val="18"/>
          <w:color w:val="auto"/>
        </w:rPr>
        <w:t>of the Securities Exchange Act of 1934, but excluding any employee benefit plan of such person or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and any person or entity acting in its capacity as trustee, agent, or other fiduciary or administrator of any such plan) is granted or otherwise obtains or receives the right to acquire (such right, an “</w:t>
      </w:r>
      <w:r>
        <w:rPr>
          <w:rFonts w:ascii="Arial" w:cs="Arial" w:eastAsia="Arial" w:hAnsi="Arial"/>
          <w:sz w:val="18"/>
          <w:szCs w:val="18"/>
          <w:b w:val="1"/>
          <w:bCs w:val="1"/>
          <w:i w:val="1"/>
          <w:iCs w:val="1"/>
          <w:color w:val="auto"/>
        </w:rPr>
        <w:t>option right</w:t>
      </w:r>
      <w:r>
        <w:rPr>
          <w:rFonts w:ascii="Arial" w:cs="Arial" w:eastAsia="Arial" w:hAnsi="Arial"/>
          <w:sz w:val="18"/>
          <w:szCs w:val="18"/>
          <w:color w:val="auto"/>
        </w:rPr>
        <w:t xml:space="preserve">”), whether such right is exercisable immediately or only after the passage of time, directly or indirectly, 5% or more of the equity securities of VRI entitled to vote for members of the board of directors or equivalent governing body of VRI on a fully-diluted basis (and taking into account all such securities that such person or group has the right to acquire pursuant to any option right). Each notice pursuant to </w:t>
      </w:r>
      <w:r>
        <w:rPr>
          <w:rFonts w:ascii="Arial" w:cs="Arial" w:eastAsia="Arial" w:hAnsi="Arial"/>
          <w:sz w:val="18"/>
          <w:szCs w:val="18"/>
          <w:b w:val="1"/>
          <w:bCs w:val="1"/>
          <w:i w:val="1"/>
          <w:iCs w:val="1"/>
          <w:color w:val="auto"/>
        </w:rPr>
        <w:t>Section 9.1(d)(iv)</w:t>
      </w:r>
      <w:r>
        <w:rPr>
          <w:rFonts w:ascii="Arial" w:cs="Arial" w:eastAsia="Arial" w:hAnsi="Arial"/>
          <w:sz w:val="18"/>
          <w:szCs w:val="18"/>
          <w:color w:val="auto"/>
        </w:rPr>
        <w:t xml:space="preserve"> shall describe with particularity any and all provisions of this Agreement and any other Loan Paper that have been breached.</w:t>
      </w:r>
    </w:p>
    <w:p>
      <w:pPr>
        <w:spacing w:after="0" w:line="169" w:lineRule="exact"/>
        <w:rPr>
          <w:sz w:val="20"/>
          <w:szCs w:val="20"/>
          <w:color w:val="auto"/>
        </w:rPr>
      </w:pPr>
    </w:p>
    <w:p>
      <w:pPr>
        <w:jc w:val="both"/>
        <w:ind w:left="4" w:firstLine="645"/>
        <w:spacing w:after="0" w:line="269" w:lineRule="auto"/>
        <w:tabs>
          <w:tab w:leader="none" w:pos="1131" w:val="left"/>
        </w:tabs>
        <w:numPr>
          <w:ilvl w:val="0"/>
          <w:numId w:val="124"/>
        </w:numPr>
        <w:rPr>
          <w:rFonts w:ascii="Arial" w:cs="Arial" w:eastAsia="Arial" w:hAnsi="Arial"/>
          <w:sz w:val="19"/>
          <w:szCs w:val="19"/>
          <w:color w:val="auto"/>
        </w:rPr>
      </w:pPr>
      <w:r>
        <w:rPr>
          <w:rFonts w:ascii="Arial" w:cs="Arial" w:eastAsia="Arial" w:hAnsi="Arial"/>
          <w:sz w:val="19"/>
          <w:szCs w:val="19"/>
          <w:color w:val="auto"/>
        </w:rPr>
        <w:t>Promptly after filing, copies of all material reports or filings filed by or on behalf of any Company with any securities exchange or the Securities and Exchange Commission (including, without limitation, copies of each Form 10-K, Form 10-Q, and Form S-8 filed by, or on behalf of, VRI with the Securities and Exchange Commission within 15 days after filing).</w:t>
      </w:r>
    </w:p>
    <w:p>
      <w:pPr>
        <w:spacing w:after="0" w:line="170" w:lineRule="exact"/>
        <w:rPr>
          <w:rFonts w:ascii="Arial" w:cs="Arial" w:eastAsia="Arial" w:hAnsi="Arial"/>
          <w:sz w:val="19"/>
          <w:szCs w:val="19"/>
          <w:color w:val="auto"/>
        </w:rPr>
      </w:pPr>
    </w:p>
    <w:p>
      <w:pPr>
        <w:jc w:val="both"/>
        <w:ind w:left="4" w:firstLine="645"/>
        <w:spacing w:after="0" w:line="270" w:lineRule="auto"/>
        <w:tabs>
          <w:tab w:leader="none" w:pos="119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Documents required to be delivered pursuant to </w:t>
      </w:r>
      <w:r>
        <w:rPr>
          <w:rFonts w:ascii="Arial" w:cs="Arial" w:eastAsia="Arial" w:hAnsi="Arial"/>
          <w:sz w:val="18"/>
          <w:szCs w:val="18"/>
          <w:b w:val="1"/>
          <w:bCs w:val="1"/>
          <w:i w:val="1"/>
          <w:iCs w:val="1"/>
          <w:color w:val="auto"/>
        </w:rPr>
        <w:t>Section 9.1(a)</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(b)</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Section 9.1(e)</w:t>
      </w:r>
      <w:r>
        <w:rPr>
          <w:rFonts w:ascii="Arial" w:cs="Arial" w:eastAsia="Arial" w:hAnsi="Arial"/>
          <w:sz w:val="18"/>
          <w:szCs w:val="18"/>
          <w:color w:val="auto"/>
        </w:rPr>
        <w:t xml:space="preserve"> (to the extent any such documents are included in materials otherwise filed with the SEC) may be delivered electronically and if so delivered, shall be deemed to have been delivered on the date (i) on which Borrower posts such documents, or provides a link thereto on Borrower’s website on the Internet at the website address listed on </w:t>
      </w:r>
      <w:r>
        <w:rPr>
          <w:rFonts w:ascii="Arial" w:cs="Arial" w:eastAsia="Arial" w:hAnsi="Arial"/>
          <w:sz w:val="18"/>
          <w:szCs w:val="18"/>
          <w:b w:val="1"/>
          <w:bCs w:val="1"/>
          <w:i w:val="1"/>
          <w:iCs w:val="1"/>
          <w:color w:val="auto"/>
        </w:rPr>
        <w:t>Schedule 1</w:t>
      </w:r>
      <w:r>
        <w:rPr>
          <w:rFonts w:ascii="Arial" w:cs="Arial" w:eastAsia="Arial" w:hAnsi="Arial"/>
          <w:sz w:val="18"/>
          <w:szCs w:val="18"/>
          <w:i w:val="1"/>
          <w:iCs w:val="1"/>
          <w:color w:val="auto"/>
        </w:rPr>
        <w:t>,</w:t>
      </w:r>
      <w:r>
        <w:rPr>
          <w:rFonts w:ascii="Arial" w:cs="Arial" w:eastAsia="Arial" w:hAnsi="Arial"/>
          <w:sz w:val="18"/>
          <w:szCs w:val="18"/>
          <w:color w:val="auto"/>
        </w:rPr>
        <w:t xml:space="preserve"> or (ii) on which such documents are posted on Borrower’s behalf on an Internet or intranet website, if any, to which each Lender and Administrative Agent have access (whether a commercial, third-party website or whether sponsored by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 Borrower shall deliver paper copies of such documents to Administrative Agent or any Lender that requests Borrower to deliver such paper copies until a written request to cease delivering paper copies is given by Administrative Agent or such Lender, and (y) Borrower shall notify Administrative Agent and each Lender (by telecopier or electronic mail) of the posting of any such documents and provide to Administrative Agent by electronic mail electronic versions (</w:t>
      </w:r>
      <w:r>
        <w:rPr>
          <w:rFonts w:ascii="Arial" w:cs="Arial" w:eastAsia="Arial" w:hAnsi="Arial"/>
          <w:sz w:val="18"/>
          <w:szCs w:val="18"/>
          <w:i w:val="1"/>
          <w:iCs w:val="1"/>
          <w:color w:val="auto"/>
        </w:rPr>
        <w:t>i.e.</w:t>
      </w:r>
      <w:r>
        <w:rPr>
          <w:rFonts w:ascii="Arial" w:cs="Arial" w:eastAsia="Arial" w:hAnsi="Arial"/>
          <w:sz w:val="18"/>
          <w:szCs w:val="18"/>
          <w:color w:val="auto"/>
        </w:rPr>
        <w:t xml:space="preserve">, soft copies) of such documents. Notwithstanding anything contained herein, in every instance Borrower shall be required to provide paper copies of the Compliance Certificates required by </w:t>
      </w:r>
      <w:r>
        <w:rPr>
          <w:rFonts w:ascii="Arial" w:cs="Arial" w:eastAsia="Arial" w:hAnsi="Arial"/>
          <w:sz w:val="18"/>
          <w:szCs w:val="18"/>
          <w:b w:val="1"/>
          <w:bCs w:val="1"/>
          <w:i w:val="1"/>
          <w:iCs w:val="1"/>
          <w:color w:val="auto"/>
        </w:rPr>
        <w:t>Section 9.1(a)</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(b)</w:t>
      </w:r>
      <w:r>
        <w:rPr>
          <w:rFonts w:ascii="Arial" w:cs="Arial" w:eastAsia="Arial" w:hAnsi="Arial"/>
          <w:sz w:val="18"/>
          <w:szCs w:val="18"/>
          <w:color w:val="auto"/>
        </w:rPr>
        <w:t xml:space="preserve"> to Administrative Agent. Except for such Compliance Certificates, Administrative Agent shall have no obligation to request the delivery or to maintain copies of the documents referred to above, and in any event shall have no responsibility to monitor compliance by Borrower with any such request for delivery, and each Lender shall be solely responsible for requesting delivery to it or maintaining its copies of such documents.</w:t>
      </w:r>
    </w:p>
    <w:p>
      <w:pPr>
        <w:spacing w:after="0" w:line="170" w:lineRule="exact"/>
        <w:rPr>
          <w:sz w:val="20"/>
          <w:szCs w:val="20"/>
          <w:color w:val="auto"/>
        </w:rPr>
      </w:pPr>
    </w:p>
    <w:p>
      <w:pPr>
        <w:jc w:val="both"/>
        <w:ind w:left="4" w:firstLine="648"/>
        <w:spacing w:after="0" w:line="272" w:lineRule="auto"/>
        <w:rPr>
          <w:sz w:val="20"/>
          <w:szCs w:val="20"/>
          <w:color w:val="auto"/>
        </w:rPr>
      </w:pPr>
      <w:r>
        <w:rPr>
          <w:rFonts w:ascii="Arial" w:cs="Arial" w:eastAsia="Arial" w:hAnsi="Arial"/>
          <w:sz w:val="18"/>
          <w:szCs w:val="18"/>
          <w:color w:val="auto"/>
        </w:rPr>
        <w:t>Borrower hereby acknowledges that (a) Administrative Agent may, but shall not be obligated to, make available to Lenders and L/C Issuers materials and/or information provided by or on behalf of Borrower hereunder (collectively, “</w:t>
      </w:r>
      <w:r>
        <w:rPr>
          <w:rFonts w:ascii="Arial" w:cs="Arial" w:eastAsia="Arial" w:hAnsi="Arial"/>
          <w:sz w:val="18"/>
          <w:szCs w:val="18"/>
          <w:b w:val="1"/>
          <w:bCs w:val="1"/>
          <w:i w:val="1"/>
          <w:iCs w:val="1"/>
          <w:color w:val="auto"/>
        </w:rPr>
        <w:t>Borrower Materials</w:t>
      </w:r>
      <w:r>
        <w:rPr>
          <w:rFonts w:ascii="Arial" w:cs="Arial" w:eastAsia="Arial" w:hAnsi="Arial"/>
          <w:sz w:val="18"/>
          <w:szCs w:val="18"/>
          <w:color w:val="auto"/>
        </w:rPr>
        <w:t>”) by posting Borrower Materials on DebtDomain, IntraLinks, SyndTrak or another similar electronic system (the “</w:t>
      </w:r>
      <w:r>
        <w:rPr>
          <w:rFonts w:ascii="Arial" w:cs="Arial" w:eastAsia="Arial" w:hAnsi="Arial"/>
          <w:sz w:val="18"/>
          <w:szCs w:val="18"/>
          <w:b w:val="1"/>
          <w:bCs w:val="1"/>
          <w:i w:val="1"/>
          <w:iCs w:val="1"/>
          <w:color w:val="auto"/>
        </w:rPr>
        <w:t>Platform</w:t>
      </w:r>
      <w:r>
        <w:rPr>
          <w:rFonts w:ascii="Arial" w:cs="Arial" w:eastAsia="Arial" w:hAnsi="Arial"/>
          <w:sz w:val="18"/>
          <w:szCs w:val="18"/>
          <w:color w:val="auto"/>
        </w:rPr>
        <w:t>”), and</w:t>
      </w:r>
    </w:p>
    <w:p>
      <w:pPr>
        <w:spacing w:after="0" w:line="1" w:lineRule="exact"/>
        <w:rPr>
          <w:sz w:val="20"/>
          <w:szCs w:val="20"/>
          <w:color w:val="auto"/>
        </w:rPr>
      </w:pPr>
    </w:p>
    <w:p>
      <w:pPr>
        <w:jc w:val="both"/>
        <w:ind w:left="4" w:hanging="4"/>
        <w:spacing w:after="0" w:line="272" w:lineRule="auto"/>
        <w:tabs>
          <w:tab w:leader="none" w:pos="29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certain of the Lenders (each, a “</w:t>
      </w:r>
      <w:r>
        <w:rPr>
          <w:rFonts w:ascii="Arial" w:cs="Arial" w:eastAsia="Arial" w:hAnsi="Arial"/>
          <w:sz w:val="18"/>
          <w:szCs w:val="18"/>
          <w:b w:val="1"/>
          <w:bCs w:val="1"/>
          <w:i w:val="1"/>
          <w:iCs w:val="1"/>
          <w:color w:val="auto"/>
        </w:rPr>
        <w:t>Public Lender</w:t>
      </w:r>
      <w:r>
        <w:rPr>
          <w:rFonts w:ascii="Arial" w:cs="Arial" w:eastAsia="Arial" w:hAnsi="Arial"/>
          <w:sz w:val="18"/>
          <w:szCs w:val="18"/>
          <w:color w:val="auto"/>
        </w:rPr>
        <w:t>”) may have personnel who do not wish to receive material non-public information with respect to Borrower or its Affiliates, or the respective securities of any of the foregoing, and who may be engaged in investment and other market-related activities with respect to such Persons’ securities. Borrower hereby agrees that (w) all Borrower Materials that are to be made available to Public Lenders shall be clearly and conspicuously marked “</w:t>
      </w:r>
      <w:r>
        <w:rPr>
          <w:rFonts w:ascii="Arial" w:cs="Arial" w:eastAsia="Arial" w:hAnsi="Arial"/>
          <w:sz w:val="18"/>
          <w:szCs w:val="18"/>
          <w:i w:val="1"/>
          <w:iCs w:val="1"/>
          <w:color w:val="auto"/>
        </w:rPr>
        <w:t>PUBLIC</w:t>
      </w:r>
      <w:r>
        <w:rPr>
          <w:rFonts w:ascii="Arial" w:cs="Arial" w:eastAsia="Arial" w:hAnsi="Arial"/>
          <w:sz w:val="18"/>
          <w:szCs w:val="18"/>
          <w:color w:val="auto"/>
        </w:rPr>
        <w:t>” which, at a minimum, shall mean that the word “</w:t>
      </w:r>
      <w:r>
        <w:rPr>
          <w:rFonts w:ascii="Arial" w:cs="Arial" w:eastAsia="Arial" w:hAnsi="Arial"/>
          <w:sz w:val="18"/>
          <w:szCs w:val="18"/>
          <w:i w:val="1"/>
          <w:iCs w:val="1"/>
          <w:color w:val="auto"/>
        </w:rPr>
        <w:t>PUBLIC</w:t>
      </w:r>
      <w:r>
        <w:rPr>
          <w:rFonts w:ascii="Arial" w:cs="Arial" w:eastAsia="Arial" w:hAnsi="Arial"/>
          <w:sz w:val="18"/>
          <w:szCs w:val="18"/>
          <w:color w:val="auto"/>
        </w:rPr>
        <w:t>” shall appear prominently on the first page thereof; (x) by marking Borrower Materials “</w:t>
      </w:r>
      <w:r>
        <w:rPr>
          <w:rFonts w:ascii="Arial" w:cs="Arial" w:eastAsia="Arial" w:hAnsi="Arial"/>
          <w:sz w:val="18"/>
          <w:szCs w:val="18"/>
          <w:i w:val="1"/>
          <w:iCs w:val="1"/>
          <w:color w:val="auto"/>
        </w:rPr>
        <w:t>PUBLIC</w:t>
      </w:r>
      <w:r>
        <w:rPr>
          <w:rFonts w:ascii="Arial" w:cs="Arial" w:eastAsia="Arial" w:hAnsi="Arial"/>
          <w:sz w:val="18"/>
          <w:szCs w:val="18"/>
          <w:color w:val="auto"/>
        </w:rPr>
        <w:t>,” Borrower shall be deemed to have authorized Administrative Agent, Joint Lead Arrangers, the L/C Issuers and the Lenders to treat such</w:t>
      </w:r>
    </w:p>
    <w:p>
      <w:pPr>
        <w:spacing w:after="0" w:line="200" w:lineRule="exact"/>
        <w:rPr>
          <w:sz w:val="20"/>
          <w:szCs w:val="20"/>
          <w:color w:val="auto"/>
        </w:rPr>
      </w:pPr>
    </w:p>
    <w:p>
      <w:pPr>
        <w:spacing w:after="0" w:line="213" w:lineRule="exact"/>
        <w:rPr>
          <w:sz w:val="20"/>
          <w:szCs w:val="20"/>
          <w:color w:val="auto"/>
        </w:rPr>
      </w:pPr>
    </w:p>
    <w:p>
      <w:pPr>
        <w:ind w:left="4964"/>
        <w:spacing w:after="0"/>
        <w:rPr>
          <w:sz w:val="20"/>
          <w:szCs w:val="20"/>
          <w:color w:val="auto"/>
        </w:rPr>
      </w:pPr>
      <w:r>
        <w:rPr>
          <w:rFonts w:ascii="Arial" w:cs="Arial" w:eastAsia="Arial" w:hAnsi="Arial"/>
          <w:sz w:val="20"/>
          <w:szCs w:val="20"/>
          <w:color w:val="auto"/>
        </w:rPr>
        <w:t>87</w:t>
      </w:r>
    </w:p>
    <w:p>
      <w:pPr>
        <w:sectPr>
          <w:pgSz w:w="11900" w:h="16838" w:orient="portrait"/>
          <w:cols w:equalWidth="0" w:num="1">
            <w:col w:w="10764"/>
          </w:cols>
          <w:pgMar w:left="896" w:top="582" w:right="239" w:bottom="1440" w:gutter="0" w:footer="0" w:header="0"/>
        </w:sectPr>
      </w:pPr>
    </w:p>
    <w:bookmarkStart w:id="151" w:name="page152"/>
    <w:bookmarkEnd w:id="151"/>
    <w:p>
      <w:pPr>
        <w:jc w:val="both"/>
        <w:ind w:left="660"/>
        <w:spacing w:after="0" w:line="243" w:lineRule="auto"/>
        <w:rPr>
          <w:sz w:val="20"/>
          <w:szCs w:val="20"/>
          <w:color w:val="auto"/>
        </w:rPr>
      </w:pPr>
      <w:r>
        <w:rPr>
          <w:rFonts w:ascii="Arial" w:cs="Arial" w:eastAsia="Arial" w:hAnsi="Arial"/>
          <w:sz w:val="20"/>
          <w:szCs w:val="20"/>
          <w:color w:val="auto"/>
        </w:rPr>
        <w:t>Borrower Materials as not containing any material non-public information with respect to Borrower or its securities for purposes of United States Federal and state securities laws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xml:space="preserve">, that to the extent such Borrower Materials constitute Information, they shall be treated as set forth in </w:t>
      </w:r>
      <w:r>
        <w:rPr>
          <w:rFonts w:ascii="Arial" w:cs="Arial" w:eastAsia="Arial" w:hAnsi="Arial"/>
          <w:sz w:val="20"/>
          <w:szCs w:val="20"/>
          <w:b w:val="1"/>
          <w:bCs w:val="1"/>
          <w:i w:val="1"/>
          <w:iCs w:val="1"/>
          <w:color w:val="auto"/>
        </w:rPr>
        <w:t>Section 15.15</w:t>
      </w:r>
      <w:r>
        <w:rPr>
          <w:rFonts w:ascii="Arial" w:cs="Arial" w:eastAsia="Arial" w:hAnsi="Arial"/>
          <w:sz w:val="20"/>
          <w:szCs w:val="20"/>
          <w:color w:val="auto"/>
        </w:rPr>
        <w:t>); (y) all Borrower Materials marked “</w:t>
      </w:r>
      <w:r>
        <w:rPr>
          <w:rFonts w:ascii="Arial" w:cs="Arial" w:eastAsia="Arial" w:hAnsi="Arial"/>
          <w:sz w:val="20"/>
          <w:szCs w:val="20"/>
          <w:i w:val="1"/>
          <w:iCs w:val="1"/>
          <w:color w:val="auto"/>
        </w:rPr>
        <w:t>PUBLIC</w:t>
      </w:r>
      <w:r>
        <w:rPr>
          <w:rFonts w:ascii="Arial" w:cs="Arial" w:eastAsia="Arial" w:hAnsi="Arial"/>
          <w:sz w:val="20"/>
          <w:szCs w:val="20"/>
          <w:color w:val="auto"/>
        </w:rPr>
        <w:t>” are permitted to be made available through a portion of the Platform designated “</w:t>
      </w:r>
      <w:r>
        <w:rPr>
          <w:rFonts w:ascii="Arial" w:cs="Arial" w:eastAsia="Arial" w:hAnsi="Arial"/>
          <w:sz w:val="20"/>
          <w:szCs w:val="20"/>
          <w:i w:val="1"/>
          <w:iCs w:val="1"/>
          <w:color w:val="auto"/>
        </w:rPr>
        <w:t>Public Side Information</w:t>
      </w:r>
      <w:r>
        <w:rPr>
          <w:rFonts w:ascii="Arial" w:cs="Arial" w:eastAsia="Arial" w:hAnsi="Arial"/>
          <w:sz w:val="20"/>
          <w:szCs w:val="20"/>
          <w:color w:val="auto"/>
        </w:rPr>
        <w:t>;” and (z) Administrative Agent and Joint Lead Arrangers shall be entitled to treat any Borrower Materials that are not marked “</w:t>
      </w:r>
      <w:r>
        <w:rPr>
          <w:rFonts w:ascii="Arial" w:cs="Arial" w:eastAsia="Arial" w:hAnsi="Arial"/>
          <w:sz w:val="20"/>
          <w:szCs w:val="20"/>
          <w:i w:val="1"/>
          <w:iCs w:val="1"/>
          <w:color w:val="auto"/>
        </w:rPr>
        <w:t>PUBLIC</w:t>
      </w:r>
      <w:r>
        <w:rPr>
          <w:rFonts w:ascii="Arial" w:cs="Arial" w:eastAsia="Arial" w:hAnsi="Arial"/>
          <w:sz w:val="20"/>
          <w:szCs w:val="20"/>
          <w:color w:val="auto"/>
        </w:rPr>
        <w:t>” as being suitable only for posting on a portion of the Platform not designated “</w:t>
      </w:r>
      <w:r>
        <w:rPr>
          <w:rFonts w:ascii="Arial" w:cs="Arial" w:eastAsia="Arial" w:hAnsi="Arial"/>
          <w:sz w:val="20"/>
          <w:szCs w:val="20"/>
          <w:i w:val="1"/>
          <w:iCs w:val="1"/>
          <w:color w:val="auto"/>
        </w:rPr>
        <w:t>Public Side Information</w:t>
      </w:r>
      <w:r>
        <w:rPr>
          <w:rFonts w:ascii="Arial" w:cs="Arial" w:eastAsia="Arial" w:hAnsi="Arial"/>
          <w:sz w:val="20"/>
          <w:szCs w:val="20"/>
          <w:color w:val="auto"/>
        </w:rPr>
        <w:t>.”</w:t>
      </w:r>
    </w:p>
    <w:p>
      <w:pPr>
        <w:spacing w:after="0" w:line="197" w:lineRule="exact"/>
        <w:rPr>
          <w:sz w:val="20"/>
          <w:szCs w:val="20"/>
          <w:color w:val="auto"/>
        </w:rPr>
      </w:pPr>
    </w:p>
    <w:p>
      <w:pPr>
        <w:jc w:val="both"/>
        <w:ind w:left="660" w:firstLine="645"/>
        <w:spacing w:after="0" w:line="282" w:lineRule="auto"/>
        <w:tabs>
          <w:tab w:leader="none" w:pos="177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Subject to the confidentiality provisions set forth in </w:t>
      </w:r>
      <w:r>
        <w:rPr>
          <w:rFonts w:ascii="Arial" w:cs="Arial" w:eastAsia="Arial" w:hAnsi="Arial"/>
          <w:sz w:val="18"/>
          <w:szCs w:val="18"/>
          <w:b w:val="1"/>
          <w:bCs w:val="1"/>
          <w:i w:val="1"/>
          <w:iCs w:val="1"/>
          <w:color w:val="auto"/>
        </w:rPr>
        <w:t>Section 15.15</w:t>
      </w:r>
      <w:r>
        <w:rPr>
          <w:rFonts w:ascii="Arial" w:cs="Arial" w:eastAsia="Arial" w:hAnsi="Arial"/>
          <w:sz w:val="18"/>
          <w:szCs w:val="18"/>
          <w:color w:val="auto"/>
        </w:rPr>
        <w:t>, promptly upon reasonable request by Administrative Agent or any Lender (through Administrative Agent), information (not otherwise required to be furnished under the Loan Papers) respecting the business affairs, assets, and liabilities of the Companies (including, but not limited to, seasonal operating statistics, annual budgets, etc.) and opinions, certifications, and documents in addition to those mentioned in this Agreement.</w:t>
      </w:r>
    </w:p>
    <w:p>
      <w:pPr>
        <w:spacing w:after="0" w:line="161" w:lineRule="exact"/>
        <w:rPr>
          <w:rFonts w:ascii="Arial" w:cs="Arial" w:eastAsia="Arial" w:hAnsi="Arial"/>
          <w:sz w:val="18"/>
          <w:szCs w:val="18"/>
          <w:color w:val="auto"/>
        </w:rPr>
      </w:pPr>
    </w:p>
    <w:p>
      <w:pPr>
        <w:jc w:val="both"/>
        <w:ind w:left="660" w:firstLine="645"/>
        <w:spacing w:after="0" w:line="250" w:lineRule="auto"/>
        <w:tabs>
          <w:tab w:leader="none" w:pos="1733" w:val="left"/>
        </w:tabs>
        <w:numPr>
          <w:ilvl w:val="0"/>
          <w:numId w:val="126"/>
        </w:numPr>
        <w:rPr>
          <w:rFonts w:ascii="Arial" w:cs="Arial" w:eastAsia="Arial" w:hAnsi="Arial"/>
          <w:sz w:val="20"/>
          <w:szCs w:val="20"/>
          <w:color w:val="auto"/>
        </w:rPr>
      </w:pPr>
      <w:r>
        <w:rPr>
          <w:rFonts w:ascii="Arial" w:cs="Arial" w:eastAsia="Arial" w:hAnsi="Arial"/>
          <w:sz w:val="20"/>
          <w:szCs w:val="20"/>
          <w:color w:val="auto"/>
        </w:rPr>
        <w:t xml:space="preserve">With respect to the post-closing items set forth on </w:t>
      </w:r>
      <w:r>
        <w:rPr>
          <w:rFonts w:ascii="Arial" w:cs="Arial" w:eastAsia="Arial" w:hAnsi="Arial"/>
          <w:sz w:val="20"/>
          <w:szCs w:val="20"/>
          <w:b w:val="1"/>
          <w:bCs w:val="1"/>
          <w:i w:val="1"/>
          <w:iCs w:val="1"/>
          <w:color w:val="auto"/>
        </w:rPr>
        <w:t>Schedule 7.1</w:t>
      </w:r>
      <w:r>
        <w:rPr>
          <w:rFonts w:ascii="Arial" w:cs="Arial" w:eastAsia="Arial" w:hAnsi="Arial"/>
          <w:sz w:val="20"/>
          <w:szCs w:val="20"/>
          <w:color w:val="auto"/>
        </w:rPr>
        <w:t xml:space="preserve">, if any, deliver, or cause to be delivered, to Administrative Agent, all agreements, documents, instruments, or other items listed on </w:t>
      </w:r>
      <w:r>
        <w:rPr>
          <w:rFonts w:ascii="Arial" w:cs="Arial" w:eastAsia="Arial" w:hAnsi="Arial"/>
          <w:sz w:val="20"/>
          <w:szCs w:val="20"/>
          <w:b w:val="1"/>
          <w:bCs w:val="1"/>
          <w:i w:val="1"/>
          <w:iCs w:val="1"/>
          <w:color w:val="auto"/>
        </w:rPr>
        <w:t>Schedule 7.1</w:t>
      </w:r>
      <w:r>
        <w:rPr>
          <w:rFonts w:ascii="Arial" w:cs="Arial" w:eastAsia="Arial" w:hAnsi="Arial"/>
          <w:sz w:val="20"/>
          <w:szCs w:val="20"/>
          <w:color w:val="auto"/>
        </w:rPr>
        <w:t xml:space="preserve"> on or prior to the date specified for delivery thereof on </w:t>
      </w:r>
      <w:r>
        <w:rPr>
          <w:rFonts w:ascii="Arial" w:cs="Arial" w:eastAsia="Arial" w:hAnsi="Arial"/>
          <w:sz w:val="20"/>
          <w:szCs w:val="20"/>
          <w:b w:val="1"/>
          <w:bCs w:val="1"/>
          <w:i w:val="1"/>
          <w:iCs w:val="1"/>
          <w:color w:val="auto"/>
        </w:rPr>
        <w:t>Schedule 7.1</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jc w:val="both"/>
        <w:ind w:left="660" w:firstLine="645"/>
        <w:spacing w:after="0" w:line="250" w:lineRule="auto"/>
        <w:tabs>
          <w:tab w:leader="none" w:pos="1953" w:val="left"/>
        </w:tabs>
        <w:numPr>
          <w:ilvl w:val="0"/>
          <w:numId w:val="126"/>
        </w:numPr>
        <w:rPr>
          <w:rFonts w:ascii="Arial" w:cs="Arial" w:eastAsia="Arial" w:hAnsi="Arial"/>
          <w:sz w:val="20"/>
          <w:szCs w:val="20"/>
          <w:color w:val="auto"/>
        </w:rPr>
      </w:pPr>
      <w:r>
        <w:rPr>
          <w:rFonts w:ascii="Arial" w:cs="Arial" w:eastAsia="Arial" w:hAnsi="Arial"/>
          <w:sz w:val="20"/>
          <w:szCs w:val="20"/>
          <w:color w:val="auto"/>
        </w:rPr>
        <w:t>Promptly following any request therefor, provide information and documentation reasonably requested by the Administrative Agent or any Lender for purposes of compliance with applicable “know your customer” and anti-money-laundering rules and regulations, including, without limitation, the Act and the Beneficial Ownership Regulation.</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u w:val="single" w:color="auto"/>
          <w:color w:val="auto"/>
        </w:rPr>
        <w:t>Use of Proceeds</w:t>
      </w:r>
      <w:r>
        <w:rPr>
          <w:rFonts w:ascii="Arial" w:cs="Arial" w:eastAsia="Arial" w:hAnsi="Arial"/>
          <w:sz w:val="20"/>
          <w:szCs w:val="20"/>
          <w:color w:val="auto"/>
        </w:rPr>
        <w:t xml:space="preserve">. Borrower will use all of the proceeds of (a) Revolving Loans, L/Cs, and L/C Borrowings for working capital, to make advances and other investments permitted by </w:t>
      </w:r>
      <w:r>
        <w:rPr>
          <w:rFonts w:ascii="Arial" w:cs="Arial" w:eastAsia="Arial" w:hAnsi="Arial"/>
          <w:sz w:val="20"/>
          <w:szCs w:val="20"/>
          <w:b w:val="1"/>
          <w:bCs w:val="1"/>
          <w:i w:val="1"/>
          <w:iCs w:val="1"/>
          <w:color w:val="auto"/>
        </w:rPr>
        <w:t>Section 10.8</w:t>
      </w:r>
      <w:r>
        <w:rPr>
          <w:rFonts w:ascii="Arial" w:cs="Arial" w:eastAsia="Arial" w:hAnsi="Arial"/>
          <w:sz w:val="20"/>
          <w:szCs w:val="20"/>
          <w:color w:val="auto"/>
        </w:rPr>
        <w:t xml:space="preserve">, to make acquisitions permitted under </w:t>
      </w:r>
      <w:r>
        <w:rPr>
          <w:rFonts w:ascii="Arial" w:cs="Arial" w:eastAsia="Arial" w:hAnsi="Arial"/>
          <w:sz w:val="20"/>
          <w:szCs w:val="20"/>
          <w:b w:val="1"/>
          <w:bCs w:val="1"/>
          <w:i w:val="1"/>
          <w:iCs w:val="1"/>
          <w:color w:val="auto"/>
        </w:rPr>
        <w:t>Section 10.11</w:t>
      </w:r>
      <w:r>
        <w:rPr>
          <w:rFonts w:ascii="Arial" w:cs="Arial" w:eastAsia="Arial" w:hAnsi="Arial"/>
          <w:sz w:val="20"/>
          <w:szCs w:val="20"/>
          <w:color w:val="auto"/>
        </w:rPr>
        <w:t xml:space="preserve">, to make capital expenditures permitted under </w:t>
      </w:r>
      <w:r>
        <w:rPr>
          <w:rFonts w:ascii="Arial" w:cs="Arial" w:eastAsia="Arial" w:hAnsi="Arial"/>
          <w:sz w:val="20"/>
          <w:szCs w:val="20"/>
          <w:b w:val="1"/>
          <w:bCs w:val="1"/>
          <w:i w:val="1"/>
          <w:iCs w:val="1"/>
          <w:color w:val="auto"/>
        </w:rPr>
        <w:t>Section 10.18</w:t>
      </w:r>
      <w:r>
        <w:rPr>
          <w:rFonts w:ascii="Arial" w:cs="Arial" w:eastAsia="Arial" w:hAnsi="Arial"/>
          <w:sz w:val="20"/>
          <w:szCs w:val="20"/>
          <w:color w:val="auto"/>
        </w:rPr>
        <w:t xml:space="preserve">, and for other general corporate purposes, and (b) Term Loans to redeem the 2019 VRI Subordinated Notes and the Vail Bonds and to consummate the Whistler Acquisition and the 2018 Acquisitions. No part of the proceeds of any L/C draft or drawing, any L/C Borrowing, or any Loan will be used, directly or indirectly, for a purpose that violates any Law, including without limitation, the provisions of </w:t>
      </w:r>
      <w:r>
        <w:rPr>
          <w:rFonts w:ascii="Arial" w:cs="Arial" w:eastAsia="Arial" w:hAnsi="Arial"/>
          <w:sz w:val="20"/>
          <w:szCs w:val="20"/>
          <w:i w:val="1"/>
          <w:iCs w:val="1"/>
          <w:color w:val="auto"/>
        </w:rPr>
        <w:t>Regulation U</w:t>
      </w:r>
      <w:r>
        <w:rPr>
          <w:rFonts w:ascii="Arial" w:cs="Arial" w:eastAsia="Arial" w:hAnsi="Arial"/>
          <w:sz w:val="20"/>
          <w:szCs w:val="20"/>
          <w:color w:val="auto"/>
        </w:rPr>
        <w:t>.</w:t>
      </w:r>
    </w:p>
    <w:p>
      <w:pPr>
        <w:spacing w:after="0" w:line="200" w:lineRule="exact"/>
        <w:rPr>
          <w:sz w:val="20"/>
          <w:szCs w:val="20"/>
          <w:color w:val="auto"/>
        </w:rPr>
      </w:pP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u w:val="single" w:color="auto"/>
          <w:color w:val="auto"/>
        </w:rPr>
        <w:t>Books and Records</w:t>
      </w:r>
      <w:r>
        <w:rPr>
          <w:rFonts w:ascii="Arial" w:cs="Arial" w:eastAsia="Arial" w:hAnsi="Arial"/>
          <w:sz w:val="20"/>
          <w:szCs w:val="20"/>
          <w:color w:val="auto"/>
        </w:rPr>
        <w:t>. Each Company will maintain books, records, and accounts necessary to prepare financial statements in accordance with GAAP and in material conformity with all applicable requirements of any Governmental Authority having regulatory jurisdiction over such Company.</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u w:val="single" w:color="auto"/>
          <w:color w:val="auto"/>
        </w:rPr>
        <w:t>Inspections</w:t>
      </w:r>
      <w:r>
        <w:rPr>
          <w:rFonts w:ascii="Arial" w:cs="Arial" w:eastAsia="Arial" w:hAnsi="Arial"/>
          <w:sz w:val="19"/>
          <w:szCs w:val="19"/>
          <w:color w:val="auto"/>
        </w:rPr>
        <w:t xml:space="preserve">. Upon reasonable request, and subject to the confidentiality provisions set forth in </w:t>
      </w:r>
      <w:r>
        <w:rPr>
          <w:rFonts w:ascii="Arial" w:cs="Arial" w:eastAsia="Arial" w:hAnsi="Arial"/>
          <w:sz w:val="19"/>
          <w:szCs w:val="19"/>
          <w:b w:val="1"/>
          <w:bCs w:val="1"/>
          <w:i w:val="1"/>
          <w:iCs w:val="1"/>
          <w:color w:val="auto"/>
        </w:rPr>
        <w:t>Section 15.15</w:t>
      </w:r>
      <w:r>
        <w:rPr>
          <w:rFonts w:ascii="Arial" w:cs="Arial" w:eastAsia="Arial" w:hAnsi="Arial"/>
          <w:sz w:val="19"/>
          <w:szCs w:val="19"/>
          <w:color w:val="auto"/>
        </w:rPr>
        <w:t xml:space="preserve">, each Company will allow Administrative Agent (or its Representatives) to inspect any of its properties, to review reports, files, and other records, and to make and take away copies, to conduct tests or investigations, and to discuss any of its affairs, conditions, and finances with its other creditors, directors, officers, employees, or representatives from time to time, during reasonable business hours;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when a Default exists, Administrative Agent or any Lender (or any of their respective representatives or independent contractors) may do any of the foregoing at the expense of Borrower at any time during normal business hours and with two (2) Business Days advance notice. Any of Lenders (or their Representatives) may accompany Administrative Agent during such inspections.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ectPr>
          <w:pgSz w:w="11900" w:h="16838" w:orient="portrait"/>
          <w:cols w:equalWidth="0" w:num="1">
            <w:col w:w="11420"/>
          </w:cols>
          <w:pgMar w:left="240" w:top="582" w:right="239" w:bottom="1440" w:gutter="0" w:footer="0" w:header="0"/>
        </w:sectPr>
      </w:pPr>
    </w:p>
    <w:bookmarkStart w:id="152" w:name="page153"/>
    <w:bookmarkEnd w:id="152"/>
    <w:p>
      <w:pPr>
        <w:jc w:val="both"/>
        <w:ind w:firstLine="648"/>
        <w:spacing w:after="0" w:line="246" w:lineRule="auto"/>
        <w:rPr>
          <w:sz w:val="20"/>
          <w:szCs w:val="20"/>
          <w:color w:val="auto"/>
        </w:rPr>
      </w:pPr>
      <w:r>
        <w:rPr>
          <w:rFonts w:ascii="Arial" w:cs="Arial" w:eastAsia="Arial" w:hAnsi="Arial"/>
          <w:sz w:val="20"/>
          <w:szCs w:val="20"/>
          <w:color w:val="auto"/>
        </w:rPr>
        <w:t xml:space="preserve">9.5 </w:t>
      </w:r>
      <w:r>
        <w:rPr>
          <w:rFonts w:ascii="Arial" w:cs="Arial" w:eastAsia="Arial" w:hAnsi="Arial"/>
          <w:sz w:val="20"/>
          <w:szCs w:val="20"/>
          <w:u w:val="single" w:color="auto"/>
          <w:color w:val="auto"/>
        </w:rPr>
        <w:t>Taxes</w:t>
      </w:r>
      <w:r>
        <w:rPr>
          <w:rFonts w:ascii="Arial" w:cs="Arial" w:eastAsia="Arial" w:hAnsi="Arial"/>
          <w:sz w:val="20"/>
          <w:szCs w:val="20"/>
          <w:color w:val="auto"/>
        </w:rPr>
        <w:t xml:space="preserve">. Each Restricted Company will promptly pay when due any and all Taxes,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Taxes which are being contested in good faith by lawful proceedings diligently conducted, against which reserve or other provision required by GAAP has been made;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however, that </w:t>
      </w:r>
      <w:r>
        <w:rPr>
          <w:rFonts w:ascii="Arial" w:cs="Arial" w:eastAsia="Arial" w:hAnsi="Arial"/>
          <w:sz w:val="20"/>
          <w:szCs w:val="20"/>
          <w:color w:val="auto"/>
        </w:rPr>
        <w:t>all such Taxes shall, in any event, be paid prior to any levy for execution in respect of any Lien on any property of a Restricted</w:t>
      </w:r>
      <w:r>
        <w:rPr>
          <w:rFonts w:ascii="Arial" w:cs="Arial" w:eastAsia="Arial" w:hAnsi="Arial"/>
          <w:sz w:val="20"/>
          <w:szCs w:val="20"/>
          <w:i w:val="1"/>
          <w:iCs w:val="1"/>
          <w:color w:val="auto"/>
        </w:rPr>
        <w:t xml:space="preserve"> </w:t>
      </w:r>
      <w:r>
        <w:rPr>
          <w:rFonts w:ascii="Arial" w:cs="Arial" w:eastAsia="Arial" w:hAnsi="Arial"/>
          <w:sz w:val="20"/>
          <w:szCs w:val="20"/>
          <w:color w:val="auto"/>
        </w:rPr>
        <w:t>Company.</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9.6 </w:t>
      </w:r>
      <w:r>
        <w:rPr>
          <w:rFonts w:ascii="Arial" w:cs="Arial" w:eastAsia="Arial" w:hAnsi="Arial"/>
          <w:sz w:val="20"/>
          <w:szCs w:val="20"/>
          <w:u w:val="single" w:color="auto"/>
          <w:color w:val="auto"/>
        </w:rPr>
        <w:t>Payment of Obligations</w:t>
      </w:r>
      <w:r>
        <w:rPr>
          <w:rFonts w:ascii="Arial" w:cs="Arial" w:eastAsia="Arial" w:hAnsi="Arial"/>
          <w:sz w:val="20"/>
          <w:szCs w:val="20"/>
          <w:color w:val="auto"/>
        </w:rPr>
        <w:t>. Each Company will pay (or renew and extend) all of its obligations at such times and to such extent as may be necessary to prevent a Material Adverse Event (</w:t>
      </w:r>
      <w:r>
        <w:rPr>
          <w:rFonts w:ascii="Arial" w:cs="Arial" w:eastAsia="Arial" w:hAnsi="Arial"/>
          <w:sz w:val="20"/>
          <w:szCs w:val="20"/>
          <w:i w:val="1"/>
          <w:iCs w:val="1"/>
          <w:color w:val="auto"/>
        </w:rPr>
        <w:t>except</w:t>
      </w:r>
      <w:r>
        <w:rPr>
          <w:rFonts w:ascii="Arial" w:cs="Arial" w:eastAsia="Arial" w:hAnsi="Arial"/>
          <w:sz w:val="20"/>
          <w:szCs w:val="20"/>
          <w:color w:val="auto"/>
        </w:rPr>
        <w:t xml:space="preserve"> for obligations,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Funded Debt, which are being contested in good faith by appropriate proceedings).</w:t>
      </w:r>
    </w:p>
    <w:p>
      <w:pPr>
        <w:spacing w:after="0" w:line="200" w:lineRule="exact"/>
        <w:rPr>
          <w:sz w:val="20"/>
          <w:szCs w:val="20"/>
          <w:color w:val="auto"/>
        </w:rPr>
      </w:pPr>
    </w:p>
    <w:p>
      <w:pPr>
        <w:spacing w:after="0" w:line="20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9.7</w:t>
      </w:r>
      <w:r>
        <w:rPr>
          <w:sz w:val="20"/>
          <w:szCs w:val="20"/>
          <w:color w:val="auto"/>
        </w:rPr>
        <w:tab/>
      </w:r>
      <w:r>
        <w:rPr>
          <w:rFonts w:ascii="Arial" w:cs="Arial" w:eastAsia="Arial" w:hAnsi="Arial"/>
          <w:sz w:val="16"/>
          <w:szCs w:val="16"/>
          <w:u w:val="single" w:color="auto"/>
          <w:color w:val="auto"/>
        </w:rPr>
        <w:t>Maintenance of Existence, Assets, and Business</w:t>
      </w:r>
      <w:r>
        <w:rPr>
          <w:rFonts w:ascii="Arial" w:cs="Arial" w:eastAsia="Arial" w:hAnsi="Arial"/>
          <w:sz w:val="16"/>
          <w:szCs w:val="16"/>
          <w:color w:val="auto"/>
        </w:rPr>
        <w:t>.</w:t>
      </w:r>
    </w:p>
    <w:p>
      <w:pPr>
        <w:spacing w:after="0" w:line="216" w:lineRule="exact"/>
        <w:rPr>
          <w:sz w:val="20"/>
          <w:szCs w:val="20"/>
          <w:color w:val="auto"/>
        </w:rPr>
      </w:pPr>
    </w:p>
    <w:p>
      <w:pPr>
        <w:jc w:val="both"/>
        <w:ind w:left="660" w:firstLine="645"/>
        <w:spacing w:after="0" w:line="258" w:lineRule="auto"/>
        <w:tabs>
          <w:tab w:leader="none" w:pos="1786"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Except as otherwise permitted by </w:t>
      </w:r>
      <w:r>
        <w:rPr>
          <w:rFonts w:ascii="Arial" w:cs="Arial" w:eastAsia="Arial" w:hAnsi="Arial"/>
          <w:sz w:val="19"/>
          <w:szCs w:val="19"/>
          <w:b w:val="1"/>
          <w:bCs w:val="1"/>
          <w:i w:val="1"/>
          <w:iCs w:val="1"/>
          <w:color w:val="auto"/>
        </w:rPr>
        <w:t>Section 10.11</w:t>
      </w:r>
      <w:r>
        <w:rPr>
          <w:rFonts w:ascii="Arial" w:cs="Arial" w:eastAsia="Arial" w:hAnsi="Arial"/>
          <w:sz w:val="19"/>
          <w:szCs w:val="19"/>
          <w:color w:val="auto"/>
        </w:rPr>
        <w:t>, each Company will (i) maintain its organizational existence and good standing in its state of organization and its authority to transact business in all other states where failure to maintain its authority to transact business is a Material Adverse Event; (ii) maintain all Water Rights, licenses, permits (including, without limitation, the Forest Service Permits), and franchises necessary for its business where failure to maintain is a Material Adverse Event; (iii) preserve or renew all of its Intellectual Property, the non-preservation of which could reasonably be expected to result in a Material Adverse Event; and (iv) keep all of its assets that are useful in and necessary to its business in good working order and condition (ordinary wear and tear excepted) and make all necessary repairs and replacements.</w:t>
      </w:r>
    </w:p>
    <w:p>
      <w:pPr>
        <w:spacing w:after="0" w:line="179" w:lineRule="exact"/>
        <w:rPr>
          <w:rFonts w:ascii="Arial" w:cs="Arial" w:eastAsia="Arial" w:hAnsi="Arial"/>
          <w:sz w:val="19"/>
          <w:szCs w:val="19"/>
          <w:color w:val="auto"/>
        </w:rPr>
      </w:pPr>
    </w:p>
    <w:p>
      <w:pPr>
        <w:jc w:val="both"/>
        <w:ind w:left="660" w:firstLine="645"/>
        <w:spacing w:after="0" w:line="270" w:lineRule="auto"/>
        <w:tabs>
          <w:tab w:leader="none" w:pos="176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Subject to dispositions permitted pursuant to </w:t>
      </w:r>
      <w:r>
        <w:rPr>
          <w:rFonts w:ascii="Arial" w:cs="Arial" w:eastAsia="Arial" w:hAnsi="Arial"/>
          <w:sz w:val="18"/>
          <w:szCs w:val="18"/>
          <w:b w:val="1"/>
          <w:bCs w:val="1"/>
          <w:i w:val="1"/>
          <w:iCs w:val="1"/>
          <w:color w:val="auto"/>
        </w:rPr>
        <w:t>Section 10.10</w:t>
      </w:r>
      <w:r>
        <w:rPr>
          <w:rFonts w:ascii="Arial" w:cs="Arial" w:eastAsia="Arial" w:hAnsi="Arial"/>
          <w:sz w:val="18"/>
          <w:szCs w:val="18"/>
          <w:color w:val="auto"/>
        </w:rPr>
        <w:t xml:space="preserve"> hereof, each Existing Critical Asset owned by any Company shall be owned by either a Wholly Owned Restricted Subsidiary of Borrower or a Restricted Subsidiary of Borrower, </w:t>
      </w:r>
      <w:r>
        <w:rPr>
          <w:rFonts w:ascii="Arial" w:cs="Arial" w:eastAsia="Arial" w:hAnsi="Arial"/>
          <w:sz w:val="18"/>
          <w:szCs w:val="18"/>
          <w:i w:val="1"/>
          <w:iCs w:val="1"/>
          <w:color w:val="auto"/>
        </w:rPr>
        <w:t>so long as</w:t>
      </w:r>
      <w:r>
        <w:rPr>
          <w:rFonts w:ascii="Arial" w:cs="Arial" w:eastAsia="Arial" w:hAnsi="Arial"/>
          <w:sz w:val="18"/>
          <w:szCs w:val="18"/>
          <w:color w:val="auto"/>
        </w:rPr>
        <w:t xml:space="preserve"> (i) such Restricted Subsidiary has provided a Guaranty and Pledge Agreement in accordance with the provisions set forth in </w:t>
      </w:r>
      <w:r>
        <w:rPr>
          <w:rFonts w:ascii="Arial" w:cs="Arial" w:eastAsia="Arial" w:hAnsi="Arial"/>
          <w:sz w:val="18"/>
          <w:szCs w:val="18"/>
          <w:b w:val="1"/>
          <w:bCs w:val="1"/>
          <w:i w:val="1"/>
          <w:iCs w:val="1"/>
          <w:color w:val="auto"/>
        </w:rPr>
        <w:t>Sections 6.1</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6.2</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9.10</w:t>
      </w:r>
      <w:r>
        <w:rPr>
          <w:rFonts w:ascii="Arial" w:cs="Arial" w:eastAsia="Arial" w:hAnsi="Arial"/>
          <w:sz w:val="18"/>
          <w:szCs w:val="18"/>
          <w:color w:val="auto"/>
        </w:rPr>
        <w:t>, or</w:t>
      </w:r>
      <w:r>
        <w:rPr>
          <w:rFonts w:ascii="Arial" w:cs="Arial" w:eastAsia="Arial" w:hAnsi="Arial"/>
          <w:sz w:val="18"/>
          <w:szCs w:val="18"/>
          <w:b w:val="1"/>
          <w:bCs w:val="1"/>
          <w:i w:val="1"/>
          <w:iCs w:val="1"/>
          <w:color w:val="auto"/>
        </w:rPr>
        <w:t xml:space="preserve"> 9.11 </w:t>
      </w:r>
      <w:r>
        <w:rPr>
          <w:rFonts w:ascii="Arial" w:cs="Arial" w:eastAsia="Arial" w:hAnsi="Arial"/>
          <w:sz w:val="18"/>
          <w:szCs w:val="18"/>
          <w:color w:val="auto"/>
        </w:rPr>
        <w:t>herein, as the case may be, (ii) the stock or other equity interests in such Restricted Subsidiary owned by a Restricted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Company (other than stock in the Northstar Subsidiaries and Grand Teton Lodge Company) have been pledged to Administrative Agent, for the benefit of Lenders, pursuant to a Pledge Agreement, and (iii) such Restricted Subsidiary has otherwise complied with the terms and provisions set forth in the Loan Papers, including, without limitation, </w:t>
      </w:r>
      <w:r>
        <w:rPr>
          <w:rFonts w:ascii="Arial" w:cs="Arial" w:eastAsia="Arial" w:hAnsi="Arial"/>
          <w:sz w:val="18"/>
          <w:szCs w:val="18"/>
          <w:b w:val="1"/>
          <w:bCs w:val="1"/>
          <w:i w:val="1"/>
          <w:iCs w:val="1"/>
          <w:color w:val="auto"/>
        </w:rPr>
        <w:t>Section 10.16</w:t>
      </w:r>
      <w:r>
        <w:rPr>
          <w:rFonts w:ascii="Arial" w:cs="Arial" w:eastAsia="Arial" w:hAnsi="Arial"/>
          <w:sz w:val="18"/>
          <w:szCs w:val="18"/>
          <w:color w:val="auto"/>
        </w:rPr>
        <w:t xml:space="preserve"> herein;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Unrestricted Subsidiaries may own Additional Critical Assets, </w:t>
      </w:r>
      <w:r>
        <w:rPr>
          <w:rFonts w:ascii="Arial" w:cs="Arial" w:eastAsia="Arial" w:hAnsi="Arial"/>
          <w:sz w:val="18"/>
          <w:szCs w:val="18"/>
          <w:i w:val="1"/>
          <w:iCs w:val="1"/>
          <w:color w:val="auto"/>
        </w:rPr>
        <w:t>so long as</w:t>
      </w:r>
      <w:r>
        <w:rPr>
          <w:rFonts w:ascii="Arial" w:cs="Arial" w:eastAsia="Arial" w:hAnsi="Arial"/>
          <w:sz w:val="18"/>
          <w:szCs w:val="18"/>
          <w:color w:val="auto"/>
        </w:rPr>
        <w:t xml:space="preserve"> on the date an Unrestricted Subsidiary acquires an Additional Critical Asset, (x) the EBITDA of all Unrestricted Subsidiaries holding Additional Critical Assets does not exceed 10% of Adjusted EBITDA, on a consolidated basis, for the most-recently-ended four fiscal quarters, and (y) the aggregate fair market value of such assets and all other Additional Critical Assets owned by Unrestricted Subsidiaries (in each case as determined on the applicable acquisition date, without giving subsequent effect to increases or decreases in value), does not exceed 10% of Total Assets as of the last day of the most-recently-ended fiscal quarter.</w:t>
      </w:r>
    </w:p>
    <w:p>
      <w:pPr>
        <w:spacing w:after="0" w:line="173" w:lineRule="exact"/>
        <w:rPr>
          <w:rFonts w:ascii="Arial" w:cs="Arial" w:eastAsia="Arial" w:hAnsi="Arial"/>
          <w:sz w:val="18"/>
          <w:szCs w:val="18"/>
          <w:color w:val="auto"/>
        </w:rPr>
      </w:pPr>
    </w:p>
    <w:p>
      <w:pPr>
        <w:jc w:val="both"/>
        <w:ind w:left="660" w:firstLine="645"/>
        <w:spacing w:after="0" w:line="291" w:lineRule="auto"/>
        <w:tabs>
          <w:tab w:leader="none" w:pos="172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 Restricted Company party to a Pledge Agreement will change its name in any manner (</w:t>
      </w:r>
      <w:r>
        <w:rPr>
          <w:rFonts w:ascii="Arial" w:cs="Arial" w:eastAsia="Arial" w:hAnsi="Arial"/>
          <w:sz w:val="18"/>
          <w:szCs w:val="18"/>
          <w:i w:val="1"/>
          <w:iCs w:val="1"/>
          <w:color w:val="auto"/>
        </w:rPr>
        <w:t>except</w:t>
      </w:r>
      <w:r>
        <w:rPr>
          <w:rFonts w:ascii="Arial" w:cs="Arial" w:eastAsia="Arial" w:hAnsi="Arial"/>
          <w:sz w:val="18"/>
          <w:szCs w:val="18"/>
          <w:color w:val="auto"/>
        </w:rPr>
        <w:t xml:space="preserve"> by registering additional trade names), unless such Restricted Company shall have given Administrative Agent prior notice thereof. Borrower shall promptly notify Administrative Agent of any change in name of any other Company (</w:t>
      </w:r>
      <w:r>
        <w:rPr>
          <w:rFonts w:ascii="Arial" w:cs="Arial" w:eastAsia="Arial" w:hAnsi="Arial"/>
          <w:sz w:val="18"/>
          <w:szCs w:val="18"/>
          <w:i w:val="1"/>
          <w:iCs w:val="1"/>
          <w:color w:val="auto"/>
        </w:rPr>
        <w:t>except</w:t>
      </w:r>
      <w:r>
        <w:rPr>
          <w:rFonts w:ascii="Arial" w:cs="Arial" w:eastAsia="Arial" w:hAnsi="Arial"/>
          <w:sz w:val="18"/>
          <w:szCs w:val="18"/>
          <w:color w:val="auto"/>
        </w:rPr>
        <w:t xml:space="preserve"> the registering of additional tradenames).</w:t>
      </w:r>
    </w:p>
    <w:p>
      <w:pPr>
        <w:spacing w:after="0" w:line="3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9.8 </w:t>
      </w:r>
      <w:r>
        <w:rPr>
          <w:rFonts w:ascii="Arial" w:cs="Arial" w:eastAsia="Arial" w:hAnsi="Arial"/>
          <w:sz w:val="20"/>
          <w:szCs w:val="20"/>
          <w:u w:val="single" w:color="auto"/>
          <w:color w:val="auto"/>
        </w:rPr>
        <w:t>Insurance</w:t>
      </w:r>
      <w:r>
        <w:rPr>
          <w:rFonts w:ascii="Arial" w:cs="Arial" w:eastAsia="Arial" w:hAnsi="Arial"/>
          <w:sz w:val="20"/>
          <w:szCs w:val="20"/>
          <w:color w:val="auto"/>
        </w:rPr>
        <w:t>. Each Company will maintain with financially sound, responsible, and reputable insurance companies or associations (or, as to workers’ compensation or similar insurance, with an insurance fund or by self-insurance authorized by the jurisdictions in which it operates) insurance concerning its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ectPr>
          <w:pgSz w:w="11900" w:h="16838" w:orient="portrait"/>
          <w:cols w:equalWidth="0" w:num="1">
            <w:col w:w="11420"/>
          </w:cols>
          <w:pgMar w:left="240" w:top="798" w:right="239" w:bottom="1440" w:gutter="0" w:footer="0" w:header="0"/>
        </w:sectPr>
      </w:pPr>
    </w:p>
    <w:bookmarkStart w:id="153" w:name="page154"/>
    <w:bookmarkEnd w:id="153"/>
    <w:p>
      <w:pPr>
        <w:jc w:val="both"/>
        <w:spacing w:after="0" w:line="250" w:lineRule="auto"/>
        <w:rPr>
          <w:sz w:val="20"/>
          <w:szCs w:val="20"/>
          <w:color w:val="auto"/>
        </w:rPr>
      </w:pPr>
      <w:r>
        <w:rPr>
          <w:rFonts w:ascii="Arial" w:cs="Arial" w:eastAsia="Arial" w:hAnsi="Arial"/>
          <w:sz w:val="20"/>
          <w:szCs w:val="20"/>
          <w:color w:val="auto"/>
        </w:rPr>
        <w:t>properties and businesses against casualties and contingencies and of types and in amounts (and with co-insurance and deductibles) as is customary in the case of similar businesses. At Administrative Agent’s request, each Company will deliver to Administrative Agent certificates of insurance for each policy of insurance and evidence of payment of all premiums.</w:t>
      </w:r>
    </w:p>
    <w:p>
      <w:pPr>
        <w:spacing w:after="0" w:line="18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Environmental Laws</w:t>
      </w:r>
      <w:r>
        <w:rPr>
          <w:rFonts w:ascii="Arial" w:cs="Arial" w:eastAsia="Arial" w:hAnsi="Arial"/>
          <w:sz w:val="18"/>
          <w:szCs w:val="18"/>
          <w:color w:val="auto"/>
        </w:rPr>
        <w:t xml:space="preserve">. Each Company will (a) conduct its business so as to comply in all material respects with all applicable Environmental Laws and shall promptly take required corrective action to remedy any non-compliance with any Environmental Law, </w:t>
      </w:r>
      <w:r>
        <w:rPr>
          <w:rFonts w:ascii="Arial" w:cs="Arial" w:eastAsia="Arial" w:hAnsi="Arial"/>
          <w:sz w:val="18"/>
          <w:szCs w:val="18"/>
          <w:i w:val="1"/>
          <w:iCs w:val="1"/>
          <w:color w:val="auto"/>
        </w:rPr>
        <w:t>except</w:t>
      </w:r>
      <w:r>
        <w:rPr>
          <w:rFonts w:ascii="Arial" w:cs="Arial" w:eastAsia="Arial" w:hAnsi="Arial"/>
          <w:sz w:val="18"/>
          <w:szCs w:val="18"/>
          <w:color w:val="auto"/>
        </w:rPr>
        <w:t xml:space="preserve"> where failure to comply or take action would not be a Material Adverse Event, and (b) establish and maintain a management system designed to ensure compliance with applicable Environmental Laws and minimize material financial and other risks to each Company arising under applicable Environmental Laws or as the result of environmentally related injuries to Persons or property, </w:t>
      </w:r>
      <w:r>
        <w:rPr>
          <w:rFonts w:ascii="Arial" w:cs="Arial" w:eastAsia="Arial" w:hAnsi="Arial"/>
          <w:sz w:val="18"/>
          <w:szCs w:val="18"/>
          <w:i w:val="1"/>
          <w:iCs w:val="1"/>
          <w:color w:val="auto"/>
        </w:rPr>
        <w:t>except</w:t>
      </w:r>
      <w:r>
        <w:rPr>
          <w:rFonts w:ascii="Arial" w:cs="Arial" w:eastAsia="Arial" w:hAnsi="Arial"/>
          <w:sz w:val="18"/>
          <w:szCs w:val="18"/>
          <w:color w:val="auto"/>
        </w:rPr>
        <w:t xml:space="preserve"> where failure to comply would not be a Material Adverse Event. Borrower shall deliver reasonable evidence of compliance with the foregoing covenant to Administrative Agent within 30 days after any written request from Required Lenders, which request shall be made only if Required Lenders reasonably believe that a failure to comply with the foregoing covenant would be a Material Adverse Event.</w:t>
      </w:r>
    </w:p>
    <w:p>
      <w:pPr>
        <w:spacing w:after="0" w:line="38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0"/>
          <w:szCs w:val="20"/>
          <w:color w:val="auto"/>
        </w:rPr>
        <w:t>9.10</w:t>
      </w:r>
      <w:r>
        <w:rPr>
          <w:sz w:val="20"/>
          <w:szCs w:val="20"/>
          <w:color w:val="auto"/>
        </w:rPr>
        <w:tab/>
      </w:r>
      <w:r>
        <w:rPr>
          <w:rFonts w:ascii="Arial" w:cs="Arial" w:eastAsia="Arial" w:hAnsi="Arial"/>
          <w:sz w:val="18"/>
          <w:szCs w:val="18"/>
          <w:u w:val="single" w:color="auto"/>
          <w:color w:val="auto"/>
        </w:rPr>
        <w:t>Subsidiaries</w:t>
      </w:r>
      <w:r>
        <w:rPr>
          <w:rFonts w:ascii="Arial" w:cs="Arial" w:eastAsia="Arial" w:hAnsi="Arial"/>
          <w:sz w:val="18"/>
          <w:szCs w:val="18"/>
          <w:color w:val="auto"/>
        </w:rPr>
        <w:t>. The Companies may create or acquire additional Subsidiaries (including Unrestricted Subsidiaries);</w:t>
      </w:r>
      <w:r>
        <w:rPr>
          <w:rFonts w:ascii="Arial" w:cs="Arial" w:eastAsia="Arial" w:hAnsi="Arial"/>
          <w:sz w:val="18"/>
          <w:szCs w:val="18"/>
          <w:u w:val="single" w:color="auto"/>
          <w:color w:val="auto"/>
        </w:rPr>
        <w:t xml:space="preserve"> </w:t>
      </w:r>
      <w:r>
        <w:rPr>
          <w:rFonts w:ascii="Arial" w:cs="Arial" w:eastAsia="Arial" w:hAnsi="Arial"/>
          <w:sz w:val="18"/>
          <w:szCs w:val="18"/>
          <w:i w:val="1"/>
          <w:iCs w:val="1"/>
          <w:color w:val="auto"/>
        </w:rPr>
        <w:t>provided that</w:t>
      </w:r>
    </w:p>
    <w:p>
      <w:pPr>
        <w:spacing w:after="0" w:line="16" w:lineRule="exact"/>
        <w:rPr>
          <w:sz w:val="20"/>
          <w:szCs w:val="20"/>
          <w:color w:val="auto"/>
        </w:rPr>
      </w:pPr>
    </w:p>
    <w:p>
      <w:pPr>
        <w:jc w:val="both"/>
        <w:ind w:firstLine="8"/>
        <w:spacing w:after="0" w:line="268" w:lineRule="auto"/>
        <w:tabs>
          <w:tab w:leader="none" w:pos="26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each Person organized under the Laws of the United States (or any state thereof) that becomes a Restricted Subsidiary after the Closing Date (whether as a result of an acquisition permitted under </w:t>
      </w:r>
      <w:r>
        <w:rPr>
          <w:rFonts w:ascii="Arial" w:cs="Arial" w:eastAsia="Arial" w:hAnsi="Arial"/>
          <w:sz w:val="18"/>
          <w:szCs w:val="18"/>
          <w:b w:val="1"/>
          <w:bCs w:val="1"/>
          <w:i w:val="1"/>
          <w:iCs w:val="1"/>
          <w:color w:val="auto"/>
        </w:rPr>
        <w:t>Section 10.11</w:t>
      </w:r>
      <w:r>
        <w:rPr>
          <w:rFonts w:ascii="Arial" w:cs="Arial" w:eastAsia="Arial" w:hAnsi="Arial"/>
          <w:sz w:val="18"/>
          <w:szCs w:val="18"/>
          <w:color w:val="auto"/>
        </w:rPr>
        <w:t>, creation, the failure of such Subsidiary to meet the requirements of an “</w:t>
      </w:r>
      <w:r>
        <w:rPr>
          <w:rFonts w:ascii="Arial" w:cs="Arial" w:eastAsia="Arial" w:hAnsi="Arial"/>
          <w:sz w:val="18"/>
          <w:szCs w:val="18"/>
          <w:i w:val="1"/>
          <w:iCs w:val="1"/>
          <w:color w:val="auto"/>
        </w:rPr>
        <w:t>Unrestricted Subsidiary</w:t>
      </w:r>
      <w:r>
        <w:rPr>
          <w:rFonts w:ascii="Arial" w:cs="Arial" w:eastAsia="Arial" w:hAnsi="Arial"/>
          <w:sz w:val="18"/>
          <w:szCs w:val="18"/>
          <w:color w:val="auto"/>
        </w:rPr>
        <w:t xml:space="preserve">” as set forth in the definition thereof, or otherwise) shall execute and deliver to Administrative Agent a Guaranty within 30 days after becoming a Restricted Subsidiary, (b) except as otherwise provided in </w:t>
      </w:r>
      <w:r>
        <w:rPr>
          <w:rFonts w:ascii="Arial" w:cs="Arial" w:eastAsia="Arial" w:hAnsi="Arial"/>
          <w:sz w:val="18"/>
          <w:szCs w:val="18"/>
          <w:b w:val="1"/>
          <w:bCs w:val="1"/>
          <w:i w:val="1"/>
          <w:iCs w:val="1"/>
          <w:color w:val="auto"/>
        </w:rPr>
        <w:t>Section 6.2</w:t>
      </w:r>
      <w:r>
        <w:rPr>
          <w:rFonts w:ascii="Arial" w:cs="Arial" w:eastAsia="Arial" w:hAnsi="Arial"/>
          <w:sz w:val="18"/>
          <w:szCs w:val="18"/>
          <w:color w:val="auto"/>
        </w:rPr>
        <w:t xml:space="preserve">, each Restricted Company organized under the Laws of the United States (or any state thereof) that becomes the holder of the capital stock or equity interest of each Person that becomes a Restricted Subsidiary after the Closing Date (whether as a result of an acquisition permitted under </w:t>
      </w:r>
      <w:r>
        <w:rPr>
          <w:rFonts w:ascii="Arial" w:cs="Arial" w:eastAsia="Arial" w:hAnsi="Arial"/>
          <w:sz w:val="18"/>
          <w:szCs w:val="18"/>
          <w:b w:val="1"/>
          <w:bCs w:val="1"/>
          <w:i w:val="1"/>
          <w:iCs w:val="1"/>
          <w:color w:val="auto"/>
        </w:rPr>
        <w:t>Section 10.11</w:t>
      </w:r>
      <w:r>
        <w:rPr>
          <w:rFonts w:ascii="Arial" w:cs="Arial" w:eastAsia="Arial" w:hAnsi="Arial"/>
          <w:sz w:val="18"/>
          <w:szCs w:val="18"/>
          <w:color w:val="auto"/>
        </w:rPr>
        <w:t>, creation, the failure of such Subsidiary to meet the requirements of an “</w:t>
      </w:r>
      <w:r>
        <w:rPr>
          <w:rFonts w:ascii="Arial" w:cs="Arial" w:eastAsia="Arial" w:hAnsi="Arial"/>
          <w:sz w:val="18"/>
          <w:szCs w:val="18"/>
          <w:i w:val="1"/>
          <w:iCs w:val="1"/>
          <w:color w:val="auto"/>
        </w:rPr>
        <w:t>Unrestricted Subsidiary</w:t>
      </w:r>
      <w:r>
        <w:rPr>
          <w:rFonts w:ascii="Arial" w:cs="Arial" w:eastAsia="Arial" w:hAnsi="Arial"/>
          <w:sz w:val="18"/>
          <w:szCs w:val="18"/>
          <w:color w:val="auto"/>
        </w:rPr>
        <w:t xml:space="preserve">” as set forth in the definition thereof, or otherwise) shall execute and deliver to Administrative Agent a Pledge Agreement, together with any related Security Documents reasonably required by Administrative Agent, pledging such capital stock or equity interests required to be pledged by it under this Agreement within 30 days after such Person becomes a Subsidiary, (c) Borrower shall deliver to Administrative Agent a revised </w:t>
      </w:r>
      <w:r>
        <w:rPr>
          <w:rFonts w:ascii="Arial" w:cs="Arial" w:eastAsia="Arial" w:hAnsi="Arial"/>
          <w:sz w:val="18"/>
          <w:szCs w:val="18"/>
          <w:b w:val="1"/>
          <w:bCs w:val="1"/>
          <w:i w:val="1"/>
          <w:iCs w:val="1"/>
          <w:color w:val="auto"/>
        </w:rPr>
        <w:t>Schedule 8.2</w:t>
      </w:r>
      <w:r>
        <w:rPr>
          <w:rFonts w:ascii="Arial" w:cs="Arial" w:eastAsia="Arial" w:hAnsi="Arial"/>
          <w:sz w:val="18"/>
          <w:szCs w:val="18"/>
          <w:color w:val="auto"/>
        </w:rPr>
        <w:t xml:space="preserve"> reflecting such new Subsidiary within 30 days after it becomes a Subsidiary, and (d) no Default or Potential Default exists or arises after giving pro forma effect to the creation, acquisition, or addition of such Subsidiary;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for purposes of determining compliance, (x) Debt of each Subsidiary created or acquired shall be deemed to have been incurred on the date of such acquisition or creation, and (y) Adjusted EBITDA for the most-recently-ended four fiscal quarters shall include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for such period the EBITDA of each Restricted Subsidiary created or acquired.</w:t>
      </w:r>
    </w:p>
    <w:p>
      <w:pPr>
        <w:spacing w:after="0" w:line="39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9.11</w:t>
      </w:r>
      <w:r>
        <w:rPr>
          <w:sz w:val="20"/>
          <w:szCs w:val="20"/>
          <w:color w:val="auto"/>
        </w:rPr>
        <w:tab/>
      </w:r>
      <w:r>
        <w:rPr>
          <w:rFonts w:ascii="Arial" w:cs="Arial" w:eastAsia="Arial" w:hAnsi="Arial"/>
          <w:sz w:val="16"/>
          <w:szCs w:val="16"/>
          <w:u w:val="single" w:color="auto"/>
          <w:color w:val="auto"/>
        </w:rPr>
        <w:t>Designation and Re-designation of Subsidiaries</w:t>
      </w:r>
      <w:r>
        <w:rPr>
          <w:rFonts w:ascii="Arial" w:cs="Arial" w:eastAsia="Arial" w:hAnsi="Arial"/>
          <w:sz w:val="16"/>
          <w:szCs w:val="16"/>
          <w:color w:val="auto"/>
        </w:rPr>
        <w:t>.</w:t>
      </w:r>
    </w:p>
    <w:p>
      <w:pPr>
        <w:spacing w:after="0" w:line="216" w:lineRule="exact"/>
        <w:rPr>
          <w:sz w:val="20"/>
          <w:szCs w:val="20"/>
          <w:color w:val="auto"/>
        </w:rPr>
      </w:pPr>
    </w:p>
    <w:p>
      <w:pPr>
        <w:jc w:val="both"/>
        <w:ind w:left="660" w:firstLine="645"/>
        <w:spacing w:after="0" w:line="243" w:lineRule="auto"/>
        <w:tabs>
          <w:tab w:leader="none" w:pos="1746" w:val="left"/>
        </w:tabs>
        <w:numPr>
          <w:ilvl w:val="0"/>
          <w:numId w:val="129"/>
        </w:numPr>
        <w:rPr>
          <w:rFonts w:ascii="Arial" w:cs="Arial" w:eastAsia="Arial" w:hAnsi="Arial"/>
          <w:sz w:val="20"/>
          <w:szCs w:val="20"/>
          <w:color w:val="auto"/>
        </w:rPr>
      </w:pPr>
      <w:r>
        <w:rPr>
          <w:rFonts w:ascii="Arial" w:cs="Arial" w:eastAsia="Arial" w:hAnsi="Arial"/>
          <w:sz w:val="20"/>
          <w:szCs w:val="20"/>
          <w:color w:val="auto"/>
        </w:rPr>
        <w:t xml:space="preserve">Borrower may designate any Subsidiary as an Unrestricted Subsidiary and may re-designate any Restricted Subsidiary as an Unrestricted Subsidiary;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(i) Borrower shall deliver to Administrative Agent a revised </w:t>
      </w:r>
      <w:r>
        <w:rPr>
          <w:rFonts w:ascii="Arial" w:cs="Arial" w:eastAsia="Arial" w:hAnsi="Arial"/>
          <w:sz w:val="20"/>
          <w:szCs w:val="20"/>
          <w:b w:val="1"/>
          <w:bCs w:val="1"/>
          <w:i w:val="1"/>
          <w:iCs w:val="1"/>
          <w:color w:val="auto"/>
        </w:rPr>
        <w:t>Schedule 8.2</w:t>
      </w:r>
      <w:r>
        <w:rPr>
          <w:rFonts w:ascii="Arial" w:cs="Arial" w:eastAsia="Arial" w:hAnsi="Arial"/>
          <w:sz w:val="20"/>
          <w:szCs w:val="20"/>
          <w:color w:val="auto"/>
        </w:rPr>
        <w:t xml:space="preserve"> reflecting the designation of such Subsidiary as an Unrestricted Subsidiary or the re-designation of such Restricted Subsidiary as an Unrestricted Subsidiary within 30 days after it becomes an Unrestricted Subsidiary, (ii) such Subsidiary otherwise meets (or would meet concurrently with the effectiveness of such re-designation) the requirements of an “</w:t>
      </w:r>
      <w:r>
        <w:rPr>
          <w:rFonts w:ascii="Arial" w:cs="Arial" w:eastAsia="Arial" w:hAnsi="Arial"/>
          <w:sz w:val="20"/>
          <w:szCs w:val="20"/>
          <w:i w:val="1"/>
          <w:iCs w:val="1"/>
          <w:color w:val="auto"/>
        </w:rPr>
        <w:t>Unrestricted Subsidiary</w:t>
      </w:r>
      <w:r>
        <w:rPr>
          <w:rFonts w:ascii="Arial" w:cs="Arial" w:eastAsia="Arial" w:hAnsi="Arial"/>
          <w:sz w:val="20"/>
          <w:szCs w:val="20"/>
          <w:color w:val="auto"/>
        </w:rPr>
        <w:t>” as set forth in the definition thereof, and (iii) no Default or Potential</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ectPr>
          <w:pgSz w:w="11900" w:h="16838" w:orient="portrait"/>
          <w:cols w:equalWidth="0" w:num="1">
            <w:col w:w="11420"/>
          </w:cols>
          <w:pgMar w:left="240" w:top="798" w:right="239" w:bottom="1440" w:gutter="0" w:footer="0" w:header="0"/>
        </w:sectPr>
      </w:pPr>
    </w:p>
    <w:bookmarkStart w:id="154" w:name="page155"/>
    <w:bookmarkEnd w:id="154"/>
    <w:p>
      <w:pPr>
        <w:jc w:val="both"/>
        <w:ind w:left="660"/>
        <w:spacing w:after="0" w:line="243" w:lineRule="auto"/>
        <w:rPr>
          <w:sz w:val="20"/>
          <w:szCs w:val="20"/>
          <w:color w:val="auto"/>
        </w:rPr>
      </w:pPr>
      <w:r>
        <w:rPr>
          <w:rFonts w:ascii="Arial" w:cs="Arial" w:eastAsia="Arial" w:hAnsi="Arial"/>
          <w:sz w:val="20"/>
          <w:szCs w:val="20"/>
          <w:color w:val="auto"/>
        </w:rPr>
        <w:t xml:space="preserve">Default exists or will arise after giving pro forma effect to such designation or re-designation;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for purposes of determining compliance (x) with </w:t>
      </w:r>
      <w:r>
        <w:rPr>
          <w:rFonts w:ascii="Arial" w:cs="Arial" w:eastAsia="Arial" w:hAnsi="Arial"/>
          <w:sz w:val="20"/>
          <w:szCs w:val="20"/>
          <w:b w:val="1"/>
          <w:bCs w:val="1"/>
          <w:i w:val="1"/>
          <w:iCs w:val="1"/>
          <w:color w:val="auto"/>
        </w:rPr>
        <w:t>Section 10.8</w:t>
      </w:r>
      <w:r>
        <w:rPr>
          <w:rFonts w:ascii="Arial" w:cs="Arial" w:eastAsia="Arial" w:hAnsi="Arial"/>
          <w:sz w:val="20"/>
          <w:szCs w:val="20"/>
          <w:color w:val="auto"/>
        </w:rPr>
        <w:t xml:space="preserve"> hereof, all outstanding loans, advances, and investments in such designated or re-designated Subsidiary shall be deemed to have been made on (and shall be valued as of) the date of such designation or re-designation, as applicable, and (y) Adjusted EBITDA for the most-recently-ended four fiscal quarters shall exclude on a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basis for such period the EBITDA of such designated or re-designated Subsidiary. Subject to </w:t>
      </w:r>
      <w:r>
        <w:rPr>
          <w:rFonts w:ascii="Arial" w:cs="Arial" w:eastAsia="Arial" w:hAnsi="Arial"/>
          <w:sz w:val="20"/>
          <w:szCs w:val="20"/>
          <w:b w:val="1"/>
          <w:bCs w:val="1"/>
          <w:i w:val="1"/>
          <w:iCs w:val="1"/>
          <w:color w:val="auto"/>
        </w:rPr>
        <w:t>Section 15.9(g)</w:t>
      </w:r>
      <w:r>
        <w:rPr>
          <w:rFonts w:ascii="Arial" w:cs="Arial" w:eastAsia="Arial" w:hAnsi="Arial"/>
          <w:sz w:val="20"/>
          <w:szCs w:val="20"/>
          <w:color w:val="auto"/>
        </w:rPr>
        <w:t>, Administrative Agent shall execute documentation reasonably required to release any Restricted Subsidiary which is re-designated by Borrower as an Unrestricted Subsidiary from its Guaranty.</w:t>
      </w:r>
    </w:p>
    <w:p>
      <w:pPr>
        <w:spacing w:after="0" w:line="193" w:lineRule="exact"/>
        <w:rPr>
          <w:sz w:val="20"/>
          <w:szCs w:val="20"/>
          <w:color w:val="auto"/>
        </w:rPr>
      </w:pPr>
    </w:p>
    <w:p>
      <w:pPr>
        <w:jc w:val="both"/>
        <w:ind w:left="660" w:firstLine="645"/>
        <w:spacing w:after="0" w:line="273" w:lineRule="auto"/>
        <w:tabs>
          <w:tab w:leader="none" w:pos="182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Borrower may re-designate any Unrestricted Subsidiary as a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(i) such Subsidiary shall have complied with </w:t>
      </w:r>
      <w:r>
        <w:rPr>
          <w:rFonts w:ascii="Arial" w:cs="Arial" w:eastAsia="Arial" w:hAnsi="Arial"/>
          <w:sz w:val="18"/>
          <w:szCs w:val="18"/>
          <w:b w:val="1"/>
          <w:bCs w:val="1"/>
          <w:i w:val="1"/>
          <w:iCs w:val="1"/>
          <w:color w:val="auto"/>
        </w:rPr>
        <w:t>Section 9.10</w:t>
      </w:r>
      <w:r>
        <w:rPr>
          <w:rFonts w:ascii="Arial" w:cs="Arial" w:eastAsia="Arial" w:hAnsi="Arial"/>
          <w:sz w:val="18"/>
          <w:szCs w:val="18"/>
          <w:color w:val="auto"/>
        </w:rPr>
        <w:t xml:space="preserve"> hereof, (ii) Borrower shall deliver to Administrative Agent a revised </w:t>
      </w:r>
      <w:r>
        <w:rPr>
          <w:rFonts w:ascii="Arial" w:cs="Arial" w:eastAsia="Arial" w:hAnsi="Arial"/>
          <w:sz w:val="18"/>
          <w:szCs w:val="18"/>
          <w:b w:val="1"/>
          <w:bCs w:val="1"/>
          <w:i w:val="1"/>
          <w:iCs w:val="1"/>
          <w:color w:val="auto"/>
        </w:rPr>
        <w:t>Schedule 8.2</w:t>
      </w:r>
      <w:r>
        <w:rPr>
          <w:rFonts w:ascii="Arial" w:cs="Arial" w:eastAsia="Arial" w:hAnsi="Arial"/>
          <w:sz w:val="18"/>
          <w:szCs w:val="18"/>
          <w:color w:val="auto"/>
        </w:rPr>
        <w:t xml:space="preserve"> reflecting the re-designation of such Unrestricted Subsidiary as a Restricted Subsidiary within 30 days after it becomes a Restricted Subsidiary, (iii) after giving effect to such re-designation, such Subsidiary is in compliance with </w:t>
      </w:r>
      <w:r>
        <w:rPr>
          <w:rFonts w:ascii="Arial" w:cs="Arial" w:eastAsia="Arial" w:hAnsi="Arial"/>
          <w:sz w:val="18"/>
          <w:szCs w:val="18"/>
          <w:b w:val="1"/>
          <w:bCs w:val="1"/>
          <w:i w:val="1"/>
          <w:iCs w:val="1"/>
          <w:color w:val="auto"/>
        </w:rPr>
        <w:t>Section 10.16</w:t>
      </w:r>
      <w:r>
        <w:rPr>
          <w:rFonts w:ascii="Arial" w:cs="Arial" w:eastAsia="Arial" w:hAnsi="Arial"/>
          <w:sz w:val="18"/>
          <w:szCs w:val="18"/>
          <w:color w:val="auto"/>
        </w:rPr>
        <w:t xml:space="preserve">, and (iv) no Default or Potential Default exists or will arise after giving pro forma effect to such re-designation;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for purposes of determining compliance, (x) all existing Debt of, and loans, advances, or investments made by, such re-designated Subsidiary shall be deemed to have been incurred on the date of such re-designation, and (y) Adjusted EBITDA for the most-recently-ended four fiscal quarters shall include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for such period the EBITDA of such re-designated Subsidiary.</w:t>
      </w:r>
    </w:p>
    <w:p>
      <w:pPr>
        <w:spacing w:after="0" w:line="38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9.12</w:t>
      </w:r>
      <w:r>
        <w:rPr>
          <w:sz w:val="20"/>
          <w:szCs w:val="20"/>
          <w:color w:val="auto"/>
        </w:rPr>
        <w:tab/>
      </w:r>
      <w:r>
        <w:rPr>
          <w:rFonts w:ascii="Arial" w:cs="Arial" w:eastAsia="Arial" w:hAnsi="Arial"/>
          <w:sz w:val="18"/>
          <w:szCs w:val="18"/>
          <w:u w:val="single" w:color="auto"/>
          <w:color w:val="auto"/>
        </w:rPr>
        <w:t>Keepwell Requirements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Each Qualified ECP Guarantor, jointly and severally, absolutely, unconditionally and irrevocably undertakes to provide such funds or other support as may be needed from time to time by each other Guarantor to honor all of its obligations under this Agreement or any other Loan Paper in respect of Swap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each Qualified ECP Guarantor shall only be liable under this </w:t>
      </w:r>
      <w:r>
        <w:rPr>
          <w:rFonts w:ascii="Arial" w:cs="Arial" w:eastAsia="Arial" w:hAnsi="Arial"/>
          <w:sz w:val="18"/>
          <w:szCs w:val="18"/>
          <w:b w:val="1"/>
          <w:bCs w:val="1"/>
          <w:i w:val="1"/>
          <w:iCs w:val="1"/>
          <w:color w:val="auto"/>
        </w:rPr>
        <w:t>Section 9.12</w:t>
      </w:r>
      <w:r>
        <w:rPr>
          <w:rFonts w:ascii="Arial" w:cs="Arial" w:eastAsia="Arial" w:hAnsi="Arial"/>
          <w:sz w:val="18"/>
          <w:szCs w:val="18"/>
          <w:color w:val="auto"/>
        </w:rPr>
        <w:t xml:space="preserve"> for the maximum amount of such liability that can be hereby incurred without rendering its obligations under this </w:t>
      </w:r>
      <w:r>
        <w:rPr>
          <w:rFonts w:ascii="Arial" w:cs="Arial" w:eastAsia="Arial" w:hAnsi="Arial"/>
          <w:sz w:val="18"/>
          <w:szCs w:val="18"/>
          <w:b w:val="1"/>
          <w:bCs w:val="1"/>
          <w:i w:val="1"/>
          <w:iCs w:val="1"/>
          <w:color w:val="auto"/>
        </w:rPr>
        <w:t>Section 9.12</w:t>
      </w:r>
      <w:r>
        <w:rPr>
          <w:rFonts w:ascii="Arial" w:cs="Arial" w:eastAsia="Arial" w:hAnsi="Arial"/>
          <w:sz w:val="18"/>
          <w:szCs w:val="18"/>
          <w:color w:val="auto"/>
        </w:rPr>
        <w:t xml:space="preserve">, or otherwise under this Agreement or any other Loan Paper, voidable under applicable law relating to fraudulent conveyance or fraudulent transfer, and not for any greater amount). The obligations of each Qualified ECP Guarantor under this Section shall remain in full force and effect until the full and final payment of the Obligations (other than contingent Obligations for which no claim has been made), termination of the Commitments of all Lenders and L/C Issuers, and termination of all L/Cs (or cash collateralization thereof as acceptable to the applicable L/C Issuer). Each Qualified ECP Guarantor intends that this </w:t>
      </w:r>
      <w:r>
        <w:rPr>
          <w:rFonts w:ascii="Arial" w:cs="Arial" w:eastAsia="Arial" w:hAnsi="Arial"/>
          <w:sz w:val="18"/>
          <w:szCs w:val="18"/>
          <w:b w:val="1"/>
          <w:bCs w:val="1"/>
          <w:i w:val="1"/>
          <w:iCs w:val="1"/>
          <w:color w:val="auto"/>
        </w:rPr>
        <w:t>Section 9.12</w:t>
      </w:r>
      <w:r>
        <w:rPr>
          <w:rFonts w:ascii="Arial" w:cs="Arial" w:eastAsia="Arial" w:hAnsi="Arial"/>
          <w:sz w:val="18"/>
          <w:szCs w:val="18"/>
          <w:color w:val="auto"/>
        </w:rPr>
        <w:t xml:space="preserve"> constitute, and this </w:t>
      </w:r>
      <w:r>
        <w:rPr>
          <w:rFonts w:ascii="Arial" w:cs="Arial" w:eastAsia="Arial" w:hAnsi="Arial"/>
          <w:sz w:val="18"/>
          <w:szCs w:val="18"/>
          <w:b w:val="1"/>
          <w:bCs w:val="1"/>
          <w:i w:val="1"/>
          <w:iCs w:val="1"/>
          <w:color w:val="auto"/>
        </w:rPr>
        <w:t>Section 9.12</w:t>
      </w:r>
      <w:r>
        <w:rPr>
          <w:rFonts w:ascii="Arial" w:cs="Arial" w:eastAsia="Arial" w:hAnsi="Arial"/>
          <w:sz w:val="18"/>
          <w:szCs w:val="18"/>
          <w:color w:val="auto"/>
        </w:rPr>
        <w:t xml:space="preserve"> shall be deemed to constitute, a “</w:t>
      </w:r>
      <w:r>
        <w:rPr>
          <w:rFonts w:ascii="Arial" w:cs="Arial" w:eastAsia="Arial" w:hAnsi="Arial"/>
          <w:sz w:val="18"/>
          <w:szCs w:val="18"/>
          <w:i w:val="1"/>
          <w:iCs w:val="1"/>
          <w:color w:val="auto"/>
        </w:rPr>
        <w:t>keepwell, support, or</w:t>
      </w:r>
      <w:r>
        <w:rPr>
          <w:rFonts w:ascii="Arial" w:cs="Arial" w:eastAsia="Arial" w:hAnsi="Arial"/>
          <w:sz w:val="18"/>
          <w:szCs w:val="18"/>
          <w:color w:val="auto"/>
        </w:rPr>
        <w:t xml:space="preserve"> </w:t>
      </w:r>
      <w:r>
        <w:rPr>
          <w:rFonts w:ascii="Arial" w:cs="Arial" w:eastAsia="Arial" w:hAnsi="Arial"/>
          <w:sz w:val="18"/>
          <w:szCs w:val="18"/>
          <w:i w:val="1"/>
          <w:iCs w:val="1"/>
          <w:color w:val="auto"/>
        </w:rPr>
        <w:t>other agreement</w:t>
      </w:r>
      <w:r>
        <w:rPr>
          <w:rFonts w:ascii="Arial" w:cs="Arial" w:eastAsia="Arial" w:hAnsi="Arial"/>
          <w:sz w:val="18"/>
          <w:szCs w:val="18"/>
          <w:color w:val="auto"/>
        </w:rPr>
        <w:t>” for the benefit of each other Guarantor for all purposes of</w:t>
      </w:r>
      <w:r>
        <w:rPr>
          <w:rFonts w:ascii="Arial" w:cs="Arial" w:eastAsia="Arial" w:hAnsi="Arial"/>
          <w:sz w:val="18"/>
          <w:szCs w:val="18"/>
          <w:i w:val="1"/>
          <w:iCs w:val="1"/>
          <w:color w:val="auto"/>
        </w:rPr>
        <w:t xml:space="preserve"> Section 1a(18)(A)(v)(II) </w:t>
      </w:r>
      <w:r>
        <w:rPr>
          <w:rFonts w:ascii="Arial" w:cs="Arial" w:eastAsia="Arial" w:hAnsi="Arial"/>
          <w:sz w:val="18"/>
          <w:szCs w:val="18"/>
          <w:color w:val="auto"/>
        </w:rPr>
        <w:t>of the Commodity Exchange Act.</w:t>
      </w:r>
    </w:p>
    <w:p>
      <w:pPr>
        <w:spacing w:after="0" w:line="17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9.13</w:t>
      </w:r>
      <w:r>
        <w:rPr>
          <w:sz w:val="20"/>
          <w:szCs w:val="20"/>
          <w:color w:val="auto"/>
        </w:rPr>
        <w:tab/>
      </w:r>
      <w:r>
        <w:rPr>
          <w:rFonts w:ascii="Arial" w:cs="Arial" w:eastAsia="Arial" w:hAnsi="Arial"/>
          <w:sz w:val="18"/>
          <w:szCs w:val="18"/>
          <w:u w:val="single" w:color="auto"/>
          <w:color w:val="auto"/>
        </w:rPr>
        <w:t>Anti-Corruption Laws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Each Company will comply in all material respects with Anti-Corruption Laws applicable to such Company, and each Company will maintain compliance policies and procedures applicable to such Company with respect to applicable Anti-Corruption Laws.</w:t>
      </w:r>
    </w:p>
    <w:p>
      <w:pPr>
        <w:spacing w:after="0" w:line="147"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b w:val="1"/>
          <w:bCs w:val="1"/>
          <w:u w:val="single" w:color="auto"/>
          <w:color w:val="auto"/>
        </w:rPr>
        <w:t>SECTION 10</w:t>
      </w:r>
      <w:r>
        <w:rPr>
          <w:sz w:val="20"/>
          <w:szCs w:val="20"/>
          <w:color w:val="auto"/>
        </w:rPr>
        <w:tab/>
      </w:r>
      <w:r>
        <w:rPr>
          <w:rFonts w:ascii="Arial" w:cs="Arial" w:eastAsia="Arial" w:hAnsi="Arial"/>
          <w:sz w:val="18"/>
          <w:szCs w:val="18"/>
          <w:b w:val="1"/>
          <w:bCs w:val="1"/>
          <w:u w:val="single" w:color="auto"/>
          <w:color w:val="auto"/>
        </w:rPr>
        <w:t>NEGATIVE COVENANTS</w:t>
      </w:r>
      <w:r>
        <w:rPr>
          <w:rFonts w:ascii="Arial" w:cs="Arial" w:eastAsia="Arial" w:hAnsi="Arial"/>
          <w:sz w:val="18"/>
          <w:szCs w:val="18"/>
          <w:color w:val="auto"/>
        </w:rPr>
        <w:t>. So long as Lenders are committed to fund Loans and the L/C Issuers are committed to issue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L/Cs under this Agreement, and thereafter until the Obligation is paid in full, Borrower covenants and agrees as follows: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ectPr>
          <w:pgSz w:w="11900" w:h="16838" w:orient="portrait"/>
          <w:cols w:equalWidth="0" w:num="1">
            <w:col w:w="11420"/>
          </w:cols>
          <w:pgMar w:left="240" w:top="582" w:right="239" w:bottom="1440" w:gutter="0" w:footer="0" w:header="0"/>
        </w:sectPr>
      </w:pPr>
    </w:p>
    <w:bookmarkStart w:id="155" w:name="page156"/>
    <w:bookmarkEnd w:id="155"/>
    <w:p>
      <w:pPr>
        <w:ind w:right="20" w:firstLine="648"/>
        <w:spacing w:after="0" w:line="275"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Taxes</w:t>
      </w:r>
      <w:r>
        <w:rPr>
          <w:rFonts w:ascii="Arial" w:cs="Arial" w:eastAsia="Arial" w:hAnsi="Arial"/>
          <w:sz w:val="18"/>
          <w:szCs w:val="18"/>
          <w:color w:val="auto"/>
        </w:rPr>
        <w:t>. No Company shall use any portion of the proceeds of any Loan to pay the wages of employees, unless a timely payment to or deposit with the U.S. of all amounts of Tax required to be deducted and withheld with respect to such wages is also made.</w:t>
      </w:r>
    </w:p>
    <w:p>
      <w:pPr>
        <w:spacing w:after="0" w:line="1" w:lineRule="exact"/>
        <w:rPr>
          <w:sz w:val="20"/>
          <w:szCs w:val="20"/>
          <w:color w:val="auto"/>
        </w:rPr>
      </w:pPr>
    </w:p>
    <w:p>
      <w:pPr>
        <w:ind w:right="20" w:firstLine="648"/>
        <w:spacing w:after="0" w:line="244" w:lineRule="auto"/>
        <w:rPr>
          <w:sz w:val="20"/>
          <w:szCs w:val="20"/>
          <w:color w:val="auto"/>
        </w:rPr>
      </w:pPr>
      <w:r>
        <w:rPr>
          <w:rFonts w:ascii="Arial" w:cs="Arial" w:eastAsia="Arial" w:hAnsi="Arial"/>
          <w:sz w:val="20"/>
          <w:szCs w:val="20"/>
          <w:color w:val="auto"/>
        </w:rPr>
        <w:t xml:space="preserve">10.2 </w:t>
      </w:r>
      <w:r>
        <w:rPr>
          <w:rFonts w:ascii="Arial" w:cs="Arial" w:eastAsia="Arial" w:hAnsi="Arial"/>
          <w:sz w:val="20"/>
          <w:szCs w:val="20"/>
          <w:u w:val="single" w:color="auto"/>
          <w:color w:val="auto"/>
        </w:rPr>
        <w:t>Payment of Obligations</w:t>
      </w:r>
      <w:r>
        <w:rPr>
          <w:rFonts w:ascii="Arial" w:cs="Arial" w:eastAsia="Arial" w:hAnsi="Arial"/>
          <w:sz w:val="20"/>
          <w:szCs w:val="20"/>
          <w:color w:val="auto"/>
        </w:rPr>
        <w:t xml:space="preserve">. No Company shall voluntarily prepay principal of, or interest on, or tender for, repurchase, redeem, repay, defease, or discharge, Subordinated Debt or High-Yield Debt;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Borrower or VRI may:</w:t>
      </w:r>
    </w:p>
    <w:p>
      <w:pPr>
        <w:spacing w:after="0" w:line="84" w:lineRule="exact"/>
        <w:rPr>
          <w:sz w:val="20"/>
          <w:szCs w:val="20"/>
          <w:color w:val="auto"/>
        </w:rPr>
      </w:pPr>
    </w:p>
    <w:p>
      <w:pPr>
        <w:jc w:val="both"/>
        <w:ind w:firstLine="656"/>
        <w:spacing w:after="0" w:line="244" w:lineRule="auto"/>
        <w:tabs>
          <w:tab w:leader="none" w:pos="1171"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tender for, repurchase (including, without limitation, in open market transactions or private negotiated transactions), redeem, defease, or discharge Subordinated Debt or High-Yield Debt, </w:t>
      </w:r>
      <w:r>
        <w:rPr>
          <w:rFonts w:ascii="Arial" w:cs="Arial" w:eastAsia="Arial" w:hAnsi="Arial"/>
          <w:sz w:val="20"/>
          <w:szCs w:val="20"/>
          <w:i w:val="1"/>
          <w:iCs w:val="1"/>
          <w:color w:val="auto"/>
        </w:rPr>
        <w:t>so long as</w:t>
      </w:r>
      <w:r>
        <w:rPr>
          <w:rFonts w:ascii="Arial" w:cs="Arial" w:eastAsia="Arial" w:hAnsi="Arial"/>
          <w:sz w:val="20"/>
          <w:szCs w:val="20"/>
          <w:color w:val="auto"/>
        </w:rPr>
        <w:t xml:space="preserve"> (i) on and as of the date of each such redemption, no Default or Potential Default then exists or arises, and (ii) Borrower has delivered to Administrative Agent a certificate reflecting Availability and Unrestricted Cash in an aggregate amount of </w:t>
      </w:r>
      <w:r>
        <w:rPr>
          <w:rFonts w:ascii="Arial" w:cs="Arial" w:eastAsia="Arial" w:hAnsi="Arial"/>
          <w:sz w:val="20"/>
          <w:szCs w:val="20"/>
          <w:i w:val="1"/>
          <w:iCs w:val="1"/>
          <w:color w:val="auto"/>
        </w:rPr>
        <w:t>at least</w:t>
      </w:r>
      <w:r>
        <w:rPr>
          <w:rFonts w:ascii="Arial" w:cs="Arial" w:eastAsia="Arial" w:hAnsi="Arial"/>
          <w:sz w:val="20"/>
          <w:szCs w:val="20"/>
          <w:color w:val="auto"/>
        </w:rPr>
        <w:t xml:space="preserve"> $150,000,000 immediately after giving effect to such tender, repurchase, redemption, defeasance or discharge; and</w:t>
      </w:r>
    </w:p>
    <w:p>
      <w:pPr>
        <w:spacing w:after="0" w:line="86" w:lineRule="exact"/>
        <w:rPr>
          <w:rFonts w:ascii="Arial" w:cs="Arial" w:eastAsia="Arial" w:hAnsi="Arial"/>
          <w:sz w:val="20"/>
          <w:szCs w:val="20"/>
          <w:color w:val="auto"/>
        </w:rPr>
      </w:pPr>
    </w:p>
    <w:p>
      <w:pPr>
        <w:jc w:val="both"/>
        <w:ind w:firstLine="656"/>
        <w:spacing w:after="0" w:line="254" w:lineRule="auto"/>
        <w:tabs>
          <w:tab w:leader="none" w:pos="1187" w:val="left"/>
        </w:tabs>
        <w:numPr>
          <w:ilvl w:val="0"/>
          <w:numId w:val="131"/>
        </w:numPr>
        <w:rPr>
          <w:rFonts w:ascii="Arial" w:cs="Arial" w:eastAsia="Arial" w:hAnsi="Arial"/>
          <w:sz w:val="19"/>
          <w:szCs w:val="19"/>
          <w:color w:val="auto"/>
        </w:rPr>
      </w:pPr>
      <w:r>
        <w:rPr>
          <w:rFonts w:ascii="Arial" w:cs="Arial" w:eastAsia="Arial" w:hAnsi="Arial"/>
          <w:sz w:val="19"/>
          <w:szCs w:val="19"/>
          <w:color w:val="auto"/>
        </w:rPr>
        <w:t xml:space="preserve">repay Subordinated Debt or High-Yield Debt (i) with the proceeds of a Term Loan or an Incremental Term Loan, or (ii) in connection with the concurrent issuance of (A) Subordinated Debt, </w:t>
      </w:r>
      <w:r>
        <w:rPr>
          <w:rFonts w:ascii="Arial" w:cs="Arial" w:eastAsia="Arial" w:hAnsi="Arial"/>
          <w:sz w:val="19"/>
          <w:szCs w:val="19"/>
          <w:i w:val="1"/>
          <w:iCs w:val="1"/>
          <w:color w:val="auto"/>
        </w:rPr>
        <w:t>so long as</w:t>
      </w:r>
      <w:r>
        <w:rPr>
          <w:rFonts w:ascii="Arial" w:cs="Arial" w:eastAsia="Arial" w:hAnsi="Arial"/>
          <w:sz w:val="19"/>
          <w:szCs w:val="19"/>
          <w:color w:val="auto"/>
        </w:rPr>
        <w:t xml:space="preserve"> (1) on and as of the date of such refinancing, no Default or Potential Default then exists or arises, (2) the Subordinated Debt issued in connection with such refinancing (“</w:t>
      </w:r>
      <w:r>
        <w:rPr>
          <w:rFonts w:ascii="Arial" w:cs="Arial" w:eastAsia="Arial" w:hAnsi="Arial"/>
          <w:sz w:val="19"/>
          <w:szCs w:val="19"/>
          <w:b w:val="1"/>
          <w:bCs w:val="1"/>
          <w:i w:val="1"/>
          <w:iCs w:val="1"/>
          <w:color w:val="auto"/>
        </w:rPr>
        <w:t>Replacement Subordinated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Debt</w:t>
      </w:r>
      <w:r>
        <w:rPr>
          <w:rFonts w:ascii="Arial" w:cs="Arial" w:eastAsia="Arial" w:hAnsi="Arial"/>
          <w:sz w:val="19"/>
          <w:szCs w:val="19"/>
          <w:color w:val="auto"/>
        </w:rPr>
        <w:t>”) satisfies the requirements for permitted Subordinated Debt as set forth in the Loan Papers, including, without limitation,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requirements imposed by the definition of “</w:t>
      </w:r>
      <w:r>
        <w:rPr>
          <w:rFonts w:ascii="Arial" w:cs="Arial" w:eastAsia="Arial" w:hAnsi="Arial"/>
          <w:sz w:val="19"/>
          <w:szCs w:val="19"/>
          <w:i w:val="1"/>
          <w:iCs w:val="1"/>
          <w:color w:val="auto"/>
        </w:rPr>
        <w:t>Subordinated Debt</w:t>
      </w:r>
      <w:r>
        <w:rPr>
          <w:rFonts w:ascii="Arial" w:cs="Arial" w:eastAsia="Arial" w:hAnsi="Arial"/>
          <w:sz w:val="19"/>
          <w:szCs w:val="19"/>
          <w:color w:val="auto"/>
        </w:rPr>
        <w:t xml:space="preserve">” in </w:t>
      </w:r>
      <w:r>
        <w:rPr>
          <w:rFonts w:ascii="Arial" w:cs="Arial" w:eastAsia="Arial" w:hAnsi="Arial"/>
          <w:sz w:val="19"/>
          <w:szCs w:val="19"/>
          <w:b w:val="1"/>
          <w:bCs w:val="1"/>
          <w:i w:val="1"/>
          <w:iCs w:val="1"/>
          <w:color w:val="auto"/>
        </w:rPr>
        <w:t>Section 1.1</w:t>
      </w:r>
      <w:r>
        <w:rPr>
          <w:rFonts w:ascii="Arial" w:cs="Arial" w:eastAsia="Arial" w:hAnsi="Arial"/>
          <w:sz w:val="19"/>
          <w:szCs w:val="19"/>
          <w:color w:val="auto"/>
        </w:rPr>
        <w:t xml:space="preserve"> and by </w:t>
      </w:r>
      <w:r>
        <w:rPr>
          <w:rFonts w:ascii="Arial" w:cs="Arial" w:eastAsia="Arial" w:hAnsi="Arial"/>
          <w:sz w:val="19"/>
          <w:szCs w:val="19"/>
          <w:b w:val="1"/>
          <w:bCs w:val="1"/>
          <w:i w:val="1"/>
          <w:iCs w:val="1"/>
          <w:color w:val="auto"/>
        </w:rPr>
        <w:t>Section 10.16</w:t>
      </w:r>
      <w:r>
        <w:rPr>
          <w:rFonts w:ascii="Arial" w:cs="Arial" w:eastAsia="Arial" w:hAnsi="Arial"/>
          <w:sz w:val="19"/>
          <w:szCs w:val="19"/>
          <w:color w:val="auto"/>
        </w:rPr>
        <w:t xml:space="preserve">, and (3) such Replacement Subordinated Debt has a final maturity date later than the final maturity date of the Debt so refinanced, or (B) High-Yield Debt, </w:t>
      </w:r>
      <w:r>
        <w:rPr>
          <w:rFonts w:ascii="Arial" w:cs="Arial" w:eastAsia="Arial" w:hAnsi="Arial"/>
          <w:sz w:val="19"/>
          <w:szCs w:val="19"/>
          <w:i w:val="1"/>
          <w:iCs w:val="1"/>
          <w:color w:val="auto"/>
        </w:rPr>
        <w:t>so long as</w:t>
      </w:r>
      <w:r>
        <w:rPr>
          <w:rFonts w:ascii="Arial" w:cs="Arial" w:eastAsia="Arial" w:hAnsi="Arial"/>
          <w:sz w:val="19"/>
          <w:szCs w:val="19"/>
          <w:color w:val="auto"/>
        </w:rPr>
        <w:t xml:space="preserve"> on and as of the date of such refinancing, no Default or Potential Default then exists or arises and such High Yield Debt has a final maturity date later than the final maturity date of the Debt so refinanced.</w:t>
      </w:r>
    </w:p>
    <w:p>
      <w:pPr>
        <w:spacing w:after="0" w:line="2" w:lineRule="exact"/>
        <w:rPr>
          <w:rFonts w:ascii="Arial" w:cs="Arial" w:eastAsia="Arial" w:hAnsi="Arial"/>
          <w:sz w:val="19"/>
          <w:szCs w:val="19"/>
          <w:color w:val="auto"/>
        </w:rPr>
      </w:pPr>
    </w:p>
    <w:p>
      <w:pPr>
        <w:jc w:val="both"/>
        <w:ind w:firstLine="648"/>
        <w:spacing w:after="0" w:line="239" w:lineRule="auto"/>
        <w:rPr>
          <w:rFonts w:ascii="Arial" w:cs="Arial" w:eastAsia="Arial" w:hAnsi="Arial"/>
          <w:sz w:val="19"/>
          <w:szCs w:val="19"/>
          <w:color w:val="auto"/>
        </w:rPr>
      </w:pPr>
      <w:r>
        <w:rPr>
          <w:rFonts w:ascii="Arial" w:cs="Arial" w:eastAsia="Arial" w:hAnsi="Arial"/>
          <w:sz w:val="20"/>
          <w:szCs w:val="20"/>
          <w:color w:val="auto"/>
        </w:rPr>
        <w:t xml:space="preserve">10.3 </w:t>
      </w:r>
      <w:r>
        <w:rPr>
          <w:rFonts w:ascii="Arial" w:cs="Arial" w:eastAsia="Arial" w:hAnsi="Arial"/>
          <w:sz w:val="20"/>
          <w:szCs w:val="20"/>
          <w:u w:val="single" w:color="auto"/>
          <w:color w:val="auto"/>
        </w:rPr>
        <w:t>Employee Plans</w:t>
      </w:r>
      <w:r>
        <w:rPr>
          <w:rFonts w:ascii="Arial" w:cs="Arial" w:eastAsia="Arial" w:hAnsi="Arial"/>
          <w:sz w:val="20"/>
          <w:szCs w:val="20"/>
          <w:color w:val="auto"/>
        </w:rPr>
        <w:t xml:space="preserve">. Except where, individually or in the aggregate, a Material Adverse Event would not result or a Lien on the assets of any Company or the Companies securing liability of any Company or the Companies (individually or when aggregated with any liability of the Companies contemplated elsewhere in this Section and in </w:t>
      </w:r>
      <w:r>
        <w:rPr>
          <w:rFonts w:ascii="Arial" w:cs="Arial" w:eastAsia="Arial" w:hAnsi="Arial"/>
          <w:sz w:val="20"/>
          <w:szCs w:val="20"/>
          <w:b w:val="1"/>
          <w:bCs w:val="1"/>
          <w:i w:val="1"/>
          <w:iCs w:val="1"/>
          <w:color w:val="auto"/>
        </w:rPr>
        <w:t>Section 8.8</w:t>
      </w:r>
      <w:r>
        <w:rPr>
          <w:rFonts w:ascii="Arial" w:cs="Arial" w:eastAsia="Arial" w:hAnsi="Arial"/>
          <w:sz w:val="20"/>
          <w:szCs w:val="20"/>
          <w:color w:val="auto"/>
        </w:rPr>
        <w:t xml:space="preserve"> and </w:t>
      </w:r>
      <w:r>
        <w:rPr>
          <w:rFonts w:ascii="Arial" w:cs="Arial" w:eastAsia="Arial" w:hAnsi="Arial"/>
          <w:sz w:val="20"/>
          <w:szCs w:val="20"/>
          <w:b w:val="1"/>
          <w:bCs w:val="1"/>
          <w:i w:val="1"/>
          <w:iCs w:val="1"/>
          <w:color w:val="auto"/>
        </w:rPr>
        <w:t>Section 8.9</w:t>
      </w:r>
      <w:r>
        <w:rPr>
          <w:rFonts w:ascii="Arial" w:cs="Arial" w:eastAsia="Arial" w:hAnsi="Arial"/>
          <w:sz w:val="20"/>
          <w:szCs w:val="20"/>
          <w:color w:val="auto"/>
        </w:rPr>
        <w:t xml:space="preserve"> herein that is reasonably likely to be secured by Liens) in excess of the Threshold Amount is likely to result, no Company or any ERISA Affiliate shall permit any of the events or circumstances described in </w:t>
      </w:r>
      <w:r>
        <w:rPr>
          <w:rFonts w:ascii="Arial" w:cs="Arial" w:eastAsia="Arial" w:hAnsi="Arial"/>
          <w:sz w:val="20"/>
          <w:szCs w:val="20"/>
          <w:b w:val="1"/>
          <w:bCs w:val="1"/>
          <w:i w:val="1"/>
          <w:iCs w:val="1"/>
          <w:color w:val="auto"/>
        </w:rPr>
        <w:t>Section 8.10</w:t>
      </w:r>
      <w:r>
        <w:rPr>
          <w:rFonts w:ascii="Arial" w:cs="Arial" w:eastAsia="Arial" w:hAnsi="Arial"/>
          <w:sz w:val="20"/>
          <w:szCs w:val="20"/>
          <w:color w:val="auto"/>
        </w:rPr>
        <w:t xml:space="preserve"> to exist or occur.</w:t>
      </w:r>
    </w:p>
    <w:p>
      <w:pPr>
        <w:spacing w:after="0" w:line="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 xml:space="preserve">10.4  </w:t>
      </w:r>
      <w:r>
        <w:rPr>
          <w:rFonts w:ascii="Arial" w:cs="Arial" w:eastAsia="Arial" w:hAnsi="Arial"/>
          <w:sz w:val="20"/>
          <w:szCs w:val="20"/>
          <w:u w:val="single" w:color="auto"/>
          <w:color w:val="auto"/>
        </w:rPr>
        <w:t>Debt</w:t>
      </w:r>
      <w:r>
        <w:rPr>
          <w:rFonts w:ascii="Arial" w:cs="Arial" w:eastAsia="Arial" w:hAnsi="Arial"/>
          <w:sz w:val="20"/>
          <w:szCs w:val="20"/>
          <w:color w:val="auto"/>
        </w:rPr>
        <w:t>. No Company shall create, incur or suffer to exist any Debt, other than Permitted Debt.</w:t>
      </w:r>
    </w:p>
    <w:p>
      <w:pPr>
        <w:ind w:firstLine="648"/>
        <w:spacing w:after="0" w:line="244" w:lineRule="auto"/>
        <w:rPr>
          <w:rFonts w:ascii="Arial" w:cs="Arial" w:eastAsia="Arial" w:hAnsi="Arial"/>
          <w:sz w:val="19"/>
          <w:szCs w:val="19"/>
          <w:color w:val="auto"/>
        </w:rPr>
      </w:pPr>
      <w:r>
        <w:rPr>
          <w:rFonts w:ascii="Arial" w:cs="Arial" w:eastAsia="Arial" w:hAnsi="Arial"/>
          <w:sz w:val="20"/>
          <w:szCs w:val="20"/>
          <w:color w:val="auto"/>
        </w:rPr>
        <w:t xml:space="preserve">10.5 </w:t>
      </w:r>
      <w:r>
        <w:rPr>
          <w:rFonts w:ascii="Arial" w:cs="Arial" w:eastAsia="Arial" w:hAnsi="Arial"/>
          <w:sz w:val="20"/>
          <w:szCs w:val="20"/>
          <w:u w:val="single" w:color="auto"/>
          <w:color w:val="auto"/>
        </w:rPr>
        <w:t>Liens</w:t>
      </w:r>
      <w:r>
        <w:rPr>
          <w:rFonts w:ascii="Arial" w:cs="Arial" w:eastAsia="Arial" w:hAnsi="Arial"/>
          <w:sz w:val="20"/>
          <w:szCs w:val="20"/>
          <w:color w:val="auto"/>
        </w:rPr>
        <w:t xml:space="preserve">. No Company shall create, incur, or suffer or permit to be created or incurred or to exist any Lien upon any of its assets, </w:t>
      </w:r>
      <w:r>
        <w:rPr>
          <w:rFonts w:ascii="Arial" w:cs="Arial" w:eastAsia="Arial" w:hAnsi="Arial"/>
          <w:sz w:val="20"/>
          <w:szCs w:val="20"/>
          <w:i w:val="1"/>
          <w:iCs w:val="1"/>
          <w:color w:val="auto"/>
        </w:rPr>
        <w:t xml:space="preserve">other than </w:t>
      </w:r>
      <w:r>
        <w:rPr>
          <w:rFonts w:ascii="Arial" w:cs="Arial" w:eastAsia="Arial" w:hAnsi="Arial"/>
          <w:sz w:val="20"/>
          <w:szCs w:val="20"/>
          <w:color w:val="auto"/>
        </w:rPr>
        <w:t>Permitted Liens.</w:t>
      </w:r>
    </w:p>
    <w:p>
      <w:pPr>
        <w:spacing w:after="0" w:line="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Except for transactions which do not, in the aggregate, cost the Restricted Companies more than $2,000,000 in any fiscal year, no Restricted Company shall enter into or suffer to exist any transaction with any Affiliate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another Restricted Company), or guaranty, obtain any letter of credit or similar instrument in support of, or create, incur, or suffer to exist any Lien upon any of its assets as security for, any Debt or other obligation of any Affiliate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Debts or other obligations of another Restricted Company) unless (a) such transaction is an advance or equity contribution to an Unrestricted Subsidiary permitted by </w:t>
      </w:r>
      <w:r>
        <w:rPr>
          <w:rFonts w:ascii="Arial" w:cs="Arial" w:eastAsia="Arial" w:hAnsi="Arial"/>
          <w:sz w:val="18"/>
          <w:szCs w:val="18"/>
          <w:b w:val="1"/>
          <w:bCs w:val="1"/>
          <w:i w:val="1"/>
          <w:iCs w:val="1"/>
          <w:color w:val="auto"/>
        </w:rPr>
        <w:t>Sections 10.8(j)</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10.8(l)</w:t>
      </w:r>
      <w:r>
        <w:rPr>
          <w:rFonts w:ascii="Arial" w:cs="Arial" w:eastAsia="Arial" w:hAnsi="Arial"/>
          <w:sz w:val="18"/>
          <w:szCs w:val="18"/>
          <w:color w:val="auto"/>
        </w:rPr>
        <w:t xml:space="preserve"> or to a Person (other than a Company) in which a Restricted Company has made an investment permitted by </w:t>
      </w:r>
      <w:r>
        <w:rPr>
          <w:rFonts w:ascii="Arial" w:cs="Arial" w:eastAsia="Arial" w:hAnsi="Arial"/>
          <w:sz w:val="18"/>
          <w:szCs w:val="18"/>
          <w:b w:val="1"/>
          <w:bCs w:val="1"/>
          <w:i w:val="1"/>
          <w:iCs w:val="1"/>
          <w:color w:val="auto"/>
        </w:rPr>
        <w:t>Section 10.8(m)</w:t>
      </w:r>
      <w:r>
        <w:rPr>
          <w:rFonts w:ascii="Arial" w:cs="Arial" w:eastAsia="Arial" w:hAnsi="Arial"/>
          <w:sz w:val="18"/>
          <w:szCs w:val="18"/>
          <w:color w:val="auto"/>
        </w:rPr>
        <w:t xml:space="preserve">, (b) such transaction is described in </w:t>
      </w:r>
      <w:r>
        <w:rPr>
          <w:rFonts w:ascii="Arial" w:cs="Arial" w:eastAsia="Arial" w:hAnsi="Arial"/>
          <w:sz w:val="18"/>
          <w:szCs w:val="18"/>
          <w:b w:val="1"/>
          <w:bCs w:val="1"/>
          <w:i w:val="1"/>
          <w:iCs w:val="1"/>
          <w:color w:val="auto"/>
        </w:rPr>
        <w:t>Section 10.9</w:t>
      </w:r>
      <w:r>
        <w:rPr>
          <w:rFonts w:ascii="Arial" w:cs="Arial" w:eastAsia="Arial" w:hAnsi="Arial"/>
          <w:sz w:val="18"/>
          <w:szCs w:val="18"/>
          <w:color w:val="auto"/>
        </w:rPr>
        <w:t xml:space="preserve"> or on </w:t>
      </w:r>
      <w:r>
        <w:rPr>
          <w:rFonts w:ascii="Arial" w:cs="Arial" w:eastAsia="Arial" w:hAnsi="Arial"/>
          <w:sz w:val="18"/>
          <w:szCs w:val="18"/>
          <w:b w:val="1"/>
          <w:bCs w:val="1"/>
          <w:i w:val="1"/>
          <w:iCs w:val="1"/>
          <w:color w:val="auto"/>
        </w:rPr>
        <w:t>Schedule 8.13</w:t>
      </w:r>
      <w:r>
        <w:rPr>
          <w:rFonts w:ascii="Arial" w:cs="Arial" w:eastAsia="Arial" w:hAnsi="Arial"/>
          <w:sz w:val="18"/>
          <w:szCs w:val="18"/>
          <w:color w:val="auto"/>
        </w:rPr>
        <w:t xml:space="preserve">, (c) such transaction is an investment in employee residences permitted by </w:t>
      </w:r>
      <w:r>
        <w:rPr>
          <w:rFonts w:ascii="Arial" w:cs="Arial" w:eastAsia="Arial" w:hAnsi="Arial"/>
          <w:sz w:val="18"/>
          <w:szCs w:val="18"/>
          <w:b w:val="1"/>
          <w:bCs w:val="1"/>
          <w:i w:val="1"/>
          <w:i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10.8(n)(iii)</w:t>
      </w:r>
      <w:r>
        <w:rPr>
          <w:rFonts w:ascii="Arial" w:cs="Arial" w:eastAsia="Arial" w:hAnsi="Arial"/>
          <w:sz w:val="18"/>
          <w:szCs w:val="18"/>
          <w:color w:val="auto"/>
        </w:rPr>
        <w:t>, or (d) such transaction is upon fair and reasonable terms not materially less favorable than it could obtain or could become entitled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to in an arm’s-length transaction with a Person that was not its Affiliate;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any Restricted Company may enter into Permitted Recourse Obligations or guarantees or other credit support permitted by </w:t>
      </w:r>
      <w:r>
        <w:rPr>
          <w:rFonts w:ascii="Arial" w:cs="Arial" w:eastAsia="Arial" w:hAnsi="Arial"/>
          <w:sz w:val="18"/>
          <w:szCs w:val="18"/>
          <w:b w:val="1"/>
          <w:bCs w:val="1"/>
          <w:i w:val="1"/>
          <w:iCs w:val="1"/>
          <w:color w:val="auto"/>
        </w:rPr>
        <w:t>clause (h)(ii)</w:t>
      </w:r>
      <w:r>
        <w:rPr>
          <w:rFonts w:ascii="Arial" w:cs="Arial" w:eastAsia="Arial" w:hAnsi="Arial"/>
          <w:sz w:val="18"/>
          <w:szCs w:val="18"/>
          <w:color w:val="auto"/>
        </w:rPr>
        <w:t xml:space="preserve"> of the definition of “</w:t>
      </w:r>
      <w:r>
        <w:rPr>
          <w:rFonts w:ascii="Arial" w:cs="Arial" w:eastAsia="Arial" w:hAnsi="Arial"/>
          <w:sz w:val="18"/>
          <w:szCs w:val="18"/>
          <w:i w:val="1"/>
          <w:iCs w:val="1"/>
          <w:color w:val="auto"/>
        </w:rPr>
        <w:t>Permitted Debt</w:t>
      </w:r>
      <w:r>
        <w:rPr>
          <w:rFonts w:ascii="Arial" w:cs="Arial" w:eastAsia="Arial" w:hAnsi="Arial"/>
          <w:sz w:val="18"/>
          <w:szCs w:val="18"/>
          <w:color w:val="auto"/>
        </w:rPr>
        <w:t xml:space="preserve">” in support of obligations of Unrestricted Subsidiaries, </w:t>
      </w:r>
      <w:r>
        <w:rPr>
          <w:rFonts w:ascii="Arial" w:cs="Arial" w:eastAsia="Arial" w:hAnsi="Arial"/>
          <w:sz w:val="18"/>
          <w:szCs w:val="18"/>
          <w:i w:val="1"/>
          <w:iCs w:val="1"/>
          <w:color w:val="auto"/>
        </w:rPr>
        <w:t>so long as</w:t>
      </w:r>
      <w:r>
        <w:rPr>
          <w:rFonts w:ascii="Arial" w:cs="Arial" w:eastAsia="Arial" w:hAnsi="Arial"/>
          <w:sz w:val="18"/>
          <w:szCs w:val="18"/>
          <w:color w:val="auto"/>
        </w:rPr>
        <w:t xml:space="preserve"> no Default or Potential Default then exists or arises.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ectPr>
          <w:pgSz w:w="11900" w:h="16838" w:orient="portrait"/>
          <w:cols w:equalWidth="0" w:num="1">
            <w:col w:w="11420"/>
          </w:cols>
          <w:pgMar w:left="240" w:top="582" w:right="239" w:bottom="1440" w:gutter="0" w:footer="0" w:header="0"/>
        </w:sectPr>
      </w:pPr>
    </w:p>
    <w:bookmarkStart w:id="156" w:name="page157"/>
    <w:bookmarkEnd w:id="156"/>
    <w:p>
      <w:pPr>
        <w:jc w:val="both"/>
        <w:ind w:firstLine="648"/>
        <w:spacing w:after="0" w:line="244" w:lineRule="auto"/>
        <w:rPr>
          <w:sz w:val="20"/>
          <w:szCs w:val="20"/>
          <w:color w:val="auto"/>
        </w:rPr>
      </w:pPr>
      <w:r>
        <w:rPr>
          <w:rFonts w:ascii="Arial" w:cs="Arial" w:eastAsia="Arial" w:hAnsi="Arial"/>
          <w:sz w:val="20"/>
          <w:szCs w:val="20"/>
          <w:color w:val="auto"/>
        </w:rPr>
        <w:t xml:space="preserve">10.7 </w:t>
      </w:r>
      <w:r>
        <w:rPr>
          <w:rFonts w:ascii="Arial" w:cs="Arial" w:eastAsia="Arial" w:hAnsi="Arial"/>
          <w:sz w:val="20"/>
          <w:szCs w:val="20"/>
          <w:u w:val="single" w:color="auto"/>
          <w:color w:val="auto"/>
        </w:rPr>
        <w:t>Compliance with Laws and Documents</w:t>
      </w:r>
      <w:r>
        <w:rPr>
          <w:rFonts w:ascii="Arial" w:cs="Arial" w:eastAsia="Arial" w:hAnsi="Arial"/>
          <w:sz w:val="20"/>
          <w:szCs w:val="20"/>
          <w:color w:val="auto"/>
        </w:rPr>
        <w:t>. No Company shall (a) violate the provisions of any Laws or rulings of any Governmental Authority applicable to it or of any Material Agreement to which it is a party if that violation alone, or when aggregated with all other violations, would be a Material Adverse Event, (b) violate the provisions of its organizational documents if such violation would cause a Material Adverse Event, or (c) repeal, replace, or amend any provision of its organizational documents if that action would be a Material Adverse Event.</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10.8 </w:t>
      </w:r>
      <w:r>
        <w:rPr>
          <w:rFonts w:ascii="Arial" w:cs="Arial" w:eastAsia="Arial" w:hAnsi="Arial"/>
          <w:sz w:val="19"/>
          <w:szCs w:val="19"/>
          <w:u w:val="single" w:color="auto"/>
          <w:color w:val="auto"/>
        </w:rPr>
        <w:t>Loans, Advances and Investments</w:t>
      </w:r>
      <w:r>
        <w:rPr>
          <w:rFonts w:ascii="Arial" w:cs="Arial" w:eastAsia="Arial" w:hAnsi="Arial"/>
          <w:sz w:val="19"/>
          <w:szCs w:val="19"/>
          <w:color w:val="auto"/>
        </w:rPr>
        <w:t xml:space="preserve">. No Restricted Company shall make or suffer to exist any loan, advance, extension of credit or capital contribution to, make any investment in, purchase or commit to purchase any stock or other securities or evidences of Debt of, or interests in, any other Person, or permit to exist Permitted Recourse Obligations constituting Debt, </w:t>
      </w:r>
      <w:r>
        <w:rPr>
          <w:rFonts w:ascii="Arial" w:cs="Arial" w:eastAsia="Arial" w:hAnsi="Arial"/>
          <w:sz w:val="19"/>
          <w:szCs w:val="19"/>
          <w:i w:val="1"/>
          <w:iCs w:val="1"/>
          <w:color w:val="auto"/>
        </w:rPr>
        <w:t>other than</w:t>
      </w:r>
      <w:r>
        <w:rPr>
          <w:rFonts w:ascii="Arial" w:cs="Arial" w:eastAsia="Arial" w:hAnsi="Arial"/>
          <w:sz w:val="19"/>
          <w:szCs w:val="19"/>
          <w:color w:val="auto"/>
        </w:rPr>
        <w:t>:</w:t>
      </w:r>
    </w:p>
    <w:p>
      <w:pPr>
        <w:spacing w:after="0" w:line="170" w:lineRule="exact"/>
        <w:rPr>
          <w:sz w:val="20"/>
          <w:szCs w:val="20"/>
          <w:color w:val="auto"/>
        </w:rPr>
      </w:pPr>
    </w:p>
    <w:p>
      <w:pPr>
        <w:ind w:firstLine="656"/>
        <w:spacing w:after="0" w:line="260" w:lineRule="auto"/>
        <w:tabs>
          <w:tab w:leader="none" w:pos="1124" w:val="left"/>
        </w:tabs>
        <w:numPr>
          <w:ilvl w:val="0"/>
          <w:numId w:val="132"/>
        </w:numPr>
        <w:rPr>
          <w:rFonts w:ascii="Arial" w:cs="Arial" w:eastAsia="Arial" w:hAnsi="Arial"/>
          <w:sz w:val="20"/>
          <w:szCs w:val="20"/>
          <w:color w:val="auto"/>
        </w:rPr>
      </w:pPr>
      <w:r>
        <w:rPr>
          <w:rFonts w:ascii="Arial" w:cs="Arial" w:eastAsia="Arial" w:hAnsi="Arial"/>
          <w:sz w:val="20"/>
          <w:szCs w:val="20"/>
          <w:color w:val="auto"/>
        </w:rPr>
        <w:t>expense accounts for and other loans or advances to its directors, officers, and employees in the ordinary course of business in accordance with applicable Law;</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098" w:val="left"/>
        </w:tabs>
        <w:numPr>
          <w:ilvl w:val="0"/>
          <w:numId w:val="132"/>
        </w:numPr>
        <w:rPr>
          <w:rFonts w:ascii="Arial" w:cs="Arial" w:eastAsia="Arial" w:hAnsi="Arial"/>
          <w:sz w:val="20"/>
          <w:szCs w:val="20"/>
          <w:color w:val="auto"/>
        </w:rPr>
      </w:pPr>
      <w:r>
        <w:rPr>
          <w:rFonts w:ascii="Arial" w:cs="Arial" w:eastAsia="Arial" w:hAnsi="Arial"/>
          <w:sz w:val="20"/>
          <w:szCs w:val="20"/>
          <w:color w:val="auto"/>
        </w:rPr>
        <w:t>marketable obligations issued or unconditionally guaranteed by an Approved Jurisdiction or issued by an agency of an Approved Jurisdiction and backed by the full faith and credit of such Approved Jurisdiction, in each case maturing within one year from the date of acquisition;</w:t>
      </w:r>
    </w:p>
    <w:p>
      <w:pPr>
        <w:spacing w:after="0" w:line="186" w:lineRule="exact"/>
        <w:rPr>
          <w:rFonts w:ascii="Arial" w:cs="Arial" w:eastAsia="Arial" w:hAnsi="Arial"/>
          <w:sz w:val="20"/>
          <w:szCs w:val="20"/>
          <w:color w:val="auto"/>
        </w:rPr>
      </w:pPr>
    </w:p>
    <w:p>
      <w:pPr>
        <w:jc w:val="both"/>
        <w:ind w:firstLine="656"/>
        <w:spacing w:after="0" w:line="263" w:lineRule="auto"/>
        <w:tabs>
          <w:tab w:leader="none" w:pos="1103" w:val="left"/>
        </w:tabs>
        <w:numPr>
          <w:ilvl w:val="0"/>
          <w:numId w:val="132"/>
        </w:numPr>
        <w:rPr>
          <w:rFonts w:ascii="Arial" w:cs="Arial" w:eastAsia="Arial" w:hAnsi="Arial"/>
          <w:sz w:val="19"/>
          <w:szCs w:val="19"/>
          <w:color w:val="auto"/>
        </w:rPr>
      </w:pPr>
      <w:r>
        <w:rPr>
          <w:rFonts w:ascii="Arial" w:cs="Arial" w:eastAsia="Arial" w:hAnsi="Arial"/>
          <w:sz w:val="19"/>
          <w:szCs w:val="19"/>
          <w:color w:val="auto"/>
        </w:rPr>
        <w:t>short-term investment grade domestic and eurodollar certificates of deposit or time deposits that are fully insured by the Federal Deposit Insurance Corporation or similar agency of an Approved Jurisdiction or are issued by commercial banks organized under the Laws of an Approved Jurisdiction or any state or province of an Approved Jurisdiction having combined capital, surplus, and undivided profits of not less than $100,000,000 (as shown on its most recently published statement of condition);</w:t>
      </w:r>
    </w:p>
    <w:p>
      <w:pPr>
        <w:spacing w:after="0" w:line="176" w:lineRule="exact"/>
        <w:rPr>
          <w:rFonts w:ascii="Arial" w:cs="Arial" w:eastAsia="Arial" w:hAnsi="Arial"/>
          <w:sz w:val="19"/>
          <w:szCs w:val="19"/>
          <w:color w:val="auto"/>
        </w:rPr>
      </w:pPr>
    </w:p>
    <w:p>
      <w:pPr>
        <w:ind w:left="1080" w:hanging="424"/>
        <w:spacing w:after="0" w:line="230" w:lineRule="exact"/>
        <w:tabs>
          <w:tab w:leader="none" w:pos="108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 xml:space="preserve">commercial paper and similar obligations rated </w:t>
      </w:r>
      <w:r>
        <w:rPr>
          <w:rFonts w:ascii="Arial" w:cs="Arial" w:eastAsia="Arial" w:hAnsi="Arial"/>
          <w:sz w:val="20"/>
          <w:szCs w:val="20"/>
          <w:i w:val="1"/>
          <w:iCs w:val="1"/>
          <w:color w:val="auto"/>
        </w:rPr>
        <w:t>“P-1”</w:t>
      </w:r>
      <w:r>
        <w:rPr>
          <w:rFonts w:ascii="Arial" w:cs="Arial" w:eastAsia="Arial" w:hAnsi="Arial"/>
          <w:sz w:val="20"/>
          <w:szCs w:val="20"/>
          <w:color w:val="auto"/>
        </w:rPr>
        <w:t xml:space="preserve"> by Moody’s or </w:t>
      </w:r>
      <w:r>
        <w:rPr>
          <w:rFonts w:ascii="Arial" w:cs="Arial" w:eastAsia="Arial" w:hAnsi="Arial"/>
          <w:sz w:val="20"/>
          <w:szCs w:val="20"/>
          <w:i w:val="1"/>
          <w:iCs w:val="1"/>
          <w:color w:val="auto"/>
        </w:rPr>
        <w:t>“A</w:t>
      </w:r>
      <w:r>
        <w:rPr>
          <w:rFonts w:ascii="MS PGothic" w:cs="MS PGothic" w:eastAsia="MS PGothic" w:hAnsi="MS PGothic"/>
          <w:sz w:val="20"/>
          <w:szCs w:val="20"/>
          <w:color w:val="auto"/>
        </w:rPr>
        <w:t>‑</w:t>
      </w:r>
      <w:r>
        <w:rPr>
          <w:rFonts w:ascii="Arial" w:cs="Arial" w:eastAsia="Arial" w:hAnsi="Arial"/>
          <w:sz w:val="20"/>
          <w:szCs w:val="20"/>
          <w:i w:val="1"/>
          <w:iCs w:val="1"/>
          <w:color w:val="auto"/>
        </w:rPr>
        <w:t>1”</w:t>
      </w:r>
      <w:r>
        <w:rPr>
          <w:rFonts w:ascii="Arial" w:cs="Arial" w:eastAsia="Arial" w:hAnsi="Arial"/>
          <w:sz w:val="20"/>
          <w:szCs w:val="20"/>
          <w:color w:val="auto"/>
        </w:rPr>
        <w:t xml:space="preserve"> by S&amp;P;</w:t>
      </w:r>
    </w:p>
    <w:p>
      <w:pPr>
        <w:spacing w:after="0" w:line="215" w:lineRule="exact"/>
        <w:rPr>
          <w:rFonts w:ascii="Arial" w:cs="Arial" w:eastAsia="Arial" w:hAnsi="Arial"/>
          <w:sz w:val="20"/>
          <w:szCs w:val="20"/>
          <w:color w:val="auto"/>
        </w:rPr>
      </w:pPr>
    </w:p>
    <w:p>
      <w:pPr>
        <w:ind w:right="20" w:firstLine="656"/>
        <w:spacing w:after="0" w:line="240" w:lineRule="exact"/>
        <w:tabs>
          <w:tab w:leader="none" w:pos="1077" w:val="left"/>
        </w:tabs>
        <w:numPr>
          <w:ilvl w:val="0"/>
          <w:numId w:val="132"/>
        </w:numPr>
        <w:rPr>
          <w:rFonts w:ascii="Arial" w:cs="Arial" w:eastAsia="Arial" w:hAnsi="Arial"/>
          <w:sz w:val="20"/>
          <w:szCs w:val="20"/>
          <w:color w:val="auto"/>
        </w:rPr>
      </w:pPr>
      <w:r>
        <w:rPr>
          <w:rFonts w:ascii="Arial" w:cs="Arial" w:eastAsia="Arial" w:hAnsi="Arial"/>
          <w:sz w:val="20"/>
          <w:szCs w:val="20"/>
          <w:color w:val="auto"/>
        </w:rPr>
        <w:t xml:space="preserve">readily marketable Tax-free municipal bonds of a domestic issuer rated </w:t>
      </w:r>
      <w:r>
        <w:rPr>
          <w:rFonts w:ascii="Arial" w:cs="Arial" w:eastAsia="Arial" w:hAnsi="Arial"/>
          <w:sz w:val="20"/>
          <w:szCs w:val="20"/>
          <w:i w:val="1"/>
          <w:iCs w:val="1"/>
          <w:color w:val="auto"/>
        </w:rPr>
        <w:t>“A</w:t>
      </w:r>
      <w:r>
        <w:rPr>
          <w:rFonts w:ascii="MS PGothic" w:cs="MS PGothic" w:eastAsia="MS PGothic" w:hAnsi="MS PGothic"/>
          <w:sz w:val="20"/>
          <w:szCs w:val="20"/>
          <w:color w:val="auto"/>
        </w:rPr>
        <w:t>‑</w:t>
      </w:r>
      <w:r>
        <w:rPr>
          <w:rFonts w:ascii="Arial" w:cs="Arial" w:eastAsia="Arial" w:hAnsi="Arial"/>
          <w:sz w:val="20"/>
          <w:szCs w:val="20"/>
          <w:i w:val="1"/>
          <w:iCs w:val="1"/>
          <w:color w:val="auto"/>
        </w:rPr>
        <w:t>2”</w:t>
      </w:r>
      <w:r>
        <w:rPr>
          <w:rFonts w:ascii="Arial" w:cs="Arial" w:eastAsia="Arial" w:hAnsi="Arial"/>
          <w:sz w:val="20"/>
          <w:szCs w:val="20"/>
          <w:color w:val="auto"/>
        </w:rPr>
        <w:t xml:space="preserve"> or better by Moody’s or </w:t>
      </w:r>
      <w:r>
        <w:rPr>
          <w:rFonts w:ascii="Arial" w:cs="Arial" w:eastAsia="Arial" w:hAnsi="Arial"/>
          <w:sz w:val="20"/>
          <w:szCs w:val="20"/>
          <w:i w:val="1"/>
          <w:iCs w:val="1"/>
          <w:color w:val="auto"/>
        </w:rPr>
        <w:t>“A”</w:t>
      </w:r>
      <w:r>
        <w:rPr>
          <w:rFonts w:ascii="Arial" w:cs="Arial" w:eastAsia="Arial" w:hAnsi="Arial"/>
          <w:sz w:val="20"/>
          <w:szCs w:val="20"/>
          <w:color w:val="auto"/>
        </w:rPr>
        <w:t xml:space="preserve"> or better by S&amp;P, and maturing within one year from the date of issuance;</w:t>
      </w:r>
    </w:p>
    <w:p>
      <w:pPr>
        <w:spacing w:after="0" w:line="196" w:lineRule="exact"/>
        <w:rPr>
          <w:rFonts w:ascii="Arial" w:cs="Arial" w:eastAsia="Arial" w:hAnsi="Arial"/>
          <w:sz w:val="20"/>
          <w:szCs w:val="20"/>
          <w:color w:val="auto"/>
        </w:rPr>
      </w:pPr>
    </w:p>
    <w:p>
      <w:pPr>
        <w:ind w:left="1060" w:hanging="404"/>
        <w:spacing w:after="0"/>
        <w:tabs>
          <w:tab w:leader="none" w:pos="106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 xml:space="preserve">mutual funds or money market accounts investing primarily in items described in clauses </w:t>
      </w:r>
      <w:r>
        <w:rPr>
          <w:rFonts w:ascii="Arial" w:cs="Arial" w:eastAsia="Arial" w:hAnsi="Arial"/>
          <w:sz w:val="20"/>
          <w:szCs w:val="20"/>
          <w:b w:val="1"/>
          <w:bCs w:val="1"/>
          <w:i w:val="1"/>
          <w:iCs w:val="1"/>
          <w:color w:val="auto"/>
        </w:rPr>
        <w:t>(b)</w:t>
      </w:r>
      <w:r>
        <w:rPr>
          <w:rFonts w:ascii="Arial" w:cs="Arial" w:eastAsia="Arial" w:hAnsi="Arial"/>
          <w:sz w:val="20"/>
          <w:szCs w:val="20"/>
          <w:color w:val="auto"/>
        </w:rPr>
        <w:t xml:space="preserve"> through </w:t>
      </w:r>
      <w:r>
        <w:rPr>
          <w:rFonts w:ascii="Arial" w:cs="Arial" w:eastAsia="Arial" w:hAnsi="Arial"/>
          <w:sz w:val="20"/>
          <w:szCs w:val="20"/>
          <w:b w:val="1"/>
          <w:bCs w:val="1"/>
          <w:i w:val="1"/>
          <w:iCs w:val="1"/>
          <w:color w:val="auto"/>
        </w:rPr>
        <w:t>(e)</w:t>
      </w:r>
      <w:r>
        <w:rPr>
          <w:rFonts w:ascii="Arial" w:cs="Arial" w:eastAsia="Arial" w:hAnsi="Arial"/>
          <w:sz w:val="20"/>
          <w:szCs w:val="20"/>
          <w:color w:val="auto"/>
        </w:rPr>
        <w:t xml:space="preserve"> above;</w:t>
      </w:r>
    </w:p>
    <w:p>
      <w:pPr>
        <w:spacing w:after="0" w:line="215" w:lineRule="exact"/>
        <w:rPr>
          <w:rFonts w:ascii="Arial" w:cs="Arial" w:eastAsia="Arial" w:hAnsi="Arial"/>
          <w:sz w:val="20"/>
          <w:szCs w:val="20"/>
          <w:color w:val="auto"/>
        </w:rPr>
      </w:pPr>
    </w:p>
    <w:p>
      <w:pPr>
        <w:ind w:left="1080" w:hanging="424"/>
        <w:spacing w:after="0"/>
        <w:tabs>
          <w:tab w:leader="none" w:pos="108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demand deposit accounts maintained in the ordinary course of business;</w:t>
      </w:r>
    </w:p>
    <w:p>
      <w:pPr>
        <w:spacing w:after="0" w:line="215" w:lineRule="exact"/>
        <w:rPr>
          <w:rFonts w:ascii="Arial" w:cs="Arial" w:eastAsia="Arial" w:hAnsi="Arial"/>
          <w:sz w:val="20"/>
          <w:szCs w:val="20"/>
          <w:color w:val="auto"/>
        </w:rPr>
      </w:pPr>
    </w:p>
    <w:p>
      <w:pPr>
        <w:ind w:firstLine="656"/>
        <w:spacing w:after="0" w:line="260" w:lineRule="auto"/>
        <w:tabs>
          <w:tab w:leader="none" w:pos="1079" w:val="left"/>
        </w:tabs>
        <w:numPr>
          <w:ilvl w:val="0"/>
          <w:numId w:val="132"/>
        </w:numPr>
        <w:rPr>
          <w:rFonts w:ascii="Arial" w:cs="Arial" w:eastAsia="Arial" w:hAnsi="Arial"/>
          <w:sz w:val="20"/>
          <w:szCs w:val="20"/>
          <w:color w:val="auto"/>
        </w:rPr>
      </w:pPr>
      <w:r>
        <w:rPr>
          <w:rFonts w:ascii="Arial" w:cs="Arial" w:eastAsia="Arial" w:hAnsi="Arial"/>
          <w:sz w:val="20"/>
          <w:szCs w:val="20"/>
          <w:color w:val="auto"/>
        </w:rPr>
        <w:t>current trade and customer accounts receivable that are for goods furnished or services rendered in the ordinary course of business and that are payable in accordance with customary trade terms;</w:t>
      </w:r>
    </w:p>
    <w:p>
      <w:pPr>
        <w:spacing w:after="0" w:line="176" w:lineRule="exact"/>
        <w:rPr>
          <w:rFonts w:ascii="Arial" w:cs="Arial" w:eastAsia="Arial" w:hAnsi="Arial"/>
          <w:sz w:val="20"/>
          <w:szCs w:val="20"/>
          <w:color w:val="auto"/>
        </w:rPr>
      </w:pPr>
    </w:p>
    <w:p>
      <w:pPr>
        <w:ind w:firstLine="656"/>
        <w:spacing w:after="0" w:line="260" w:lineRule="auto"/>
        <w:tabs>
          <w:tab w:leader="none" w:pos="1072" w:val="left"/>
        </w:tabs>
        <w:numPr>
          <w:ilvl w:val="0"/>
          <w:numId w:val="132"/>
        </w:numPr>
        <w:rPr>
          <w:rFonts w:ascii="Arial" w:cs="Arial" w:eastAsia="Arial" w:hAnsi="Arial"/>
          <w:sz w:val="20"/>
          <w:szCs w:val="20"/>
          <w:color w:val="auto"/>
        </w:rPr>
      </w:pPr>
      <w:r>
        <w:rPr>
          <w:rFonts w:ascii="Arial" w:cs="Arial" w:eastAsia="Arial" w:hAnsi="Arial"/>
          <w:sz w:val="20"/>
          <w:szCs w:val="20"/>
          <w:color w:val="auto"/>
        </w:rPr>
        <w:t>Financial Hedges existing on the date hereof which have previously been approved by Administrative Agent and other Financial Hedges entered into after the date hereof under terms reasonably acceptable to Administrative Agent;</w:t>
      </w:r>
    </w:p>
    <w:p>
      <w:pPr>
        <w:spacing w:after="0" w:line="176" w:lineRule="exact"/>
        <w:rPr>
          <w:rFonts w:ascii="Arial" w:cs="Arial" w:eastAsia="Arial" w:hAnsi="Arial"/>
          <w:sz w:val="20"/>
          <w:szCs w:val="20"/>
          <w:color w:val="auto"/>
        </w:rPr>
      </w:pPr>
    </w:p>
    <w:p>
      <w:pPr>
        <w:jc w:val="both"/>
        <w:ind w:firstLine="656"/>
        <w:spacing w:after="0" w:line="246" w:lineRule="auto"/>
        <w:tabs>
          <w:tab w:leader="none" w:pos="1068" w:val="left"/>
        </w:tabs>
        <w:numPr>
          <w:ilvl w:val="0"/>
          <w:numId w:val="132"/>
        </w:numPr>
        <w:rPr>
          <w:rFonts w:ascii="Arial" w:cs="Arial" w:eastAsia="Arial" w:hAnsi="Arial"/>
          <w:sz w:val="20"/>
          <w:szCs w:val="20"/>
          <w:color w:val="auto"/>
        </w:rPr>
      </w:pPr>
      <w:r>
        <w:rPr>
          <w:rFonts w:ascii="Arial" w:cs="Arial" w:eastAsia="Arial" w:hAnsi="Arial"/>
          <w:sz w:val="20"/>
          <w:szCs w:val="20"/>
          <w:color w:val="auto"/>
        </w:rPr>
        <w:t xml:space="preserve">loans, advances, and investments of the Restricted Companies existing as of April 30, 2018 (i) in the Existing Housing Districts, Existing Metro Districts, and Keystone/IntraWest LLC, which investments are identified on </w:t>
      </w:r>
      <w:r>
        <w:rPr>
          <w:rFonts w:ascii="Arial" w:cs="Arial" w:eastAsia="Arial" w:hAnsi="Arial"/>
          <w:sz w:val="20"/>
          <w:szCs w:val="20"/>
          <w:b w:val="1"/>
          <w:bCs w:val="1"/>
          <w:i w:val="1"/>
          <w:iCs w:val="1"/>
          <w:color w:val="auto"/>
        </w:rPr>
        <w:t>part (a)</w:t>
      </w:r>
      <w:r>
        <w:rPr>
          <w:rFonts w:ascii="Arial" w:cs="Arial" w:eastAsia="Arial" w:hAnsi="Arial"/>
          <w:sz w:val="20"/>
          <w:szCs w:val="20"/>
          <w:color w:val="auto"/>
        </w:rPr>
        <w:t xml:space="preserve"> of </w:t>
      </w:r>
      <w:r>
        <w:rPr>
          <w:rFonts w:ascii="Arial" w:cs="Arial" w:eastAsia="Arial" w:hAnsi="Arial"/>
          <w:sz w:val="20"/>
          <w:szCs w:val="20"/>
          <w:b w:val="1"/>
          <w:bCs w:val="1"/>
          <w:i w:val="1"/>
          <w:iCs w:val="1"/>
          <w:color w:val="auto"/>
        </w:rPr>
        <w:t>Schedule 10.8</w:t>
      </w:r>
      <w:r>
        <w:rPr>
          <w:rFonts w:ascii="Arial" w:cs="Arial" w:eastAsia="Arial" w:hAnsi="Arial"/>
          <w:sz w:val="20"/>
          <w:szCs w:val="20"/>
          <w:color w:val="auto"/>
        </w:rPr>
        <w:t xml:space="preserve">, and (ii) in Persons other than Restricted Companies, Existing Housing Districts, Existing Metro Districts, and Keystone IntraWest LLC, which loans and investments are identified on </w:t>
      </w:r>
      <w:r>
        <w:rPr>
          <w:rFonts w:ascii="Arial" w:cs="Arial" w:eastAsia="Arial" w:hAnsi="Arial"/>
          <w:sz w:val="20"/>
          <w:szCs w:val="20"/>
          <w:b w:val="1"/>
          <w:bCs w:val="1"/>
          <w:i w:val="1"/>
          <w:iCs w:val="1"/>
          <w:color w:val="auto"/>
        </w:rPr>
        <w:t>part (b)</w:t>
      </w:r>
      <w:r>
        <w:rPr>
          <w:rFonts w:ascii="Arial" w:cs="Arial" w:eastAsia="Arial" w:hAnsi="Arial"/>
          <w:sz w:val="20"/>
          <w:szCs w:val="20"/>
          <w:color w:val="auto"/>
        </w:rPr>
        <w:t xml:space="preserve"> of </w:t>
      </w:r>
      <w:r>
        <w:rPr>
          <w:rFonts w:ascii="Arial" w:cs="Arial" w:eastAsia="Arial" w:hAnsi="Arial"/>
          <w:sz w:val="20"/>
          <w:szCs w:val="20"/>
          <w:b w:val="1"/>
          <w:bCs w:val="1"/>
          <w:i w:val="1"/>
          <w:iCs w:val="1"/>
          <w:color w:val="auto"/>
        </w:rPr>
        <w:t>Schedule 10.8</w:t>
      </w:r>
      <w:r>
        <w:rPr>
          <w:rFonts w:ascii="Arial" w:cs="Arial" w:eastAsia="Arial" w:hAnsi="Arial"/>
          <w:sz w:val="20"/>
          <w:szCs w:val="20"/>
          <w:color w:val="auto"/>
        </w:rPr>
        <w: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ectPr>
          <w:pgSz w:w="11900" w:h="16838" w:orient="portrait"/>
          <w:cols w:equalWidth="0" w:num="1">
            <w:col w:w="11420"/>
          </w:cols>
          <w:pgMar w:left="240" w:top="798" w:right="239" w:bottom="1440" w:gutter="0" w:footer="0" w:header="0"/>
        </w:sectPr>
      </w:pPr>
    </w:p>
    <w:bookmarkStart w:id="157" w:name="page158"/>
    <w:bookmarkEnd w:id="157"/>
    <w:p>
      <w:pPr>
        <w:ind w:firstLine="656"/>
        <w:spacing w:after="0" w:line="260" w:lineRule="auto"/>
        <w:tabs>
          <w:tab w:leader="none" w:pos="1131" w:val="left"/>
        </w:tabs>
        <w:numPr>
          <w:ilvl w:val="1"/>
          <w:numId w:val="133"/>
        </w:numPr>
        <w:rPr>
          <w:rFonts w:ascii="Arial" w:cs="Arial" w:eastAsia="Arial" w:hAnsi="Arial"/>
          <w:sz w:val="20"/>
          <w:szCs w:val="20"/>
          <w:color w:val="auto"/>
        </w:rPr>
      </w:pPr>
      <w:r>
        <w:rPr>
          <w:rFonts w:ascii="Arial" w:cs="Arial" w:eastAsia="Arial" w:hAnsi="Arial"/>
          <w:sz w:val="20"/>
          <w:szCs w:val="20"/>
          <w:color w:val="auto"/>
        </w:rPr>
        <w:t xml:space="preserve">additional loans, advances, and investments in Restricted Companies, including, without limitation, investments in Persons that become Restricted Subsidiaries upon transactions consummated in compliance with </w:t>
      </w:r>
      <w:r>
        <w:rPr>
          <w:rFonts w:ascii="Arial" w:cs="Arial" w:eastAsia="Arial" w:hAnsi="Arial"/>
          <w:sz w:val="20"/>
          <w:szCs w:val="20"/>
          <w:b w:val="1"/>
          <w:bCs w:val="1"/>
          <w:i w:val="1"/>
          <w:iCs w:val="1"/>
          <w:color w:val="auto"/>
        </w:rPr>
        <w:t>Section 10.11</w:t>
      </w:r>
      <w:r>
        <w:rPr>
          <w:rFonts w:ascii="Arial" w:cs="Arial" w:eastAsia="Arial" w:hAnsi="Arial"/>
          <w:sz w:val="20"/>
          <w:szCs w:val="20"/>
          <w:color w:val="auto"/>
        </w:rPr>
        <w:t xml:space="preserve"> herein;</w:t>
      </w:r>
    </w:p>
    <w:p>
      <w:pPr>
        <w:spacing w:after="0" w:line="176" w:lineRule="exact"/>
        <w:rPr>
          <w:rFonts w:ascii="Arial" w:cs="Arial" w:eastAsia="Arial" w:hAnsi="Arial"/>
          <w:sz w:val="20"/>
          <w:szCs w:val="20"/>
          <w:color w:val="auto"/>
        </w:rPr>
      </w:pPr>
    </w:p>
    <w:p>
      <w:pPr>
        <w:jc w:val="both"/>
        <w:ind w:firstLine="656"/>
        <w:spacing w:after="0" w:line="257" w:lineRule="auto"/>
        <w:tabs>
          <w:tab w:leader="none" w:pos="1050" w:val="left"/>
        </w:tabs>
        <w:numPr>
          <w:ilvl w:val="1"/>
          <w:numId w:val="133"/>
        </w:numPr>
        <w:rPr>
          <w:rFonts w:ascii="Arial" w:cs="Arial" w:eastAsia="Arial" w:hAnsi="Arial"/>
          <w:sz w:val="19"/>
          <w:szCs w:val="19"/>
          <w:color w:val="auto"/>
        </w:rPr>
      </w:pPr>
      <w:r>
        <w:rPr>
          <w:rFonts w:ascii="Arial" w:cs="Arial" w:eastAsia="Arial" w:hAnsi="Arial"/>
          <w:sz w:val="19"/>
          <w:szCs w:val="19"/>
          <w:color w:val="auto"/>
        </w:rPr>
        <w:t xml:space="preserve">loans, advances, and investments in Similar Businesses (including, without limitation, any loans, advances, and investments made in any Unrestricted Subsidiaries in a Similar Business and the amount of any Permitted Recourse Obligations constituting Debt and other credit support and contingent obligations with respect to Debt of such Unrestricted Subsidiaries), </w:t>
      </w:r>
      <w:r>
        <w:rPr>
          <w:rFonts w:ascii="Arial" w:cs="Arial" w:eastAsia="Arial" w:hAnsi="Arial"/>
          <w:sz w:val="19"/>
          <w:szCs w:val="19"/>
          <w:i w:val="1"/>
          <w:iCs w:val="1"/>
          <w:color w:val="auto"/>
        </w:rPr>
        <w:t>so long as</w:t>
      </w:r>
      <w:r>
        <w:rPr>
          <w:rFonts w:ascii="Arial" w:cs="Arial" w:eastAsia="Arial" w:hAnsi="Arial"/>
          <w:sz w:val="19"/>
          <w:szCs w:val="19"/>
          <w:color w:val="auto"/>
        </w:rPr>
        <w:t xml:space="preserve"> (i) no Default or Potential Default exists or arises, and (ii) the aggregate amount of all loans, advances, and investments made pursuant to this </w:t>
      </w:r>
      <w:r>
        <w:rPr>
          <w:rFonts w:ascii="Arial" w:cs="Arial" w:eastAsia="Arial" w:hAnsi="Arial"/>
          <w:sz w:val="19"/>
          <w:szCs w:val="19"/>
          <w:b w:val="1"/>
          <w:bCs w:val="1"/>
          <w:i w:val="1"/>
          <w:iCs w:val="1"/>
          <w:color w:val="auto"/>
        </w:rPr>
        <w:t>clause (l)</w:t>
      </w:r>
      <w:r>
        <w:rPr>
          <w:rFonts w:ascii="Arial" w:cs="Arial" w:eastAsia="Arial" w:hAnsi="Arial"/>
          <w:sz w:val="19"/>
          <w:szCs w:val="19"/>
          <w:color w:val="auto"/>
        </w:rPr>
        <w:t xml:space="preserve"> (determined with respect to each such loan and advance based on the value thereof on the date of determination, determined with respect to each such investment based on the value thereof on the date made, and determined with respect to each such Permitted Recourse Obligation constituting Debt and other credit support and contingent obligation based on the maximum potential financial exposure therefrom on the date of determination) does not exceed the Investment Limit (Similar Businesses);</w:t>
      </w:r>
    </w:p>
    <w:p>
      <w:pPr>
        <w:spacing w:after="0" w:line="181" w:lineRule="exact"/>
        <w:rPr>
          <w:rFonts w:ascii="Arial" w:cs="Arial" w:eastAsia="Arial" w:hAnsi="Arial"/>
          <w:sz w:val="19"/>
          <w:szCs w:val="19"/>
          <w:color w:val="auto"/>
        </w:rPr>
      </w:pPr>
    </w:p>
    <w:p>
      <w:pPr>
        <w:jc w:val="both"/>
        <w:ind w:firstLine="656"/>
        <w:spacing w:after="0" w:line="316" w:lineRule="auto"/>
        <w:tabs>
          <w:tab w:leader="none" w:pos="1214" w:val="left"/>
        </w:tabs>
        <w:numPr>
          <w:ilvl w:val="1"/>
          <w:numId w:val="133"/>
        </w:numPr>
        <w:rPr>
          <w:rFonts w:ascii="Arial" w:cs="Arial" w:eastAsia="Arial" w:hAnsi="Arial"/>
          <w:sz w:val="16"/>
          <w:szCs w:val="16"/>
          <w:color w:val="auto"/>
        </w:rPr>
      </w:pPr>
      <w:r>
        <w:rPr>
          <w:rFonts w:ascii="Arial" w:cs="Arial" w:eastAsia="Arial" w:hAnsi="Arial"/>
          <w:sz w:val="16"/>
          <w:szCs w:val="16"/>
          <w:color w:val="auto"/>
        </w:rPr>
        <w:t xml:space="preserve">loans, advances, and investments in joint ventures in which a Restricted Company has an Equity Interest (including, without limitation, credit support and contingent obligations with respect to Debt of such joint ventures), </w:t>
      </w:r>
      <w:r>
        <w:rPr>
          <w:rFonts w:ascii="Arial" w:cs="Arial" w:eastAsia="Arial" w:hAnsi="Arial"/>
          <w:sz w:val="16"/>
          <w:szCs w:val="16"/>
          <w:i w:val="1"/>
          <w:iCs w:val="1"/>
          <w:color w:val="auto"/>
        </w:rPr>
        <w:t>so long as</w:t>
      </w:r>
      <w:r>
        <w:rPr>
          <w:rFonts w:ascii="Arial" w:cs="Arial" w:eastAsia="Arial" w:hAnsi="Arial"/>
          <w:sz w:val="16"/>
          <w:szCs w:val="16"/>
          <w:color w:val="auto"/>
        </w:rPr>
        <w:t xml:space="preserve"> (i) no Default or Potential Default exists or arises, and (ii) the aggregate amount of all loans, advances, and investments made pursuant to this </w:t>
      </w:r>
      <w:r>
        <w:rPr>
          <w:rFonts w:ascii="Arial" w:cs="Arial" w:eastAsia="Arial" w:hAnsi="Arial"/>
          <w:sz w:val="16"/>
          <w:szCs w:val="16"/>
          <w:b w:val="1"/>
          <w:bCs w:val="1"/>
          <w:i w:val="1"/>
          <w:iCs w:val="1"/>
          <w:color w:val="auto"/>
        </w:rPr>
        <w:t>clause (m)</w:t>
      </w:r>
      <w:r>
        <w:rPr>
          <w:rFonts w:ascii="Arial" w:cs="Arial" w:eastAsia="Arial" w:hAnsi="Arial"/>
          <w:sz w:val="16"/>
          <w:szCs w:val="16"/>
          <w:color w:val="auto"/>
        </w:rPr>
        <w:t xml:space="preserve"> (determined with respect to each such loan and advance based on the value thereof on the date of determination, determined with respect to each such investment based on the value thereof on the date made, and determined with respect to each such credit support and contingent obligation based on the maximum potential financial exposure therefrom on the date of determination) does not exceed the Investment Limit (Joint Ventures);</w:t>
      </w:r>
    </w:p>
    <w:p>
      <w:pPr>
        <w:spacing w:after="0" w:line="140" w:lineRule="exact"/>
        <w:rPr>
          <w:rFonts w:ascii="Arial" w:cs="Arial" w:eastAsia="Arial" w:hAnsi="Arial"/>
          <w:sz w:val="16"/>
          <w:szCs w:val="16"/>
          <w:color w:val="auto"/>
        </w:rPr>
      </w:pPr>
    </w:p>
    <w:p>
      <w:pPr>
        <w:ind w:left="1080" w:hanging="424"/>
        <w:spacing w:after="0"/>
        <w:tabs>
          <w:tab w:leader="none" w:pos="1080" w:val="left"/>
        </w:tabs>
        <w:numPr>
          <w:ilvl w:val="1"/>
          <w:numId w:val="133"/>
        </w:numPr>
        <w:rPr>
          <w:rFonts w:ascii="Arial" w:cs="Arial" w:eastAsia="Arial" w:hAnsi="Arial"/>
          <w:sz w:val="20"/>
          <w:szCs w:val="20"/>
          <w:color w:val="auto"/>
        </w:rPr>
      </w:pPr>
      <w:r>
        <w:rPr>
          <w:rFonts w:ascii="Arial" w:cs="Arial" w:eastAsia="Arial" w:hAnsi="Arial"/>
          <w:sz w:val="20"/>
          <w:szCs w:val="20"/>
          <w:color w:val="auto"/>
        </w:rPr>
        <w:t>the following investments:</w:t>
      </w:r>
    </w:p>
    <w:p>
      <w:pPr>
        <w:spacing w:after="0" w:line="215" w:lineRule="exact"/>
        <w:rPr>
          <w:rFonts w:ascii="Arial" w:cs="Arial" w:eastAsia="Arial" w:hAnsi="Arial"/>
          <w:sz w:val="20"/>
          <w:szCs w:val="20"/>
          <w:color w:val="auto"/>
        </w:rPr>
      </w:pPr>
    </w:p>
    <w:p>
      <w:pPr>
        <w:ind w:left="1680" w:hanging="375"/>
        <w:spacing w:after="0"/>
        <w:tabs>
          <w:tab w:leader="none" w:pos="1680" w:val="left"/>
        </w:tabs>
        <w:numPr>
          <w:ilvl w:val="2"/>
          <w:numId w:val="133"/>
        </w:numPr>
        <w:rPr>
          <w:rFonts w:ascii="Arial" w:cs="Arial" w:eastAsia="Arial" w:hAnsi="Arial"/>
          <w:sz w:val="20"/>
          <w:szCs w:val="20"/>
          <w:color w:val="auto"/>
        </w:rPr>
      </w:pPr>
      <w:r>
        <w:rPr>
          <w:rFonts w:ascii="Arial" w:cs="Arial" w:eastAsia="Arial" w:hAnsi="Arial"/>
          <w:sz w:val="20"/>
          <w:szCs w:val="20"/>
          <w:color w:val="auto"/>
        </w:rPr>
        <w:t>a capital contribution, in an amount not to exceed $650,000, in Boulder/Beaver LLC;</w:t>
      </w:r>
    </w:p>
    <w:p>
      <w:pPr>
        <w:spacing w:after="0" w:line="215" w:lineRule="exact"/>
        <w:rPr>
          <w:rFonts w:ascii="Arial" w:cs="Arial" w:eastAsia="Arial" w:hAnsi="Arial"/>
          <w:sz w:val="20"/>
          <w:szCs w:val="20"/>
          <w:color w:val="auto"/>
        </w:rPr>
      </w:pPr>
    </w:p>
    <w:p>
      <w:pPr>
        <w:jc w:val="both"/>
        <w:ind w:firstLine="1305"/>
        <w:spacing w:after="0" w:line="309" w:lineRule="auto"/>
        <w:tabs>
          <w:tab w:leader="none" w:pos="1745" w:val="left"/>
        </w:tabs>
        <w:numPr>
          <w:ilvl w:val="2"/>
          <w:numId w:val="133"/>
        </w:numPr>
        <w:rPr>
          <w:rFonts w:ascii="Arial" w:cs="Arial" w:eastAsia="Arial" w:hAnsi="Arial"/>
          <w:sz w:val="16"/>
          <w:szCs w:val="16"/>
          <w:color w:val="auto"/>
        </w:rPr>
      </w:pPr>
      <w:r>
        <w:rPr>
          <w:rFonts w:ascii="Arial" w:cs="Arial" w:eastAsia="Arial" w:hAnsi="Arial"/>
          <w:sz w:val="16"/>
          <w:szCs w:val="16"/>
          <w:color w:val="auto"/>
        </w:rPr>
        <w:t xml:space="preserve">workers compensation reserve account, established pursuant to a self-insurance permit from the Department of Labor or comparable agency in any state in which the Companies’ businesses are located, invested exclusively in items described in </w:t>
      </w:r>
      <w:r>
        <w:rPr>
          <w:rFonts w:ascii="Arial" w:cs="Arial" w:eastAsia="Arial" w:hAnsi="Arial"/>
          <w:sz w:val="16"/>
          <w:szCs w:val="16"/>
          <w:b w:val="1"/>
          <w:bCs w:val="1"/>
          <w:i w:val="1"/>
          <w:iCs w:val="1"/>
          <w:color w:val="auto"/>
        </w:rPr>
        <w:t>clauses (b)</w:t>
      </w:r>
      <w:r>
        <w:rPr>
          <w:rFonts w:ascii="Arial" w:cs="Arial" w:eastAsia="Arial" w:hAnsi="Arial"/>
          <w:sz w:val="16"/>
          <w:szCs w:val="16"/>
          <w:color w:val="auto"/>
        </w:rPr>
        <w:t xml:space="preserve"> through</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34"/>
        </w:numPr>
        <w:rPr>
          <w:rFonts w:ascii="Arial" w:cs="Arial" w:eastAsia="Arial" w:hAnsi="Arial"/>
          <w:sz w:val="20"/>
          <w:szCs w:val="20"/>
          <w:b w:val="1"/>
          <w:bCs w:val="1"/>
          <w:i w:val="1"/>
          <w:iCs w:val="1"/>
          <w:color w:val="auto"/>
        </w:rPr>
      </w:pPr>
      <w:r>
        <w:rPr>
          <w:rFonts w:ascii="Arial" w:cs="Arial" w:eastAsia="Arial" w:hAnsi="Arial"/>
          <w:sz w:val="20"/>
          <w:szCs w:val="20"/>
          <w:color w:val="auto"/>
        </w:rPr>
        <w:t>above; and</w:t>
      </w:r>
    </w:p>
    <w:p>
      <w:pPr>
        <w:spacing w:after="0" w:line="199" w:lineRule="exact"/>
        <w:rPr>
          <w:rFonts w:ascii="Arial" w:cs="Arial" w:eastAsia="Arial" w:hAnsi="Arial"/>
          <w:sz w:val="20"/>
          <w:szCs w:val="20"/>
          <w:b w:val="1"/>
          <w:bCs w:val="1"/>
          <w:i w:val="1"/>
          <w:iCs w:val="1"/>
          <w:color w:val="auto"/>
        </w:rPr>
      </w:pPr>
    </w:p>
    <w:p>
      <w:pPr>
        <w:ind w:firstLine="1305"/>
        <w:spacing w:after="0" w:line="260" w:lineRule="auto"/>
        <w:tabs>
          <w:tab w:leader="none" w:pos="1814" w:val="left"/>
        </w:tabs>
        <w:numPr>
          <w:ilvl w:val="2"/>
          <w:numId w:val="134"/>
        </w:numPr>
        <w:rPr>
          <w:rFonts w:ascii="Arial" w:cs="Arial" w:eastAsia="Arial" w:hAnsi="Arial"/>
          <w:sz w:val="20"/>
          <w:szCs w:val="20"/>
          <w:color w:val="auto"/>
        </w:rPr>
      </w:pPr>
      <w:r>
        <w:rPr>
          <w:rFonts w:ascii="Arial" w:cs="Arial" w:eastAsia="Arial" w:hAnsi="Arial"/>
          <w:sz w:val="20"/>
          <w:szCs w:val="20"/>
          <w:color w:val="auto"/>
        </w:rPr>
        <w:t>loans and contributions to employees for investments in employee residences as part of such employees’ compensation packages not to exceed $10,000,000 in the aggregate;</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108" w:val="left"/>
        </w:tabs>
        <w:numPr>
          <w:ilvl w:val="1"/>
          <w:numId w:val="134"/>
        </w:numPr>
        <w:rPr>
          <w:rFonts w:ascii="Arial" w:cs="Arial" w:eastAsia="Arial" w:hAnsi="Arial"/>
          <w:sz w:val="20"/>
          <w:szCs w:val="20"/>
          <w:color w:val="auto"/>
        </w:rPr>
      </w:pPr>
      <w:r>
        <w:rPr>
          <w:rFonts w:ascii="Arial" w:cs="Arial" w:eastAsia="Arial" w:hAnsi="Arial"/>
          <w:sz w:val="20"/>
          <w:szCs w:val="20"/>
          <w:color w:val="auto"/>
        </w:rPr>
        <w:t xml:space="preserve">so long as no Default or Potential Default exists or arises, investments set forth on </w:t>
      </w:r>
      <w:r>
        <w:rPr>
          <w:rFonts w:ascii="Arial" w:cs="Arial" w:eastAsia="Arial" w:hAnsi="Arial"/>
          <w:sz w:val="20"/>
          <w:szCs w:val="20"/>
          <w:b w:val="1"/>
          <w:bCs w:val="1"/>
          <w:i w:val="1"/>
          <w:iCs w:val="1"/>
          <w:color w:val="auto"/>
        </w:rPr>
        <w:t>part (c)</w:t>
      </w:r>
      <w:r>
        <w:rPr>
          <w:rFonts w:ascii="Arial" w:cs="Arial" w:eastAsia="Arial" w:hAnsi="Arial"/>
          <w:sz w:val="20"/>
          <w:szCs w:val="20"/>
          <w:color w:val="auto"/>
        </w:rPr>
        <w:t xml:space="preserve"> of </w:t>
      </w:r>
      <w:r>
        <w:rPr>
          <w:rFonts w:ascii="Arial" w:cs="Arial" w:eastAsia="Arial" w:hAnsi="Arial"/>
          <w:sz w:val="20"/>
          <w:szCs w:val="20"/>
          <w:b w:val="1"/>
          <w:bCs w:val="1"/>
          <w:i w:val="1"/>
          <w:iCs w:val="1"/>
          <w:color w:val="auto"/>
        </w:rPr>
        <w:t>Schedule 10.8</w:t>
      </w:r>
      <w:r>
        <w:rPr>
          <w:rFonts w:ascii="Arial" w:cs="Arial" w:eastAsia="Arial" w:hAnsi="Arial"/>
          <w:sz w:val="20"/>
          <w:szCs w:val="20"/>
          <w:color w:val="auto"/>
        </w:rPr>
        <w:t xml:space="preserve">, which investments are made (i) as a result of the exercise of put options by the owners thereof, and (ii) in accordance with the agreements set forth on </w:t>
      </w:r>
      <w:r>
        <w:rPr>
          <w:rFonts w:ascii="Arial" w:cs="Arial" w:eastAsia="Arial" w:hAnsi="Arial"/>
          <w:sz w:val="20"/>
          <w:szCs w:val="20"/>
          <w:b w:val="1"/>
          <w:bCs w:val="1"/>
          <w:i w:val="1"/>
          <w:iCs w:val="1"/>
          <w:color w:val="auto"/>
        </w:rPr>
        <w:t>part (c)</w:t>
      </w:r>
      <w:r>
        <w:rPr>
          <w:rFonts w:ascii="Arial" w:cs="Arial" w:eastAsia="Arial" w:hAnsi="Arial"/>
          <w:sz w:val="20"/>
          <w:szCs w:val="20"/>
          <w:color w:val="auto"/>
        </w:rPr>
        <w:t xml:space="preserve"> of </w:t>
      </w:r>
      <w:r>
        <w:rPr>
          <w:rFonts w:ascii="Arial" w:cs="Arial" w:eastAsia="Arial" w:hAnsi="Arial"/>
          <w:sz w:val="20"/>
          <w:szCs w:val="20"/>
          <w:b w:val="1"/>
          <w:bCs w:val="1"/>
          <w:i w:val="1"/>
          <w:iCs w:val="1"/>
          <w:color w:val="auto"/>
        </w:rPr>
        <w:t xml:space="preserve">Schedule 10.8 </w:t>
      </w:r>
      <w:r>
        <w:rPr>
          <w:rFonts w:ascii="Arial" w:cs="Arial" w:eastAsia="Arial" w:hAnsi="Arial"/>
          <w:sz w:val="20"/>
          <w:szCs w:val="20"/>
          <w:color w:val="auto"/>
        </w:rPr>
        <w:t>as in effect on the Closing Date;</w:t>
      </w:r>
    </w:p>
    <w:p>
      <w:pPr>
        <w:spacing w:after="0" w:line="186" w:lineRule="exact"/>
        <w:rPr>
          <w:rFonts w:ascii="Arial" w:cs="Arial" w:eastAsia="Arial" w:hAnsi="Arial"/>
          <w:sz w:val="20"/>
          <w:szCs w:val="20"/>
          <w:color w:val="auto"/>
        </w:rPr>
      </w:pPr>
    </w:p>
    <w:p>
      <w:pPr>
        <w:jc w:val="both"/>
        <w:ind w:firstLine="656"/>
        <w:spacing w:after="0" w:line="250" w:lineRule="auto"/>
        <w:tabs>
          <w:tab w:leader="none" w:pos="1113" w:val="left"/>
        </w:tabs>
        <w:numPr>
          <w:ilvl w:val="1"/>
          <w:numId w:val="134"/>
        </w:numPr>
        <w:rPr>
          <w:rFonts w:ascii="Arial" w:cs="Arial" w:eastAsia="Arial" w:hAnsi="Arial"/>
          <w:sz w:val="20"/>
          <w:szCs w:val="20"/>
          <w:color w:val="auto"/>
        </w:rPr>
      </w:pPr>
      <w:r>
        <w:rPr>
          <w:rFonts w:ascii="Arial" w:cs="Arial" w:eastAsia="Arial" w:hAnsi="Arial"/>
          <w:sz w:val="20"/>
          <w:szCs w:val="20"/>
          <w:color w:val="auto"/>
        </w:rPr>
        <w:t>short-term repurchase agreements with major banks and authorized dealers, fully collateralized to at least 100% of market value by marketable obligations issued or unconditionally guaranteed by an Approved Jurisdiction or issued by any agency of an Approved Jurisdiction and backed by the full faith and credit of such Approved Jurisdiction;</w:t>
      </w:r>
    </w:p>
    <w:p>
      <w:pPr>
        <w:spacing w:after="0" w:line="186" w:lineRule="exact"/>
        <w:rPr>
          <w:rFonts w:ascii="Arial" w:cs="Arial" w:eastAsia="Arial" w:hAnsi="Arial"/>
          <w:sz w:val="20"/>
          <w:szCs w:val="20"/>
          <w:color w:val="auto"/>
        </w:rPr>
      </w:pPr>
    </w:p>
    <w:p>
      <w:pPr>
        <w:jc w:val="both"/>
        <w:ind w:firstLine="656"/>
        <w:spacing w:after="0" w:line="250" w:lineRule="auto"/>
        <w:tabs>
          <w:tab w:leader="none" w:pos="1211" w:val="left"/>
        </w:tabs>
        <w:numPr>
          <w:ilvl w:val="1"/>
          <w:numId w:val="134"/>
        </w:numPr>
        <w:rPr>
          <w:rFonts w:ascii="Arial" w:cs="Arial" w:eastAsia="Arial" w:hAnsi="Arial"/>
          <w:sz w:val="20"/>
          <w:szCs w:val="20"/>
          <w:color w:val="auto"/>
        </w:rPr>
      </w:pPr>
      <w:r>
        <w:rPr>
          <w:rFonts w:ascii="Arial" w:cs="Arial" w:eastAsia="Arial" w:hAnsi="Arial"/>
          <w:sz w:val="20"/>
          <w:szCs w:val="20"/>
          <w:color w:val="auto"/>
        </w:rPr>
        <w:t>short-term variable rate demand notes that invest in tax-free municipal bonds of domestic issuers rated “</w:t>
      </w:r>
      <w:r>
        <w:rPr>
          <w:rFonts w:ascii="Arial" w:cs="Arial" w:eastAsia="Arial" w:hAnsi="Arial"/>
          <w:sz w:val="20"/>
          <w:szCs w:val="20"/>
          <w:i w:val="1"/>
          <w:iCs w:val="1"/>
          <w:color w:val="auto"/>
        </w:rPr>
        <w:t>A-2</w:t>
      </w:r>
      <w:r>
        <w:rPr>
          <w:rFonts w:ascii="Arial" w:cs="Arial" w:eastAsia="Arial" w:hAnsi="Arial"/>
          <w:sz w:val="20"/>
          <w:szCs w:val="20"/>
          <w:color w:val="auto"/>
        </w:rPr>
        <w:t>” or better by Moody’s or “</w:t>
      </w:r>
      <w:r>
        <w:rPr>
          <w:rFonts w:ascii="Arial" w:cs="Arial" w:eastAsia="Arial" w:hAnsi="Arial"/>
          <w:sz w:val="20"/>
          <w:szCs w:val="20"/>
          <w:i w:val="1"/>
          <w:iCs w:val="1"/>
          <w:color w:val="auto"/>
        </w:rPr>
        <w:t>A</w:t>
      </w:r>
      <w:r>
        <w:rPr>
          <w:rFonts w:ascii="Arial" w:cs="Arial" w:eastAsia="Arial" w:hAnsi="Arial"/>
          <w:sz w:val="20"/>
          <w:szCs w:val="20"/>
          <w:color w:val="auto"/>
        </w:rPr>
        <w:t>” or better by S&amp;P that are supported by irrevocable letters of credit issued by commercial banks organized under the laws of an Approved Jurisdiction or any state or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ectPr>
          <w:pgSz w:w="11900" w:h="16838" w:orient="portrait"/>
          <w:cols w:equalWidth="0" w:num="1">
            <w:col w:w="11420"/>
          </w:cols>
          <w:pgMar w:left="240" w:top="582" w:right="239" w:bottom="1440" w:gutter="0" w:footer="0" w:header="0"/>
        </w:sectPr>
      </w:pPr>
    </w:p>
    <w:bookmarkStart w:id="158" w:name="page159"/>
    <w:bookmarkEnd w:id="158"/>
    <w:p>
      <w:pPr>
        <w:spacing w:after="0"/>
        <w:rPr>
          <w:sz w:val="20"/>
          <w:szCs w:val="20"/>
          <w:color w:val="auto"/>
        </w:rPr>
      </w:pPr>
      <w:r>
        <w:rPr>
          <w:rFonts w:ascii="Arial" w:cs="Arial" w:eastAsia="Arial" w:hAnsi="Arial"/>
          <w:sz w:val="20"/>
          <w:szCs w:val="20"/>
          <w:color w:val="auto"/>
        </w:rPr>
        <w:t>province of an Approved Jurisdiction having combined capital, surplus, and undivided profits of not less than $100,000,000;</w:t>
      </w:r>
    </w:p>
    <w:p>
      <w:pPr>
        <w:spacing w:after="0" w:line="216" w:lineRule="exact"/>
        <w:rPr>
          <w:sz w:val="20"/>
          <w:szCs w:val="20"/>
          <w:color w:val="auto"/>
        </w:rPr>
      </w:pPr>
    </w:p>
    <w:p>
      <w:pPr>
        <w:jc w:val="both"/>
        <w:ind w:firstLine="656"/>
        <w:spacing w:after="0" w:line="250" w:lineRule="auto"/>
        <w:tabs>
          <w:tab w:leader="none" w:pos="1129" w:val="left"/>
        </w:tabs>
        <w:numPr>
          <w:ilvl w:val="0"/>
          <w:numId w:val="135"/>
        </w:numPr>
        <w:rPr>
          <w:rFonts w:ascii="Arial" w:cs="Arial" w:eastAsia="Arial" w:hAnsi="Arial"/>
          <w:sz w:val="20"/>
          <w:szCs w:val="20"/>
          <w:color w:val="auto"/>
        </w:rPr>
      </w:pPr>
      <w:r>
        <w:rPr>
          <w:rFonts w:ascii="Arial" w:cs="Arial" w:eastAsia="Arial" w:hAnsi="Arial"/>
          <w:sz w:val="20"/>
          <w:szCs w:val="20"/>
          <w:color w:val="auto"/>
        </w:rPr>
        <w:t xml:space="preserve">so long as no Default or Potential Default exists or arises, loans to Persons in which a Restricted Company does not have an Equity Interest, </w:t>
      </w:r>
      <w:r>
        <w:rPr>
          <w:rFonts w:ascii="Arial" w:cs="Arial" w:eastAsia="Arial" w:hAnsi="Arial"/>
          <w:sz w:val="20"/>
          <w:szCs w:val="20"/>
          <w:i w:val="1"/>
          <w:iCs w:val="1"/>
          <w:color w:val="auto"/>
        </w:rPr>
        <w:t>so long as</w:t>
      </w:r>
      <w:r>
        <w:rPr>
          <w:rFonts w:ascii="Arial" w:cs="Arial" w:eastAsia="Arial" w:hAnsi="Arial"/>
          <w:sz w:val="20"/>
          <w:szCs w:val="20"/>
          <w:color w:val="auto"/>
        </w:rPr>
        <w:t xml:space="preserve"> the aggregate amount of all loans made pursuant to this </w:t>
      </w:r>
      <w:r>
        <w:rPr>
          <w:rFonts w:ascii="Arial" w:cs="Arial" w:eastAsia="Arial" w:hAnsi="Arial"/>
          <w:sz w:val="20"/>
          <w:szCs w:val="20"/>
          <w:b w:val="1"/>
          <w:bCs w:val="1"/>
          <w:i w:val="1"/>
          <w:iCs w:val="1"/>
          <w:color w:val="auto"/>
        </w:rPr>
        <w:t>clause (r)</w:t>
      </w:r>
      <w:r>
        <w:rPr>
          <w:rFonts w:ascii="Arial" w:cs="Arial" w:eastAsia="Arial" w:hAnsi="Arial"/>
          <w:sz w:val="20"/>
          <w:szCs w:val="20"/>
          <w:color w:val="auto"/>
        </w:rPr>
        <w:t xml:space="preserve"> (determined with respect to each such loan based on the value thereof on the date of determination) does not exceed $15,000,000;</w:t>
      </w:r>
    </w:p>
    <w:p>
      <w:pPr>
        <w:spacing w:after="0" w:line="186" w:lineRule="exact"/>
        <w:rPr>
          <w:rFonts w:ascii="Arial" w:cs="Arial" w:eastAsia="Arial" w:hAnsi="Arial"/>
          <w:sz w:val="20"/>
          <w:szCs w:val="20"/>
          <w:color w:val="auto"/>
        </w:rPr>
      </w:pPr>
    </w:p>
    <w:p>
      <w:pPr>
        <w:jc w:val="both"/>
        <w:ind w:firstLine="656"/>
        <w:spacing w:after="0" w:line="246" w:lineRule="auto"/>
        <w:tabs>
          <w:tab w:leader="none" w:pos="1142" w:val="left"/>
        </w:tabs>
        <w:numPr>
          <w:ilvl w:val="0"/>
          <w:numId w:val="135"/>
        </w:numPr>
        <w:rPr>
          <w:rFonts w:ascii="Arial" w:cs="Arial" w:eastAsia="Arial" w:hAnsi="Arial"/>
          <w:sz w:val="20"/>
          <w:szCs w:val="20"/>
          <w:color w:val="auto"/>
        </w:rPr>
      </w:pPr>
      <w:r>
        <w:rPr>
          <w:rFonts w:ascii="Arial" w:cs="Arial" w:eastAsia="Arial" w:hAnsi="Arial"/>
          <w:sz w:val="20"/>
          <w:szCs w:val="20"/>
          <w:color w:val="auto"/>
        </w:rPr>
        <w:t xml:space="preserve">Permitted Recourse Obligations not constituting Debt;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for the avoidance of doubt, if an event or circumstance occurs that triggers a direct payment liability or reimbursement obligation (as opposed to a contingent or performance obligation) of any Restricted Company to a lender or other party to whom such Permitted Recourse Obligation is owed, then such Permitted Recourse Obligation will no longer be permitted pursuant to this </w:t>
      </w:r>
      <w:r>
        <w:rPr>
          <w:rFonts w:ascii="Arial" w:cs="Arial" w:eastAsia="Arial" w:hAnsi="Arial"/>
          <w:sz w:val="20"/>
          <w:szCs w:val="20"/>
          <w:b w:val="1"/>
          <w:bCs w:val="1"/>
          <w:i w:val="1"/>
          <w:iCs w:val="1"/>
          <w:color w:val="auto"/>
        </w:rPr>
        <w:t>clause (s)</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firstLine="656"/>
        <w:spacing w:after="0" w:line="258" w:lineRule="auto"/>
        <w:tabs>
          <w:tab w:leader="none" w:pos="105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loans, advances, and investments in Similar Businesses (including, without limitation, any loans, advances, and investments made in any Unrestricted Subsidiaries in a Similar Business and the amount of any Permitted Recourse Obligations constituting Debt and other credit support and contingent obligations with respect to Debt of such Unrestricted Subsidiaries) or joint ventures in which a Restricted Company has an Equity Interest (including, without limitation, credit support and contingent obligations with respect to Debt of such joint ventures), </w:t>
      </w:r>
      <w:r>
        <w:rPr>
          <w:rFonts w:ascii="Arial" w:cs="Arial" w:eastAsia="Arial" w:hAnsi="Arial"/>
          <w:sz w:val="19"/>
          <w:szCs w:val="19"/>
          <w:i w:val="1"/>
          <w:iCs w:val="1"/>
          <w:color w:val="auto"/>
        </w:rPr>
        <w:t>so long</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as </w:t>
      </w:r>
      <w:r>
        <w:rPr>
          <w:rFonts w:ascii="Arial" w:cs="Arial" w:eastAsia="Arial" w:hAnsi="Arial"/>
          <w:sz w:val="19"/>
          <w:szCs w:val="19"/>
          <w:color w:val="auto"/>
        </w:rPr>
        <w:t>(i) no Default or Potential Default exists or arises, (ii) Borrower has delivered to Administrative Agent a certificate reflecting Availability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and Unrestricted Cash in an aggregate amount of </w:t>
      </w:r>
      <w:r>
        <w:rPr>
          <w:rFonts w:ascii="Arial" w:cs="Arial" w:eastAsia="Arial" w:hAnsi="Arial"/>
          <w:sz w:val="19"/>
          <w:szCs w:val="19"/>
          <w:i w:val="1"/>
          <w:iCs w:val="1"/>
          <w:color w:val="auto"/>
        </w:rPr>
        <w:t>at least</w:t>
      </w:r>
      <w:r>
        <w:rPr>
          <w:rFonts w:ascii="Arial" w:cs="Arial" w:eastAsia="Arial" w:hAnsi="Arial"/>
          <w:sz w:val="19"/>
          <w:szCs w:val="19"/>
          <w:color w:val="auto"/>
        </w:rPr>
        <w:t xml:space="preserve"> $150,000,000 immediately after giving effect to such loan, advance, or investment, and (iii) the Total Leverage Ratio is less than 3.75 to 1.00;</w:t>
      </w:r>
    </w:p>
    <w:p>
      <w:pPr>
        <w:spacing w:after="0" w:line="179" w:lineRule="exact"/>
        <w:rPr>
          <w:rFonts w:ascii="Arial" w:cs="Arial" w:eastAsia="Arial" w:hAnsi="Arial"/>
          <w:sz w:val="19"/>
          <w:szCs w:val="19"/>
          <w:color w:val="auto"/>
        </w:rPr>
      </w:pPr>
    </w:p>
    <w:p>
      <w:pPr>
        <w:ind w:left="1080" w:hanging="424"/>
        <w:spacing w:after="0"/>
        <w:tabs>
          <w:tab w:leader="none" w:pos="108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loans, advances, investments in the Whistler Acquisition Subsidiaries required to consummate the Whistler Acquisition;</w:t>
      </w:r>
    </w:p>
    <w:p>
      <w:pPr>
        <w:spacing w:after="0" w:line="227" w:lineRule="exact"/>
        <w:rPr>
          <w:rFonts w:ascii="Arial" w:cs="Arial" w:eastAsia="Arial" w:hAnsi="Arial"/>
          <w:sz w:val="19"/>
          <w:szCs w:val="19"/>
          <w:color w:val="auto"/>
        </w:rPr>
      </w:pPr>
    </w:p>
    <w:p>
      <w:pPr>
        <w:jc w:val="both"/>
        <w:ind w:firstLine="656"/>
        <w:spacing w:after="0" w:line="258" w:lineRule="auto"/>
        <w:tabs>
          <w:tab w:leader="none" w:pos="1177"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loans, advances, and investments in Unrestricted Subsidiaries as contemplated by the Whistler Acquisition Agreement, in an equivalent amount to any Distributions made by the Borrower and permitted pursuant to </w:t>
      </w:r>
      <w:r>
        <w:rPr>
          <w:rFonts w:ascii="Arial" w:cs="Arial" w:eastAsia="Arial" w:hAnsi="Arial"/>
          <w:sz w:val="19"/>
          <w:szCs w:val="19"/>
          <w:b w:val="1"/>
          <w:bCs w:val="1"/>
          <w:i w:val="1"/>
          <w:iCs w:val="1"/>
          <w:color w:val="auto"/>
        </w:rPr>
        <w:t>Section 10.9</w:t>
      </w:r>
      <w:r>
        <w:rPr>
          <w:rFonts w:ascii="Arial" w:cs="Arial" w:eastAsia="Arial" w:hAnsi="Arial"/>
          <w:sz w:val="19"/>
          <w:szCs w:val="19"/>
          <w:color w:val="auto"/>
        </w:rPr>
        <w:t>, in order to enable an equivalent Distribution to be made to the holders of the Equity Interests of Exchangeco or any successor entity thereto.</w:t>
      </w:r>
    </w:p>
    <w:p>
      <w:pPr>
        <w:ind w:left="660"/>
        <w:spacing w:after="0"/>
        <w:rPr>
          <w:rFonts w:ascii="Arial" w:cs="Arial" w:eastAsia="Arial" w:hAnsi="Arial"/>
          <w:sz w:val="19"/>
          <w:szCs w:val="19"/>
          <w:color w:val="auto"/>
        </w:rPr>
      </w:pPr>
      <w:r>
        <w:rPr>
          <w:rFonts w:ascii="Arial" w:cs="Arial" w:eastAsia="Arial" w:hAnsi="Arial"/>
          <w:sz w:val="20"/>
          <w:szCs w:val="20"/>
          <w:color w:val="auto"/>
        </w:rPr>
        <w:t xml:space="preserve">10.9  </w:t>
      </w:r>
      <w:r>
        <w:rPr>
          <w:rFonts w:ascii="Arial" w:cs="Arial" w:eastAsia="Arial" w:hAnsi="Arial"/>
          <w:sz w:val="20"/>
          <w:szCs w:val="20"/>
          <w:u w:val="single" w:color="auto"/>
          <w:color w:val="auto"/>
        </w:rPr>
        <w:t>Distributions</w:t>
      </w:r>
      <w:r>
        <w:rPr>
          <w:rFonts w:ascii="Arial" w:cs="Arial" w:eastAsia="Arial" w:hAnsi="Arial"/>
          <w:sz w:val="20"/>
          <w:szCs w:val="20"/>
          <w:color w:val="auto"/>
        </w:rPr>
        <w:t xml:space="preserve">. Except as set forth on </w:t>
      </w:r>
      <w:r>
        <w:rPr>
          <w:rFonts w:ascii="Arial" w:cs="Arial" w:eastAsia="Arial" w:hAnsi="Arial"/>
          <w:sz w:val="20"/>
          <w:szCs w:val="20"/>
          <w:b w:val="1"/>
          <w:bCs w:val="1"/>
          <w:i w:val="1"/>
          <w:iCs w:val="1"/>
          <w:color w:val="auto"/>
        </w:rPr>
        <w:t>Schedule 10.9</w:t>
      </w:r>
      <w:r>
        <w:rPr>
          <w:rFonts w:ascii="Arial" w:cs="Arial" w:eastAsia="Arial" w:hAnsi="Arial"/>
          <w:sz w:val="20"/>
          <w:szCs w:val="20"/>
          <w:color w:val="auto"/>
        </w:rPr>
        <w:t xml:space="preserve">, no Company shall make any Distribution, </w:t>
      </w:r>
      <w:r>
        <w:rPr>
          <w:rFonts w:ascii="Arial" w:cs="Arial" w:eastAsia="Arial" w:hAnsi="Arial"/>
          <w:sz w:val="20"/>
          <w:szCs w:val="20"/>
          <w:i w:val="1"/>
          <w:iCs w:val="1"/>
          <w:color w:val="auto"/>
        </w:rPr>
        <w:t>except</w:t>
      </w:r>
      <w:r>
        <w:rPr>
          <w:rFonts w:ascii="Arial" w:cs="Arial" w:eastAsia="Arial" w:hAnsi="Arial"/>
          <w:sz w:val="20"/>
          <w:szCs w:val="20"/>
          <w:color w:val="auto"/>
        </w:rPr>
        <w:t xml:space="preserve"> as follows:</w:t>
      </w:r>
    </w:p>
    <w:p>
      <w:pPr>
        <w:spacing w:after="0" w:line="38" w:lineRule="exact"/>
        <w:rPr>
          <w:sz w:val="20"/>
          <w:szCs w:val="20"/>
          <w:color w:val="auto"/>
        </w:rPr>
      </w:pPr>
    </w:p>
    <w:p>
      <w:pPr>
        <w:ind w:left="1080" w:hanging="424"/>
        <w:spacing w:after="0"/>
        <w:tabs>
          <w:tab w:leader="none" w:pos="108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VRI may make payments of approximately $100,000 accruing to certain option holders;</w:t>
      </w:r>
    </w:p>
    <w:p>
      <w:pPr>
        <w:spacing w:after="0" w:line="53" w:lineRule="exact"/>
        <w:rPr>
          <w:rFonts w:ascii="Arial" w:cs="Arial" w:eastAsia="Arial" w:hAnsi="Arial"/>
          <w:sz w:val="20"/>
          <w:szCs w:val="20"/>
          <w:color w:val="auto"/>
        </w:rPr>
      </w:pPr>
    </w:p>
    <w:p>
      <w:pPr>
        <w:ind w:right="20" w:firstLine="656"/>
        <w:spacing w:after="0" w:line="297" w:lineRule="auto"/>
        <w:tabs>
          <w:tab w:leader="none" w:pos="109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Company may make Distributions to a Restricted Company and any Unrestricted Subsidiary may make Distributions ratably to the holders of its Equity Interests or otherwise in accordance with the organizational documents of such Unrestricted Subsidiary;</w:t>
      </w:r>
    </w:p>
    <w:p>
      <w:pPr>
        <w:jc w:val="both"/>
        <w:ind w:firstLine="656"/>
        <w:spacing w:after="0" w:line="244" w:lineRule="auto"/>
        <w:tabs>
          <w:tab w:leader="none" w:pos="1146" w:val="left"/>
        </w:tabs>
        <w:numPr>
          <w:ilvl w:val="0"/>
          <w:numId w:val="136"/>
        </w:numPr>
        <w:rPr>
          <w:rFonts w:ascii="Arial" w:cs="Arial" w:eastAsia="Arial" w:hAnsi="Arial"/>
          <w:sz w:val="20"/>
          <w:szCs w:val="20"/>
          <w:color w:val="auto"/>
        </w:rPr>
      </w:pPr>
      <w:r>
        <w:rPr>
          <w:rFonts w:ascii="Arial" w:cs="Arial" w:eastAsia="Arial" w:hAnsi="Arial"/>
          <w:sz w:val="20"/>
          <w:szCs w:val="20"/>
          <w:color w:val="auto"/>
        </w:rPr>
        <w:t>if VRI issues any Subordinated Debt which is subsequently converted to preferred stock, VRI may, if no Default or Potential Default exists (or would result therefrom), pay dividends on such stock at an annual rate which is less than or equal to the annual rate of interest payable on such Subordinated Debt prior to its conversion, so long as the terms on such preferred stock are no more favorable to the holders of the preferred stock than the terms afforded to the holders of the Subordinated Debt set forth in the indenture and other documents evidencing or executed in connection with such Subordinated Debt;</w:t>
      </w:r>
    </w:p>
    <w:p>
      <w:pPr>
        <w:spacing w:after="0" w:line="32" w:lineRule="exact"/>
        <w:rPr>
          <w:rFonts w:ascii="Arial" w:cs="Arial" w:eastAsia="Arial" w:hAnsi="Arial"/>
          <w:sz w:val="20"/>
          <w:szCs w:val="20"/>
          <w:color w:val="auto"/>
        </w:rPr>
      </w:pPr>
    </w:p>
    <w:p>
      <w:pPr>
        <w:ind w:left="1080" w:hanging="424"/>
        <w:spacing w:after="0"/>
        <w:tabs>
          <w:tab w:leader="none" w:pos="108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VRI may make additional Distributions as follows:</w:t>
      </w:r>
    </w:p>
    <w:p>
      <w:pPr>
        <w:spacing w:after="0" w:line="53" w:lineRule="exact"/>
        <w:rPr>
          <w:rFonts w:ascii="Arial" w:cs="Arial" w:eastAsia="Arial" w:hAnsi="Arial"/>
          <w:sz w:val="20"/>
          <w:szCs w:val="20"/>
          <w:color w:val="auto"/>
        </w:rPr>
      </w:pPr>
    </w:p>
    <w:p>
      <w:pPr>
        <w:jc w:val="both"/>
        <w:ind w:right="20" w:firstLine="1305"/>
        <w:spacing w:after="0" w:line="246" w:lineRule="auto"/>
        <w:tabs>
          <w:tab w:leader="none" w:pos="1743" w:val="left"/>
        </w:tabs>
        <w:numPr>
          <w:ilvl w:val="1"/>
          <w:numId w:val="136"/>
        </w:numPr>
        <w:rPr>
          <w:rFonts w:ascii="Arial" w:cs="Arial" w:eastAsia="Arial" w:hAnsi="Arial"/>
          <w:sz w:val="20"/>
          <w:szCs w:val="20"/>
          <w:color w:val="auto"/>
        </w:rPr>
      </w:pPr>
      <w:r>
        <w:rPr>
          <w:rFonts w:ascii="Arial" w:cs="Arial" w:eastAsia="Arial" w:hAnsi="Arial"/>
          <w:sz w:val="20"/>
          <w:szCs w:val="20"/>
          <w:color w:val="auto"/>
        </w:rPr>
        <w:t>if (A) no Default or Potential Default exists or arises, (B) Borrower has delivered to Administrative Agent a certificate reflecting Availability and Unrestricted Cash in an aggregate amount of at least $150,000,000 immediately after giving effect to such Distribution, and (C) the Total Leverage Ratio equals or exceeds 3.75 to 1.00, then VRI may make Distributions in an amount, when aggregated with</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ectPr>
          <w:pgSz w:w="11900" w:h="16838" w:orient="portrait"/>
          <w:cols w:equalWidth="0" w:num="1">
            <w:col w:w="11420"/>
          </w:cols>
          <w:pgMar w:left="240" w:top="582" w:right="239" w:bottom="1440" w:gutter="0" w:footer="0" w:header="0"/>
        </w:sectPr>
      </w:pPr>
    </w:p>
    <w:bookmarkStart w:id="159" w:name="page160"/>
    <w:bookmarkEnd w:id="159"/>
    <w:p>
      <w:pPr>
        <w:jc w:val="both"/>
        <w:spacing w:after="0" w:line="257" w:lineRule="auto"/>
        <w:rPr>
          <w:sz w:val="20"/>
          <w:szCs w:val="20"/>
          <w:color w:val="auto"/>
        </w:rPr>
      </w:pPr>
      <w:r>
        <w:rPr>
          <w:rFonts w:ascii="Arial" w:cs="Arial" w:eastAsia="Arial" w:hAnsi="Arial"/>
          <w:sz w:val="19"/>
          <w:szCs w:val="19"/>
          <w:color w:val="auto"/>
        </w:rPr>
        <w:t xml:space="preserve">all other Distributions by VRI from and after the Closing Date (including, without limitation, all Distributions pursuant to this </w:t>
      </w:r>
      <w:r>
        <w:rPr>
          <w:rFonts w:ascii="Arial" w:cs="Arial" w:eastAsia="Arial" w:hAnsi="Arial"/>
          <w:sz w:val="19"/>
          <w:szCs w:val="19"/>
          <w:b w:val="1"/>
          <w:bCs w:val="1"/>
          <w:i w:val="1"/>
          <w:iCs w:val="1"/>
          <w:color w:val="auto"/>
        </w:rPr>
        <w:t>clause (d)(i)</w:t>
      </w:r>
      <w:r>
        <w:rPr>
          <w:rFonts w:ascii="Arial" w:cs="Arial" w:eastAsia="Arial" w:hAnsi="Arial"/>
          <w:sz w:val="19"/>
          <w:szCs w:val="19"/>
          <w:color w:val="auto"/>
        </w:rPr>
        <w:t xml:space="preserve">, but excluding all Distributions pursuant to </w:t>
      </w:r>
      <w:r>
        <w:rPr>
          <w:rFonts w:ascii="Arial" w:cs="Arial" w:eastAsia="Arial" w:hAnsi="Arial"/>
          <w:sz w:val="19"/>
          <w:szCs w:val="19"/>
          <w:b w:val="1"/>
          <w:bCs w:val="1"/>
          <w:i w:val="1"/>
          <w:iCs w:val="1"/>
          <w:color w:val="auto"/>
        </w:rPr>
        <w:t>clauses (d)(ii)</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(d)(iii)</w:t>
      </w:r>
      <w:r>
        <w:rPr>
          <w:rFonts w:ascii="Arial" w:cs="Arial" w:eastAsia="Arial" w:hAnsi="Arial"/>
          <w:sz w:val="19"/>
          <w:szCs w:val="19"/>
          <w:color w:val="auto"/>
        </w:rPr>
        <w:t xml:space="preserve"> and </w:t>
      </w:r>
      <w:r>
        <w:rPr>
          <w:rFonts w:ascii="Arial" w:cs="Arial" w:eastAsia="Arial" w:hAnsi="Arial"/>
          <w:sz w:val="19"/>
          <w:szCs w:val="19"/>
          <w:b w:val="1"/>
          <w:bCs w:val="1"/>
          <w:i w:val="1"/>
          <w:iCs w:val="1"/>
          <w:color w:val="auto"/>
        </w:rPr>
        <w:t>(e)</w:t>
      </w:r>
      <w:r>
        <w:rPr>
          <w:rFonts w:ascii="Arial" w:cs="Arial" w:eastAsia="Arial" w:hAnsi="Arial"/>
          <w:sz w:val="19"/>
          <w:szCs w:val="19"/>
          <w:color w:val="auto"/>
        </w:rPr>
        <w:t xml:space="preserve"> through </w:t>
      </w:r>
      <w:r>
        <w:rPr>
          <w:rFonts w:ascii="Arial" w:cs="Arial" w:eastAsia="Arial" w:hAnsi="Arial"/>
          <w:sz w:val="19"/>
          <w:szCs w:val="19"/>
          <w:b w:val="1"/>
          <w:bCs w:val="1"/>
          <w:i w:val="1"/>
          <w:iCs w:val="1"/>
          <w:color w:val="auto"/>
        </w:rPr>
        <w:t>(h)</w:t>
      </w:r>
      <w:r>
        <w:rPr>
          <w:rFonts w:ascii="Arial" w:cs="Arial" w:eastAsia="Arial" w:hAnsi="Arial"/>
          <w:sz w:val="19"/>
          <w:szCs w:val="19"/>
          <w:color w:val="auto"/>
        </w:rPr>
        <w:t xml:space="preserve"> below), not to exceed the sum of (v) $200,000,000, </w:t>
      </w:r>
      <w:r>
        <w:rPr>
          <w:rFonts w:ascii="Arial" w:cs="Arial" w:eastAsia="Arial" w:hAnsi="Arial"/>
          <w:sz w:val="19"/>
          <w:szCs w:val="19"/>
          <w:i w:val="1"/>
          <w:iCs w:val="1"/>
          <w:color w:val="auto"/>
        </w:rPr>
        <w:t>plus</w:t>
      </w:r>
      <w:r>
        <w:rPr>
          <w:rFonts w:ascii="Arial" w:cs="Arial" w:eastAsia="Arial" w:hAnsi="Arial"/>
          <w:sz w:val="19"/>
          <w:szCs w:val="19"/>
          <w:color w:val="auto"/>
        </w:rPr>
        <w:t xml:space="preserve"> (w) 50% of Consolidated Net Income from and after February 1, 2014 (determined as of the last day of the most-recently-ended fiscal quarter of the Restricted Companies), </w:t>
      </w:r>
      <w:r>
        <w:rPr>
          <w:rFonts w:ascii="Arial" w:cs="Arial" w:eastAsia="Arial" w:hAnsi="Arial"/>
          <w:sz w:val="19"/>
          <w:szCs w:val="19"/>
          <w:i w:val="1"/>
          <w:iCs w:val="1"/>
          <w:color w:val="auto"/>
        </w:rPr>
        <w:t>minus</w:t>
      </w:r>
      <w:r>
        <w:rPr>
          <w:rFonts w:ascii="Arial" w:cs="Arial" w:eastAsia="Arial" w:hAnsi="Arial"/>
          <w:sz w:val="19"/>
          <w:szCs w:val="19"/>
          <w:color w:val="auto"/>
        </w:rPr>
        <w:t xml:space="preserve"> (x) if Consolidated Net Income from and after February 1, 2014 (determined as of the last day of the most-recently-ended fiscal quarter of the Restricted Companies) is a deficit, 100% of such deficit, </w:t>
      </w:r>
      <w:r>
        <w:rPr>
          <w:rFonts w:ascii="Arial" w:cs="Arial" w:eastAsia="Arial" w:hAnsi="Arial"/>
          <w:sz w:val="19"/>
          <w:szCs w:val="19"/>
          <w:i w:val="1"/>
          <w:iCs w:val="1"/>
          <w:color w:val="auto"/>
        </w:rPr>
        <w:t>plus</w:t>
      </w:r>
      <w:r>
        <w:rPr>
          <w:rFonts w:ascii="Arial" w:cs="Arial" w:eastAsia="Arial" w:hAnsi="Arial"/>
          <w:sz w:val="19"/>
          <w:szCs w:val="19"/>
          <w:color w:val="auto"/>
        </w:rPr>
        <w:t xml:space="preserve"> (y) 100% of the Restricted Companies’ net cash proceeds from the issuance of Equity Interests by any Restricted Company from and after the Closing Date, </w:t>
      </w:r>
      <w:r>
        <w:rPr>
          <w:rFonts w:ascii="Arial" w:cs="Arial" w:eastAsia="Arial" w:hAnsi="Arial"/>
          <w:sz w:val="19"/>
          <w:szCs w:val="19"/>
          <w:i w:val="1"/>
          <w:iCs w:val="1"/>
          <w:color w:val="auto"/>
        </w:rPr>
        <w:t>minus</w:t>
      </w:r>
      <w:r>
        <w:rPr>
          <w:rFonts w:ascii="Arial" w:cs="Arial" w:eastAsia="Arial" w:hAnsi="Arial"/>
          <w:sz w:val="19"/>
          <w:szCs w:val="19"/>
          <w:color w:val="auto"/>
        </w:rPr>
        <w:t xml:space="preserve"> (z) the sum of repayments of Subordinated Debt or High-Yield Debt pursuant to </w:t>
      </w:r>
      <w:r>
        <w:rPr>
          <w:rFonts w:ascii="Arial" w:cs="Arial" w:eastAsia="Arial" w:hAnsi="Arial"/>
          <w:sz w:val="19"/>
          <w:szCs w:val="19"/>
          <w:b w:val="1"/>
          <w:bCs w:val="1"/>
          <w:i w:val="1"/>
          <w:iCs w:val="1"/>
          <w:color w:val="auto"/>
        </w:rPr>
        <w:t>Section 10.2(a)</w:t>
      </w:r>
      <w:r>
        <w:rPr>
          <w:rFonts w:ascii="Arial" w:cs="Arial" w:eastAsia="Arial" w:hAnsi="Arial"/>
          <w:sz w:val="19"/>
          <w:szCs w:val="19"/>
          <w:color w:val="auto"/>
        </w:rPr>
        <w:t xml:space="preserve"> (other than any such repayment in connection with a refinancing of Subordinated Debt or High-Yield Debt permitted under this Agreement);</w:t>
      </w:r>
    </w:p>
    <w:p>
      <w:pPr>
        <w:spacing w:after="0" w:line="19" w:lineRule="exact"/>
        <w:rPr>
          <w:sz w:val="20"/>
          <w:szCs w:val="20"/>
          <w:color w:val="auto"/>
        </w:rPr>
      </w:pPr>
    </w:p>
    <w:p>
      <w:pPr>
        <w:jc w:val="both"/>
        <w:ind w:firstLine="1305"/>
        <w:spacing w:after="0" w:line="291" w:lineRule="auto"/>
        <w:tabs>
          <w:tab w:leader="none" w:pos="1788" w:val="left"/>
        </w:tabs>
        <w:numPr>
          <w:ilvl w:val="1"/>
          <w:numId w:val="137"/>
        </w:numPr>
        <w:rPr>
          <w:rFonts w:ascii="Arial" w:cs="Arial" w:eastAsia="Arial" w:hAnsi="Arial"/>
          <w:sz w:val="18"/>
          <w:szCs w:val="18"/>
          <w:color w:val="auto"/>
        </w:rPr>
      </w:pPr>
      <w:r>
        <w:rPr>
          <w:rFonts w:ascii="Arial" w:cs="Arial" w:eastAsia="Arial" w:hAnsi="Arial"/>
          <w:sz w:val="18"/>
          <w:szCs w:val="18"/>
          <w:color w:val="auto"/>
        </w:rPr>
        <w:t xml:space="preserve">if (A) no Default or Potential Default exists or arises, (B) Borrower has delivered to Administrative Agent a certificate reflecting Availability and Unrestricted Cash in an aggregate amount of </w:t>
      </w:r>
      <w:r>
        <w:rPr>
          <w:rFonts w:ascii="Arial" w:cs="Arial" w:eastAsia="Arial" w:hAnsi="Arial"/>
          <w:sz w:val="18"/>
          <w:szCs w:val="18"/>
          <w:i w:val="1"/>
          <w:iCs w:val="1"/>
          <w:color w:val="auto"/>
        </w:rPr>
        <w:t>at least</w:t>
      </w:r>
      <w:r>
        <w:rPr>
          <w:rFonts w:ascii="Arial" w:cs="Arial" w:eastAsia="Arial" w:hAnsi="Arial"/>
          <w:sz w:val="18"/>
          <w:szCs w:val="18"/>
          <w:color w:val="auto"/>
        </w:rPr>
        <w:t xml:space="preserve"> $75,000,000 immediately after giving effect to such Distribution, and (C) the Total Leverage Ratio is less than 3.75 to 1.00, then VRI may make Distributions in an unlimited amount; and</w:t>
      </w:r>
    </w:p>
    <w:p>
      <w:pPr>
        <w:spacing w:after="0" w:line="3" w:lineRule="exact"/>
        <w:rPr>
          <w:rFonts w:ascii="Arial" w:cs="Arial" w:eastAsia="Arial" w:hAnsi="Arial"/>
          <w:sz w:val="18"/>
          <w:szCs w:val="18"/>
          <w:color w:val="auto"/>
        </w:rPr>
      </w:pPr>
    </w:p>
    <w:p>
      <w:pPr>
        <w:jc w:val="both"/>
        <w:ind w:left="660" w:firstLine="1293"/>
        <w:spacing w:after="0" w:line="274" w:lineRule="auto"/>
        <w:tabs>
          <w:tab w:leader="none" w:pos="2753" w:val="left"/>
        </w:tabs>
        <w:numPr>
          <w:ilvl w:val="2"/>
          <w:numId w:val="137"/>
        </w:numPr>
        <w:rPr>
          <w:rFonts w:ascii="Arial" w:cs="Arial" w:eastAsia="Arial" w:hAnsi="Arial"/>
          <w:sz w:val="20"/>
          <w:szCs w:val="20"/>
          <w:color w:val="auto"/>
        </w:rPr>
      </w:pPr>
      <w:r>
        <w:rPr>
          <w:rFonts w:ascii="Arial" w:cs="Arial" w:eastAsia="Arial" w:hAnsi="Arial"/>
          <w:sz w:val="20"/>
          <w:szCs w:val="20"/>
          <w:color w:val="auto"/>
        </w:rPr>
        <w:t xml:space="preserve">if no Default or Potential Default exists or arises, then VRI may pay dividends in an amount not to exceed, for any fiscal quarter, the greater of (a) $75,000,000, or (b) an amount equal to twenty percent (20%) of Adjusted EBITDA for the trailing twelve month period ended on the last day of the most-recently ended fiscal quarter (as calculated in the Compliance Certificate most-recently delivered pursuant to </w:t>
      </w:r>
      <w:r>
        <w:rPr>
          <w:rFonts w:ascii="Arial" w:cs="Arial" w:eastAsia="Arial" w:hAnsi="Arial"/>
          <w:sz w:val="20"/>
          <w:szCs w:val="20"/>
          <w:b w:val="1"/>
          <w:bCs w:val="1"/>
          <w:i w:val="1"/>
          <w:iCs w:val="1"/>
          <w:color w:val="auto"/>
        </w:rPr>
        <w:t>Section 9.1(a)</w:t>
      </w:r>
      <w:r>
        <w:rPr>
          <w:rFonts w:ascii="Arial" w:cs="Arial" w:eastAsia="Arial" w:hAnsi="Arial"/>
          <w:sz w:val="20"/>
          <w:szCs w:val="20"/>
          <w:color w:val="auto"/>
        </w:rPr>
        <w:t xml:space="preserve"> or </w:t>
      </w:r>
      <w:r>
        <w:rPr>
          <w:rFonts w:ascii="Arial" w:cs="Arial" w:eastAsia="Arial" w:hAnsi="Arial"/>
          <w:sz w:val="20"/>
          <w:szCs w:val="20"/>
          <w:b w:val="1"/>
          <w:bCs w:val="1"/>
          <w:i w:val="1"/>
          <w:iCs w:val="1"/>
          <w:color w:val="auto"/>
        </w:rPr>
        <w:t>(b)</w:t>
      </w:r>
      <w:r>
        <w:rPr>
          <w:rFonts w:ascii="Arial" w:cs="Arial" w:eastAsia="Arial" w:hAnsi="Arial"/>
          <w:sz w:val="20"/>
          <w:szCs w:val="20"/>
          <w:color w:val="auto"/>
        </w:rPr>
        <w:t>);</w:t>
      </w:r>
    </w:p>
    <w:p>
      <w:pPr>
        <w:spacing w:after="0" w:line="16" w:lineRule="exact"/>
        <w:rPr>
          <w:rFonts w:ascii="Arial" w:cs="Arial" w:eastAsia="Arial" w:hAnsi="Arial"/>
          <w:sz w:val="20"/>
          <w:szCs w:val="20"/>
          <w:color w:val="auto"/>
        </w:rPr>
      </w:pPr>
    </w:p>
    <w:p>
      <w:pPr>
        <w:jc w:val="both"/>
        <w:ind w:firstLine="656"/>
        <w:spacing w:after="0" w:line="269" w:lineRule="auto"/>
        <w:tabs>
          <w:tab w:leader="none" w:pos="1075"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if no Default or Potential Default exists or arises, VRI may make Distributions on Equity Interests (other than Disqualified Equity Interests) payable solely in the form of common stock or other common equity interests of VRI;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VRI may make Distributions on Disqualified Equity Interests in the form of additional Disqualified Equity Interests of the same type;</w:t>
      </w:r>
    </w:p>
    <w:p>
      <w:pPr>
        <w:spacing w:after="0" w:line="8" w:lineRule="exact"/>
        <w:rPr>
          <w:rFonts w:ascii="Arial" w:cs="Arial" w:eastAsia="Arial" w:hAnsi="Arial"/>
          <w:sz w:val="19"/>
          <w:szCs w:val="19"/>
          <w:color w:val="auto"/>
        </w:rPr>
      </w:pPr>
    </w:p>
    <w:p>
      <w:pPr>
        <w:ind w:right="20" w:firstLine="656"/>
        <w:spacing w:after="0" w:line="260" w:lineRule="auto"/>
        <w:tabs>
          <w:tab w:leader="none" w:pos="1076" w:val="left"/>
        </w:tabs>
        <w:numPr>
          <w:ilvl w:val="0"/>
          <w:numId w:val="138"/>
        </w:numPr>
        <w:rPr>
          <w:rFonts w:ascii="Arial" w:cs="Arial" w:eastAsia="Arial" w:hAnsi="Arial"/>
          <w:sz w:val="20"/>
          <w:szCs w:val="20"/>
          <w:color w:val="auto"/>
        </w:rPr>
      </w:pPr>
      <w:r>
        <w:rPr>
          <w:rFonts w:ascii="Arial" w:cs="Arial" w:eastAsia="Arial" w:hAnsi="Arial"/>
          <w:sz w:val="20"/>
          <w:szCs w:val="20"/>
          <w:color w:val="auto"/>
        </w:rPr>
        <w:t>if no Default or Potential Default exists or arises, the Companies may make Distributions to their respective employees, officers, or directors in an aggregate amount not exceeding $2,000,000 in any twelve (12) month period;</w:t>
      </w:r>
    </w:p>
    <w:p>
      <w:pPr>
        <w:spacing w:after="0" w:line="14" w:lineRule="exact"/>
        <w:rPr>
          <w:rFonts w:ascii="Arial" w:cs="Arial" w:eastAsia="Arial" w:hAnsi="Arial"/>
          <w:sz w:val="20"/>
          <w:szCs w:val="20"/>
          <w:color w:val="auto"/>
        </w:rPr>
      </w:pPr>
    </w:p>
    <w:p>
      <w:pPr>
        <w:jc w:val="both"/>
        <w:ind w:firstLine="656"/>
        <w:spacing w:after="0" w:line="246" w:lineRule="auto"/>
        <w:tabs>
          <w:tab w:leader="none" w:pos="1111" w:val="left"/>
        </w:tabs>
        <w:numPr>
          <w:ilvl w:val="0"/>
          <w:numId w:val="138"/>
        </w:numPr>
        <w:rPr>
          <w:rFonts w:ascii="Arial" w:cs="Arial" w:eastAsia="Arial" w:hAnsi="Arial"/>
          <w:sz w:val="20"/>
          <w:szCs w:val="20"/>
          <w:color w:val="auto"/>
        </w:rPr>
      </w:pPr>
      <w:r>
        <w:rPr>
          <w:rFonts w:ascii="Arial" w:cs="Arial" w:eastAsia="Arial" w:hAnsi="Arial"/>
          <w:sz w:val="20"/>
          <w:szCs w:val="20"/>
          <w:color w:val="auto"/>
        </w:rPr>
        <w:t>so long as no Default or Potential Default exists or arises, the redemption, repurchase, or other acquisition of Equity Interests of VRI in exchange for, or out of the net cash proceeds of the substantially concurrent sale (other than to a Subsidiary of VRI) of, Equity Interests of VRI (except for any such redemption, repurchase, or acquisition effected through the concurrent issuance of Disqualified Equity Interests of the same type); and</w:t>
      </w:r>
    </w:p>
    <w:p>
      <w:pPr>
        <w:spacing w:after="0" w:line="29" w:lineRule="exact"/>
        <w:rPr>
          <w:rFonts w:ascii="Arial" w:cs="Arial" w:eastAsia="Arial" w:hAnsi="Arial"/>
          <w:sz w:val="20"/>
          <w:szCs w:val="20"/>
          <w:color w:val="auto"/>
        </w:rPr>
      </w:pPr>
    </w:p>
    <w:p>
      <w:pPr>
        <w:ind w:firstLine="656"/>
        <w:spacing w:after="0" w:line="260" w:lineRule="auto"/>
        <w:tabs>
          <w:tab w:leader="none" w:pos="1148" w:val="left"/>
        </w:tabs>
        <w:numPr>
          <w:ilvl w:val="0"/>
          <w:numId w:val="138"/>
        </w:numPr>
        <w:rPr>
          <w:rFonts w:ascii="Arial" w:cs="Arial" w:eastAsia="Arial" w:hAnsi="Arial"/>
          <w:sz w:val="20"/>
          <w:szCs w:val="20"/>
          <w:color w:val="auto"/>
        </w:rPr>
      </w:pPr>
      <w:r>
        <w:rPr>
          <w:rFonts w:ascii="Arial" w:cs="Arial" w:eastAsia="Arial" w:hAnsi="Arial"/>
          <w:sz w:val="20"/>
          <w:szCs w:val="20"/>
          <w:color w:val="auto"/>
        </w:rPr>
        <w:t>so long as no Default or Potential Default exists or arises, any Restricted Company may make Distributions of net cash proceeds from Designated Condominium Sales.</w:t>
      </w:r>
    </w:p>
    <w:p>
      <w:pPr>
        <w:spacing w:after="0" w:line="6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10.10 </w:t>
      </w:r>
      <w:r>
        <w:rPr>
          <w:rFonts w:ascii="Arial" w:cs="Arial" w:eastAsia="Arial" w:hAnsi="Arial"/>
          <w:sz w:val="20"/>
          <w:szCs w:val="20"/>
          <w:u w:val="single" w:color="auto"/>
          <w:color w:val="auto"/>
        </w:rPr>
        <w:t>Sale of Assets</w:t>
      </w:r>
      <w:r>
        <w:rPr>
          <w:rFonts w:ascii="Arial" w:cs="Arial" w:eastAsia="Arial" w:hAnsi="Arial"/>
          <w:sz w:val="20"/>
          <w:szCs w:val="20"/>
          <w:color w:val="auto"/>
        </w:rPr>
        <w:t xml:space="preserve">. No Restricted Company may sell, assign, lease, transfer, or otherwise dispose of Critical Assets in an aggregate amount (taking into account all dispositions after the Closing Date) in excess of 10% of Total Assets (measured prior to giving effect to such sale, assignment, lease transfer or disposal), if the ratio described in </w:t>
      </w:r>
      <w:r>
        <w:rPr>
          <w:rFonts w:ascii="Arial" w:cs="Arial" w:eastAsia="Arial" w:hAnsi="Arial"/>
          <w:sz w:val="20"/>
          <w:szCs w:val="20"/>
          <w:b w:val="1"/>
          <w:bCs w:val="1"/>
          <w:i w:val="1"/>
          <w:iCs w:val="1"/>
          <w:color w:val="auto"/>
        </w:rPr>
        <w:t>Section 11.1</w:t>
      </w:r>
      <w:r>
        <w:rPr>
          <w:rFonts w:ascii="Arial" w:cs="Arial" w:eastAsia="Arial" w:hAnsi="Arial"/>
          <w:sz w:val="20"/>
          <w:szCs w:val="20"/>
          <w:color w:val="auto"/>
        </w:rPr>
        <w:t xml:space="preserve"> would, on a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basis (taking the disposition into account), increase as a result of such disposition.</w:t>
      </w:r>
    </w:p>
    <w:p>
      <w:pPr>
        <w:spacing w:after="0" w:line="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10.11</w:t>
      </w:r>
      <w:r>
        <w:rPr>
          <w:sz w:val="20"/>
          <w:szCs w:val="20"/>
          <w:color w:val="auto"/>
        </w:rPr>
        <w:tab/>
      </w:r>
      <w:r>
        <w:rPr>
          <w:rFonts w:ascii="Arial" w:cs="Arial" w:eastAsia="Arial" w:hAnsi="Arial"/>
          <w:sz w:val="18"/>
          <w:szCs w:val="18"/>
          <w:u w:val="single" w:color="auto"/>
          <w:color w:val="auto"/>
        </w:rPr>
        <w:t>Acquisitions, Mergers, and Dissolutions</w:t>
      </w:r>
      <w:r>
        <w:rPr>
          <w:rFonts w:ascii="Arial" w:cs="Arial" w:eastAsia="Arial" w:hAnsi="Arial"/>
          <w:sz w:val="18"/>
          <w:szCs w:val="18"/>
          <w:color w:val="auto"/>
        </w:rPr>
        <w:t>.</w:t>
      </w:r>
    </w:p>
    <w:p>
      <w:pPr>
        <w:spacing w:after="0" w:line="38" w:lineRule="exact"/>
        <w:rPr>
          <w:sz w:val="20"/>
          <w:szCs w:val="20"/>
          <w:color w:val="auto"/>
        </w:rPr>
      </w:pPr>
    </w:p>
    <w:p>
      <w:pPr>
        <w:jc w:val="both"/>
        <w:ind w:firstLine="656"/>
        <w:spacing w:after="0" w:line="250" w:lineRule="auto"/>
        <w:tabs>
          <w:tab w:leader="none" w:pos="1105" w:val="left"/>
        </w:tabs>
        <w:numPr>
          <w:ilvl w:val="0"/>
          <w:numId w:val="139"/>
        </w:numPr>
        <w:rPr>
          <w:rFonts w:ascii="Arial" w:cs="Arial" w:eastAsia="Arial" w:hAnsi="Arial"/>
          <w:sz w:val="20"/>
          <w:szCs w:val="20"/>
          <w:color w:val="auto"/>
        </w:rPr>
      </w:pPr>
      <w:r>
        <w:rPr>
          <w:rFonts w:ascii="Arial" w:cs="Arial" w:eastAsia="Arial" w:hAnsi="Arial"/>
          <w:sz w:val="20"/>
          <w:szCs w:val="20"/>
          <w:color w:val="auto"/>
        </w:rPr>
        <w:t>A Restricted Company may not acquire all or any substantial portion of the capital stock (or other equity or voting interests) of any other Person, acquire all or any substantial portion of the assets of any other Person, merge or consolidate with any other Person, or liquidate, wind up or dissolve (or suffer any liquidation or dissolution), except as follows:</w:t>
      </w:r>
    </w:p>
    <w:p>
      <w:pPr>
        <w:spacing w:after="0" w:line="24" w:lineRule="exact"/>
        <w:rPr>
          <w:rFonts w:ascii="Arial" w:cs="Arial" w:eastAsia="Arial" w:hAnsi="Arial"/>
          <w:sz w:val="20"/>
          <w:szCs w:val="20"/>
          <w:color w:val="auto"/>
        </w:rPr>
      </w:pPr>
    </w:p>
    <w:p>
      <w:pPr>
        <w:jc w:val="both"/>
        <w:ind w:firstLine="1305"/>
        <w:spacing w:after="0" w:line="342" w:lineRule="auto"/>
        <w:tabs>
          <w:tab w:leader="none" w:pos="1819" w:val="left"/>
        </w:tabs>
        <w:numPr>
          <w:ilvl w:val="1"/>
          <w:numId w:val="139"/>
        </w:numPr>
        <w:rPr>
          <w:rFonts w:ascii="Arial" w:cs="Arial" w:eastAsia="Arial" w:hAnsi="Arial"/>
          <w:sz w:val="16"/>
          <w:szCs w:val="16"/>
          <w:color w:val="auto"/>
        </w:rPr>
      </w:pPr>
      <w:r>
        <w:rPr>
          <w:rFonts w:ascii="Arial" w:cs="Arial" w:eastAsia="Arial" w:hAnsi="Arial"/>
          <w:sz w:val="16"/>
          <w:szCs w:val="16"/>
          <w:color w:val="auto"/>
        </w:rPr>
        <w:t>any Restricted Subsidiary may acquire all or any substantial portion of the capital stock (or other equity or voting interests) issued by any other Restricted Subsidiary, acquire all or any substantial portion of the assets of any other Restricted Subsidiary, and merge or consolidate with any other Restricted Subsidiary (and, in the case of such merger or consolidation or, in the case of the conveyance or</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ectPr>
          <w:pgSz w:w="11900" w:h="16838" w:orient="portrait"/>
          <w:cols w:equalWidth="0" w:num="1">
            <w:col w:w="11420"/>
          </w:cols>
          <w:pgMar w:left="240" w:top="582" w:right="2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t xml:space="preserve">distribution of such assets, the non-surviving or selling entity, as the case may be, may be liquidated, wound up or dissolved), </w:t>
      </w:r>
      <w:r>
        <w:rPr>
          <w:rFonts w:ascii="Arial" w:cs="Arial" w:eastAsia="Arial" w:hAnsi="Arial"/>
          <w:sz w:val="18"/>
          <w:szCs w:val="18"/>
          <w:i w:val="1"/>
          <w:iCs w:val="1"/>
          <w:color w:val="auto"/>
        </w:rPr>
        <w:t>so long</w:t>
      </w:r>
      <w:r>
        <w:rPr>
          <w:rFonts w:ascii="Arial" w:cs="Arial" w:eastAsia="Arial" w:hAnsi="Arial"/>
          <w:sz w:val="18"/>
          <w:szCs w:val="18"/>
          <w:color w:val="auto"/>
        </w:rPr>
        <w:t xml:space="preserve"> as:</w:t>
      </w:r>
    </w:p>
    <w:p>
      <w:pPr>
        <w:spacing w:after="0" w:line="77" w:lineRule="exact"/>
        <w:rPr>
          <w:sz w:val="20"/>
          <w:szCs w:val="20"/>
          <w:color w:val="auto"/>
        </w:rPr>
      </w:pPr>
    </w:p>
    <w:p>
      <w:pPr>
        <w:jc w:val="both"/>
        <w:ind w:firstLine="1305"/>
        <w:spacing w:after="0" w:line="263" w:lineRule="auto"/>
        <w:tabs>
          <w:tab w:leader="none" w:pos="1776" w:val="left"/>
        </w:tabs>
        <w:numPr>
          <w:ilvl w:val="0"/>
          <w:numId w:val="140"/>
        </w:numPr>
        <w:rPr>
          <w:rFonts w:ascii="Arial" w:cs="Arial" w:eastAsia="Arial" w:hAnsi="Arial"/>
          <w:sz w:val="19"/>
          <w:szCs w:val="19"/>
          <w:color w:val="auto"/>
        </w:rPr>
      </w:pPr>
      <w:r>
        <w:rPr>
          <w:rFonts w:ascii="Arial" w:cs="Arial" w:eastAsia="Arial" w:hAnsi="Arial"/>
          <w:sz w:val="19"/>
          <w:szCs w:val="19"/>
          <w:color w:val="auto"/>
        </w:rPr>
        <w:t xml:space="preserve">with respect to a merger or consolidation, (1) if Borrower is a party to such merger or consolidation, then Borrower is the surviving entity, (2) if Borrower is not a party to such merger or consolidation, then (I) a Restricted Subsidiary is the surviving entity, and (II) if the surviving entity will own Critical Assets, then a Restricted Subsidiary of Borrower is the surviving entity, and (3) the surviving entity delivers Guaranties and Security Documents to the extent required under </w:t>
      </w:r>
      <w:r>
        <w:rPr>
          <w:rFonts w:ascii="Arial" w:cs="Arial" w:eastAsia="Arial" w:hAnsi="Arial"/>
          <w:sz w:val="19"/>
          <w:szCs w:val="19"/>
          <w:b w:val="1"/>
          <w:bCs w:val="1"/>
          <w:i w:val="1"/>
          <w:iCs w:val="1"/>
          <w:color w:val="auto"/>
        </w:rPr>
        <w:t>Section 9.10</w:t>
      </w:r>
      <w:r>
        <w:rPr>
          <w:rFonts w:ascii="Arial" w:cs="Arial" w:eastAsia="Arial" w:hAnsi="Arial"/>
          <w:sz w:val="19"/>
          <w:szCs w:val="19"/>
          <w:color w:val="auto"/>
        </w:rPr>
        <w:t>; and</w:t>
      </w:r>
    </w:p>
    <w:p>
      <w:pPr>
        <w:spacing w:after="0" w:line="14" w:lineRule="exact"/>
        <w:rPr>
          <w:rFonts w:ascii="Arial" w:cs="Arial" w:eastAsia="Arial" w:hAnsi="Arial"/>
          <w:sz w:val="19"/>
          <w:szCs w:val="19"/>
          <w:color w:val="auto"/>
        </w:rPr>
      </w:pPr>
    </w:p>
    <w:p>
      <w:pPr>
        <w:ind w:firstLine="1305"/>
        <w:spacing w:after="0" w:line="260" w:lineRule="auto"/>
        <w:tabs>
          <w:tab w:leader="none" w:pos="1799" w:val="left"/>
        </w:tabs>
        <w:numPr>
          <w:ilvl w:val="0"/>
          <w:numId w:val="140"/>
        </w:numPr>
        <w:rPr>
          <w:rFonts w:ascii="Arial" w:cs="Arial" w:eastAsia="Arial" w:hAnsi="Arial"/>
          <w:sz w:val="20"/>
          <w:szCs w:val="20"/>
          <w:color w:val="auto"/>
        </w:rPr>
      </w:pPr>
      <w:r>
        <w:rPr>
          <w:rFonts w:ascii="Arial" w:cs="Arial" w:eastAsia="Arial" w:hAnsi="Arial"/>
          <w:sz w:val="20"/>
          <w:szCs w:val="20"/>
          <w:color w:val="auto"/>
        </w:rPr>
        <w:t xml:space="preserve">to the extent Critical Assets are acquired by a Restricted Subsidiary in connection with the foregoing transactions, such Restricted Subsidiary must be in compliance with </w:t>
      </w:r>
      <w:r>
        <w:rPr>
          <w:rFonts w:ascii="Arial" w:cs="Arial" w:eastAsia="Arial" w:hAnsi="Arial"/>
          <w:sz w:val="20"/>
          <w:szCs w:val="20"/>
          <w:b w:val="1"/>
          <w:bCs w:val="1"/>
          <w:i w:val="1"/>
          <w:iCs w:val="1"/>
          <w:color w:val="auto"/>
        </w:rPr>
        <w:t>Section 9.7(b)</w:t>
      </w:r>
      <w:r>
        <w:rPr>
          <w:rFonts w:ascii="Arial" w:cs="Arial" w:eastAsia="Arial" w:hAnsi="Arial"/>
          <w:sz w:val="20"/>
          <w:szCs w:val="20"/>
          <w:color w:val="auto"/>
        </w:rPr>
        <w:t xml:space="preserve"> after giving effect thereto; and</w:t>
      </w:r>
    </w:p>
    <w:p>
      <w:pPr>
        <w:spacing w:after="0" w:line="15" w:lineRule="exact"/>
        <w:rPr>
          <w:sz w:val="20"/>
          <w:szCs w:val="20"/>
          <w:color w:val="auto"/>
        </w:rPr>
      </w:pPr>
    </w:p>
    <w:p>
      <w:pPr>
        <w:jc w:val="both"/>
        <w:ind w:firstLine="1305"/>
        <w:spacing w:after="0" w:line="263" w:lineRule="auto"/>
        <w:tabs>
          <w:tab w:leader="none" w:pos="1864" w:val="left"/>
        </w:tabs>
        <w:numPr>
          <w:ilvl w:val="0"/>
          <w:numId w:val="141"/>
        </w:numPr>
        <w:rPr>
          <w:rFonts w:ascii="Arial" w:cs="Arial" w:eastAsia="Arial" w:hAnsi="Arial"/>
          <w:sz w:val="19"/>
          <w:szCs w:val="19"/>
          <w:color w:val="auto"/>
        </w:rPr>
      </w:pPr>
      <w:r>
        <w:rPr>
          <w:rFonts w:ascii="Arial" w:cs="Arial" w:eastAsia="Arial" w:hAnsi="Arial"/>
          <w:sz w:val="19"/>
          <w:szCs w:val="19"/>
          <w:color w:val="auto"/>
        </w:rPr>
        <w:t xml:space="preserve">any Restricted Subsidiary may acquire all or any substantial portion of the capital stock (or other equity or voting interests) issued by any Person (other than a Restricted Company), acquire all or any substantial portion of the assets of any Person (other than a Restricted Company), or merge or consolidate with any other Person (other than a Restricted Company) (and, in the case of such merger or consolidation, the non-surviving entity may be liquidated, wound up or dissolved), </w:t>
      </w:r>
      <w:r>
        <w:rPr>
          <w:rFonts w:ascii="Arial" w:cs="Arial" w:eastAsia="Arial" w:hAnsi="Arial"/>
          <w:sz w:val="19"/>
          <w:szCs w:val="19"/>
          <w:i w:val="1"/>
          <w:iCs w:val="1"/>
          <w:color w:val="auto"/>
        </w:rPr>
        <w:t>so long as</w:t>
      </w:r>
      <w:r>
        <w:rPr>
          <w:rFonts w:ascii="Arial" w:cs="Arial" w:eastAsia="Arial" w:hAnsi="Arial"/>
          <w:sz w:val="19"/>
          <w:szCs w:val="19"/>
          <w:color w:val="auto"/>
        </w:rPr>
        <w:t>:</w:t>
      </w:r>
    </w:p>
    <w:p>
      <w:pPr>
        <w:spacing w:after="0" w:line="14" w:lineRule="exact"/>
        <w:rPr>
          <w:rFonts w:ascii="Arial" w:cs="Arial" w:eastAsia="Arial" w:hAnsi="Arial"/>
          <w:sz w:val="19"/>
          <w:szCs w:val="19"/>
          <w:color w:val="auto"/>
        </w:rPr>
      </w:pPr>
    </w:p>
    <w:p>
      <w:pPr>
        <w:jc w:val="both"/>
        <w:ind w:left="660" w:firstLine="1293"/>
        <w:spacing w:after="0" w:line="281" w:lineRule="auto"/>
        <w:tabs>
          <w:tab w:leader="none" w:pos="2552" w:val="left"/>
        </w:tabs>
        <w:numPr>
          <w:ilvl w:val="1"/>
          <w:numId w:val="141"/>
        </w:numPr>
        <w:rPr>
          <w:rFonts w:ascii="Arial" w:cs="Arial" w:eastAsia="Arial" w:hAnsi="Arial"/>
          <w:sz w:val="18"/>
          <w:szCs w:val="18"/>
          <w:color w:val="auto"/>
        </w:rPr>
      </w:pPr>
      <w:r>
        <w:rPr>
          <w:rFonts w:ascii="Arial" w:cs="Arial" w:eastAsia="Arial" w:hAnsi="Arial"/>
          <w:sz w:val="18"/>
          <w:szCs w:val="18"/>
          <w:color w:val="auto"/>
        </w:rPr>
        <w:t xml:space="preserve">with respect to a merger or consolidation, (1) if Borrower is a party to such merger or consolidation, then Borrower is the surviving entity, (2) if Borrower is not a party to such merger or consolidation, then (I) a Restricted Subsidiary is the surviving entity, and (II) if the surviving entity will own Critical Assets, then a Restricted Subsidiary of Borrower is the surviving entity, and (3) the surviving entity delivers Guaranties and Security Documents to the extent required under </w:t>
      </w:r>
      <w:r>
        <w:rPr>
          <w:rFonts w:ascii="Arial" w:cs="Arial" w:eastAsia="Arial" w:hAnsi="Arial"/>
          <w:sz w:val="18"/>
          <w:szCs w:val="18"/>
          <w:b w:val="1"/>
          <w:bCs w:val="1"/>
          <w:i w:val="1"/>
          <w:iCs w:val="1"/>
          <w:color w:val="auto"/>
        </w:rPr>
        <w:t>Section 9.10</w:t>
      </w:r>
      <w:r>
        <w:rPr>
          <w:rFonts w:ascii="Arial" w:cs="Arial" w:eastAsia="Arial" w:hAnsi="Arial"/>
          <w:sz w:val="18"/>
          <w:szCs w:val="18"/>
          <w:color w:val="auto"/>
        </w:rPr>
        <w:t>;</w:t>
      </w:r>
    </w:p>
    <w:p>
      <w:pPr>
        <w:spacing w:after="0" w:line="3" w:lineRule="exact"/>
        <w:rPr>
          <w:rFonts w:ascii="Arial" w:cs="Arial" w:eastAsia="Arial" w:hAnsi="Arial"/>
          <w:sz w:val="18"/>
          <w:szCs w:val="18"/>
          <w:color w:val="auto"/>
        </w:rPr>
      </w:pPr>
    </w:p>
    <w:p>
      <w:pPr>
        <w:ind w:left="660" w:firstLine="1293"/>
        <w:spacing w:after="0" w:line="260" w:lineRule="auto"/>
        <w:tabs>
          <w:tab w:leader="none" w:pos="2429" w:val="left"/>
        </w:tabs>
        <w:numPr>
          <w:ilvl w:val="1"/>
          <w:numId w:val="141"/>
        </w:numPr>
        <w:rPr>
          <w:rFonts w:ascii="Arial" w:cs="Arial" w:eastAsia="Arial" w:hAnsi="Arial"/>
          <w:sz w:val="20"/>
          <w:szCs w:val="20"/>
          <w:color w:val="auto"/>
        </w:rPr>
      </w:pPr>
      <w:r>
        <w:rPr>
          <w:rFonts w:ascii="Arial" w:cs="Arial" w:eastAsia="Arial" w:hAnsi="Arial"/>
          <w:sz w:val="20"/>
          <w:szCs w:val="20"/>
          <w:color w:val="auto"/>
        </w:rPr>
        <w:t xml:space="preserve">to the extent Critical Assets are acquired by a Restricted Company in connection with the foregoing transactions, such Restricted Company must be in compliance with </w:t>
      </w:r>
      <w:r>
        <w:rPr>
          <w:rFonts w:ascii="Arial" w:cs="Arial" w:eastAsia="Arial" w:hAnsi="Arial"/>
          <w:sz w:val="20"/>
          <w:szCs w:val="20"/>
          <w:b w:val="1"/>
          <w:bCs w:val="1"/>
          <w:i w:val="1"/>
          <w:iCs w:val="1"/>
          <w:color w:val="auto"/>
        </w:rPr>
        <w:t>Section 9.7(b)</w:t>
      </w:r>
      <w:r>
        <w:rPr>
          <w:rFonts w:ascii="Arial" w:cs="Arial" w:eastAsia="Arial" w:hAnsi="Arial"/>
          <w:sz w:val="20"/>
          <w:szCs w:val="20"/>
          <w:color w:val="auto"/>
        </w:rPr>
        <w:t xml:space="preserve"> after giving effect thereto;</w:t>
      </w:r>
    </w:p>
    <w:p>
      <w:pPr>
        <w:spacing w:after="0" w:line="14" w:lineRule="exact"/>
        <w:rPr>
          <w:rFonts w:ascii="Arial" w:cs="Arial" w:eastAsia="Arial" w:hAnsi="Arial"/>
          <w:sz w:val="20"/>
          <w:szCs w:val="20"/>
          <w:color w:val="auto"/>
        </w:rPr>
      </w:pPr>
    </w:p>
    <w:p>
      <w:pPr>
        <w:ind w:left="660" w:firstLine="1293"/>
        <w:spacing w:after="0" w:line="260" w:lineRule="auto"/>
        <w:tabs>
          <w:tab w:leader="none" w:pos="2493" w:val="left"/>
        </w:tabs>
        <w:numPr>
          <w:ilvl w:val="1"/>
          <w:numId w:val="141"/>
        </w:numPr>
        <w:rPr>
          <w:rFonts w:ascii="Arial" w:cs="Arial" w:eastAsia="Arial" w:hAnsi="Arial"/>
          <w:sz w:val="20"/>
          <w:szCs w:val="20"/>
          <w:color w:val="auto"/>
        </w:rPr>
      </w:pPr>
      <w:r>
        <w:rPr>
          <w:rFonts w:ascii="Arial" w:cs="Arial" w:eastAsia="Arial" w:hAnsi="Arial"/>
          <w:sz w:val="20"/>
          <w:szCs w:val="20"/>
          <w:color w:val="auto"/>
        </w:rPr>
        <w:t>Borrower certifies in writing to Administrative Agent as follows (with such calculations and other supporting evidence attached thereto as Administrative Agent shall request):</w:t>
      </w:r>
    </w:p>
    <w:p>
      <w:pPr>
        <w:spacing w:after="0" w:line="14" w:lineRule="exact"/>
        <w:rPr>
          <w:rFonts w:ascii="Arial" w:cs="Arial" w:eastAsia="Arial" w:hAnsi="Arial"/>
          <w:sz w:val="20"/>
          <w:szCs w:val="20"/>
          <w:color w:val="auto"/>
        </w:rPr>
      </w:pPr>
    </w:p>
    <w:p>
      <w:pPr>
        <w:ind w:left="1300" w:firstLine="1301"/>
        <w:spacing w:after="0" w:line="297" w:lineRule="auto"/>
        <w:tabs>
          <w:tab w:leader="none" w:pos="3084" w:val="left"/>
        </w:tabs>
        <w:numPr>
          <w:ilvl w:val="2"/>
          <w:numId w:val="141"/>
        </w:numPr>
        <w:rPr>
          <w:rFonts w:ascii="Arial" w:cs="Arial" w:eastAsia="Arial" w:hAnsi="Arial"/>
          <w:sz w:val="18"/>
          <w:szCs w:val="18"/>
          <w:color w:val="auto"/>
        </w:rPr>
      </w:pPr>
      <w:r>
        <w:rPr>
          <w:rFonts w:ascii="Arial" w:cs="Arial" w:eastAsia="Arial" w:hAnsi="Arial"/>
          <w:sz w:val="18"/>
          <w:szCs w:val="18"/>
          <w:color w:val="auto"/>
        </w:rPr>
        <w:t>the ratio of Net Funded Debt on the closing date of the transaction to Adjusted EBITDA for the most-recently-ended four fiscal quarters, after giving pro forma effect to the transaction, is less than or equal to 5.00 to 1.00,</w:t>
      </w:r>
    </w:p>
    <w:p>
      <w:pPr>
        <w:ind w:left="3040" w:hanging="439"/>
        <w:spacing w:after="0"/>
        <w:tabs>
          <w:tab w:leader="none" w:pos="3040" w:val="left"/>
        </w:tabs>
        <w:numPr>
          <w:ilvl w:val="2"/>
          <w:numId w:val="141"/>
        </w:numPr>
        <w:rPr>
          <w:rFonts w:ascii="Arial" w:cs="Arial" w:eastAsia="Arial" w:hAnsi="Arial"/>
          <w:sz w:val="16"/>
          <w:szCs w:val="16"/>
          <w:color w:val="auto"/>
        </w:rPr>
      </w:pPr>
      <w:r>
        <w:rPr>
          <w:rFonts w:ascii="Arial" w:cs="Arial" w:eastAsia="Arial" w:hAnsi="Arial"/>
          <w:sz w:val="16"/>
          <w:szCs w:val="16"/>
          <w:color w:val="auto"/>
        </w:rPr>
        <w:t>such other Person is engaged in a business in which a Restricted Company would be permitted to engage</w:t>
      </w:r>
    </w:p>
    <w:p>
      <w:pPr>
        <w:spacing w:after="0" w:line="61"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20"/>
          <w:szCs w:val="20"/>
          <w:color w:val="auto"/>
        </w:rPr>
        <w:t xml:space="preserve">under </w:t>
      </w:r>
      <w:r>
        <w:rPr>
          <w:rFonts w:ascii="Arial" w:cs="Arial" w:eastAsia="Arial" w:hAnsi="Arial"/>
          <w:sz w:val="20"/>
          <w:szCs w:val="20"/>
          <w:b w:val="1"/>
          <w:bCs w:val="1"/>
          <w:i w:val="1"/>
          <w:iCs w:val="1"/>
          <w:color w:val="auto"/>
        </w:rPr>
        <w:t>Section 10.14</w:t>
      </w:r>
      <w:r>
        <w:rPr>
          <w:rFonts w:ascii="Arial" w:cs="Arial" w:eastAsia="Arial" w:hAnsi="Arial"/>
          <w:sz w:val="20"/>
          <w:szCs w:val="20"/>
          <w:color w:val="auto"/>
        </w:rPr>
        <w:t>,</w:t>
      </w:r>
    </w:p>
    <w:p>
      <w:pPr>
        <w:spacing w:after="0" w:line="37" w:lineRule="exact"/>
        <w:rPr>
          <w:rFonts w:ascii="Arial" w:cs="Arial" w:eastAsia="Arial" w:hAnsi="Arial"/>
          <w:sz w:val="16"/>
          <w:szCs w:val="16"/>
          <w:color w:val="auto"/>
        </w:rPr>
      </w:pPr>
    </w:p>
    <w:p>
      <w:pPr>
        <w:ind w:left="1300" w:firstLine="1301"/>
        <w:spacing w:after="0" w:line="281" w:lineRule="auto"/>
        <w:tabs>
          <w:tab w:leader="none" w:pos="3104" w:val="left"/>
        </w:tabs>
        <w:numPr>
          <w:ilvl w:val="2"/>
          <w:numId w:val="141"/>
        </w:numPr>
        <w:rPr>
          <w:rFonts w:ascii="Arial" w:cs="Arial" w:eastAsia="Arial" w:hAnsi="Arial"/>
          <w:sz w:val="19"/>
          <w:szCs w:val="19"/>
          <w:color w:val="auto"/>
        </w:rPr>
      </w:pPr>
      <w:r>
        <w:rPr>
          <w:rFonts w:ascii="Arial" w:cs="Arial" w:eastAsia="Arial" w:hAnsi="Arial"/>
          <w:sz w:val="19"/>
          <w:szCs w:val="19"/>
          <w:color w:val="auto"/>
        </w:rPr>
        <w:t>as of the closing of any such transaction, the transaction has been approved and recommended by the board of directors of the Person to be acquired or from which such business is to be acquired,</w:t>
      </w:r>
    </w:p>
    <w:p>
      <w:pPr>
        <w:spacing w:after="0" w:line="1" w:lineRule="exact"/>
        <w:rPr>
          <w:rFonts w:ascii="Arial" w:cs="Arial" w:eastAsia="Arial" w:hAnsi="Arial"/>
          <w:sz w:val="19"/>
          <w:szCs w:val="19"/>
          <w:color w:val="auto"/>
        </w:rPr>
      </w:pPr>
    </w:p>
    <w:p>
      <w:pPr>
        <w:ind w:left="1300" w:firstLine="1301"/>
        <w:spacing w:after="0" w:line="260" w:lineRule="auto"/>
        <w:tabs>
          <w:tab w:leader="none" w:pos="3059" w:val="left"/>
        </w:tabs>
        <w:numPr>
          <w:ilvl w:val="2"/>
          <w:numId w:val="141"/>
        </w:numPr>
        <w:rPr>
          <w:rFonts w:ascii="Arial" w:cs="Arial" w:eastAsia="Arial" w:hAnsi="Arial"/>
          <w:sz w:val="20"/>
          <w:szCs w:val="20"/>
          <w:color w:val="auto"/>
        </w:rPr>
      </w:pPr>
      <w:r>
        <w:rPr>
          <w:rFonts w:ascii="Arial" w:cs="Arial" w:eastAsia="Arial" w:hAnsi="Arial"/>
          <w:sz w:val="20"/>
          <w:szCs w:val="20"/>
          <w:color w:val="auto"/>
        </w:rPr>
        <w:t>as of the closing of any transaction, after giving effect to such acquisition or merger, the acquiring party is Solvent and the Companies, on a consolidated basis, are Solvent, and</w:t>
      </w:r>
    </w:p>
    <w:p>
      <w:pPr>
        <w:spacing w:after="0" w:line="14" w:lineRule="exact"/>
        <w:rPr>
          <w:rFonts w:ascii="Arial" w:cs="Arial" w:eastAsia="Arial" w:hAnsi="Arial"/>
          <w:sz w:val="20"/>
          <w:szCs w:val="20"/>
          <w:color w:val="auto"/>
        </w:rPr>
      </w:pPr>
    </w:p>
    <w:p>
      <w:pPr>
        <w:ind w:left="1300" w:right="20" w:firstLine="1301"/>
        <w:spacing w:after="0" w:line="260" w:lineRule="auto"/>
        <w:tabs>
          <w:tab w:leader="none" w:pos="3025" w:val="left"/>
        </w:tabs>
        <w:numPr>
          <w:ilvl w:val="2"/>
          <w:numId w:val="141"/>
        </w:numPr>
        <w:rPr>
          <w:rFonts w:ascii="Arial" w:cs="Arial" w:eastAsia="Arial" w:hAnsi="Arial"/>
          <w:sz w:val="20"/>
          <w:szCs w:val="20"/>
          <w:color w:val="auto"/>
        </w:rPr>
      </w:pPr>
      <w:r>
        <w:rPr>
          <w:rFonts w:ascii="Arial" w:cs="Arial" w:eastAsia="Arial" w:hAnsi="Arial"/>
          <w:sz w:val="20"/>
          <w:szCs w:val="20"/>
          <w:color w:val="auto"/>
        </w:rPr>
        <w:t>as of the closing of any transaction, no Default or Potential Default exists or shall occur as a result of, and after giving effect to, such transaction, and</w:t>
      </w:r>
    </w:p>
    <w:p>
      <w:pPr>
        <w:spacing w:after="0" w:line="14" w:lineRule="exact"/>
        <w:rPr>
          <w:rFonts w:ascii="Arial" w:cs="Arial" w:eastAsia="Arial" w:hAnsi="Arial"/>
          <w:sz w:val="20"/>
          <w:szCs w:val="20"/>
          <w:color w:val="auto"/>
        </w:rPr>
      </w:pPr>
    </w:p>
    <w:p>
      <w:pPr>
        <w:jc w:val="both"/>
        <w:ind w:left="660" w:firstLine="1293"/>
        <w:spacing w:after="0" w:line="243" w:lineRule="auto"/>
        <w:tabs>
          <w:tab w:leader="none" w:pos="2543" w:val="left"/>
        </w:tabs>
        <w:numPr>
          <w:ilvl w:val="1"/>
          <w:numId w:val="141"/>
        </w:numPr>
        <w:rPr>
          <w:rFonts w:ascii="Arial" w:cs="Arial" w:eastAsia="Arial" w:hAnsi="Arial"/>
          <w:sz w:val="20"/>
          <w:szCs w:val="20"/>
          <w:color w:val="auto"/>
        </w:rPr>
      </w:pPr>
      <w:r>
        <w:rPr>
          <w:rFonts w:ascii="Arial" w:cs="Arial" w:eastAsia="Arial" w:hAnsi="Arial"/>
          <w:sz w:val="20"/>
          <w:szCs w:val="20"/>
          <w:color w:val="auto"/>
        </w:rPr>
        <w:t>in respect of any such transaction for which the sum of the Purchase Price exceeds $50,000,000, Borrower delivers to Administrative Agent (1) at least 15 days prior to the closing date of the transaction, a written description of the transaction, including the funding sources, the Purchase Price, calculations demonstrating pro forma compliance with the terms and conditions of the Loan Papers after giving effect to the transaction (including compliance with the Companies’ applicable financial covenants), and estimates of any actual and identifiable cost synergies, and a draft of the applicable purchase agreement or merger agreement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if a draft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ectPr>
          <w:pgSz w:w="11900" w:h="16838" w:orient="portrait"/>
          <w:cols w:equalWidth="0" w:num="1">
            <w:col w:w="11420"/>
          </w:cols>
          <w:pgMar w:left="240" w:top="582" w:right="239" w:bottom="1440" w:gutter="0" w:footer="0" w:header="0"/>
        </w:sectPr>
      </w:pPr>
    </w:p>
    <w:bookmarkStart w:id="161" w:name="page162"/>
    <w:bookmarkEnd w:id="161"/>
    <w:p>
      <w:pPr>
        <w:jc w:val="both"/>
        <w:ind w:left="660"/>
        <w:spacing w:after="0" w:line="263" w:lineRule="auto"/>
        <w:rPr>
          <w:sz w:val="20"/>
          <w:szCs w:val="20"/>
          <w:color w:val="auto"/>
        </w:rPr>
      </w:pPr>
      <w:r>
        <w:rPr>
          <w:rFonts w:ascii="Arial" w:cs="Arial" w:eastAsia="Arial" w:hAnsi="Arial"/>
          <w:sz w:val="19"/>
          <w:szCs w:val="19"/>
          <w:color w:val="auto"/>
        </w:rPr>
        <w:t>of the applicable purchase agreement or merger agreement is not available at least 15 days prior to the closing date of the transaction, then such draft may be delivered as soon as available, but in any event no later than 5 days prior to the closing date of the transaction), and (2) on or prior to the closing date of the transaction, a copy of the executed purchase agreement or executed merger agreement relating to the transaction (and, to the extent available, all schedules and exhibits thereto).</w:t>
      </w:r>
    </w:p>
    <w:p>
      <w:pPr>
        <w:spacing w:after="0" w:line="15" w:lineRule="exact"/>
        <w:rPr>
          <w:sz w:val="20"/>
          <w:szCs w:val="20"/>
          <w:color w:val="auto"/>
        </w:rPr>
      </w:pPr>
    </w:p>
    <w:p>
      <w:pPr>
        <w:ind w:left="1800" w:hanging="495"/>
        <w:spacing w:after="0"/>
        <w:tabs>
          <w:tab w:leader="none" w:pos="1800" w:val="left"/>
        </w:tabs>
        <w:numPr>
          <w:ilvl w:val="1"/>
          <w:numId w:val="142"/>
        </w:numPr>
        <w:rPr>
          <w:rFonts w:ascii="Arial" w:cs="Arial" w:eastAsia="Arial" w:hAnsi="Arial"/>
          <w:sz w:val="20"/>
          <w:szCs w:val="20"/>
          <w:color w:val="auto"/>
        </w:rPr>
      </w:pPr>
      <w:r>
        <w:rPr>
          <w:rFonts w:ascii="Arial" w:cs="Arial" w:eastAsia="Arial" w:hAnsi="Arial"/>
          <w:sz w:val="20"/>
          <w:szCs w:val="20"/>
          <w:color w:val="auto"/>
        </w:rPr>
        <w:t>VRI, VHI and the Whistler Acquisition Subsidiaries may consummate the Whistler Acquisition.</w:t>
      </w:r>
    </w:p>
    <w:p>
      <w:pPr>
        <w:spacing w:after="0" w:line="53" w:lineRule="exact"/>
        <w:rPr>
          <w:rFonts w:ascii="Arial" w:cs="Arial" w:eastAsia="Arial" w:hAnsi="Arial"/>
          <w:sz w:val="20"/>
          <w:szCs w:val="20"/>
          <w:color w:val="auto"/>
        </w:rPr>
      </w:pPr>
    </w:p>
    <w:p>
      <w:pPr>
        <w:ind w:firstLine="656"/>
        <w:spacing w:after="0" w:line="260" w:lineRule="auto"/>
        <w:tabs>
          <w:tab w:leader="none" w:pos="1186" w:val="left"/>
        </w:tabs>
        <w:numPr>
          <w:ilvl w:val="0"/>
          <w:numId w:val="143"/>
        </w:numPr>
        <w:rPr>
          <w:rFonts w:ascii="Arial" w:cs="Arial" w:eastAsia="Arial" w:hAnsi="Arial"/>
          <w:sz w:val="20"/>
          <w:szCs w:val="20"/>
          <w:color w:val="auto"/>
        </w:rPr>
      </w:pPr>
      <w:r>
        <w:rPr>
          <w:rFonts w:ascii="Arial" w:cs="Arial" w:eastAsia="Arial" w:hAnsi="Arial"/>
          <w:sz w:val="20"/>
          <w:szCs w:val="20"/>
          <w:color w:val="auto"/>
        </w:rPr>
        <w:t>Any Company (other than VRI or Borrower) that does not own any assets may be dissolved provided that Borrower gives Administrative Agent prior written notice of such dissolution.</w:t>
      </w:r>
    </w:p>
    <w:p>
      <w:pPr>
        <w:spacing w:after="0" w:line="23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10.12 </w:t>
      </w:r>
      <w:r>
        <w:rPr>
          <w:rFonts w:ascii="Arial" w:cs="Arial" w:eastAsia="Arial" w:hAnsi="Arial"/>
          <w:sz w:val="20"/>
          <w:szCs w:val="20"/>
          <w:u w:val="single" w:color="auto"/>
          <w:color w:val="auto"/>
        </w:rPr>
        <w:t>Assignment</w:t>
      </w:r>
      <w:r>
        <w:rPr>
          <w:rFonts w:ascii="Arial" w:cs="Arial" w:eastAsia="Arial" w:hAnsi="Arial"/>
          <w:sz w:val="20"/>
          <w:szCs w:val="20"/>
          <w:color w:val="auto"/>
        </w:rPr>
        <w:t>. No Company shall assign or transfer any of its Rights or cause to be delegated its duties or obligations under any of the Loan Papers.</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10.13 </w:t>
      </w:r>
      <w:r>
        <w:rPr>
          <w:rFonts w:ascii="Arial" w:cs="Arial" w:eastAsia="Arial" w:hAnsi="Arial"/>
          <w:sz w:val="20"/>
          <w:szCs w:val="20"/>
          <w:u w:val="single" w:color="auto"/>
          <w:color w:val="auto"/>
        </w:rPr>
        <w:t>Fiscal Year and Accounting Methods</w:t>
      </w:r>
      <w:r>
        <w:rPr>
          <w:rFonts w:ascii="Arial" w:cs="Arial" w:eastAsia="Arial" w:hAnsi="Arial"/>
          <w:sz w:val="20"/>
          <w:szCs w:val="20"/>
          <w:color w:val="auto"/>
        </w:rPr>
        <w:t>. No Company shall change its method of accounting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immaterial changes in methods or as required by GAAP), nor, without first obtaining Administrative Agent’s written consent, change its fiscal year. In the event that any Company changes its fiscal year, to the extent requested by Administrative Agent or Required Lenders, Borrower, Administrative Agent, Required Lenders, and Guarantors agree to negotiate such amendments to this Agreement and other Loan Papers as necessary to effect the change of its fiscal year.</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10.14 </w:t>
      </w:r>
      <w:r>
        <w:rPr>
          <w:rFonts w:ascii="Arial" w:cs="Arial" w:eastAsia="Arial" w:hAnsi="Arial"/>
          <w:sz w:val="20"/>
          <w:szCs w:val="20"/>
          <w:u w:val="single" w:color="auto"/>
          <w:color w:val="auto"/>
        </w:rPr>
        <w:t>New Businesses</w:t>
      </w:r>
      <w:r>
        <w:rPr>
          <w:rFonts w:ascii="Arial" w:cs="Arial" w:eastAsia="Arial" w:hAnsi="Arial"/>
          <w:sz w:val="20"/>
          <w:szCs w:val="20"/>
          <w:color w:val="auto"/>
        </w:rPr>
        <w:t xml:space="preserve">. No Restricted Company shall engage in any business, </w:t>
      </w:r>
      <w:r>
        <w:rPr>
          <w:rFonts w:ascii="Arial" w:cs="Arial" w:eastAsia="Arial" w:hAnsi="Arial"/>
          <w:sz w:val="20"/>
          <w:szCs w:val="20"/>
          <w:i w:val="1"/>
          <w:iCs w:val="1"/>
          <w:color w:val="auto"/>
        </w:rPr>
        <w:t>except</w:t>
      </w:r>
      <w:r>
        <w:rPr>
          <w:rFonts w:ascii="Arial" w:cs="Arial" w:eastAsia="Arial" w:hAnsi="Arial"/>
          <w:sz w:val="20"/>
          <w:szCs w:val="20"/>
          <w:color w:val="auto"/>
        </w:rPr>
        <w:t xml:space="preserve"> the businesses in which they are engaged on the Closing Date and any other Similar Business; </w:t>
      </w:r>
      <w:r>
        <w:rPr>
          <w:rFonts w:ascii="Arial" w:cs="Arial" w:eastAsia="Arial" w:hAnsi="Arial"/>
          <w:sz w:val="20"/>
          <w:szCs w:val="20"/>
          <w:i w:val="1"/>
          <w:iCs w:val="1"/>
          <w:color w:val="auto"/>
        </w:rPr>
        <w:t>provided, however, that</w:t>
      </w:r>
      <w:r>
        <w:rPr>
          <w:rFonts w:ascii="Arial" w:cs="Arial" w:eastAsia="Arial" w:hAnsi="Arial"/>
          <w:sz w:val="20"/>
          <w:szCs w:val="20"/>
          <w:color w:val="auto"/>
        </w:rPr>
        <w:t xml:space="preserve"> the foregoing shall not be construed to prohibit the cessation by any Company of its business activities or the sale or transfer of the business or assets of such Company to the extent not otherwise prohibited by this Agreement.</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10.15 </w:t>
      </w:r>
      <w:r>
        <w:rPr>
          <w:rFonts w:ascii="Arial" w:cs="Arial" w:eastAsia="Arial" w:hAnsi="Arial"/>
          <w:sz w:val="20"/>
          <w:szCs w:val="20"/>
          <w:u w:val="single" w:color="auto"/>
          <w:color w:val="auto"/>
        </w:rPr>
        <w:t>Government Regulations</w:t>
      </w:r>
      <w:r>
        <w:rPr>
          <w:rFonts w:ascii="Arial" w:cs="Arial" w:eastAsia="Arial" w:hAnsi="Arial"/>
          <w:sz w:val="20"/>
          <w:szCs w:val="20"/>
          <w:color w:val="auto"/>
        </w:rPr>
        <w:t xml:space="preserve">. No Company shall conduct its business in a way that it becomes regulated under the </w:t>
      </w:r>
      <w:r>
        <w:rPr>
          <w:rFonts w:ascii="Arial" w:cs="Arial" w:eastAsia="Arial" w:hAnsi="Arial"/>
          <w:sz w:val="20"/>
          <w:szCs w:val="20"/>
          <w:i w:val="1"/>
          <w:iCs w:val="1"/>
          <w:color w:val="auto"/>
        </w:rPr>
        <w:t>Investment</w:t>
      </w:r>
      <w:r>
        <w:rPr>
          <w:rFonts w:ascii="Arial" w:cs="Arial" w:eastAsia="Arial" w:hAnsi="Arial"/>
          <w:sz w:val="20"/>
          <w:szCs w:val="20"/>
          <w:color w:val="auto"/>
        </w:rPr>
        <w:t xml:space="preserve"> </w:t>
      </w:r>
      <w:r>
        <w:rPr>
          <w:rFonts w:ascii="Arial" w:cs="Arial" w:eastAsia="Arial" w:hAnsi="Arial"/>
          <w:sz w:val="20"/>
          <w:szCs w:val="20"/>
          <w:i w:val="1"/>
          <w:iCs w:val="1"/>
          <w:color w:val="auto"/>
        </w:rPr>
        <w:t>Company Act of 1940</w:t>
      </w:r>
      <w:r>
        <w:rPr>
          <w:rFonts w:ascii="Arial" w:cs="Arial" w:eastAsia="Arial" w:hAnsi="Arial"/>
          <w:sz w:val="20"/>
          <w:szCs w:val="20"/>
          <w:color w:val="auto"/>
        </w:rPr>
        <w:t>, as amended.</w:t>
      </w:r>
    </w:p>
    <w:p>
      <w:pPr>
        <w:spacing w:after="0" w:line="17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Burdensome Agreements</w:t>
      </w:r>
      <w:r>
        <w:rPr>
          <w:rFonts w:ascii="Arial" w:cs="Arial" w:eastAsia="Arial" w:hAnsi="Arial"/>
          <w:sz w:val="18"/>
          <w:szCs w:val="18"/>
          <w:color w:val="auto"/>
        </w:rPr>
        <w:t xml:space="preserve">. No Company shall enter into, incur, or permit to exist any agreement or other arrangement (other than this Agreement or any other Loan Paper) that prohibits, restricts, or imposes any condition upon (a) the ability of any Restricted Company to create, incur, or permit to exist any Lien upon any of its property or assets securing Debt, or (b) the ability of any Restricted Company to pay dividends or other Distributions with respect to any shares of its capital stock to Borrower or any Guarantor, to otherwise transfer property or assets to Borrower or any Guarantor, to make or repay loans or advances to Borrower or any other Guarantor, or to guarantee the Debt of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(x) </w:t>
      </w:r>
      <w:r>
        <w:rPr>
          <w:rFonts w:ascii="Arial" w:cs="Arial" w:eastAsia="Arial" w:hAnsi="Arial"/>
          <w:sz w:val="18"/>
          <w:szCs w:val="18"/>
          <w:b w:val="1"/>
          <w:bCs w:val="1"/>
          <w:i w:val="1"/>
          <w:iCs w:val="1"/>
          <w:color w:val="auto"/>
        </w:rPr>
        <w:t>clauses (a)</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(b)</w:t>
      </w:r>
      <w:r>
        <w:rPr>
          <w:rFonts w:ascii="Arial" w:cs="Arial" w:eastAsia="Arial" w:hAnsi="Arial"/>
          <w:sz w:val="18"/>
          <w:szCs w:val="18"/>
          <w:color w:val="auto"/>
        </w:rPr>
        <w:t xml:space="preserve"> above shall not apply to (A) restrictions and conditions (1) imposed by Law, the Loan Papers, or any documentation for Debt constituting “</w:t>
      </w:r>
      <w:r>
        <w:rPr>
          <w:rFonts w:ascii="Arial" w:cs="Arial" w:eastAsia="Arial" w:hAnsi="Arial"/>
          <w:sz w:val="18"/>
          <w:szCs w:val="18"/>
          <w:i w:val="1"/>
          <w:iCs w:val="1"/>
          <w:color w:val="auto"/>
        </w:rPr>
        <w:t>Permitted Debt</w:t>
      </w:r>
      <w:r>
        <w:rPr>
          <w:rFonts w:ascii="Arial" w:cs="Arial" w:eastAsia="Arial" w:hAnsi="Arial"/>
          <w:sz w:val="18"/>
          <w:szCs w:val="18"/>
          <w:color w:val="auto"/>
        </w:rPr>
        <w:t xml:space="preserve">” under </w:t>
      </w:r>
      <w:r>
        <w:rPr>
          <w:rFonts w:ascii="Arial" w:cs="Arial" w:eastAsia="Arial" w:hAnsi="Arial"/>
          <w:sz w:val="18"/>
          <w:szCs w:val="18"/>
          <w:b w:val="1"/>
          <w:bCs w:val="1"/>
          <w:i w:val="1"/>
          <w:iCs w:val="1"/>
          <w:color w:val="auto"/>
        </w:rPr>
        <w:t>clauses (d)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w:t>
      </w:r>
      <w:r>
        <w:rPr>
          <w:rFonts w:ascii="Arial" w:cs="Arial" w:eastAsia="Arial" w:hAnsi="Arial"/>
          <w:sz w:val="18"/>
          <w:szCs w:val="18"/>
          <w:color w:val="auto"/>
        </w:rPr>
        <w:t xml:space="preserve"> (solely with respect to Debt existing at the time of such acquisition, except to the extent entered into in connection therewith or in contemplation thereof), or </w:t>
      </w:r>
      <w:r>
        <w:rPr>
          <w:rFonts w:ascii="Arial" w:cs="Arial" w:eastAsia="Arial" w:hAnsi="Arial"/>
          <w:sz w:val="18"/>
          <w:szCs w:val="18"/>
          <w:b w:val="1"/>
          <w:bCs w:val="1"/>
          <w:i w:val="1"/>
          <w:iCs w:val="1"/>
          <w:color w:val="auto"/>
        </w:rPr>
        <w:t>(q)</w:t>
      </w:r>
      <w:r>
        <w:rPr>
          <w:rFonts w:ascii="Arial" w:cs="Arial" w:eastAsia="Arial" w:hAnsi="Arial"/>
          <w:sz w:val="18"/>
          <w:szCs w:val="18"/>
          <w:color w:val="auto"/>
        </w:rPr>
        <w:t xml:space="preserve"> of the definition thereof, so long as such restrictions do not prevent, impede, or impair (I) the creation of Liens and Guaranties in favor of Lenders under the Loan Papers or (II) the satisfaction of the obligations of Borrower and Guarantors under the Loan Papers, (2) contained in agreements relating to the sale of a Subsidiary or other asset, so long as the sale of such Subsidiary or other asset is permitted pursuant to this Agreement, and (3) contained in agreements set forth on </w:t>
      </w:r>
      <w:r>
        <w:rPr>
          <w:rFonts w:ascii="Arial" w:cs="Arial" w:eastAsia="Arial" w:hAnsi="Arial"/>
          <w:sz w:val="18"/>
          <w:szCs w:val="18"/>
          <w:b w:val="1"/>
          <w:bCs w:val="1"/>
          <w:i w:val="1"/>
          <w:iCs w:val="1"/>
          <w:color w:val="auto"/>
        </w:rPr>
        <w:t>Schedule 10.16</w:t>
      </w:r>
      <w:r>
        <w:rPr>
          <w:rFonts w:ascii="Arial" w:cs="Arial" w:eastAsia="Arial" w:hAnsi="Arial"/>
          <w:sz w:val="18"/>
          <w:szCs w:val="18"/>
          <w:color w:val="auto"/>
        </w:rPr>
        <w:t>, (B) the Northstar Leases, and (C) the Canyons-Park City Lease as in effect on the Closing Date, and</w:t>
      </w:r>
    </w:p>
    <w:p>
      <w:pPr>
        <w:spacing w:after="0" w:line="8" w:lineRule="exact"/>
        <w:rPr>
          <w:sz w:val="20"/>
          <w:szCs w:val="20"/>
          <w:color w:val="auto"/>
        </w:rPr>
      </w:pPr>
    </w:p>
    <w:p>
      <w:pPr>
        <w:ind w:firstLine="8"/>
        <w:spacing w:after="0" w:line="244" w:lineRule="auto"/>
        <w:tabs>
          <w:tab w:leader="none" w:pos="280" w:val="left"/>
        </w:tabs>
        <w:numPr>
          <w:ilvl w:val="0"/>
          <w:numId w:val="14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clause (a) </w:t>
      </w:r>
      <w:r>
        <w:rPr>
          <w:rFonts w:ascii="Arial" w:cs="Arial" w:eastAsia="Arial" w:hAnsi="Arial"/>
          <w:sz w:val="20"/>
          <w:szCs w:val="20"/>
          <w:color w:val="auto"/>
        </w:rPr>
        <w:t>above shall not apply to customary provisions in leases and other agreements restricting the assignment thereof or the granting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Liens on leased or licensed property.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ectPr>
          <w:pgSz w:w="11900" w:h="16838" w:orient="portrait"/>
          <w:cols w:equalWidth="0" w:num="1">
            <w:col w:w="11420"/>
          </w:cols>
          <w:pgMar w:left="240" w:top="582" w:right="239" w:bottom="1440" w:gutter="0" w:footer="0" w:header="0"/>
        </w:sectPr>
      </w:pPr>
    </w:p>
    <w:bookmarkStart w:id="162" w:name="page163"/>
    <w:bookmarkEnd w:id="162"/>
    <w:p>
      <w:pPr>
        <w:jc w:val="both"/>
        <w:ind w:firstLine="648"/>
        <w:spacing w:after="0" w:line="250" w:lineRule="auto"/>
        <w:rPr>
          <w:sz w:val="20"/>
          <w:szCs w:val="20"/>
          <w:color w:val="auto"/>
        </w:rPr>
      </w:pPr>
      <w:r>
        <w:rPr>
          <w:rFonts w:ascii="Arial" w:cs="Arial" w:eastAsia="Arial" w:hAnsi="Arial"/>
          <w:sz w:val="20"/>
          <w:szCs w:val="20"/>
          <w:color w:val="auto"/>
        </w:rPr>
        <w:t xml:space="preserve">10.17 </w:t>
      </w:r>
      <w:r>
        <w:rPr>
          <w:rFonts w:ascii="Arial" w:cs="Arial" w:eastAsia="Arial" w:hAnsi="Arial"/>
          <w:sz w:val="20"/>
          <w:szCs w:val="20"/>
          <w:u w:val="single" w:color="auto"/>
          <w:color w:val="auto"/>
        </w:rPr>
        <w:t>Use of Proceeds</w:t>
      </w:r>
      <w:r>
        <w:rPr>
          <w:rFonts w:ascii="Arial" w:cs="Arial" w:eastAsia="Arial" w:hAnsi="Arial"/>
          <w:sz w:val="20"/>
          <w:szCs w:val="20"/>
          <w:color w:val="auto"/>
        </w:rPr>
        <w:t xml:space="preserve">. Borrower shall not, and Borrower shall not permit any other Restricted Company to, use any part of the proceeds of any Loan, directly or indirectly, for a purpose which violates any Law, including, without limitation, the provisions of </w:t>
      </w:r>
      <w:r>
        <w:rPr>
          <w:rFonts w:ascii="Arial" w:cs="Arial" w:eastAsia="Arial" w:hAnsi="Arial"/>
          <w:sz w:val="20"/>
          <w:szCs w:val="20"/>
          <w:i w:val="1"/>
          <w:iCs w:val="1"/>
          <w:color w:val="auto"/>
        </w:rPr>
        <w:t>Regulations</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U </w:t>
      </w:r>
      <w:r>
        <w:rPr>
          <w:rFonts w:ascii="Arial" w:cs="Arial" w:eastAsia="Arial" w:hAnsi="Arial"/>
          <w:sz w:val="20"/>
          <w:szCs w:val="20"/>
          <w:color w:val="auto"/>
        </w:rPr>
        <w:t>or</w:t>
      </w:r>
      <w:r>
        <w:rPr>
          <w:rFonts w:ascii="Arial" w:cs="Arial" w:eastAsia="Arial" w:hAnsi="Arial"/>
          <w:sz w:val="20"/>
          <w:szCs w:val="20"/>
          <w:i w:val="1"/>
          <w:iCs w:val="1"/>
          <w:color w:val="auto"/>
        </w:rPr>
        <w:t xml:space="preserve"> X </w:t>
      </w:r>
      <w:r>
        <w:rPr>
          <w:rFonts w:ascii="Arial" w:cs="Arial" w:eastAsia="Arial" w:hAnsi="Arial"/>
          <w:sz w:val="20"/>
          <w:szCs w:val="20"/>
          <w:color w:val="auto"/>
        </w:rPr>
        <w:t>(as enacted by the Board of Governors of the Federal Reserve System, as amended).</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10.18 </w:t>
      </w:r>
      <w:r>
        <w:rPr>
          <w:rFonts w:ascii="Arial" w:cs="Arial" w:eastAsia="Arial" w:hAnsi="Arial"/>
          <w:sz w:val="19"/>
          <w:szCs w:val="19"/>
          <w:u w:val="single" w:color="auto"/>
          <w:color w:val="auto"/>
        </w:rPr>
        <w:t>Capital Improvements.</w:t>
      </w:r>
      <w:r>
        <w:rPr>
          <w:rFonts w:ascii="Arial" w:cs="Arial" w:eastAsia="Arial" w:hAnsi="Arial"/>
          <w:sz w:val="19"/>
          <w:szCs w:val="19"/>
          <w:color w:val="auto"/>
        </w:rPr>
        <w:t xml:space="preserve"> The Restricted Companies may not make or become legally obligated to make any expenditure in respect of the purchase or other acquisition of any fixed or capital asset (excluding (a) normal replacements and maintenance which are properly charged to current operations, (b) such expenditures relating to real estate held for resale, and (c) for the avoidance of doubt, such expenditures which are included as part of an acquisition of all or any substantial portion of the capital stock (or other equity or voting interests) of any other Person or all or any substantial portion of the assets of any other Person, in each case as permitted by, and made in accordance with, </w:t>
      </w:r>
      <w:r>
        <w:rPr>
          <w:rFonts w:ascii="Arial" w:cs="Arial" w:eastAsia="Arial" w:hAnsi="Arial"/>
          <w:sz w:val="19"/>
          <w:szCs w:val="19"/>
          <w:b w:val="1"/>
          <w:bCs w:val="1"/>
          <w:i w:val="1"/>
          <w:iCs w:val="1"/>
          <w:color w:val="auto"/>
        </w:rPr>
        <w:t>Section 10.11(b)</w:t>
      </w:r>
      <w:r>
        <w:rPr>
          <w:rFonts w:ascii="Arial" w:cs="Arial" w:eastAsia="Arial" w:hAnsi="Arial"/>
          <w:sz w:val="19"/>
          <w:szCs w:val="19"/>
          <w:color w:val="auto"/>
        </w:rPr>
        <w:t xml:space="preserve"> (including the transactions contemplated by the Canyons-Park City Lease)), except for capital expenditures in the ordinary course of business not exceeding, in the aggregate for the Restricted Companies during any fiscal year, an amount equal to 15% of Total Assets (the “</w:t>
      </w:r>
      <w:r>
        <w:rPr>
          <w:rFonts w:ascii="Arial" w:cs="Arial" w:eastAsia="Arial" w:hAnsi="Arial"/>
          <w:sz w:val="19"/>
          <w:szCs w:val="19"/>
          <w:b w:val="1"/>
          <w:bCs w:val="1"/>
          <w:i w:val="1"/>
          <w:iCs w:val="1"/>
          <w:color w:val="auto"/>
        </w:rPr>
        <w:t>Capital Expenditures Basket</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that</w:t>
      </w:r>
      <w:r>
        <w:rPr>
          <w:rFonts w:ascii="Arial" w:cs="Arial" w:eastAsia="Arial" w:hAnsi="Arial"/>
          <w:sz w:val="19"/>
          <w:szCs w:val="19"/>
          <w:color w:val="auto"/>
        </w:rPr>
        <w:t>, on any date of determination in any fiscal year, any unused portion of the Capital Expenditures Basket for the prior fiscal year can be used for capital expenditures during the current fiscal year after the Capital Expenditures Basket for the current fiscal year has been used in its entirety.</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10.19 </w:t>
      </w:r>
      <w:r>
        <w:rPr>
          <w:rFonts w:ascii="Arial" w:cs="Arial" w:eastAsia="Arial" w:hAnsi="Arial"/>
          <w:sz w:val="20"/>
          <w:szCs w:val="20"/>
          <w:u w:val="single" w:color="auto"/>
          <w:color w:val="auto"/>
        </w:rPr>
        <w:t>Subsidiaries</w:t>
      </w:r>
      <w:r>
        <w:rPr>
          <w:rFonts w:ascii="Arial" w:cs="Arial" w:eastAsia="Arial" w:hAnsi="Arial"/>
          <w:sz w:val="20"/>
          <w:szCs w:val="20"/>
          <w:color w:val="auto"/>
        </w:rPr>
        <w:t>. (a) VRI shall have no direct Subsidiaries other than Borrower and Gillett, (b) Gillett shall have no Subsidiaries, and VRI shall not permit Gillett to have any Subsidiaries, and (c) Gillett shall not own any Critical Assets, and VRI shall not permit Gillett to own any Critical Assets.</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10.20 </w:t>
      </w:r>
      <w:r>
        <w:rPr>
          <w:rFonts w:ascii="Arial" w:cs="Arial" w:eastAsia="Arial" w:hAnsi="Arial"/>
          <w:sz w:val="20"/>
          <w:szCs w:val="20"/>
          <w:u w:val="single" w:color="auto"/>
          <w:color w:val="auto"/>
        </w:rPr>
        <w:t>Sanctions</w:t>
      </w:r>
      <w:r>
        <w:rPr>
          <w:rFonts w:ascii="Arial" w:cs="Arial" w:eastAsia="Arial" w:hAnsi="Arial"/>
          <w:sz w:val="20"/>
          <w:szCs w:val="20"/>
          <w:color w:val="auto"/>
        </w:rPr>
        <w:t xml:space="preserve"> Borrower shall not, and Borrower shall not permit any other Restricted Company to, directly or indirectly, use the proceeds of any Loan or otherwise make available such proceeds (a) to fund any activities of or business with any individual or entity that, at the time of such funding, is a Sanctioned Person or is in any Designated Jurisdiction, (b) in any other manner that will result in a violation by Borrower, any Restricted Company or any individual or entity participating in the transaction, whether as Lender, Joint Lead Arranger, Administrative Agent, L/C Issuer, Swing Line Lender, or otherwise, of Sanctions, or (c) for any purpose which would breach any Anti-Corruption Law.</w:t>
      </w:r>
    </w:p>
    <w:p>
      <w:pPr>
        <w:spacing w:after="0" w:line="200" w:lineRule="exact"/>
        <w:rPr>
          <w:sz w:val="20"/>
          <w:szCs w:val="20"/>
          <w:color w:val="auto"/>
        </w:rPr>
      </w:pP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u w:val="single" w:color="auto"/>
          <w:color w:val="auto"/>
        </w:rPr>
        <w:t>SECTION 11 FINANCIAL COVENANTS</w:t>
      </w:r>
      <w:r>
        <w:rPr>
          <w:rFonts w:ascii="Arial" w:cs="Arial" w:eastAsia="Arial" w:hAnsi="Arial"/>
          <w:sz w:val="19"/>
          <w:szCs w:val="19"/>
          <w:color w:val="auto"/>
        </w:rPr>
        <w:t>. So long as Lenders are committed to fund Loans and the L/C Issuers are committed to issue</w:t>
      </w:r>
      <w:r>
        <w:rPr>
          <w:rFonts w:ascii="Arial" w:cs="Arial" w:eastAsia="Arial" w:hAnsi="Arial"/>
          <w:sz w:val="19"/>
          <w:szCs w:val="19"/>
          <w:b w:val="1"/>
          <w:bCs w:val="1"/>
          <w:color w:val="auto"/>
        </w:rPr>
        <w:t xml:space="preserve"> </w:t>
      </w:r>
      <w:r>
        <w:rPr>
          <w:rFonts w:ascii="Arial" w:cs="Arial" w:eastAsia="Arial" w:hAnsi="Arial"/>
          <w:sz w:val="19"/>
          <w:szCs w:val="19"/>
          <w:color w:val="auto"/>
        </w:rPr>
        <w:t>L/Cs under this Agreement, and thereafter until the Obligation is paid and performed in full (</w:t>
      </w:r>
      <w:r>
        <w:rPr>
          <w:rFonts w:ascii="Arial" w:cs="Arial" w:eastAsia="Arial" w:hAnsi="Arial"/>
          <w:sz w:val="19"/>
          <w:szCs w:val="19"/>
          <w:i w:val="1"/>
          <w:iCs w:val="1"/>
          <w:color w:val="auto"/>
        </w:rPr>
        <w:t>except</w:t>
      </w:r>
      <w:r>
        <w:rPr>
          <w:rFonts w:ascii="Arial" w:cs="Arial" w:eastAsia="Arial" w:hAnsi="Arial"/>
          <w:sz w:val="19"/>
          <w:szCs w:val="19"/>
          <w:color w:val="auto"/>
        </w:rPr>
        <w:t xml:space="preserve"> for provisions under the Loan Papers expressly intended to survive payment of the Obligation and termination of the Loan Papers), Borrower covenants and agrees to comply with each of the following ratios. Borrower shall calculate each such ratio after giving effect to the provisions of </w:t>
      </w:r>
      <w:r>
        <w:rPr>
          <w:rFonts w:ascii="Arial" w:cs="Arial" w:eastAsia="Arial" w:hAnsi="Arial"/>
          <w:sz w:val="19"/>
          <w:szCs w:val="19"/>
          <w:b w:val="1"/>
          <w:bCs w:val="1"/>
          <w:i w:val="1"/>
          <w:iCs w:val="1"/>
          <w:color w:val="auto"/>
        </w:rPr>
        <w:t>Section 1.3</w:t>
      </w:r>
      <w:r>
        <w:rPr>
          <w:rFonts w:ascii="Arial" w:cs="Arial" w:eastAsia="Arial" w:hAnsi="Arial"/>
          <w:sz w:val="19"/>
          <w:szCs w:val="19"/>
          <w:color w:val="auto"/>
        </w:rPr>
        <w:t xml:space="preserve"> hereof.</w:t>
      </w:r>
    </w:p>
    <w:p>
      <w:pPr>
        <w:spacing w:after="0" w:line="17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 xml:space="preserve">11.1 </w:t>
      </w:r>
      <w:r>
        <w:rPr>
          <w:rFonts w:ascii="Arial" w:cs="Arial" w:eastAsia="Arial" w:hAnsi="Arial"/>
          <w:sz w:val="20"/>
          <w:szCs w:val="20"/>
          <w:u w:val="single" w:color="auto"/>
          <w:color w:val="auto"/>
        </w:rPr>
        <w:t>Maximum Leverage Ratios</w:t>
      </w:r>
      <w:r>
        <w:rPr>
          <w:rFonts w:ascii="Arial" w:cs="Arial" w:eastAsia="Arial" w:hAnsi="Arial"/>
          <w:sz w:val="20"/>
          <w:szCs w:val="20"/>
          <w:color w:val="auto"/>
        </w:rPr>
        <w:t>. As calculated as of the last day of each fiscal quarter of the Restricted Companies, the Restricted Companies shall not permit the ratio of (a) the unpaid principal amount of Net Funded Debt existing as of such last day to (b) Adjusted EBITDA for the four fiscal quarters ending on such last day to exceed 5.00 to 1.00.</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u w:val="single" w:color="auto"/>
          <w:color w:val="auto"/>
        </w:rPr>
        <w:t>Interest Coverage Ratio</w:t>
      </w:r>
      <w:r>
        <w:rPr>
          <w:rFonts w:ascii="Arial" w:cs="Arial" w:eastAsia="Arial" w:hAnsi="Arial"/>
          <w:sz w:val="19"/>
          <w:szCs w:val="19"/>
          <w:color w:val="auto"/>
        </w:rPr>
        <w:t xml:space="preserve">. As calculated as of the last day of each fiscal quarter of the Restricted Companies, the Restricted Companies shall not permit the ratio of (a) Adjusted EBITDA for the four fiscal quarters ending on such last day to (b) interest on Funded Debt (excluding amortization of deferred financing costs and original issue discounts and </w:t>
      </w:r>
      <w:r>
        <w:rPr>
          <w:rFonts w:ascii="Arial" w:cs="Arial" w:eastAsia="Arial" w:hAnsi="Arial"/>
          <w:sz w:val="19"/>
          <w:szCs w:val="19"/>
          <w:i w:val="1"/>
          <w:iCs w:val="1"/>
          <w:color w:val="auto"/>
        </w:rPr>
        <w:t>provided that</w:t>
      </w:r>
      <w:r>
        <w:rPr>
          <w:rFonts w:ascii="Arial" w:cs="Arial" w:eastAsia="Arial" w:hAnsi="Arial"/>
          <w:sz w:val="19"/>
          <w:szCs w:val="19"/>
          <w:color w:val="auto"/>
        </w:rPr>
        <w:t>, with respect to any Capital Lease permitted under this Agreement, interest attributable thereto shall be limited to that portion of the lease payments that is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ectPr>
          <w:pgSz w:w="11900" w:h="16838" w:orient="portrait"/>
          <w:cols w:equalWidth="0" w:num="1">
            <w:col w:w="11420"/>
          </w:cols>
          <w:pgMar w:left="240" w:top="798" w:right="239" w:bottom="1440" w:gutter="0" w:footer="0" w:header="0"/>
        </w:sectPr>
      </w:pPr>
    </w:p>
    <w:bookmarkStart w:id="163" w:name="page164"/>
    <w:bookmarkEnd w:id="163"/>
    <w:p>
      <w:pPr>
        <w:jc w:val="both"/>
        <w:spacing w:after="0" w:line="260" w:lineRule="auto"/>
        <w:rPr>
          <w:sz w:val="20"/>
          <w:szCs w:val="20"/>
          <w:color w:val="auto"/>
        </w:rPr>
      </w:pPr>
      <w:r>
        <w:rPr>
          <w:rFonts w:ascii="Arial" w:cs="Arial" w:eastAsia="Arial" w:hAnsi="Arial"/>
          <w:sz w:val="20"/>
          <w:szCs w:val="20"/>
          <w:color w:val="auto"/>
        </w:rPr>
        <w:t>characterized as an interest expense under GAAP and paid in cash during the applicable period) in such four fiscal quarters to be less than 2.00 to 1.00.</w:t>
      </w:r>
    </w:p>
    <w:p>
      <w:pPr>
        <w:spacing w:after="0" w:line="171" w:lineRule="exact"/>
        <w:rPr>
          <w:sz w:val="20"/>
          <w:szCs w:val="20"/>
          <w:color w:val="auto"/>
        </w:rPr>
      </w:pPr>
    </w:p>
    <w:p>
      <w:pPr>
        <w:spacing w:after="0"/>
        <w:tabs>
          <w:tab w:leader="none" w:pos="1320" w:val="left"/>
        </w:tabs>
        <w:rPr>
          <w:sz w:val="20"/>
          <w:szCs w:val="20"/>
          <w:color w:val="auto"/>
        </w:rPr>
      </w:pPr>
      <w:r>
        <w:rPr>
          <w:rFonts w:ascii="Arial" w:cs="Arial" w:eastAsia="Arial" w:hAnsi="Arial"/>
          <w:sz w:val="20"/>
          <w:szCs w:val="20"/>
          <w:b w:val="1"/>
          <w:bCs w:val="1"/>
          <w:u w:val="single" w:color="auto"/>
          <w:color w:val="auto"/>
        </w:rPr>
        <w:t>SECTION 12</w:t>
      </w:r>
      <w:r>
        <w:rPr>
          <w:sz w:val="20"/>
          <w:szCs w:val="20"/>
          <w:color w:val="auto"/>
        </w:rPr>
        <w:tab/>
      </w:r>
      <w:r>
        <w:rPr>
          <w:rFonts w:ascii="Arial" w:cs="Arial" w:eastAsia="Arial" w:hAnsi="Arial"/>
          <w:sz w:val="18"/>
          <w:szCs w:val="18"/>
          <w:b w:val="1"/>
          <w:bCs w:val="1"/>
          <w:u w:val="single" w:color="auto"/>
          <w:color w:val="auto"/>
        </w:rPr>
        <w:t>DEFAULT</w:t>
      </w:r>
      <w:r>
        <w:rPr>
          <w:rFonts w:ascii="Arial" w:cs="Arial" w:eastAsia="Arial" w:hAnsi="Arial"/>
          <w:sz w:val="18"/>
          <w:szCs w:val="18"/>
          <w:color w:val="auto"/>
        </w:rPr>
        <w:t>. The term</w:t>
      </w:r>
      <w:r>
        <w:rPr>
          <w:rFonts w:ascii="Arial" w:cs="Arial" w:eastAsia="Arial" w:hAnsi="Arial"/>
          <w:sz w:val="18"/>
          <w:szCs w:val="18"/>
          <w:b w:val="1"/>
          <w:bCs w:val="1"/>
          <w:u w:val="single" w:color="auto"/>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Default</w:t>
      </w:r>
      <w:r>
        <w:rPr>
          <w:rFonts w:ascii="Arial" w:cs="Arial" w:eastAsia="Arial" w:hAnsi="Arial"/>
          <w:sz w:val="18"/>
          <w:szCs w:val="18"/>
          <w:i w:val="1"/>
          <w:i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means the occurrence of any one or more of the following events:</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12.1 </w:t>
      </w:r>
      <w:r>
        <w:rPr>
          <w:rFonts w:ascii="Arial" w:cs="Arial" w:eastAsia="Arial" w:hAnsi="Arial"/>
          <w:sz w:val="20"/>
          <w:szCs w:val="20"/>
          <w:u w:val="single" w:color="auto"/>
          <w:color w:val="auto"/>
        </w:rPr>
        <w:t>Payment of Obligation</w:t>
      </w:r>
      <w:r>
        <w:rPr>
          <w:rFonts w:ascii="Arial" w:cs="Arial" w:eastAsia="Arial" w:hAnsi="Arial"/>
          <w:sz w:val="20"/>
          <w:szCs w:val="20"/>
          <w:color w:val="auto"/>
        </w:rPr>
        <w:t xml:space="preserve">. The failure or refusal of any Company to pay (a) any principal payment contemplated by </w:t>
      </w:r>
      <w:r>
        <w:rPr>
          <w:rFonts w:ascii="Arial" w:cs="Arial" w:eastAsia="Arial" w:hAnsi="Arial"/>
          <w:sz w:val="20"/>
          <w:szCs w:val="20"/>
          <w:b w:val="1"/>
          <w:bCs w:val="1"/>
          <w:i w:val="1"/>
          <w:iCs w:val="1"/>
          <w:color w:val="auto"/>
        </w:rPr>
        <w:t>Sections 3.2(b)</w:t>
      </w:r>
      <w:r>
        <w:rPr>
          <w:rFonts w:ascii="Arial" w:cs="Arial" w:eastAsia="Arial" w:hAnsi="Arial"/>
          <w:sz w:val="20"/>
          <w:szCs w:val="20"/>
          <w:color w:val="auto"/>
        </w:rPr>
        <w:t xml:space="preserve"> and </w:t>
      </w:r>
      <w:r>
        <w:rPr>
          <w:rFonts w:ascii="Arial" w:cs="Arial" w:eastAsia="Arial" w:hAnsi="Arial"/>
          <w:sz w:val="20"/>
          <w:szCs w:val="20"/>
          <w:b w:val="1"/>
          <w:bCs w:val="1"/>
          <w:i w:val="1"/>
          <w:iCs w:val="1"/>
          <w:color w:val="auto"/>
        </w:rPr>
        <w:t>3.2(c)</w:t>
      </w:r>
      <w:r>
        <w:rPr>
          <w:rFonts w:ascii="Arial" w:cs="Arial" w:eastAsia="Arial" w:hAnsi="Arial"/>
          <w:sz w:val="20"/>
          <w:szCs w:val="20"/>
          <w:color w:val="auto"/>
        </w:rPr>
        <w:t xml:space="preserve"> of this Agreement after such payment becomes due and payable hereunder, (b) any principal payment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those contemplated by </w:t>
      </w:r>
      <w:r>
        <w:rPr>
          <w:rFonts w:ascii="Arial" w:cs="Arial" w:eastAsia="Arial" w:hAnsi="Arial"/>
          <w:sz w:val="20"/>
          <w:szCs w:val="20"/>
          <w:b w:val="1"/>
          <w:bCs w:val="1"/>
          <w:i w:val="1"/>
          <w:iCs w:val="1"/>
          <w:color w:val="auto"/>
        </w:rPr>
        <w:t>Sections 3.2(b)</w:t>
      </w:r>
      <w:r>
        <w:rPr>
          <w:rFonts w:ascii="Arial" w:cs="Arial" w:eastAsia="Arial" w:hAnsi="Arial"/>
          <w:sz w:val="20"/>
          <w:szCs w:val="20"/>
          <w:color w:val="auto"/>
        </w:rPr>
        <w:t xml:space="preserve"> and </w:t>
      </w:r>
      <w:r>
        <w:rPr>
          <w:rFonts w:ascii="Arial" w:cs="Arial" w:eastAsia="Arial" w:hAnsi="Arial"/>
          <w:sz w:val="20"/>
          <w:szCs w:val="20"/>
          <w:b w:val="1"/>
          <w:bCs w:val="1"/>
          <w:i w:val="1"/>
          <w:iCs w:val="1"/>
          <w:color w:val="auto"/>
        </w:rPr>
        <w:t>3.2(c)</w:t>
      </w:r>
      <w:r>
        <w:rPr>
          <w:rFonts w:ascii="Arial" w:cs="Arial" w:eastAsia="Arial" w:hAnsi="Arial"/>
          <w:sz w:val="20"/>
          <w:szCs w:val="20"/>
          <w:color w:val="auto"/>
        </w:rPr>
        <w:t>) or interest payment contemplated to be made hereunder within 3 Business Days after demand therefor by Administrative Agent, (c) any amount contemplated to be paid hereunder in respect of fees, costs, expenses, or indemnities within 10 Business Days after demand therefor by Administrative Agent and (d) any amount in respect of its reimbursement obligations in connection with any drawing under an L/C (including, without limitation, any L/C Borrowing) within 3 Business Days after demand therefor by Administrative Agent.</w:t>
      </w:r>
    </w:p>
    <w:p>
      <w:pPr>
        <w:spacing w:after="0" w:line="19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8"/>
          <w:szCs w:val="18"/>
          <w:u w:val="single" w:color="auto"/>
          <w:color w:val="auto"/>
        </w:rPr>
        <w:t>Covenants</w:t>
      </w:r>
      <w:r>
        <w:rPr>
          <w:rFonts w:ascii="Arial" w:cs="Arial" w:eastAsia="Arial" w:hAnsi="Arial"/>
          <w:sz w:val="18"/>
          <w:szCs w:val="18"/>
          <w:color w:val="auto"/>
        </w:rPr>
        <w:t>. The failure or refusal of any Company to punctually and properly perform, observe, and comply with:</w:t>
      </w:r>
    </w:p>
    <w:p>
      <w:pPr>
        <w:spacing w:after="0" w:line="216" w:lineRule="exact"/>
        <w:rPr>
          <w:sz w:val="20"/>
          <w:szCs w:val="20"/>
          <w:color w:val="auto"/>
        </w:rPr>
      </w:pPr>
    </w:p>
    <w:p>
      <w:pPr>
        <w:ind w:left="660" w:firstLine="645"/>
        <w:spacing w:after="0" w:line="260" w:lineRule="auto"/>
        <w:tabs>
          <w:tab w:leader="none" w:pos="1723" w:val="left"/>
        </w:tabs>
        <w:numPr>
          <w:ilvl w:val="1"/>
          <w:numId w:val="145"/>
        </w:numPr>
        <w:rPr>
          <w:rFonts w:ascii="Arial" w:cs="Arial" w:eastAsia="Arial" w:hAnsi="Arial"/>
          <w:sz w:val="20"/>
          <w:szCs w:val="20"/>
          <w:color w:val="auto"/>
        </w:rPr>
      </w:pPr>
      <w:r>
        <w:rPr>
          <w:rFonts w:ascii="Arial" w:cs="Arial" w:eastAsia="Arial" w:hAnsi="Arial"/>
          <w:sz w:val="20"/>
          <w:szCs w:val="20"/>
          <w:color w:val="auto"/>
        </w:rPr>
        <w:t xml:space="preserve">Any covenant, agreement, or condition applicable to it contained in </w:t>
      </w:r>
      <w:r>
        <w:rPr>
          <w:rFonts w:ascii="Arial" w:cs="Arial" w:eastAsia="Arial" w:hAnsi="Arial"/>
          <w:sz w:val="20"/>
          <w:szCs w:val="20"/>
          <w:b w:val="1"/>
          <w:bCs w:val="1"/>
          <w:i w:val="1"/>
          <w:iCs w:val="1"/>
          <w:color w:val="auto"/>
        </w:rPr>
        <w:t>Sections 9.2, 10</w:t>
      </w:r>
      <w:r>
        <w:rPr>
          <w:rFonts w:ascii="Arial" w:cs="Arial" w:eastAsia="Arial" w:hAnsi="Arial"/>
          <w:sz w:val="20"/>
          <w:szCs w:val="20"/>
          <w:color w:val="auto"/>
        </w:rPr>
        <w:t xml:space="preserve">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Sections 10.1, 10.3, 10.6</w:t>
      </w:r>
      <w:r>
        <w:rPr>
          <w:rFonts w:ascii="Arial" w:cs="Arial" w:eastAsia="Arial" w:hAnsi="Arial"/>
          <w:sz w:val="20"/>
          <w:szCs w:val="20"/>
          <w:color w:val="auto"/>
        </w:rPr>
        <w:t xml:space="preserve">, and </w:t>
      </w:r>
      <w:r>
        <w:rPr>
          <w:rFonts w:ascii="Arial" w:cs="Arial" w:eastAsia="Arial" w:hAnsi="Arial"/>
          <w:sz w:val="20"/>
          <w:szCs w:val="20"/>
          <w:b w:val="1"/>
          <w:bCs w:val="1"/>
          <w:i w:val="1"/>
          <w:iCs w:val="1"/>
          <w:color w:val="auto"/>
        </w:rPr>
        <w:t>10.7</w:t>
      </w:r>
      <w:r>
        <w:rPr>
          <w:rFonts w:ascii="Arial" w:cs="Arial" w:eastAsia="Arial" w:hAnsi="Arial"/>
          <w:sz w:val="20"/>
          <w:szCs w:val="20"/>
          <w:color w:val="auto"/>
        </w:rPr>
        <w:t xml:space="preserve">), or </w:t>
      </w:r>
      <w:r>
        <w:rPr>
          <w:rFonts w:ascii="Arial" w:cs="Arial" w:eastAsia="Arial" w:hAnsi="Arial"/>
          <w:sz w:val="20"/>
          <w:szCs w:val="20"/>
          <w:b w:val="1"/>
          <w:bCs w:val="1"/>
          <w:i w:val="1"/>
          <w:iCs w:val="1"/>
          <w:color w:val="auto"/>
        </w:rPr>
        <w:t>11</w:t>
      </w:r>
      <w:r>
        <w:rPr>
          <w:rFonts w:ascii="Arial" w:cs="Arial" w:eastAsia="Arial" w:hAnsi="Arial"/>
          <w:sz w:val="20"/>
          <w:szCs w:val="20"/>
          <w:color w:val="auto"/>
        </w:rPr>
        <w:t>; or</w:t>
      </w:r>
    </w:p>
    <w:p>
      <w:pPr>
        <w:spacing w:after="0" w:line="176" w:lineRule="exact"/>
        <w:rPr>
          <w:rFonts w:ascii="Arial" w:cs="Arial" w:eastAsia="Arial" w:hAnsi="Arial"/>
          <w:sz w:val="20"/>
          <w:szCs w:val="20"/>
          <w:color w:val="auto"/>
        </w:rPr>
      </w:pPr>
    </w:p>
    <w:p>
      <w:pPr>
        <w:ind w:left="660" w:firstLine="645"/>
        <w:spacing w:after="0" w:line="260" w:lineRule="auto"/>
        <w:tabs>
          <w:tab w:leader="none" w:pos="1726" w:val="left"/>
        </w:tabs>
        <w:numPr>
          <w:ilvl w:val="1"/>
          <w:numId w:val="145"/>
        </w:numPr>
        <w:rPr>
          <w:rFonts w:ascii="Arial" w:cs="Arial" w:eastAsia="Arial" w:hAnsi="Arial"/>
          <w:sz w:val="19"/>
          <w:szCs w:val="19"/>
          <w:color w:val="auto"/>
        </w:rPr>
      </w:pPr>
      <w:r>
        <w:rPr>
          <w:rFonts w:ascii="Arial" w:cs="Arial" w:eastAsia="Arial" w:hAnsi="Arial"/>
          <w:sz w:val="19"/>
          <w:szCs w:val="19"/>
          <w:color w:val="auto"/>
        </w:rPr>
        <w:t>Any other covenant, agreement, or condition applicable to it contained in any Loan Paper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the covenants to pay the Obligation and the covenants in </w:t>
      </w:r>
      <w:r>
        <w:rPr>
          <w:rFonts w:ascii="Arial" w:cs="Arial" w:eastAsia="Arial" w:hAnsi="Arial"/>
          <w:sz w:val="19"/>
          <w:szCs w:val="19"/>
          <w:b w:val="1"/>
          <w:bCs w:val="1"/>
          <w:i w:val="1"/>
          <w:iCs w:val="1"/>
          <w:color w:val="auto"/>
        </w:rPr>
        <w:t>clause (a)</w:t>
      </w:r>
      <w:r>
        <w:rPr>
          <w:rFonts w:ascii="Arial" w:cs="Arial" w:eastAsia="Arial" w:hAnsi="Arial"/>
          <w:sz w:val="19"/>
          <w:szCs w:val="19"/>
          <w:color w:val="auto"/>
        </w:rPr>
        <w:t xml:space="preserve"> preceding), and such failure or refusal continues for 30 days.</w:t>
      </w:r>
    </w:p>
    <w:p>
      <w:pPr>
        <w:spacing w:after="0" w:line="1"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Debtor Relief</w:t>
      </w:r>
      <w:r>
        <w:rPr>
          <w:rFonts w:ascii="Arial" w:cs="Arial" w:eastAsia="Arial" w:hAnsi="Arial"/>
          <w:sz w:val="18"/>
          <w:szCs w:val="18"/>
          <w:color w:val="auto"/>
        </w:rPr>
        <w:t>. Any Restricted Company (a) fails, or admits in writing its inability, to pay its Debts generally as they become due,</w:t>
      </w:r>
    </w:p>
    <w:p>
      <w:pPr>
        <w:spacing w:after="0" w:line="22" w:lineRule="exact"/>
        <w:rPr>
          <w:rFonts w:ascii="Arial" w:cs="Arial" w:eastAsia="Arial" w:hAnsi="Arial"/>
          <w:sz w:val="19"/>
          <w:szCs w:val="19"/>
          <w:color w:val="auto"/>
        </w:rPr>
      </w:pPr>
    </w:p>
    <w:p>
      <w:pPr>
        <w:jc w:val="both"/>
        <w:ind w:firstLine="8"/>
        <w:spacing w:after="0" w:line="266" w:lineRule="auto"/>
        <w:tabs>
          <w:tab w:leader="none" w:pos="29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voluntarily seeks, consents to, or acquiesces in the benefit of any Debtor Relief Law, (c) becomes a party to or is made the subject of any proceeding provided for by any Debtor Relief Law that could suspend or otherwise adversely affect the Rights of Administrative Agent or any Lender granted in the Loan Papers (unless, if the proceeding is involuntary, the applicable petition is dismissed within 60 days after its filing),</w:t>
      </w:r>
    </w:p>
    <w:p>
      <w:pPr>
        <w:ind w:right="20" w:firstLine="8"/>
        <w:spacing w:after="0" w:line="269" w:lineRule="auto"/>
        <w:tabs>
          <w:tab w:leader="none" w:pos="294" w:val="left"/>
        </w:tabs>
        <w:numPr>
          <w:ilvl w:val="0"/>
          <w:numId w:val="147"/>
        </w:numPr>
        <w:rPr>
          <w:rFonts w:ascii="Arial" w:cs="Arial" w:eastAsia="Arial" w:hAnsi="Arial"/>
          <w:sz w:val="19"/>
          <w:szCs w:val="19"/>
          <w:color w:val="auto"/>
        </w:rPr>
      </w:pPr>
      <w:r>
        <w:rPr>
          <w:rFonts w:ascii="Arial" w:cs="Arial" w:eastAsia="Arial" w:hAnsi="Arial"/>
          <w:sz w:val="19"/>
          <w:szCs w:val="19"/>
          <w:color w:val="auto"/>
        </w:rPr>
        <w:t>becomes subject to an order for relief granted under the Bankruptcy Reform Act of 1978, as amended from time to time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as a creditor or claimant), or (e) takes any action to authorize any of the foregoing actions set forth in </w:t>
      </w:r>
      <w:r>
        <w:rPr>
          <w:rFonts w:ascii="Arial" w:cs="Arial" w:eastAsia="Arial" w:hAnsi="Arial"/>
          <w:sz w:val="19"/>
          <w:szCs w:val="19"/>
          <w:b w:val="1"/>
          <w:bCs w:val="1"/>
          <w:i w:val="1"/>
          <w:iCs w:val="1"/>
          <w:color w:val="auto"/>
        </w:rPr>
        <w:t>clauses (a)</w:t>
      </w:r>
      <w:r>
        <w:rPr>
          <w:rFonts w:ascii="Arial" w:cs="Arial" w:eastAsia="Arial" w:hAnsi="Arial"/>
          <w:sz w:val="19"/>
          <w:szCs w:val="19"/>
          <w:color w:val="auto"/>
        </w:rPr>
        <w:t xml:space="preserve"> through </w:t>
      </w:r>
      <w:r>
        <w:rPr>
          <w:rFonts w:ascii="Arial" w:cs="Arial" w:eastAsia="Arial" w:hAnsi="Arial"/>
          <w:sz w:val="19"/>
          <w:szCs w:val="19"/>
          <w:b w:val="1"/>
          <w:bCs w:val="1"/>
          <w:i w:val="1"/>
          <w:iCs w:val="1"/>
          <w:color w:val="auto"/>
        </w:rPr>
        <w:t>(d)</w:t>
      </w:r>
      <w:r>
        <w:rPr>
          <w:rFonts w:ascii="Arial" w:cs="Arial" w:eastAsia="Arial" w:hAnsi="Arial"/>
          <w:sz w:val="19"/>
          <w:szCs w:val="19"/>
          <w:color w:val="auto"/>
        </w:rPr>
        <w:t xml:space="preserve"> herein.</w:t>
      </w:r>
    </w:p>
    <w:p>
      <w:pPr>
        <w:spacing w:after="0" w:line="16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12.4 </w:t>
      </w:r>
      <w:r>
        <w:rPr>
          <w:rFonts w:ascii="Arial" w:cs="Arial" w:eastAsia="Arial" w:hAnsi="Arial"/>
          <w:sz w:val="20"/>
          <w:szCs w:val="20"/>
          <w:u w:val="single" w:color="auto"/>
          <w:color w:val="auto"/>
        </w:rPr>
        <w:t>Judgments and Attachments</w:t>
      </w:r>
      <w:r>
        <w:rPr>
          <w:rFonts w:ascii="Arial" w:cs="Arial" w:eastAsia="Arial" w:hAnsi="Arial"/>
          <w:sz w:val="20"/>
          <w:szCs w:val="20"/>
          <w:color w:val="auto"/>
        </w:rPr>
        <w:t>. Any Restricted Company fails, within 60 days after entry, to pay, bond, or otherwise discharge any judgment or order for the payment of money in excess of $15,000,000 (individually or collectively) or any warrant of attachment, sequestration, or similar proceeding against any assets of any Restricted Company having a value (individually or collectively) of $15,000,000, which is neither (a) stayed on appeal nor (b) diligently contested in good faith by appropriate proceedings and adequate reserves have been set aside on its books in accordance with GAAP.</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12.5 </w:t>
      </w:r>
      <w:r>
        <w:rPr>
          <w:rFonts w:ascii="Arial" w:cs="Arial" w:eastAsia="Arial" w:hAnsi="Arial"/>
          <w:sz w:val="20"/>
          <w:szCs w:val="20"/>
          <w:u w:val="single" w:color="auto"/>
          <w:color w:val="auto"/>
        </w:rPr>
        <w:t>Government Action</w:t>
      </w:r>
      <w:r>
        <w:rPr>
          <w:rFonts w:ascii="Arial" w:cs="Arial" w:eastAsia="Arial" w:hAnsi="Arial"/>
          <w:sz w:val="20"/>
          <w:szCs w:val="20"/>
          <w:color w:val="auto"/>
        </w:rPr>
        <w:t>. Any Governmental Authority condemns, seizes, or otherwise appropriates, or takes custody or control of all or any substantial portion of the Critical Assets.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12.6 </w:t>
      </w:r>
      <w:r>
        <w:rPr>
          <w:rFonts w:ascii="Arial" w:cs="Arial" w:eastAsia="Arial" w:hAnsi="Arial"/>
          <w:sz w:val="20"/>
          <w:szCs w:val="20"/>
          <w:u w:val="single" w:color="auto"/>
          <w:color w:val="auto"/>
        </w:rPr>
        <w:t>Misrepresentation</w:t>
      </w:r>
      <w:r>
        <w:rPr>
          <w:rFonts w:ascii="Arial" w:cs="Arial" w:eastAsia="Arial" w:hAnsi="Arial"/>
          <w:sz w:val="20"/>
          <w:szCs w:val="20"/>
          <w:color w:val="auto"/>
        </w:rPr>
        <w:t>. Any material representation or warranty made or deemed made by any Company in connection with any Loan Paper at any time proves to have been materially incorrect when made.</w:t>
      </w:r>
    </w:p>
    <w:p>
      <w:pPr>
        <w:spacing w:after="0" w:line="17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16"/>
          <w:szCs w:val="16"/>
          <w:u w:val="single" w:color="auto"/>
          <w:color w:val="auto"/>
        </w:rPr>
        <w:t>Ownership</w:t>
      </w:r>
      <w:r>
        <w:rPr>
          <w:rFonts w:ascii="Arial" w:cs="Arial" w:eastAsia="Arial" w:hAnsi="Arial"/>
          <w:sz w:val="16"/>
          <w:szCs w:val="16"/>
          <w:color w:val="auto"/>
        </w:rPr>
        <w:t>. There shall occur a Change of Control Transaction.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w:t>
      </w:r>
    </w:p>
    <w:p>
      <w:pPr>
        <w:sectPr>
          <w:pgSz w:w="11900" w:h="16838" w:orient="portrait"/>
          <w:cols w:equalWidth="0" w:num="1">
            <w:col w:w="11420"/>
          </w:cols>
          <w:pgMar w:left="240" w:top="798" w:right="239" w:bottom="1440" w:gutter="0" w:footer="0" w:header="0"/>
        </w:sectPr>
      </w:pPr>
    </w:p>
    <w:bookmarkStart w:id="164" w:name="page165"/>
    <w:bookmarkEnd w:id="164"/>
    <w:p>
      <w:pPr>
        <w:jc w:val="both"/>
        <w:ind w:firstLine="648"/>
        <w:spacing w:after="0" w:line="243" w:lineRule="auto"/>
        <w:rPr>
          <w:sz w:val="20"/>
          <w:szCs w:val="20"/>
          <w:color w:val="auto"/>
        </w:rPr>
      </w:pPr>
      <w:r>
        <w:rPr>
          <w:rFonts w:ascii="Arial" w:cs="Arial" w:eastAsia="Arial" w:hAnsi="Arial"/>
          <w:sz w:val="20"/>
          <w:szCs w:val="20"/>
          <w:color w:val="auto"/>
        </w:rPr>
        <w:t xml:space="preserve">12.8 </w:t>
      </w:r>
      <w:r>
        <w:rPr>
          <w:rFonts w:ascii="Arial" w:cs="Arial" w:eastAsia="Arial" w:hAnsi="Arial"/>
          <w:sz w:val="20"/>
          <w:szCs w:val="20"/>
          <w:u w:val="single" w:color="auto"/>
          <w:color w:val="auto"/>
        </w:rPr>
        <w:t>Default Under Other Agreements</w:t>
      </w:r>
      <w:r>
        <w:rPr>
          <w:rFonts w:ascii="Arial" w:cs="Arial" w:eastAsia="Arial" w:hAnsi="Arial"/>
          <w:sz w:val="20"/>
          <w:szCs w:val="20"/>
          <w:color w:val="auto"/>
        </w:rPr>
        <w:t xml:space="preserve">. Subject to </w:t>
      </w:r>
      <w:r>
        <w:rPr>
          <w:rFonts w:ascii="Arial" w:cs="Arial" w:eastAsia="Arial" w:hAnsi="Arial"/>
          <w:sz w:val="20"/>
          <w:szCs w:val="20"/>
          <w:b w:val="1"/>
          <w:bCs w:val="1"/>
          <w:i w:val="1"/>
          <w:iCs w:val="1"/>
          <w:color w:val="auto"/>
        </w:rPr>
        <w:t>Section 12.9</w:t>
      </w:r>
      <w:r>
        <w:rPr>
          <w:rFonts w:ascii="Arial" w:cs="Arial" w:eastAsia="Arial" w:hAnsi="Arial"/>
          <w:sz w:val="20"/>
          <w:szCs w:val="20"/>
          <w:color w:val="auto"/>
        </w:rPr>
        <w:t xml:space="preserve"> below, (a) any Restricted Company fails to pay when due (after lapse of any applicable grace period) any recourse Debt in excess (individually or collectively) of $15,000,000; or (b) any default exists under any agreement to which any Restricted Company is a party, the effect of which is to cause, or to permit any Person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a Restricted Company) to cause, any recourse obligation in excess (individually or collectively) of $15,000,000 to become due and payable by any Restricted Company before its stated maturity, </w:t>
      </w:r>
      <w:r>
        <w:rPr>
          <w:rFonts w:ascii="Arial" w:cs="Arial" w:eastAsia="Arial" w:hAnsi="Arial"/>
          <w:sz w:val="20"/>
          <w:szCs w:val="20"/>
          <w:i w:val="1"/>
          <w:iCs w:val="1"/>
          <w:color w:val="auto"/>
        </w:rPr>
        <w:t>except</w:t>
      </w:r>
      <w:r>
        <w:rPr>
          <w:rFonts w:ascii="Arial" w:cs="Arial" w:eastAsia="Arial" w:hAnsi="Arial"/>
          <w:sz w:val="20"/>
          <w:szCs w:val="20"/>
          <w:color w:val="auto"/>
        </w:rPr>
        <w:t xml:space="preserve"> to the extent such obligation is declared to be due and payable as a result of the sale of any asset to which it relates.</w:t>
      </w:r>
    </w:p>
    <w:p>
      <w:pPr>
        <w:spacing w:after="0" w:line="19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12.9</w:t>
      </w:r>
      <w:r>
        <w:rPr>
          <w:sz w:val="20"/>
          <w:szCs w:val="20"/>
          <w:color w:val="auto"/>
        </w:rPr>
        <w:tab/>
      </w:r>
      <w:r>
        <w:rPr>
          <w:rFonts w:ascii="Arial" w:cs="Arial" w:eastAsia="Arial" w:hAnsi="Arial"/>
          <w:sz w:val="16"/>
          <w:szCs w:val="16"/>
          <w:u w:val="single" w:color="auto"/>
          <w:color w:val="auto"/>
        </w:rPr>
        <w:t>Subordinated Debt</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44" w:lineRule="auto"/>
        <w:tabs>
          <w:tab w:leader="none" w:pos="1126" w:val="left"/>
        </w:tabs>
        <w:numPr>
          <w:ilvl w:val="0"/>
          <w:numId w:val="148"/>
        </w:numPr>
        <w:rPr>
          <w:rFonts w:ascii="Arial" w:cs="Arial" w:eastAsia="Arial" w:hAnsi="Arial"/>
          <w:sz w:val="20"/>
          <w:szCs w:val="20"/>
          <w:color w:val="auto"/>
        </w:rPr>
      </w:pPr>
      <w:r>
        <w:rPr>
          <w:rFonts w:ascii="Arial" w:cs="Arial" w:eastAsia="Arial" w:hAnsi="Arial"/>
          <w:sz w:val="20"/>
          <w:szCs w:val="20"/>
          <w:color w:val="auto"/>
        </w:rPr>
        <w:t>(i) The occurrence of any “</w:t>
      </w:r>
      <w:r>
        <w:rPr>
          <w:rFonts w:ascii="Arial" w:cs="Arial" w:eastAsia="Arial" w:hAnsi="Arial"/>
          <w:sz w:val="20"/>
          <w:szCs w:val="20"/>
          <w:i w:val="1"/>
          <w:iCs w:val="1"/>
          <w:color w:val="auto"/>
        </w:rPr>
        <w:t>default</w:t>
      </w:r>
      <w:r>
        <w:rPr>
          <w:rFonts w:ascii="Arial" w:cs="Arial" w:eastAsia="Arial" w:hAnsi="Arial"/>
          <w:sz w:val="20"/>
          <w:szCs w:val="20"/>
          <w:color w:val="auto"/>
        </w:rPr>
        <w:t>,” “</w:t>
      </w:r>
      <w:r>
        <w:rPr>
          <w:rFonts w:ascii="Arial" w:cs="Arial" w:eastAsia="Arial" w:hAnsi="Arial"/>
          <w:sz w:val="20"/>
          <w:szCs w:val="20"/>
          <w:i w:val="1"/>
          <w:iCs w:val="1"/>
          <w:color w:val="auto"/>
        </w:rPr>
        <w:t>event of default</w:t>
      </w:r>
      <w:r>
        <w:rPr>
          <w:rFonts w:ascii="Arial" w:cs="Arial" w:eastAsia="Arial" w:hAnsi="Arial"/>
          <w:sz w:val="20"/>
          <w:szCs w:val="20"/>
          <w:color w:val="auto"/>
        </w:rPr>
        <w:t>,” or other breach under or with respect to any Subordinated Debt, which “</w:t>
      </w:r>
      <w:r>
        <w:rPr>
          <w:rFonts w:ascii="Arial" w:cs="Arial" w:eastAsia="Arial" w:hAnsi="Arial"/>
          <w:sz w:val="20"/>
          <w:szCs w:val="20"/>
          <w:i w:val="1"/>
          <w:iCs w:val="1"/>
          <w:color w:val="auto"/>
        </w:rPr>
        <w:t>default</w:t>
      </w:r>
      <w:r>
        <w:rPr>
          <w:rFonts w:ascii="Arial" w:cs="Arial" w:eastAsia="Arial" w:hAnsi="Arial"/>
          <w:sz w:val="20"/>
          <w:szCs w:val="20"/>
          <w:color w:val="auto"/>
        </w:rPr>
        <w:t>,” “</w:t>
      </w:r>
      <w:r>
        <w:rPr>
          <w:rFonts w:ascii="Arial" w:cs="Arial" w:eastAsia="Arial" w:hAnsi="Arial"/>
          <w:sz w:val="20"/>
          <w:szCs w:val="20"/>
          <w:i w:val="1"/>
          <w:iCs w:val="1"/>
          <w:color w:val="auto"/>
        </w:rPr>
        <w:t>event of default</w:t>
      </w:r>
      <w:r>
        <w:rPr>
          <w:rFonts w:ascii="Arial" w:cs="Arial" w:eastAsia="Arial" w:hAnsi="Arial"/>
          <w:sz w:val="20"/>
          <w:szCs w:val="20"/>
          <w:color w:val="auto"/>
        </w:rPr>
        <w:t>,” or other breach remains uncured (after lapse of any applicable cure periods) on any date of determination; (ii) the trustee with respect to, or any holder of, any Subordinated Debt shall effectively declare all or any portion of such Debt or obligation thereunder due and payable prior to the stated maturity thereof; or (iii) any obligations under the Subordinated Debt become due before its stated maturity by acceleration of the maturity thereof.</w:t>
      </w:r>
    </w:p>
    <w:p>
      <w:pPr>
        <w:spacing w:after="0" w:line="194" w:lineRule="exact"/>
        <w:rPr>
          <w:rFonts w:ascii="Arial" w:cs="Arial" w:eastAsia="Arial" w:hAnsi="Arial"/>
          <w:sz w:val="20"/>
          <w:szCs w:val="20"/>
          <w:color w:val="auto"/>
        </w:rPr>
      </w:pPr>
    </w:p>
    <w:p>
      <w:pPr>
        <w:jc w:val="both"/>
        <w:ind w:firstLine="656"/>
        <w:spacing w:after="0" w:line="273" w:lineRule="auto"/>
        <w:tabs>
          <w:tab w:leader="none" w:pos="121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payment directly or indirectly (including, without limitation, any payment in respect of any sinking fund, defeasance, redemption, or payment of any dividend or distribution) by any Company of any amount of any Subordinated Debt in a manner or at a time during which such payment is not permitted under the terms of the Loan Papers or under any instrument or document evidencing or creating the Subordinated Debt, including, without limitation, any subordination provisions set forth therein, or if an event shall occur, including, without limitation, a “</w:t>
      </w:r>
      <w:r>
        <w:rPr>
          <w:rFonts w:ascii="Arial" w:cs="Arial" w:eastAsia="Arial" w:hAnsi="Arial"/>
          <w:sz w:val="18"/>
          <w:szCs w:val="18"/>
          <w:i w:val="1"/>
          <w:iCs w:val="1"/>
          <w:color w:val="auto"/>
        </w:rPr>
        <w:t>Change of Control</w:t>
      </w:r>
      <w:r>
        <w:rPr>
          <w:rFonts w:ascii="Arial" w:cs="Arial" w:eastAsia="Arial" w:hAnsi="Arial"/>
          <w:sz w:val="18"/>
          <w:szCs w:val="18"/>
          <w:color w:val="auto"/>
        </w:rPr>
        <w:t>” as defined in any agreement evidencing or creating the Subordinated Debt, and (i) such event results in the ability of the trustee or the holders of any such Debt or obligation to request or require (or any Company shall automatically be so required) to redeem or repurchase such Debt or obligation, or (ii) any Company shall initiate notice of redemption to holders of the Subordinated Debt or obligation, in connection with a redemption of any Debt or obligation arising under such agreements or instruments.</w:t>
      </w:r>
    </w:p>
    <w:p>
      <w:pPr>
        <w:spacing w:after="0" w:line="16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12.10 </w:t>
      </w:r>
      <w:r>
        <w:rPr>
          <w:rFonts w:ascii="Arial" w:cs="Arial" w:eastAsia="Arial" w:hAnsi="Arial"/>
          <w:sz w:val="20"/>
          <w:szCs w:val="20"/>
          <w:u w:val="single" w:color="auto"/>
          <w:color w:val="auto"/>
        </w:rPr>
        <w:t>Validity and Enforceability of Loan Papers</w:t>
      </w:r>
      <w:r>
        <w:rPr>
          <w:rFonts w:ascii="Arial" w:cs="Arial" w:eastAsia="Arial" w:hAnsi="Arial"/>
          <w:sz w:val="20"/>
          <w:szCs w:val="20"/>
          <w:color w:val="auto"/>
        </w:rPr>
        <w:t>. Except in accordance with its terms or as otherwise expressly permitted by this Agreement, any Loan Paper at any time after its execution and delivery ceases to be in full force and effect in any material respect or is declared to be null and void or its validity or enforceability is contested by any Company party thereto or any Company denies that it has any further liability or obligations under any Loan Paper to which it is a party.</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Employee Plans</w:t>
      </w:r>
      <w:r>
        <w:rPr>
          <w:rFonts w:ascii="Arial" w:cs="Arial" w:eastAsia="Arial" w:hAnsi="Arial"/>
          <w:sz w:val="18"/>
          <w:szCs w:val="18"/>
          <w:color w:val="auto"/>
        </w:rPr>
        <w:t xml:space="preserve">. Except where the occurrence or existence, individually or in the aggregate, is not a Material Adverse Event or, in any event, likely to result in a Lien on the assets of any Company or the Companies securing liability for any Company or the Companies (individually or when aggregated with any liability of the Companies contemplated by </w:t>
      </w:r>
      <w:r>
        <w:rPr>
          <w:rFonts w:ascii="Arial" w:cs="Arial" w:eastAsia="Arial" w:hAnsi="Arial"/>
          <w:sz w:val="18"/>
          <w:szCs w:val="18"/>
          <w:b w:val="1"/>
          <w:bCs w:val="1"/>
          <w:i w:val="1"/>
          <w:iCs w:val="1"/>
          <w:color w:val="auto"/>
        </w:rPr>
        <w:t>Section 8.8</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Section 8.9</w:t>
      </w:r>
      <w:r>
        <w:rPr>
          <w:rFonts w:ascii="Arial" w:cs="Arial" w:eastAsia="Arial" w:hAnsi="Arial"/>
          <w:sz w:val="18"/>
          <w:szCs w:val="18"/>
          <w:color w:val="auto"/>
        </w:rPr>
        <w:t xml:space="preserve"> herein that is reasonably likely to be secured by Liens) in excess of the Threshold Amount, (a) an Employee Plan or Multiemployer Plan, as applicable, has any “</w:t>
      </w:r>
      <w:r>
        <w:rPr>
          <w:rFonts w:ascii="Arial" w:cs="Arial" w:eastAsia="Arial" w:hAnsi="Arial"/>
          <w:sz w:val="18"/>
          <w:szCs w:val="18"/>
          <w:i w:val="1"/>
          <w:iCs w:val="1"/>
          <w:color w:val="auto"/>
        </w:rPr>
        <w:t>unpaid</w:t>
      </w:r>
      <w:r>
        <w:rPr>
          <w:rFonts w:ascii="Arial" w:cs="Arial" w:eastAsia="Arial" w:hAnsi="Arial"/>
          <w:sz w:val="18"/>
          <w:szCs w:val="18"/>
          <w:color w:val="auto"/>
        </w:rPr>
        <w:t xml:space="preserve"> </w:t>
      </w:r>
      <w:r>
        <w:rPr>
          <w:rFonts w:ascii="Arial" w:cs="Arial" w:eastAsia="Arial" w:hAnsi="Arial"/>
          <w:sz w:val="18"/>
          <w:szCs w:val="18"/>
          <w:i w:val="1"/>
          <w:iCs w:val="1"/>
          <w:color w:val="auto"/>
        </w:rPr>
        <w:t>minimum required contribution</w:t>
      </w:r>
      <w:r>
        <w:rPr>
          <w:rFonts w:ascii="Arial" w:cs="Arial" w:eastAsia="Arial" w:hAnsi="Arial"/>
          <w:sz w:val="18"/>
          <w:szCs w:val="18"/>
          <w:color w:val="auto"/>
        </w:rPr>
        <w:t>” (as described in</w:t>
      </w:r>
      <w:r>
        <w:rPr>
          <w:rFonts w:ascii="Arial" w:cs="Arial" w:eastAsia="Arial" w:hAnsi="Arial"/>
          <w:sz w:val="18"/>
          <w:szCs w:val="18"/>
          <w:i w:val="1"/>
          <w:iCs w:val="1"/>
          <w:color w:val="auto"/>
        </w:rPr>
        <w:t xml:space="preserve"> section 4971(c)(4) </w:t>
      </w:r>
      <w:r>
        <w:rPr>
          <w:rFonts w:ascii="Arial" w:cs="Arial" w:eastAsia="Arial" w:hAnsi="Arial"/>
          <w:sz w:val="18"/>
          <w:szCs w:val="18"/>
          <w:color w:val="auto"/>
        </w:rPr>
        <w:t>of the Code), whether or not waived, or any</w:t>
      </w:r>
      <w:r>
        <w:rPr>
          <w:rFonts w:ascii="Arial" w:cs="Arial" w:eastAsia="Arial" w:hAnsi="Arial"/>
          <w:sz w:val="18"/>
          <w:szCs w:val="18"/>
          <w:i w:val="1"/>
          <w:iCs w:val="1"/>
          <w:color w:val="auto"/>
        </w:rPr>
        <w:t xml:space="preserve"> “accumulated funding deficiency” </w:t>
      </w:r>
      <w:r>
        <w:rPr>
          <w:rFonts w:ascii="Arial" w:cs="Arial" w:eastAsia="Arial" w:hAnsi="Arial"/>
          <w:sz w:val="18"/>
          <w:szCs w:val="18"/>
          <w:color w:val="auto"/>
        </w:rPr>
        <w:t>(as defined in</w:t>
      </w:r>
      <w:r>
        <w:rPr>
          <w:rFonts w:ascii="Arial" w:cs="Arial" w:eastAsia="Arial" w:hAnsi="Arial"/>
          <w:sz w:val="18"/>
          <w:szCs w:val="18"/>
          <w:i w:val="1"/>
          <w:iCs w:val="1"/>
          <w:color w:val="auto"/>
        </w:rPr>
        <w:t xml:space="preserve"> section 302 </w:t>
      </w:r>
      <w:r>
        <w:rPr>
          <w:rFonts w:ascii="Arial" w:cs="Arial" w:eastAsia="Arial" w:hAnsi="Arial"/>
          <w:sz w:val="18"/>
          <w:szCs w:val="18"/>
          <w:color w:val="auto"/>
        </w:rPr>
        <w:t>of ERISA or</w:t>
      </w:r>
      <w:r>
        <w:rPr>
          <w:rFonts w:ascii="Arial" w:cs="Arial" w:eastAsia="Arial" w:hAnsi="Arial"/>
          <w:sz w:val="18"/>
          <w:szCs w:val="18"/>
          <w:i w:val="1"/>
          <w:iCs w:val="1"/>
          <w:color w:val="auto"/>
        </w:rPr>
        <w:t xml:space="preserve"> section 412 </w:t>
      </w:r>
      <w:r>
        <w:rPr>
          <w:rFonts w:ascii="Arial" w:cs="Arial" w:eastAsia="Arial" w:hAnsi="Arial"/>
          <w:sz w:val="18"/>
          <w:szCs w:val="18"/>
          <w:color w:val="auto"/>
        </w:rPr>
        <w:t>of the Code), (b) a Company or an ERISA Affiliate incurs liability under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ERISA to the PBGC in connection with any Employee Plan (other than required insurance premiums paid when due), (c) a Company or an ERISA Affiliate withdraws in whole or in part from participation in a Multiemployer Plan, (d) a Company, an ERISA Affiliate, or a Multiemployer Plan to which a Company or any ERISA Affiliate contributes to or has contributed to, receives notice concerning the determination that the Multiemployer Plan is, or is expected to be, insolvent or in reorganization, within the meaning of </w:t>
      </w:r>
      <w:r>
        <w:rPr>
          <w:rFonts w:ascii="Arial" w:cs="Arial" w:eastAsia="Arial" w:hAnsi="Arial"/>
          <w:sz w:val="18"/>
          <w:szCs w:val="18"/>
          <w:i w:val="1"/>
          <w:iCs w:val="1"/>
          <w:color w:val="auto"/>
        </w:rPr>
        <w:t>Title IV</w:t>
      </w:r>
      <w:r>
        <w:rPr>
          <w:rFonts w:ascii="Arial" w:cs="Arial" w:eastAsia="Arial" w:hAnsi="Arial"/>
          <w:sz w:val="18"/>
          <w:szCs w:val="18"/>
          <w:color w:val="auto"/>
        </w:rPr>
        <w:t xml:space="preserve"> of ERISA, (e) a Company or an ERISA Affiliate engages in any </w:t>
      </w:r>
      <w:r>
        <w:rPr>
          <w:rFonts w:ascii="Arial" w:cs="Arial" w:eastAsia="Arial" w:hAnsi="Arial"/>
          <w:sz w:val="18"/>
          <w:szCs w:val="18"/>
          <w:i w:val="1"/>
          <w:iCs w:val="1"/>
          <w:color w:val="auto"/>
        </w:rPr>
        <w:t>“prohibited transaction</w:t>
      </w:r>
      <w:r>
        <w:rPr>
          <w:rFonts w:ascii="Arial" w:cs="Arial" w:eastAsia="Arial" w:hAnsi="Arial"/>
          <w:sz w:val="18"/>
          <w:szCs w:val="18"/>
          <w:color w:val="auto"/>
        </w:rPr>
        <w:t xml:space="preserve">” (as defined in </w:t>
      </w:r>
      <w:r>
        <w:rPr>
          <w:rFonts w:ascii="Arial" w:cs="Arial" w:eastAsia="Arial" w:hAnsi="Arial"/>
          <w:sz w:val="18"/>
          <w:szCs w:val="18"/>
          <w:i w:val="1"/>
          <w:iCs w:val="1"/>
          <w:color w:val="auto"/>
        </w:rPr>
        <w:t>section 406</w:t>
      </w:r>
      <w:r>
        <w:rPr>
          <w:rFonts w:ascii="Arial" w:cs="Arial" w:eastAsia="Arial" w:hAnsi="Arial"/>
          <w:sz w:val="18"/>
          <w:szCs w:val="18"/>
          <w:color w:val="auto"/>
        </w:rPr>
        <w:t xml:space="preserve"> of ERISA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101</w:t>
      </w:r>
    </w:p>
    <w:p>
      <w:pPr>
        <w:sectPr>
          <w:pgSz w:w="11900" w:h="16838" w:orient="portrait"/>
          <w:cols w:equalWidth="0" w:num="1">
            <w:col w:w="11420"/>
          </w:cols>
          <w:pgMar w:left="240" w:top="798" w:right="239" w:bottom="1440" w:gutter="0" w:footer="0" w:header="0"/>
        </w:sectPr>
      </w:pPr>
    </w:p>
    <w:bookmarkStart w:id="165" w:name="page166"/>
    <w:bookmarkEnd w:id="165"/>
    <w:p>
      <w:pPr>
        <w:spacing w:after="0" w:line="260" w:lineRule="auto"/>
        <w:rPr>
          <w:sz w:val="20"/>
          <w:szCs w:val="20"/>
          <w:color w:val="auto"/>
        </w:rPr>
      </w:pPr>
      <w:r>
        <w:rPr>
          <w:rFonts w:ascii="Arial" w:cs="Arial" w:eastAsia="Arial" w:hAnsi="Arial"/>
          <w:sz w:val="20"/>
          <w:szCs w:val="20"/>
          <w:color w:val="auto"/>
        </w:rPr>
        <w:t xml:space="preserve">or </w:t>
      </w:r>
      <w:r>
        <w:rPr>
          <w:rFonts w:ascii="Arial" w:cs="Arial" w:eastAsia="Arial" w:hAnsi="Arial"/>
          <w:sz w:val="20"/>
          <w:szCs w:val="20"/>
          <w:i w:val="1"/>
          <w:iCs w:val="1"/>
          <w:color w:val="auto"/>
        </w:rPr>
        <w:t>section 4975</w:t>
      </w:r>
      <w:r>
        <w:rPr>
          <w:rFonts w:ascii="Arial" w:cs="Arial" w:eastAsia="Arial" w:hAnsi="Arial"/>
          <w:sz w:val="20"/>
          <w:szCs w:val="20"/>
          <w:color w:val="auto"/>
        </w:rPr>
        <w:t xml:space="preserve"> of the Code), or (f) a </w:t>
      </w:r>
      <w:r>
        <w:rPr>
          <w:rFonts w:ascii="Arial" w:cs="Arial" w:eastAsia="Arial" w:hAnsi="Arial"/>
          <w:sz w:val="20"/>
          <w:szCs w:val="20"/>
          <w:i w:val="1"/>
          <w:iCs w:val="1"/>
          <w:color w:val="auto"/>
        </w:rPr>
        <w:t>“reportable event”</w:t>
      </w:r>
      <w:r>
        <w:rPr>
          <w:rFonts w:ascii="Arial" w:cs="Arial" w:eastAsia="Arial" w:hAnsi="Arial"/>
          <w:sz w:val="20"/>
          <w:szCs w:val="20"/>
          <w:color w:val="auto"/>
        </w:rPr>
        <w:t xml:space="preserve"> (as defined in </w:t>
      </w:r>
      <w:r>
        <w:rPr>
          <w:rFonts w:ascii="Arial" w:cs="Arial" w:eastAsia="Arial" w:hAnsi="Arial"/>
          <w:sz w:val="20"/>
          <w:szCs w:val="20"/>
          <w:i w:val="1"/>
          <w:iCs w:val="1"/>
          <w:color w:val="auto"/>
        </w:rPr>
        <w:t>section 4043</w:t>
      </w:r>
      <w:r>
        <w:rPr>
          <w:rFonts w:ascii="Arial" w:cs="Arial" w:eastAsia="Arial" w:hAnsi="Arial"/>
          <w:sz w:val="20"/>
          <w:szCs w:val="20"/>
          <w:color w:val="auto"/>
        </w:rPr>
        <w:t xml:space="preserve"> of ERISA) occurs with respect to an Employee Plan, excluding events for which the notice requirement is waived under applicable PBGC regulations.</w:t>
      </w:r>
    </w:p>
    <w:p>
      <w:pPr>
        <w:spacing w:after="0" w:line="171" w:lineRule="exact"/>
        <w:rPr>
          <w:sz w:val="20"/>
          <w:szCs w:val="20"/>
          <w:color w:val="auto"/>
        </w:rPr>
      </w:pPr>
    </w:p>
    <w:p>
      <w:pPr>
        <w:spacing w:after="0"/>
        <w:tabs>
          <w:tab w:leader="none" w:pos="1320" w:val="left"/>
        </w:tabs>
        <w:rPr>
          <w:sz w:val="20"/>
          <w:szCs w:val="20"/>
          <w:color w:val="auto"/>
        </w:rPr>
      </w:pPr>
      <w:r>
        <w:rPr>
          <w:rFonts w:ascii="Arial" w:cs="Arial" w:eastAsia="Arial" w:hAnsi="Arial"/>
          <w:sz w:val="20"/>
          <w:szCs w:val="20"/>
          <w:b w:val="1"/>
          <w:bCs w:val="1"/>
          <w:u w:val="single" w:color="auto"/>
          <w:color w:val="auto"/>
        </w:rPr>
        <w:t>SECTION 13</w:t>
      </w:r>
      <w:r>
        <w:rPr>
          <w:sz w:val="20"/>
          <w:szCs w:val="20"/>
          <w:color w:val="auto"/>
        </w:rPr>
        <w:tab/>
      </w:r>
      <w:r>
        <w:rPr>
          <w:rFonts w:ascii="Arial" w:cs="Arial" w:eastAsia="Arial" w:hAnsi="Arial"/>
          <w:sz w:val="19"/>
          <w:szCs w:val="19"/>
          <w:b w:val="1"/>
          <w:bCs w:val="1"/>
          <w:u w:val="single" w:color="auto"/>
          <w:color w:val="auto"/>
        </w:rPr>
        <w:t>RIGHTS AND REMEDIES</w:t>
      </w:r>
      <w:r>
        <w:rPr>
          <w:rFonts w:ascii="Arial" w:cs="Arial" w:eastAsia="Arial" w:hAnsi="Arial"/>
          <w:sz w:val="19"/>
          <w:szCs w:val="19"/>
          <w:color w:val="auto"/>
        </w:rPr>
        <w:t>.</w:t>
      </w:r>
    </w:p>
    <w:p>
      <w:pPr>
        <w:spacing w:after="0" w:line="200" w:lineRule="exact"/>
        <w:rPr>
          <w:sz w:val="20"/>
          <w:szCs w:val="20"/>
          <w:color w:val="auto"/>
        </w:rPr>
      </w:pPr>
    </w:p>
    <w:p>
      <w:pPr>
        <w:spacing w:after="0" w:line="23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6"/>
          <w:szCs w:val="16"/>
          <w:u w:val="single" w:color="auto"/>
          <w:color w:val="auto"/>
        </w:rPr>
        <w:t>Remedies Upon Default</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50" w:lineRule="auto"/>
        <w:tabs>
          <w:tab w:leader="none" w:pos="1084" w:val="left"/>
        </w:tabs>
        <w:numPr>
          <w:ilvl w:val="0"/>
          <w:numId w:val="149"/>
        </w:numPr>
        <w:rPr>
          <w:rFonts w:ascii="Arial" w:cs="Arial" w:eastAsia="Arial" w:hAnsi="Arial"/>
          <w:sz w:val="20"/>
          <w:szCs w:val="20"/>
          <w:color w:val="auto"/>
        </w:rPr>
      </w:pPr>
      <w:r>
        <w:rPr>
          <w:rFonts w:ascii="Arial" w:cs="Arial" w:eastAsia="Arial" w:hAnsi="Arial"/>
          <w:sz w:val="20"/>
          <w:szCs w:val="20"/>
          <w:color w:val="auto"/>
        </w:rPr>
        <w:t xml:space="preserve">If a Default exists under </w:t>
      </w:r>
      <w:r>
        <w:rPr>
          <w:rFonts w:ascii="Arial" w:cs="Arial" w:eastAsia="Arial" w:hAnsi="Arial"/>
          <w:sz w:val="20"/>
          <w:szCs w:val="20"/>
          <w:b w:val="1"/>
          <w:bCs w:val="1"/>
          <w:i w:val="1"/>
          <w:iCs w:val="1"/>
          <w:color w:val="auto"/>
        </w:rPr>
        <w:t>Section 12.3</w:t>
      </w:r>
      <w:r>
        <w:rPr>
          <w:rFonts w:ascii="Arial" w:cs="Arial" w:eastAsia="Arial" w:hAnsi="Arial"/>
          <w:sz w:val="20"/>
          <w:szCs w:val="20"/>
          <w:color w:val="auto"/>
        </w:rPr>
        <w:t>, the commitment to extend credit under this Agreement automatically terminates, the entire unpaid balance of the Obligation automatically becomes due and payable without any action of any kind whatsoever, and Borrower must provide cash collateral in an amount equal to the then-existing L/C Exposure.</w:t>
      </w:r>
    </w:p>
    <w:p>
      <w:pPr>
        <w:spacing w:after="0" w:line="186" w:lineRule="exact"/>
        <w:rPr>
          <w:rFonts w:ascii="Arial" w:cs="Arial" w:eastAsia="Arial" w:hAnsi="Arial"/>
          <w:sz w:val="20"/>
          <w:szCs w:val="20"/>
          <w:color w:val="auto"/>
        </w:rPr>
      </w:pPr>
    </w:p>
    <w:p>
      <w:pPr>
        <w:jc w:val="both"/>
        <w:ind w:firstLine="656"/>
        <w:spacing w:after="0" w:line="259" w:lineRule="auto"/>
        <w:tabs>
          <w:tab w:leader="none" w:pos="1135" w:val="left"/>
        </w:tabs>
        <w:numPr>
          <w:ilvl w:val="0"/>
          <w:numId w:val="149"/>
        </w:numPr>
        <w:rPr>
          <w:rFonts w:ascii="Arial" w:cs="Arial" w:eastAsia="Arial" w:hAnsi="Arial"/>
          <w:sz w:val="19"/>
          <w:szCs w:val="19"/>
          <w:color w:val="auto"/>
        </w:rPr>
      </w:pPr>
      <w:r>
        <w:rPr>
          <w:rFonts w:ascii="Arial" w:cs="Arial" w:eastAsia="Arial" w:hAnsi="Arial"/>
          <w:sz w:val="19"/>
          <w:szCs w:val="19"/>
          <w:color w:val="auto"/>
        </w:rPr>
        <w:t xml:space="preserve">If any Default exists, subject to the terms of </w:t>
      </w:r>
      <w:r>
        <w:rPr>
          <w:rFonts w:ascii="Arial" w:cs="Arial" w:eastAsia="Arial" w:hAnsi="Arial"/>
          <w:sz w:val="19"/>
          <w:szCs w:val="19"/>
          <w:b w:val="1"/>
          <w:bCs w:val="1"/>
          <w:i w:val="1"/>
          <w:iCs w:val="1"/>
          <w:color w:val="auto"/>
        </w:rPr>
        <w:t>Section 14.5</w:t>
      </w:r>
      <w:r>
        <w:rPr>
          <w:rFonts w:ascii="Arial" w:cs="Arial" w:eastAsia="Arial" w:hAnsi="Arial"/>
          <w:sz w:val="19"/>
          <w:szCs w:val="19"/>
          <w:color w:val="auto"/>
        </w:rPr>
        <w:t xml:space="preserve">, Administrative Agent may (with the consent of, and must, upon the request of, Required Lenders), do any one or more of the following: (i) if the maturity of the Obligation has not already been accelerated under </w:t>
      </w:r>
      <w:r>
        <w:rPr>
          <w:rFonts w:ascii="Arial" w:cs="Arial" w:eastAsia="Arial" w:hAnsi="Arial"/>
          <w:sz w:val="19"/>
          <w:szCs w:val="19"/>
          <w:b w:val="1"/>
          <w:bCs w:val="1"/>
          <w:i w:val="1"/>
          <w:iCs w:val="1"/>
          <w:color w:val="auto"/>
        </w:rPr>
        <w:t>Section 13.1(a)</w:t>
      </w:r>
      <w:r>
        <w:rPr>
          <w:rFonts w:ascii="Arial" w:cs="Arial" w:eastAsia="Arial" w:hAnsi="Arial"/>
          <w:sz w:val="19"/>
          <w:szCs w:val="19"/>
          <w:color w:val="auto"/>
        </w:rPr>
        <w:t>, declare the entire unpaid balance of all or any part of the Obligation immediately due and payable, whereupon it is due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payable; (ii) terminate the Commitments of Lenders; (iii) reduce any claim to judgment; (iv) demand Borrower to provide cash collateral in an amount equal to the L/C Exposure then existing; and (v) exercise any and all other legal or equitable Rights afforded by the Loan Papers, the Laws of the State of New York, or any other applicable jurisdiction.</w:t>
      </w:r>
    </w:p>
    <w:p>
      <w:pPr>
        <w:spacing w:after="0" w:line="17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Company Waivers</w:t>
      </w:r>
      <w:r>
        <w:rPr>
          <w:rFonts w:ascii="Arial" w:cs="Arial" w:eastAsia="Arial" w:hAnsi="Arial"/>
          <w:sz w:val="18"/>
          <w:szCs w:val="18"/>
          <w:color w:val="auto"/>
        </w:rPr>
        <w:t xml:space="preserve">. </w:t>
      </w:r>
      <w:r>
        <w:rPr>
          <w:rFonts w:ascii="Arial" w:cs="Arial" w:eastAsia="Arial" w:hAnsi="Arial"/>
          <w:sz w:val="18"/>
          <w:szCs w:val="18"/>
          <w:b w:val="1"/>
          <w:bCs w:val="1"/>
          <w:color w:val="auto"/>
        </w:rPr>
        <w:t>To the extent permitted by Law, each Company waives presentment and demand for payment, protest,</w:t>
      </w:r>
      <w:r>
        <w:rPr>
          <w:rFonts w:ascii="Arial" w:cs="Arial" w:eastAsia="Arial" w:hAnsi="Arial"/>
          <w:sz w:val="18"/>
          <w:szCs w:val="18"/>
          <w:color w:val="auto"/>
        </w:rPr>
        <w:t xml:space="preserve"> </w:t>
      </w:r>
      <w:r>
        <w:rPr>
          <w:rFonts w:ascii="Arial" w:cs="Arial" w:eastAsia="Arial" w:hAnsi="Arial"/>
          <w:sz w:val="18"/>
          <w:szCs w:val="18"/>
          <w:b w:val="1"/>
          <w:bCs w:val="1"/>
          <w:color w:val="auto"/>
        </w:rPr>
        <w:t>notice of intention to accelerate, notice of acceleration and notice of protest and nonpayment, and agrees that its liability with respect to all or any part of the Obligation is not affected by any renewal or extension in the time of payment of all or any part of the Obligation, by any indulgence, or by any release or change in any security for the payment of all or any part of the Obligation.</w:t>
      </w:r>
    </w:p>
    <w:p>
      <w:pPr>
        <w:spacing w:after="0" w:line="15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13.3 </w:t>
      </w:r>
      <w:r>
        <w:rPr>
          <w:rFonts w:ascii="Arial" w:cs="Arial" w:eastAsia="Arial" w:hAnsi="Arial"/>
          <w:sz w:val="19"/>
          <w:szCs w:val="19"/>
          <w:u w:val="single" w:color="auto"/>
          <w:color w:val="auto"/>
        </w:rPr>
        <w:t>Performance by Administrative Agent</w:t>
      </w:r>
      <w:r>
        <w:rPr>
          <w:rFonts w:ascii="Arial" w:cs="Arial" w:eastAsia="Arial" w:hAnsi="Arial"/>
          <w:sz w:val="19"/>
          <w:szCs w:val="19"/>
          <w:color w:val="auto"/>
        </w:rPr>
        <w:t xml:space="preserve">. If any covenant, duty, or agreement of any Company is not performed in accordance with the terms of the Loan Papers, Administrative Agent may, while a Default exists, at its option (but subject to the approval of Required Lenders), perform, or attempt to perform that covenant, duty, or agreement on behalf of that Company (and any amount expended by Administrative Agent in its performance or attempted performance is payable by the Companies, jointly and severally, to Administrative Agent on demand, becomes part of the Obligation, and bears interest at the Default Rate from the date of Administrative Agent’s expenditure until paid). However, Administrative Agent does not assume and shall never have, </w:t>
      </w:r>
      <w:r>
        <w:rPr>
          <w:rFonts w:ascii="Arial" w:cs="Arial" w:eastAsia="Arial" w:hAnsi="Arial"/>
          <w:sz w:val="19"/>
          <w:szCs w:val="19"/>
          <w:i w:val="1"/>
          <w:iCs w:val="1"/>
          <w:color w:val="auto"/>
        </w:rPr>
        <w:t>except</w:t>
      </w:r>
      <w:r>
        <w:rPr>
          <w:rFonts w:ascii="Arial" w:cs="Arial" w:eastAsia="Arial" w:hAnsi="Arial"/>
          <w:sz w:val="19"/>
          <w:szCs w:val="19"/>
          <w:color w:val="auto"/>
        </w:rPr>
        <w:t xml:space="preserve"> by its express written consent, any liability or responsibility for the performance of any covenant, duty, or agreement of any Company.</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13.4 </w:t>
      </w:r>
      <w:r>
        <w:rPr>
          <w:rFonts w:ascii="Arial" w:cs="Arial" w:eastAsia="Arial" w:hAnsi="Arial"/>
          <w:sz w:val="20"/>
          <w:szCs w:val="20"/>
          <w:u w:val="single" w:color="auto"/>
          <w:color w:val="auto"/>
        </w:rPr>
        <w:t>Not in Control</w:t>
      </w:r>
      <w:r>
        <w:rPr>
          <w:rFonts w:ascii="Arial" w:cs="Arial" w:eastAsia="Arial" w:hAnsi="Arial"/>
          <w:sz w:val="20"/>
          <w:szCs w:val="20"/>
          <w:color w:val="auto"/>
        </w:rPr>
        <w:t xml:space="preserve">. None of the covenants or other provisions contained in any Loan Paper shall, or shall be deemed to, give Administrative Agent, the L/C Issuers, or Lenders the Right to exercise control over the assets (including, without limitation, real property), affairs, or management of any Company; the power of Administrative Agent, the L/C Issuers, and Lenders is limited to the Right to exercise the remedies provided in this </w:t>
      </w:r>
      <w:r>
        <w:rPr>
          <w:rFonts w:ascii="Arial" w:cs="Arial" w:eastAsia="Arial" w:hAnsi="Arial"/>
          <w:sz w:val="20"/>
          <w:szCs w:val="20"/>
          <w:b w:val="1"/>
          <w:bCs w:val="1"/>
          <w:i w:val="1"/>
          <w:iCs w:val="1"/>
          <w:color w:val="auto"/>
        </w:rPr>
        <w:t>Section 13</w:t>
      </w:r>
      <w:r>
        <w:rPr>
          <w:rFonts w:ascii="Arial" w:cs="Arial" w:eastAsia="Arial" w:hAnsi="Arial"/>
          <w:sz w:val="20"/>
          <w:szCs w:val="20"/>
          <w:color w:val="auto"/>
        </w:rPr>
        <w:t>.</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Course of Dealing</w:t>
      </w:r>
      <w:r>
        <w:rPr>
          <w:rFonts w:ascii="Arial" w:cs="Arial" w:eastAsia="Arial" w:hAnsi="Arial"/>
          <w:sz w:val="18"/>
          <w:szCs w:val="18"/>
          <w:color w:val="auto"/>
        </w:rPr>
        <w:t>. The acceptance by Administrative Agent or Lenders of any partial payment on the Obligation shall not be deemed to be a waiver of any Default then existing. No waiver by Administrative Agent, the L/C Issuers, Required Lenders, Required Revolver Lenders, Required Term Loan Lenders or Lenders of any Default shall be deemed to be a waiver of any other then-existing or subsequent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sectPr>
          <w:pgSz w:w="11900" w:h="16838" w:orient="portrait"/>
          <w:cols w:equalWidth="0" w:num="1">
            <w:col w:w="11420"/>
          </w:cols>
          <w:pgMar w:left="240" w:top="798" w:right="239" w:bottom="1440" w:gutter="0" w:footer="0" w:header="0"/>
        </w:sectPr>
      </w:pPr>
    </w:p>
    <w:bookmarkStart w:id="166" w:name="page167"/>
    <w:bookmarkEnd w:id="166"/>
    <w:p>
      <w:pPr>
        <w:jc w:val="both"/>
        <w:spacing w:after="0" w:line="246" w:lineRule="auto"/>
        <w:rPr>
          <w:sz w:val="20"/>
          <w:szCs w:val="20"/>
          <w:color w:val="auto"/>
        </w:rPr>
      </w:pPr>
      <w:r>
        <w:rPr>
          <w:rFonts w:ascii="Arial" w:cs="Arial" w:eastAsia="Arial" w:hAnsi="Arial"/>
          <w:sz w:val="20"/>
          <w:szCs w:val="20"/>
          <w:color w:val="auto"/>
        </w:rPr>
        <w:t>Default. No delay or omission by Administrative Agent, the L/C Issuers, Required Lenders, Required Revolver Lenders, Required Term Loan Lenders or Lenders in exercising any Right under the Loan Papers will impair that Right or be construed as a waiver thereof or any acquiescence therein, nor will any single or partial exercise of any Right preclude other or further exercise thereof or the exercise of any other Right under the Loan Papers or otherwise.</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13.6 </w:t>
      </w:r>
      <w:r>
        <w:rPr>
          <w:rFonts w:ascii="Arial" w:cs="Arial" w:eastAsia="Arial" w:hAnsi="Arial"/>
          <w:sz w:val="19"/>
          <w:szCs w:val="19"/>
          <w:u w:val="single" w:color="auto"/>
          <w:color w:val="auto"/>
        </w:rPr>
        <w:t>Cumulative Rights</w:t>
      </w:r>
      <w:r>
        <w:rPr>
          <w:rFonts w:ascii="Arial" w:cs="Arial" w:eastAsia="Arial" w:hAnsi="Arial"/>
          <w:sz w:val="19"/>
          <w:szCs w:val="19"/>
          <w:color w:val="auto"/>
        </w:rPr>
        <w:t>. Notwithstanding anything to the contrary provided herein, all Rights available to Administrative Agent, the L/C Issuers, Required Lenders, Required Revolver Lenders, Required Term Loan Lenders and Lenders under the Loan Papers are cumulative of and in addition to all other Rights granted to Administrative Agent, the L/C Issuers, Required Lenders, Required Revolver Lenders, Required Term Loan Lenders and Lenders at Law or in equity, whether or not the Obligation is due and payable and whether or not Administrative Agent, the L/C Issuers, Required Lenders, Required Revolver Lenders, Required Term Loan Lenders or Lenders have instituted any suit for collection, foreclosure, or other action in connection with the Loan Papers.</w:t>
      </w:r>
    </w:p>
    <w:p>
      <w:pPr>
        <w:spacing w:after="0" w:line="1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Enforcement</w:t>
      </w:r>
      <w:r>
        <w:rPr>
          <w:rFonts w:ascii="Arial" w:cs="Arial" w:eastAsia="Arial" w:hAnsi="Arial"/>
          <w:sz w:val="18"/>
          <w:szCs w:val="18"/>
          <w:color w:val="auto"/>
        </w:rPr>
        <w:t xml:space="preserve">. Notwithstanding anything to the contrary contained herein or in any other Loan Paper, the authority to enforce rights and remedies hereunder and under the other Loan Papers against the Companies or any of them shall be vested exclusively in, and all actions and proceedings at law in connection with such enforcement shall be instituted and maintained exclusively by, Administrative Agent in accordance with </w:t>
      </w:r>
      <w:r>
        <w:rPr>
          <w:rFonts w:ascii="Arial" w:cs="Arial" w:eastAsia="Arial" w:hAnsi="Arial"/>
          <w:sz w:val="18"/>
          <w:szCs w:val="18"/>
          <w:b w:val="1"/>
          <w:bCs w:val="1"/>
          <w:i w:val="1"/>
          <w:iCs w:val="1"/>
          <w:color w:val="auto"/>
        </w:rPr>
        <w:t>Section 13.1</w:t>
      </w:r>
      <w:r>
        <w:rPr>
          <w:rFonts w:ascii="Arial" w:cs="Arial" w:eastAsia="Arial" w:hAnsi="Arial"/>
          <w:sz w:val="18"/>
          <w:szCs w:val="18"/>
          <w:color w:val="auto"/>
        </w:rPr>
        <w:t xml:space="preserve"> for the benefit of all the Lenders and the L/C Issuers;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foregoing shall not prohibit</w:t>
      </w:r>
    </w:p>
    <w:p>
      <w:pPr>
        <w:spacing w:after="0" w:line="3" w:lineRule="exact"/>
        <w:rPr>
          <w:sz w:val="20"/>
          <w:szCs w:val="20"/>
          <w:color w:val="auto"/>
        </w:rPr>
      </w:pPr>
    </w:p>
    <w:p>
      <w:pPr>
        <w:jc w:val="both"/>
        <w:ind w:firstLine="8"/>
        <w:spacing w:after="0" w:line="270" w:lineRule="auto"/>
        <w:tabs>
          <w:tab w:leader="none" w:pos="30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Administrative Agent from exercising on its own behalf the rights and remedies that inure to its benefit (solely in its capacity as Administrative Agent) hereunder and under the other Loan Papers, (b) the L/C Issuers or the Swing Line Lenders from exercising the rights and remedies that inure to its benefit (solely in its capacity as L/C Issuer or Swing Line Lender, as the case may be) hereunder and under the other Loan Paper, (c) any Lender from exercising setoff rights in accordance with </w:t>
      </w:r>
      <w:r>
        <w:rPr>
          <w:rFonts w:ascii="Arial" w:cs="Arial" w:eastAsia="Arial" w:hAnsi="Arial"/>
          <w:sz w:val="18"/>
          <w:szCs w:val="18"/>
          <w:b w:val="1"/>
          <w:bCs w:val="1"/>
          <w:i w:val="1"/>
          <w:iCs w:val="1"/>
          <w:color w:val="auto"/>
        </w:rPr>
        <w:t>Section 15.13</w:t>
      </w:r>
      <w:r>
        <w:rPr>
          <w:rFonts w:ascii="Arial" w:cs="Arial" w:eastAsia="Arial" w:hAnsi="Arial"/>
          <w:sz w:val="18"/>
          <w:szCs w:val="18"/>
          <w:color w:val="auto"/>
        </w:rPr>
        <w:t xml:space="preserve"> (subject to the terms of </w:t>
      </w:r>
      <w:r>
        <w:rPr>
          <w:rFonts w:ascii="Arial" w:cs="Arial" w:eastAsia="Arial" w:hAnsi="Arial"/>
          <w:sz w:val="18"/>
          <w:szCs w:val="18"/>
          <w:b w:val="1"/>
          <w:bCs w:val="1"/>
          <w:i w:val="1"/>
          <w:iCs w:val="1"/>
          <w:color w:val="auto"/>
        </w:rPr>
        <w:t>Section 3.12</w:t>
      </w:r>
      <w:r>
        <w:rPr>
          <w:rFonts w:ascii="Arial" w:cs="Arial" w:eastAsia="Arial" w:hAnsi="Arial"/>
          <w:sz w:val="18"/>
          <w:szCs w:val="18"/>
          <w:color w:val="auto"/>
        </w:rPr>
        <w:t xml:space="preserve">), or (d) any Lender from filing proofs of claim or appearing and filing pleadings on its own behalf during the pendency of a proceeding relative to any Company under any Debtor Relief Law;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if at any time there is no Person acting as Administrative Agent hereunder and under the other Loan Paper, then (i) Required Lenders shall have the rights otherwise ascribed to Administrative Agent pursuant to </w:t>
      </w:r>
      <w:r>
        <w:rPr>
          <w:rFonts w:ascii="Arial" w:cs="Arial" w:eastAsia="Arial" w:hAnsi="Arial"/>
          <w:sz w:val="18"/>
          <w:szCs w:val="18"/>
          <w:b w:val="1"/>
          <w:bCs w:val="1"/>
          <w:i w:val="1"/>
          <w:iCs w:val="1"/>
          <w:color w:val="auto"/>
        </w:rPr>
        <w:t xml:space="preserve">Section 13.1 </w:t>
      </w:r>
      <w:r>
        <w:rPr>
          <w:rFonts w:ascii="Arial" w:cs="Arial" w:eastAsia="Arial" w:hAnsi="Arial"/>
          <w:sz w:val="18"/>
          <w:szCs w:val="18"/>
          <w:color w:val="auto"/>
        </w:rPr>
        <w:t>and (ii) in addition to the matters set forth in</w:t>
      </w:r>
      <w:r>
        <w:rPr>
          <w:rFonts w:ascii="Arial" w:cs="Arial" w:eastAsia="Arial" w:hAnsi="Arial"/>
          <w:sz w:val="18"/>
          <w:szCs w:val="18"/>
          <w:b w:val="1"/>
          <w:bCs w:val="1"/>
          <w:i w:val="1"/>
          <w:iCs w:val="1"/>
          <w:color w:val="auto"/>
        </w:rPr>
        <w:t xml:space="preserve"> clauses (b)</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(c)</w:t>
      </w:r>
      <w:r>
        <w:rPr>
          <w:rFonts w:ascii="Arial" w:cs="Arial" w:eastAsia="Arial" w:hAnsi="Arial"/>
          <w:sz w:val="18"/>
          <w:szCs w:val="18"/>
          <w:color w:val="auto"/>
        </w:rPr>
        <w:t>, and</w:t>
      </w:r>
      <w:r>
        <w:rPr>
          <w:rFonts w:ascii="Arial" w:cs="Arial" w:eastAsia="Arial" w:hAnsi="Arial"/>
          <w:sz w:val="18"/>
          <w:szCs w:val="18"/>
          <w:b w:val="1"/>
          <w:bCs w:val="1"/>
          <w:i w:val="1"/>
          <w:iCs w:val="1"/>
          <w:color w:val="auto"/>
        </w:rPr>
        <w:t xml:space="preserve"> (d) </w:t>
      </w:r>
      <w:r>
        <w:rPr>
          <w:rFonts w:ascii="Arial" w:cs="Arial" w:eastAsia="Arial" w:hAnsi="Arial"/>
          <w:sz w:val="18"/>
          <w:szCs w:val="18"/>
          <w:color w:val="auto"/>
        </w:rPr>
        <w:t>of the preceding proviso and subject to</w:t>
      </w:r>
      <w:r>
        <w:rPr>
          <w:rFonts w:ascii="Arial" w:cs="Arial" w:eastAsia="Arial" w:hAnsi="Arial"/>
          <w:sz w:val="18"/>
          <w:szCs w:val="18"/>
          <w:b w:val="1"/>
          <w:bCs w:val="1"/>
          <w:i w:val="1"/>
          <w:iCs w:val="1"/>
          <w:color w:val="auto"/>
        </w:rPr>
        <w:t xml:space="preserve"> Section 3.12</w:t>
      </w:r>
      <w:r>
        <w:rPr>
          <w:rFonts w:ascii="Arial" w:cs="Arial" w:eastAsia="Arial" w:hAnsi="Arial"/>
          <w:sz w:val="18"/>
          <w:szCs w:val="18"/>
          <w:color w:val="auto"/>
        </w:rPr>
        <w:t>,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Lender may, with the consent of Required Lenders, enforce any rights and remedies available to it and as authorized by Required Lenders.</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13.8 </w:t>
      </w:r>
      <w:r>
        <w:rPr>
          <w:rFonts w:ascii="Arial" w:cs="Arial" w:eastAsia="Arial" w:hAnsi="Arial"/>
          <w:sz w:val="20"/>
          <w:szCs w:val="20"/>
          <w:u w:val="single" w:color="auto"/>
          <w:color w:val="auto"/>
        </w:rPr>
        <w:t>Application of Proceeds</w:t>
      </w:r>
      <w:r>
        <w:rPr>
          <w:rFonts w:ascii="Arial" w:cs="Arial" w:eastAsia="Arial" w:hAnsi="Arial"/>
          <w:sz w:val="20"/>
          <w:szCs w:val="20"/>
          <w:color w:val="auto"/>
        </w:rPr>
        <w:t xml:space="preserve">. Any and all proceeds ever received by Administrative Agent or Lenders from the exercise of any Rights pertaining to the Obligation shall be applied to the Obligation according to </w:t>
      </w:r>
      <w:r>
        <w:rPr>
          <w:rFonts w:ascii="Arial" w:cs="Arial" w:eastAsia="Arial" w:hAnsi="Arial"/>
          <w:sz w:val="20"/>
          <w:szCs w:val="20"/>
          <w:b w:val="1"/>
          <w:bCs w:val="1"/>
          <w:i w:val="1"/>
          <w:iCs w:val="1"/>
          <w:color w:val="auto"/>
        </w:rPr>
        <w:t>Section 3.10</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13.9 </w:t>
      </w:r>
      <w:r>
        <w:rPr>
          <w:rFonts w:ascii="Arial" w:cs="Arial" w:eastAsia="Arial" w:hAnsi="Arial"/>
          <w:sz w:val="20"/>
          <w:szCs w:val="20"/>
          <w:u w:val="single" w:color="auto"/>
          <w:color w:val="auto"/>
        </w:rPr>
        <w:t>Diminution in Value of Collateral</w:t>
      </w:r>
      <w:r>
        <w:rPr>
          <w:rFonts w:ascii="Arial" w:cs="Arial" w:eastAsia="Arial" w:hAnsi="Arial"/>
          <w:sz w:val="20"/>
          <w:szCs w:val="20"/>
          <w:color w:val="auto"/>
        </w:rPr>
        <w:t>. Neither Administrative Agent nor any Lender has any liability or responsibility whatsoever for any diminution in or loss of value of any Collateral or other collateral ever securing payment or performance of all or any part of the Obligation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diminution in or loss of value caused by its gross negligence or willful misconduct).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13.10 </w:t>
      </w:r>
      <w:r>
        <w:rPr>
          <w:rFonts w:ascii="Arial" w:cs="Arial" w:eastAsia="Arial" w:hAnsi="Arial"/>
          <w:sz w:val="19"/>
          <w:szCs w:val="19"/>
          <w:u w:val="single" w:color="auto"/>
          <w:color w:val="auto"/>
        </w:rPr>
        <w:t>Certain Proceedings</w:t>
      </w:r>
      <w:r>
        <w:rPr>
          <w:rFonts w:ascii="Arial" w:cs="Arial" w:eastAsia="Arial" w:hAnsi="Arial"/>
          <w:sz w:val="19"/>
          <w:szCs w:val="19"/>
          <w:color w:val="auto"/>
        </w:rPr>
        <w:t>. The Companies will promptly execute and deliver, or cause the execution and delivery of, all applications, certificates, instruments, registration statements and all other documents and papers Administrative Agent, the L/C Issuers, Required Lenders, Required Revolver Lenders, Required Term Loan Lenders or Lenders reasonably request in connection with the obtaining of any consent, approval, registration, qualification, permit, license, or authorization of any Governmental Authority or other Person necessary or appropriate for the effective exercise of any Rights under the Loan Papers. Because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103</w:t>
      </w:r>
    </w:p>
    <w:p>
      <w:pPr>
        <w:sectPr>
          <w:pgSz w:w="11900" w:h="16838" w:orient="portrait"/>
          <w:cols w:equalWidth="0" w:num="1">
            <w:col w:w="11420"/>
          </w:cols>
          <w:pgMar w:left="240" w:top="798" w:right="239" w:bottom="1440" w:gutter="0" w:footer="0" w:header="0"/>
        </w:sectPr>
      </w:pPr>
    </w:p>
    <w:bookmarkStart w:id="167" w:name="page168"/>
    <w:bookmarkEnd w:id="167"/>
    <w:p>
      <w:pPr>
        <w:jc w:val="both"/>
        <w:spacing w:after="0" w:line="291" w:lineRule="auto"/>
        <w:rPr>
          <w:sz w:val="20"/>
          <w:szCs w:val="20"/>
          <w:color w:val="auto"/>
        </w:rPr>
      </w:pPr>
      <w:r>
        <w:rPr>
          <w:rFonts w:ascii="Arial" w:cs="Arial" w:eastAsia="Arial" w:hAnsi="Arial"/>
          <w:sz w:val="18"/>
          <w:szCs w:val="18"/>
          <w:color w:val="auto"/>
        </w:rPr>
        <w:t>Borrower agrees that Administrative Agent’s, the L/C Issuers’, Required Lenders’, Required Revolver Lenders’, Required Term Loan Lenders’ and Lenders’ remedies at Law for failure of the Companies to comply with the provisions of this paragraph would be inadequate and that failure would not be adequately compensable in damages, Borrower agrees that the covenants of this paragraph may be specifically enforced.</w:t>
      </w:r>
    </w:p>
    <w:p>
      <w:pPr>
        <w:spacing w:after="0" w:line="362" w:lineRule="exact"/>
        <w:rPr>
          <w:sz w:val="20"/>
          <w:szCs w:val="20"/>
          <w:color w:val="auto"/>
        </w:rPr>
      </w:pPr>
    </w:p>
    <w:p>
      <w:pPr>
        <w:spacing w:after="0"/>
        <w:tabs>
          <w:tab w:leader="none" w:pos="1320" w:val="left"/>
        </w:tabs>
        <w:rPr>
          <w:sz w:val="20"/>
          <w:szCs w:val="20"/>
          <w:color w:val="auto"/>
        </w:rPr>
      </w:pPr>
      <w:r>
        <w:rPr>
          <w:rFonts w:ascii="Arial" w:cs="Arial" w:eastAsia="Arial" w:hAnsi="Arial"/>
          <w:sz w:val="20"/>
          <w:szCs w:val="20"/>
          <w:b w:val="1"/>
          <w:bCs w:val="1"/>
          <w:u w:val="single" w:color="auto"/>
          <w:color w:val="auto"/>
        </w:rPr>
        <w:t>SECTION 14</w:t>
      </w:r>
      <w:r>
        <w:rPr>
          <w:sz w:val="20"/>
          <w:szCs w:val="20"/>
          <w:color w:val="auto"/>
        </w:rPr>
        <w:tab/>
      </w:r>
      <w:r>
        <w:rPr>
          <w:rFonts w:ascii="Arial" w:cs="Arial" w:eastAsia="Arial" w:hAnsi="Arial"/>
          <w:sz w:val="20"/>
          <w:szCs w:val="20"/>
          <w:b w:val="1"/>
          <w:bCs w:val="1"/>
          <w:u w:val="single" w:color="auto"/>
          <w:color w:val="auto"/>
        </w:rPr>
        <w:t>ADMINISTRATIVE AGENT</w:t>
      </w:r>
      <w:r>
        <w:rPr>
          <w:rFonts w:ascii="Arial" w:cs="Arial" w:eastAsia="Arial" w:hAnsi="Arial"/>
          <w:sz w:val="20"/>
          <w:szCs w:val="20"/>
          <w:color w:val="auto"/>
        </w:rPr>
        <w:t>.</w:t>
      </w:r>
    </w:p>
    <w:p>
      <w:pPr>
        <w:spacing w:after="0" w:line="22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Appointment and Authority</w:t>
      </w:r>
      <w:r>
        <w:rPr>
          <w:rFonts w:ascii="Arial" w:cs="Arial" w:eastAsia="Arial" w:hAnsi="Arial"/>
          <w:sz w:val="18"/>
          <w:szCs w:val="18"/>
          <w:color w:val="auto"/>
        </w:rPr>
        <w:t>. Each Lender and each L/C Issuer hereby irrevocably appoints Bank of America to act on its behalf as Administrative Agent hereunder and under the other Loan Papers and authorizes Administrative Agent to take such actions on its behalf and to exercise such powers as are delegated to Administrative Agent by the terms hereof or thereof, together with such actions and powers as are reasonably incidental thereto. The provisions of this Article are solely for the benefit of Administrative Agent, Lenders, and the L/C Issuers, and neither Borrower nor any other Company have rights as a third party beneficiary of any of such provisions. It is understood and agreed that the use of the term “</w:t>
      </w:r>
      <w:r>
        <w:rPr>
          <w:rFonts w:ascii="Arial" w:cs="Arial" w:eastAsia="Arial" w:hAnsi="Arial"/>
          <w:sz w:val="18"/>
          <w:szCs w:val="18"/>
          <w:i w:val="1"/>
          <w:iCs w:val="1"/>
          <w:color w:val="auto"/>
        </w:rPr>
        <w:t>agent</w:t>
      </w:r>
      <w:r>
        <w:rPr>
          <w:rFonts w:ascii="Arial" w:cs="Arial" w:eastAsia="Arial" w:hAnsi="Arial"/>
          <w:sz w:val="18"/>
          <w:szCs w:val="18"/>
          <w:color w:val="auto"/>
        </w:rPr>
        <w:t>” herein or in any other Loan Papers (or any other similar term) with reference to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69"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19"/>
          <w:szCs w:val="19"/>
          <w:color w:val="auto"/>
        </w:rPr>
        <w:t xml:space="preserve">14.2 </w:t>
      </w:r>
      <w:r>
        <w:rPr>
          <w:rFonts w:ascii="Arial" w:cs="Arial" w:eastAsia="Arial" w:hAnsi="Arial"/>
          <w:sz w:val="19"/>
          <w:szCs w:val="19"/>
          <w:u w:val="single" w:color="auto"/>
          <w:color w:val="auto"/>
        </w:rPr>
        <w:t>Delegation of Duties</w:t>
      </w:r>
      <w:r>
        <w:rPr>
          <w:rFonts w:ascii="Arial" w:cs="Arial" w:eastAsia="Arial" w:hAnsi="Arial"/>
          <w:sz w:val="19"/>
          <w:szCs w:val="19"/>
          <w:color w:val="auto"/>
        </w:rPr>
        <w:t>. Administrative Agent may perform any and all of its duties and exercise its rights and powers hereunder or under any other Loan Paper by or through any one or more sub-agents appointed in good faith by Administrative Agent. Administrative Agent and any such sub-agent may perform any and all of its duties and exercise its rights and powers by or through their respective Related Parties. The exculpatory provisions of this Article shall apply to any such sub</w:t>
      </w:r>
      <w:r>
        <w:rPr>
          <w:rFonts w:ascii="MS PGothic" w:cs="MS PGothic" w:eastAsia="MS PGothic" w:hAnsi="MS PGothic"/>
          <w:sz w:val="19"/>
          <w:szCs w:val="19"/>
          <w:color w:val="auto"/>
        </w:rPr>
        <w:t>‑</w:t>
      </w:r>
      <w:r>
        <w:rPr>
          <w:rFonts w:ascii="Arial" w:cs="Arial" w:eastAsia="Arial" w:hAnsi="Arial"/>
          <w:sz w:val="19"/>
          <w:szCs w:val="19"/>
          <w:color w:val="auto"/>
        </w:rPr>
        <w:t>agent and to the Related Parties of Administrative Agent and any such sub</w:t>
      </w:r>
      <w:r>
        <w:rPr>
          <w:rFonts w:ascii="MS PGothic" w:cs="MS PGothic" w:eastAsia="MS PGothic" w:hAnsi="MS PGothic"/>
          <w:sz w:val="19"/>
          <w:szCs w:val="19"/>
          <w:color w:val="auto"/>
        </w:rPr>
        <w:t>‑</w:t>
      </w:r>
      <w:r>
        <w:rPr>
          <w:rFonts w:ascii="Arial" w:cs="Arial" w:eastAsia="Arial" w:hAnsi="Arial"/>
          <w:sz w:val="19"/>
          <w:szCs w:val="19"/>
          <w:color w:val="auto"/>
        </w:rPr>
        <w:t>agent, and shall apply to their respective activities in connection with the syndication of the credit facilities provided for herein as well as activities as Administrative Agent. Administrative Agent shall not be responsible for the negligence or misconduct of any sub-agents except to the extent that a court of competent jurisdiction determines in a final and non-appealable judgment that Administrative Agent acted with gross negligence or willful misconduct in the selection of such sub-agents.</w:t>
      </w:r>
    </w:p>
    <w:p>
      <w:pPr>
        <w:spacing w:after="0" w:line="19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Rights as a Lender</w:t>
      </w:r>
      <w:r>
        <w:rPr>
          <w:rFonts w:ascii="Arial" w:cs="Arial" w:eastAsia="Arial" w:hAnsi="Arial"/>
          <w:sz w:val="18"/>
          <w:szCs w:val="18"/>
          <w:color w:val="auto"/>
        </w:rPr>
        <w:t>. The Person serving as Administrative Agent hereunder shall have the same rights and powers in its capacity as a Lender as any other Lender and may exercise the same as though it were not Administrative Agent and the term “</w:t>
      </w:r>
      <w:r>
        <w:rPr>
          <w:rFonts w:ascii="Arial" w:cs="Arial" w:eastAsia="Arial" w:hAnsi="Arial"/>
          <w:sz w:val="18"/>
          <w:szCs w:val="18"/>
          <w:i w:val="1"/>
          <w:iCs w:val="1"/>
          <w:color w:val="auto"/>
        </w:rPr>
        <w:t>Lender</w:t>
      </w:r>
      <w:r>
        <w:rPr>
          <w:rFonts w:ascii="Arial" w:cs="Arial" w:eastAsia="Arial" w:hAnsi="Arial"/>
          <w:sz w:val="18"/>
          <w:szCs w:val="18"/>
          <w:color w:val="auto"/>
        </w:rPr>
        <w:t>” or “</w:t>
      </w:r>
      <w:r>
        <w:rPr>
          <w:rFonts w:ascii="Arial" w:cs="Arial" w:eastAsia="Arial" w:hAnsi="Arial"/>
          <w:sz w:val="18"/>
          <w:szCs w:val="18"/>
          <w:i w:val="1"/>
          <w:iCs w:val="1"/>
          <w:color w:val="auto"/>
        </w:rPr>
        <w:t>Lenders</w:t>
      </w:r>
      <w:r>
        <w:rPr>
          <w:rFonts w:ascii="Arial" w:cs="Arial" w:eastAsia="Arial" w:hAnsi="Arial"/>
          <w:sz w:val="18"/>
          <w:szCs w:val="18"/>
          <w:color w:val="auto"/>
        </w:rPr>
        <w:t>” shall, unless otherwise expressly indicated or unless the context otherwise requires, include the Person serving as Administrative Agent hereunder in its individual capacity. Such Person and its Affiliates may accept deposits from, lend money to, own securities of, act as the financial advisor or in any other advisory capacity for, and generally engage in any kind of business with Borrower or any Subsidiary or other Affiliate thereof as if such Person were not Administrative Agent hereunder and without any duty to account therefor to Lenders. Lenders acknowledge that, pursuant to such activities, Bank of America or its Affiliates may receive information regarding any Restricted Company or its Affiliates (including information that may be subject to confidentiality obligations in favor of such Restricted Company or such Affiliate) and acknowledge that Administrative Agent shall be under no obligation to provide such information to them.</w:t>
      </w:r>
    </w:p>
    <w:p>
      <w:pPr>
        <w:spacing w:after="0" w:line="3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14.4 </w:t>
      </w:r>
      <w:r>
        <w:rPr>
          <w:rFonts w:ascii="Arial" w:cs="Arial" w:eastAsia="Arial" w:hAnsi="Arial"/>
          <w:sz w:val="19"/>
          <w:szCs w:val="19"/>
          <w:u w:val="single" w:color="auto"/>
          <w:color w:val="auto"/>
        </w:rPr>
        <w:t>Reliance by Administrative Agent</w:t>
      </w:r>
      <w:r>
        <w:rPr>
          <w:rFonts w:ascii="Arial" w:cs="Arial" w:eastAsia="Arial" w:hAnsi="Arial"/>
          <w:sz w:val="19"/>
          <w:szCs w:val="19"/>
          <w:color w:val="auto"/>
        </w:rPr>
        <w:t>.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Administrative Agent also may rely upon any statement made to it orally or by telephone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104</w:t>
      </w:r>
    </w:p>
    <w:p>
      <w:pPr>
        <w:sectPr>
          <w:pgSz w:w="11900" w:h="16838" w:orient="portrait"/>
          <w:cols w:equalWidth="0" w:num="1">
            <w:col w:w="11420"/>
          </w:cols>
          <w:pgMar w:left="240" w:top="798" w:right="239" w:bottom="1440" w:gutter="0" w:footer="0" w:header="0"/>
        </w:sectPr>
      </w:pPr>
    </w:p>
    <w:bookmarkStart w:id="168" w:name="page169"/>
    <w:bookmarkEnd w:id="168"/>
    <w:p>
      <w:pPr>
        <w:jc w:val="both"/>
        <w:spacing w:after="0" w:line="243" w:lineRule="auto"/>
        <w:rPr>
          <w:sz w:val="20"/>
          <w:szCs w:val="20"/>
          <w:color w:val="auto"/>
        </w:rPr>
      </w:pPr>
      <w:r>
        <w:rPr>
          <w:rFonts w:ascii="Arial" w:cs="Arial" w:eastAsia="Arial" w:hAnsi="Arial"/>
          <w:sz w:val="20"/>
          <w:szCs w:val="20"/>
          <w:color w:val="auto"/>
        </w:rPr>
        <w:t>and believed by it to have been made by the proper Person, and shall not incur any liability for relying thereon. In determining compliance with any condition hereunder to the making of a Loan, or the issuance of an L/C, that by its terms must be fulfilled to the satisfaction of a Lender or an L/C Issuer, Administrative Agent may presume that such condition is satisfactory to such Lender or the applicable L/C Issuer unless Administrative Agent shall have received notice to the contrary from such Lender or the applicable L/C Issuer prior to the making of such Loan or the issuance of such L/C. Administrative Agent may consult with legal counsel (who may be counsel for Borrower), independent accountants, and other experts selected by it, and shall not be liable for any action taken or not taken by it in accordance with the advice of any such counsel, accountants, or experts.</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14.5 </w:t>
      </w:r>
      <w:r>
        <w:rPr>
          <w:rFonts w:ascii="Arial" w:cs="Arial" w:eastAsia="Arial" w:hAnsi="Arial"/>
          <w:sz w:val="20"/>
          <w:szCs w:val="20"/>
          <w:u w:val="single" w:color="auto"/>
          <w:color w:val="auto"/>
        </w:rPr>
        <w:t>Exculpatory Provisions</w:t>
      </w:r>
      <w:r>
        <w:rPr>
          <w:rFonts w:ascii="Arial" w:cs="Arial" w:eastAsia="Arial" w:hAnsi="Arial"/>
          <w:sz w:val="20"/>
          <w:szCs w:val="20"/>
          <w:color w:val="auto"/>
        </w:rPr>
        <w:t>. Administrative Agent shall not have any duties or obligations except those expressly set forth herein and in the other Loan Papers, and its duties hereunder shall be administrative in nature. Without limiting the generality of the foregoing, Administrative Agent:</w:t>
      </w:r>
    </w:p>
    <w:p>
      <w:pPr>
        <w:spacing w:after="0" w:line="186" w:lineRule="exact"/>
        <w:rPr>
          <w:sz w:val="20"/>
          <w:szCs w:val="20"/>
          <w:color w:val="auto"/>
        </w:rPr>
      </w:pPr>
    </w:p>
    <w:p>
      <w:pPr>
        <w:ind w:firstLine="656"/>
        <w:spacing w:after="0" w:line="260" w:lineRule="auto"/>
        <w:tabs>
          <w:tab w:leader="none" w:pos="1079" w:val="left"/>
        </w:tabs>
        <w:numPr>
          <w:ilvl w:val="0"/>
          <w:numId w:val="151"/>
        </w:numPr>
        <w:rPr>
          <w:rFonts w:ascii="Arial" w:cs="Arial" w:eastAsia="Arial" w:hAnsi="Arial"/>
          <w:sz w:val="20"/>
          <w:szCs w:val="20"/>
          <w:color w:val="auto"/>
        </w:rPr>
      </w:pPr>
      <w:r>
        <w:rPr>
          <w:rFonts w:ascii="Arial" w:cs="Arial" w:eastAsia="Arial" w:hAnsi="Arial"/>
          <w:sz w:val="20"/>
          <w:szCs w:val="20"/>
          <w:color w:val="auto"/>
        </w:rPr>
        <w:t>shall not be subject to any fiduciary or other implied duties, regardless of whether a Default or Potential Default has occurred and is continuing;</w:t>
      </w:r>
    </w:p>
    <w:p>
      <w:pPr>
        <w:spacing w:after="0" w:line="176" w:lineRule="exact"/>
        <w:rPr>
          <w:rFonts w:ascii="Arial" w:cs="Arial" w:eastAsia="Arial" w:hAnsi="Arial"/>
          <w:sz w:val="20"/>
          <w:szCs w:val="20"/>
          <w:color w:val="auto"/>
        </w:rPr>
      </w:pPr>
    </w:p>
    <w:p>
      <w:pPr>
        <w:jc w:val="both"/>
        <w:ind w:firstLine="656"/>
        <w:spacing w:after="0" w:line="274" w:lineRule="auto"/>
        <w:tabs>
          <w:tab w:leader="none" w:pos="116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Loan Papers that Administrative Agent is required to exercise as directed in writing by Required Lenders, Required Revolver Lenders or Required Term Loan Lenders, as applicable (or such other number or percentage of Lenders as shall be expressly provided for herein or in the other Loan Papers),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Administrative Agent shall not be required to take any action that, in its opinion or the opinion of its counsel, may expose Administrative Agent to liability or that is contrary to any Loan Paper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69" w:lineRule="exact"/>
        <w:rPr>
          <w:rFonts w:ascii="Arial" w:cs="Arial" w:eastAsia="Arial" w:hAnsi="Arial"/>
          <w:sz w:val="18"/>
          <w:szCs w:val="18"/>
          <w:color w:val="auto"/>
        </w:rPr>
      </w:pPr>
    </w:p>
    <w:p>
      <w:pPr>
        <w:jc w:val="both"/>
        <w:ind w:firstLine="656"/>
        <w:spacing w:after="0" w:line="250" w:lineRule="auto"/>
        <w:tabs>
          <w:tab w:leader="none" w:pos="1103" w:val="left"/>
        </w:tabs>
        <w:numPr>
          <w:ilvl w:val="0"/>
          <w:numId w:val="151"/>
        </w:numPr>
        <w:rPr>
          <w:rFonts w:ascii="Arial" w:cs="Arial" w:eastAsia="Arial" w:hAnsi="Arial"/>
          <w:sz w:val="20"/>
          <w:szCs w:val="20"/>
          <w:color w:val="auto"/>
        </w:rPr>
      </w:pPr>
      <w:r>
        <w:rPr>
          <w:rFonts w:ascii="Arial" w:cs="Arial" w:eastAsia="Arial" w:hAnsi="Arial"/>
          <w:sz w:val="20"/>
          <w:szCs w:val="20"/>
          <w:color w:val="auto"/>
        </w:rPr>
        <w:t>shall not, except as expressly set forth herein and in the other Loan Papers, have any duty to disclose, and shall not be liable for the failure to disclose, any information relating to Borrower or any of its Affiliates that is communicated to or obtained by the Person serving as Administrative Agent or any of its Affiliates in any capacity.</w:t>
      </w:r>
    </w:p>
    <w:p>
      <w:pPr>
        <w:spacing w:after="0" w:line="18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Administrative Agent shall not be liable for any action taken or not taken by it (i) with the consent or at the request of Required Lenders, Required Revolver Lenders or Required Term Loan Lenders, as applicable (or such other number or percentage of Lenders as shall be necessary, or as Administrative Agent shall believe in good faith shall be necessary, under the circumstances as provided in </w:t>
      </w:r>
      <w:r>
        <w:rPr>
          <w:rFonts w:ascii="Arial" w:cs="Arial" w:eastAsia="Arial" w:hAnsi="Arial"/>
          <w:sz w:val="18"/>
          <w:szCs w:val="18"/>
          <w:b w:val="1"/>
          <w:bCs w:val="1"/>
          <w:i w:val="1"/>
          <w:iCs w:val="1"/>
          <w:color w:val="auto"/>
        </w:rPr>
        <w:t>Sections 15.9</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13.1</w:t>
      </w:r>
      <w:r>
        <w:rPr>
          <w:rFonts w:ascii="Arial" w:cs="Arial" w:eastAsia="Arial" w:hAnsi="Arial"/>
          <w:sz w:val="18"/>
          <w:szCs w:val="18"/>
          <w:color w:val="auto"/>
        </w:rPr>
        <w:t>), or (ii) in the absence of its own gross negligence or willful misconduct as determined by a court of competent jurisdiction by final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nonappealable judgment. Administrative Agent shall be deemed not to have knowledge of any Default or Potential Default unless and until notice describing such Default or Potential Default is given to Administrative Agent by Borrower, a Lender, or an L/C Issuer.</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Administrative Agent shall not be responsible for or have any duty to ascertain or inquire into (i) any statement, warranty, or representation made in or in connection with this Agreement or any other Loan Paper,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Potential Default, (iv) the validity, enforceability, effectiveness, or genuineness of this Agreement, any other Loan Paper, or any other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105</w:t>
      </w:r>
    </w:p>
    <w:p>
      <w:pPr>
        <w:sectPr>
          <w:pgSz w:w="11900" w:h="16838" w:orient="portrait"/>
          <w:cols w:equalWidth="0" w:num="1">
            <w:col w:w="11420"/>
          </w:cols>
          <w:pgMar w:left="240" w:top="798" w:right="239" w:bottom="1440" w:gutter="0" w:footer="0" w:header="0"/>
        </w:sectPr>
      </w:pPr>
    </w:p>
    <w:bookmarkStart w:id="169" w:name="page170"/>
    <w:bookmarkEnd w:id="169"/>
    <w:p>
      <w:pPr>
        <w:jc w:val="both"/>
        <w:spacing w:after="0" w:line="260" w:lineRule="auto"/>
        <w:rPr>
          <w:sz w:val="20"/>
          <w:szCs w:val="20"/>
          <w:color w:val="auto"/>
        </w:rPr>
      </w:pPr>
      <w:r>
        <w:rPr>
          <w:rFonts w:ascii="Arial" w:cs="Arial" w:eastAsia="Arial" w:hAnsi="Arial"/>
          <w:sz w:val="20"/>
          <w:szCs w:val="20"/>
          <w:color w:val="auto"/>
        </w:rPr>
        <w:t xml:space="preserve">agreement, instrument, or document, or (v) the satisfaction of any condition set forth in </w:t>
      </w:r>
      <w:r>
        <w:rPr>
          <w:rFonts w:ascii="Arial" w:cs="Arial" w:eastAsia="Arial" w:hAnsi="Arial"/>
          <w:sz w:val="20"/>
          <w:szCs w:val="20"/>
          <w:b w:val="1"/>
          <w:bCs w:val="1"/>
          <w:i w:val="1"/>
          <w:iCs w:val="1"/>
          <w:color w:val="auto"/>
        </w:rPr>
        <w:t>Section 7</w:t>
      </w:r>
      <w:r>
        <w:rPr>
          <w:rFonts w:ascii="Arial" w:cs="Arial" w:eastAsia="Arial" w:hAnsi="Arial"/>
          <w:sz w:val="20"/>
          <w:szCs w:val="20"/>
          <w:color w:val="auto"/>
        </w:rPr>
        <w:t xml:space="preserve"> or elsewhere herein, other than to confirm receipt of items expressly required to be delivered to Administrative Agent.</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14.6 </w:t>
      </w:r>
      <w:r>
        <w:rPr>
          <w:rFonts w:ascii="Arial" w:cs="Arial" w:eastAsia="Arial" w:hAnsi="Arial"/>
          <w:sz w:val="19"/>
          <w:szCs w:val="19"/>
          <w:u w:val="single" w:color="auto"/>
          <w:color w:val="auto"/>
        </w:rPr>
        <w:t>Resignation or Removal as Administrative Agent</w:t>
      </w:r>
      <w:r>
        <w:rPr>
          <w:rFonts w:ascii="Arial" w:cs="Arial" w:eastAsia="Arial" w:hAnsi="Arial"/>
          <w:sz w:val="19"/>
          <w:szCs w:val="19"/>
          <w:color w:val="auto"/>
        </w:rPr>
        <w:t>. (a) Administrative Agent may at any time give notice of its resignation to Lenders, the L/C Issuers, and Borrower. Upon receipt of any such notice of resignation, Required Lenders shall have the right to appoint a successor, which shall be a bank with an office in the United States, or an Affiliate of any such bank with an office in the United States, and shall be consented to by Borrower at all times other than during the existence of a Default or Potential Default (which consent of Borrower shall not be unreasonably withheld). If no such successor shall have been so appointed by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9"/>
          <w:szCs w:val="19"/>
          <w:b w:val="1"/>
          <w:bCs w:val="1"/>
          <w:i w:val="1"/>
          <w:iCs w:val="1"/>
          <w:color w:val="auto"/>
        </w:rPr>
        <w:t>Resignation Effective Date</w:t>
      </w:r>
      <w:r>
        <w:rPr>
          <w:rFonts w:ascii="Arial" w:cs="Arial" w:eastAsia="Arial" w:hAnsi="Arial"/>
          <w:sz w:val="19"/>
          <w:szCs w:val="19"/>
          <w:color w:val="auto"/>
        </w:rPr>
        <w:t xml:space="preserve">”), then the retiring Administrative Agent may, after consultation with Borrower, on behalf of Lenders and the L/C Issuers, appoint a successor Administrative Agent meeting the qualifications set forth above;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if Administrative Agent shall notify Borrower and Lenders that no qualifying Person has accepted such appointment, then such resignation shall nonetheless become effective in accordance with such notice.</w:t>
      </w:r>
    </w:p>
    <w:p>
      <w:pPr>
        <w:spacing w:after="0" w:line="181" w:lineRule="exact"/>
        <w:rPr>
          <w:sz w:val="20"/>
          <w:szCs w:val="20"/>
          <w:color w:val="auto"/>
        </w:rPr>
      </w:pPr>
    </w:p>
    <w:p>
      <w:pPr>
        <w:jc w:val="both"/>
        <w:ind w:firstLine="656"/>
        <w:spacing w:after="0" w:line="243" w:lineRule="auto"/>
        <w:tabs>
          <w:tab w:leader="none" w:pos="1083" w:val="left"/>
        </w:tabs>
        <w:numPr>
          <w:ilvl w:val="0"/>
          <w:numId w:val="152"/>
        </w:numPr>
        <w:rPr>
          <w:rFonts w:ascii="Arial" w:cs="Arial" w:eastAsia="Arial" w:hAnsi="Arial"/>
          <w:sz w:val="20"/>
          <w:szCs w:val="20"/>
          <w:color w:val="auto"/>
        </w:rPr>
      </w:pPr>
      <w:r>
        <w:rPr>
          <w:rFonts w:ascii="Arial" w:cs="Arial" w:eastAsia="Arial" w:hAnsi="Arial"/>
          <w:sz w:val="20"/>
          <w:szCs w:val="20"/>
          <w:color w:val="auto"/>
        </w:rPr>
        <w:t xml:space="preserve">If the Person serving as Administrative Agent is a Defaulting Lender pursuant to </w:t>
      </w:r>
      <w:r>
        <w:rPr>
          <w:rFonts w:ascii="Arial" w:cs="Arial" w:eastAsia="Arial" w:hAnsi="Arial"/>
          <w:sz w:val="20"/>
          <w:szCs w:val="20"/>
          <w:b w:val="1"/>
          <w:bCs w:val="1"/>
          <w:i w:val="1"/>
          <w:iCs w:val="1"/>
          <w:color w:val="auto"/>
        </w:rPr>
        <w:t>clause (d)</w:t>
      </w:r>
      <w:r>
        <w:rPr>
          <w:rFonts w:ascii="Arial" w:cs="Arial" w:eastAsia="Arial" w:hAnsi="Arial"/>
          <w:sz w:val="20"/>
          <w:szCs w:val="20"/>
          <w:color w:val="auto"/>
        </w:rPr>
        <w:t xml:space="preserve"> of the definition thereof, the Required Lenders may, to the extent permitted by applicable law, by notice in writing to Borrower and such Person remove such Person as Administrative Agent and, in consultation with Borrower,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20"/>
          <w:szCs w:val="20"/>
          <w:b w:val="1"/>
          <w:bCs w:val="1"/>
          <w:i w:val="1"/>
          <w:iCs w:val="1"/>
          <w:color w:val="auto"/>
        </w:rPr>
        <w:t>Removal Effective Date</w:t>
      </w:r>
      <w:r>
        <w:rPr>
          <w:rFonts w:ascii="Arial" w:cs="Arial" w:eastAsia="Arial" w:hAnsi="Arial"/>
          <w:sz w:val="20"/>
          <w:szCs w:val="20"/>
          <w:color w:val="auto"/>
        </w:rPr>
        <w:t>”), then such removal shall nonetheless become effective in accordance with such notice on the Removal Effective Date.</w:t>
      </w:r>
    </w:p>
    <w:p>
      <w:pPr>
        <w:spacing w:after="0" w:line="196" w:lineRule="exact"/>
        <w:rPr>
          <w:rFonts w:ascii="Arial" w:cs="Arial" w:eastAsia="Arial" w:hAnsi="Arial"/>
          <w:sz w:val="20"/>
          <w:szCs w:val="20"/>
          <w:color w:val="auto"/>
        </w:rPr>
      </w:pPr>
    </w:p>
    <w:p>
      <w:pPr>
        <w:jc w:val="both"/>
        <w:ind w:firstLine="656"/>
        <w:spacing w:after="0" w:line="269" w:lineRule="auto"/>
        <w:tabs>
          <w:tab w:leader="none" w:pos="119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With effect from the Resignation Effective Date or the Removal Effective Date (as applicable) (1) the retiring or removed Administrative Agent shall be discharged from its duties and obligations hereunder and under the other Loan Papers (except that in the case of any collateral security held by Administrative Agent on behalf of Lenders or the L/C Issuers under any of the Loan Papers, the retiring Administrative Agent shall continue to hold such collateral security until such time as a successor Administrative Agent or collateral agent is appointed), and (2) except for any indemnity payments or other amounts then owed to the retiring or removed Administrative Agent, all payments, communications, and determinations provided to be made by, to, or through Administrative Agent shall instead be made by or to each Lender and the applicable L/C Issuer directly, until such time as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Arial" w:cs="Arial" w:eastAsia="Arial" w:hAnsi="Arial"/>
          <w:sz w:val="18"/>
          <w:szCs w:val="18"/>
          <w:b w:val="1"/>
          <w:bCs w:val="1"/>
          <w:i w:val="1"/>
          <w:iCs w:val="1"/>
          <w:color w:val="auto"/>
        </w:rPr>
        <w:t>Section 4.1(g)</w:t>
      </w:r>
      <w:r>
        <w:rPr>
          <w:rFonts w:ascii="Arial" w:cs="Arial" w:eastAsia="Arial" w:hAnsi="Arial"/>
          <w:sz w:val="18"/>
          <w:szCs w:val="18"/>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Papers (if not already discharged therefrom as provided above in this Section). The fees payable by Borrower to a successor Administrative Agent shall be the same as those payable to its predecessor unless otherwise agreed between Borrower and such successor. After the retiring Administrative Agent’s resignation hereunder and under the other Loan Papers, the provisions of this </w:t>
      </w:r>
      <w:r>
        <w:rPr>
          <w:rFonts w:ascii="Arial" w:cs="Arial" w:eastAsia="Arial" w:hAnsi="Arial"/>
          <w:sz w:val="18"/>
          <w:szCs w:val="18"/>
          <w:b w:val="1"/>
          <w:bCs w:val="1"/>
          <w:i w:val="1"/>
          <w:iCs w:val="1"/>
          <w:color w:val="auto"/>
        </w:rPr>
        <w:t>Section 14</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Section 15.4</w:t>
      </w:r>
      <w:r>
        <w:rPr>
          <w:rFonts w:ascii="Arial" w:cs="Arial" w:eastAsia="Arial" w:hAnsi="Arial"/>
          <w:sz w:val="18"/>
          <w:szCs w:val="18"/>
          <w:color w:val="auto"/>
        </w:rPr>
        <w:t xml:space="preserve">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106</w:t>
      </w:r>
    </w:p>
    <w:p>
      <w:pPr>
        <w:sectPr>
          <w:pgSz w:w="11900" w:h="16838" w:orient="portrait"/>
          <w:cols w:equalWidth="0" w:num="1">
            <w:col w:w="11420"/>
          </w:cols>
          <w:pgMar w:left="240" w:top="582" w:right="239" w:bottom="1440" w:gutter="0" w:footer="0" w:header="0"/>
        </w:sectPr>
      </w:pPr>
    </w:p>
    <w:bookmarkStart w:id="170" w:name="page171"/>
    <w:bookmarkEnd w:id="170"/>
    <w:p>
      <w:pPr>
        <w:jc w:val="both"/>
        <w:spacing w:after="0" w:line="270" w:lineRule="auto"/>
        <w:rPr>
          <w:sz w:val="20"/>
          <w:szCs w:val="20"/>
          <w:color w:val="auto"/>
        </w:rPr>
      </w:pPr>
      <w:r>
        <w:rPr>
          <w:rFonts w:ascii="Arial" w:cs="Arial" w:eastAsia="Arial" w:hAnsi="Arial"/>
          <w:sz w:val="18"/>
          <w:szCs w:val="18"/>
          <w:color w:val="auto"/>
        </w:rPr>
        <w:t xml:space="preserve">Any resignation by Bank of America as Administrative Agent pursuant to this Section shall also constitute its resignation as L/C Issuer and Swing Line Lender. If Bank of America resigns as an L/C Issuer, it shall retain all the rights, powers, privileges and duties of an L/C Issuer hereunder with respect to all L/Cs outstanding as of the effective date of its resignation as an L/C Issuer and all L/C Obligations with respect thereto, including the right to require the Lenders to make Base Rate Loans or fund risk participations in Unreimbursed Amounts pursuant to </w:t>
      </w:r>
      <w:r>
        <w:rPr>
          <w:rFonts w:ascii="Arial" w:cs="Arial" w:eastAsia="Arial" w:hAnsi="Arial"/>
          <w:sz w:val="18"/>
          <w:szCs w:val="18"/>
          <w:b w:val="1"/>
          <w:bCs w:val="1"/>
          <w:i w:val="1"/>
          <w:iCs w:val="1"/>
          <w:color w:val="auto"/>
        </w:rPr>
        <w:t>Section 2.3(c)</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Bank of America resigns as a Swing Line Lender, it shall retain all the rights of a Swing Line Lender provided for hereunder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8"/>
          <w:szCs w:val="18"/>
          <w:b w:val="1"/>
          <w:bCs w:val="1"/>
          <w:i w:val="1"/>
          <w:iCs w:val="1"/>
          <w:color w:val="auto"/>
        </w:rPr>
        <w:t>Section 2.4(c)</w:t>
      </w:r>
      <w:r>
        <w:rPr>
          <w:rFonts w:ascii="Arial" w:cs="Arial" w:eastAsia="Arial" w:hAnsi="Arial"/>
          <w:sz w:val="18"/>
          <w:szCs w:val="18"/>
          <w:i w:val="1"/>
          <w:iCs w:val="1"/>
          <w:color w:val="auto"/>
        </w:rPr>
        <w:t>.</w:t>
      </w:r>
      <w:r>
        <w:rPr>
          <w:rFonts w:ascii="Arial" w:cs="Arial" w:eastAsia="Arial" w:hAnsi="Arial"/>
          <w:sz w:val="18"/>
          <w:szCs w:val="18"/>
          <w:color w:val="auto"/>
        </w:rPr>
        <w:t xml:space="preserve"> Upon the appointment by Borrower of a successor L/C Issuer or Swing Line Lender hereunder (which successor shall in all cases be a Lender other than a Defaulting Lender), (a) such successor shall succeed to and become vested with all of the rights, powers, privileges, and duties of the retiring L/C Issuer and Swing Line Lender, (b) the retiring L/C Issuer and Swing Line Lender shall be discharged from all of their respective duties and obligations hereunder or under the other Loan Papers, and (c) the successor L/C Issuer shall issue letters of credit in substitution for the L/Cs, if any, outstanding at the time of such succession or make other arrangements satisfactory to the retiring L/C Issuer to effectively assume the obligations of the retiring L/C Issuer with respect to such L/Cs.</w:t>
      </w:r>
    </w:p>
    <w:p>
      <w:pPr>
        <w:spacing w:after="0" w:line="17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14.7 </w:t>
      </w:r>
      <w:r>
        <w:rPr>
          <w:rFonts w:ascii="Arial" w:cs="Arial" w:eastAsia="Arial" w:hAnsi="Arial"/>
          <w:sz w:val="20"/>
          <w:szCs w:val="20"/>
          <w:u w:val="single" w:color="auto"/>
          <w:color w:val="auto"/>
        </w:rPr>
        <w:t>Non-Reliance on Administrative Agent and Other Lenders</w:t>
      </w:r>
      <w:r>
        <w:rPr>
          <w:rFonts w:ascii="Arial" w:cs="Arial" w:eastAsia="Arial" w:hAnsi="Arial"/>
          <w:sz w:val="20"/>
          <w:szCs w:val="20"/>
          <w:color w:val="auto"/>
        </w:rPr>
        <w:t>. Each Lender and each L/C Issuer acknowledges that it has, independently and without reliance upon Administrative Agent or any other Lender or any of their Related Parties and based on such documents and information as it has deemed appropriate, made its own credit analysis and decision to enter into this Agreement. Each Lender and each L/C Issuer also acknowledges that it will, independently and without reliance upon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Paper, or any related agreement or any document furnished hereunder or thereunder.</w:t>
      </w:r>
    </w:p>
    <w:p>
      <w:pPr>
        <w:spacing w:after="0" w:line="19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Administrative Agent May File Proofs of Claim</w:t>
      </w:r>
      <w:r>
        <w:rPr>
          <w:rFonts w:ascii="Arial" w:cs="Arial" w:eastAsia="Arial" w:hAnsi="Arial"/>
          <w:sz w:val="18"/>
          <w:szCs w:val="18"/>
          <w:color w:val="auto"/>
        </w:rPr>
        <w:t>. In case of the pendency of any proceeding under any Debtor Relief Law or any other judicial proceeding relative to any Restricted Company, Administrative Agent (irrespective of whether the principal of any Loan or L/C Exposure shall then be due and payable as herein expressed or by declaration or otherwise and irrespective of whether Administrative Agent shall have made any demand on Borrower) shall be entitled and empowered, by intervention in such proceeding or otherwise:</w:t>
      </w:r>
    </w:p>
    <w:p>
      <w:pPr>
        <w:spacing w:after="0" w:line="162" w:lineRule="exact"/>
        <w:rPr>
          <w:sz w:val="20"/>
          <w:szCs w:val="20"/>
          <w:color w:val="auto"/>
        </w:rPr>
      </w:pPr>
    </w:p>
    <w:p>
      <w:pPr>
        <w:jc w:val="both"/>
        <w:ind w:left="660" w:firstLine="645"/>
        <w:spacing w:after="0" w:line="243" w:lineRule="auto"/>
        <w:tabs>
          <w:tab w:leader="none" w:pos="1736" w:val="left"/>
        </w:tabs>
        <w:numPr>
          <w:ilvl w:val="0"/>
          <w:numId w:val="153"/>
        </w:numPr>
        <w:rPr>
          <w:rFonts w:ascii="Arial" w:cs="Arial" w:eastAsia="Arial" w:hAnsi="Arial"/>
          <w:sz w:val="20"/>
          <w:szCs w:val="20"/>
          <w:color w:val="auto"/>
        </w:rPr>
      </w:pPr>
      <w:r>
        <w:rPr>
          <w:rFonts w:ascii="Arial" w:cs="Arial" w:eastAsia="Arial" w:hAnsi="Arial"/>
          <w:sz w:val="20"/>
          <w:szCs w:val="20"/>
          <w:color w:val="auto"/>
        </w:rPr>
        <w:t xml:space="preserve">to file and prove a claim for the whole amount of the principal and interest owing and unpaid in respect of the Loans, L/C Exposure, and all other Obligation that are owing and unpaid and to file such other documents as may be necessary or advisable in order to have the claims of Lenders and Administrative Agent (including any claim for the reasonable compensation, expenses, disbursements, and advances of Lenders and Administrative Agent, and their respective agents and counsel and all other amounts due Lenders, Administrative Agent and the L/C Issuers, as applicable, under </w:t>
      </w:r>
      <w:r>
        <w:rPr>
          <w:rFonts w:ascii="Arial" w:cs="Arial" w:eastAsia="Arial" w:hAnsi="Arial"/>
          <w:sz w:val="20"/>
          <w:szCs w:val="20"/>
          <w:b w:val="1"/>
          <w:bCs w:val="1"/>
          <w:i w:val="1"/>
          <w:iCs w:val="1"/>
          <w:color w:val="auto"/>
        </w:rPr>
        <w:t>Sections 5.3</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5.4</w:t>
      </w:r>
      <w:r>
        <w:rPr>
          <w:rFonts w:ascii="Arial" w:cs="Arial" w:eastAsia="Arial" w:hAnsi="Arial"/>
          <w:sz w:val="20"/>
          <w:szCs w:val="20"/>
          <w:i w:val="1"/>
          <w:iCs w:val="1"/>
          <w:color w:val="auto"/>
        </w:rPr>
        <w:t>,</w:t>
      </w:r>
      <w:r>
        <w:rPr>
          <w:rFonts w:ascii="Arial" w:cs="Arial" w:eastAsia="Arial" w:hAnsi="Arial"/>
          <w:sz w:val="20"/>
          <w:szCs w:val="20"/>
          <w:color w:val="auto"/>
        </w:rPr>
        <w:t xml:space="preserve"> and </w:t>
      </w:r>
      <w:r>
        <w:rPr>
          <w:rFonts w:ascii="Arial" w:cs="Arial" w:eastAsia="Arial" w:hAnsi="Arial"/>
          <w:sz w:val="20"/>
          <w:szCs w:val="20"/>
          <w:b w:val="1"/>
          <w:bCs w:val="1"/>
          <w:i w:val="1"/>
          <w:iCs w:val="1"/>
          <w:color w:val="auto"/>
        </w:rPr>
        <w:t>15.4</w:t>
      </w:r>
      <w:r>
        <w:rPr>
          <w:rFonts w:ascii="Arial" w:cs="Arial" w:eastAsia="Arial" w:hAnsi="Arial"/>
          <w:sz w:val="20"/>
          <w:szCs w:val="20"/>
          <w:color w:val="auto"/>
        </w:rPr>
        <w:t>) allowed in such judicial proceeding; and</w:t>
      </w:r>
    </w:p>
    <w:p>
      <w:pPr>
        <w:spacing w:after="0" w:line="196" w:lineRule="exact"/>
        <w:rPr>
          <w:rFonts w:ascii="Arial" w:cs="Arial" w:eastAsia="Arial" w:hAnsi="Arial"/>
          <w:sz w:val="20"/>
          <w:szCs w:val="20"/>
          <w:color w:val="auto"/>
        </w:rPr>
      </w:pPr>
    </w:p>
    <w:p>
      <w:pPr>
        <w:ind w:left="1740" w:hanging="435"/>
        <w:spacing w:after="0"/>
        <w:tabs>
          <w:tab w:leader="none" w:pos="17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and any custodian, receiver, assignee, trustee, liquidator, sequestrator, or other similar official in any such judicial proceeding is hereby authorized by each Lender to make such payments to Administrative Agent and, in the event that Administrative Agent shall consent to the making of such payments directly to Lenders,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107</w:t>
      </w:r>
    </w:p>
    <w:p>
      <w:pPr>
        <w:sectPr>
          <w:pgSz w:w="11900" w:h="16838" w:orient="portrait"/>
          <w:cols w:equalWidth="0" w:num="1">
            <w:col w:w="11420"/>
          </w:cols>
          <w:pgMar w:left="240" w:top="582" w:right="239" w:bottom="1440" w:gutter="0" w:footer="0" w:header="0"/>
        </w:sectPr>
      </w:pPr>
    </w:p>
    <w:bookmarkStart w:id="171" w:name="page172"/>
    <w:bookmarkEnd w:id="171"/>
    <w:p>
      <w:pPr>
        <w:jc w:val="both"/>
        <w:ind w:right="20"/>
        <w:spacing w:after="0" w:line="260" w:lineRule="auto"/>
        <w:rPr>
          <w:sz w:val="20"/>
          <w:szCs w:val="20"/>
          <w:color w:val="auto"/>
        </w:rPr>
      </w:pPr>
      <w:r>
        <w:rPr>
          <w:rFonts w:ascii="Arial" w:cs="Arial" w:eastAsia="Arial" w:hAnsi="Arial"/>
          <w:sz w:val="20"/>
          <w:szCs w:val="20"/>
          <w:color w:val="auto"/>
        </w:rPr>
        <w:t xml:space="preserve">to pay to Administrative Agent any amount due for the reasonable compensation, expenses, disbursements, and advances of Administrative Agent and its agents and counsel, and any other amounts due Administrative Agent under </w:t>
      </w:r>
      <w:r>
        <w:rPr>
          <w:rFonts w:ascii="Arial" w:cs="Arial" w:eastAsia="Arial" w:hAnsi="Arial"/>
          <w:sz w:val="20"/>
          <w:szCs w:val="20"/>
          <w:b w:val="1"/>
          <w:bCs w:val="1"/>
          <w:i w:val="1"/>
          <w:iCs w:val="1"/>
          <w:color w:val="auto"/>
        </w:rPr>
        <w:t>Sections 5.4</w:t>
      </w:r>
      <w:r>
        <w:rPr>
          <w:rFonts w:ascii="Arial" w:cs="Arial" w:eastAsia="Arial" w:hAnsi="Arial"/>
          <w:sz w:val="20"/>
          <w:szCs w:val="20"/>
          <w:color w:val="auto"/>
        </w:rPr>
        <w:t xml:space="preserve"> and </w:t>
      </w:r>
      <w:r>
        <w:rPr>
          <w:rFonts w:ascii="Arial" w:cs="Arial" w:eastAsia="Arial" w:hAnsi="Arial"/>
          <w:sz w:val="20"/>
          <w:szCs w:val="20"/>
          <w:b w:val="1"/>
          <w:bCs w:val="1"/>
          <w:i w:val="1"/>
          <w:iCs w:val="1"/>
          <w:color w:val="auto"/>
        </w:rPr>
        <w:t>15.4</w:t>
      </w:r>
      <w:r>
        <w:rPr>
          <w:rFonts w:ascii="Arial" w:cs="Arial" w:eastAsia="Arial" w:hAnsi="Arial"/>
          <w:sz w:val="20"/>
          <w:szCs w:val="20"/>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Nothing contained herein shall be deemed to authorize Administrative Agent to authorize or consent to or accept or adopt on behalf of any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Lender any plan of reorganization, arrangement, adjustment or composition affecting the Obligation or the rights of any Lender or to authorize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to vote in respect of the claim of any Lender in any such proceeding.</w:t>
      </w:r>
    </w:p>
    <w:p>
      <w:pPr>
        <w:spacing w:after="0" w:line="20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u w:val="single" w:color="auto"/>
          <w:color w:val="auto"/>
        </w:rPr>
        <w:t>Collateral and Guaranty Matters</w:t>
      </w:r>
      <w:r>
        <w:rPr>
          <w:rFonts w:ascii="Arial" w:cs="Arial" w:eastAsia="Arial" w:hAnsi="Arial"/>
          <w:sz w:val="18"/>
          <w:szCs w:val="18"/>
          <w:color w:val="auto"/>
        </w:rPr>
        <w:t>. (a) Upon the occurrence and continuance of a Default, Lenders agree to promptly confer in order that Required Lenders or Lenders, as the case may be, may agree upon a course of action for the enforcement of the Rights of Lenders; and Administrative Agent shall be entitled to refrain from taking any action (without incurring any liability to any Person for so refraining) unless and until Administrative Agent shall have received instructions from Required Lenders. All Rights of action under the Loan Papers and all Rights to the Collateral, if any, hereunder may be enforced by Administrative Agent and any suit or proceeding instituted by Administrative Agent in furtherance of such enforcement shall be brought in its name as Administrative Agent without the necessity of joining as plaintiffs or defendants any other Lender, and the recovery of any judgment shall be for the benefit of Lenders subject to the expenses of Administrative Agent. In actions with respect to any property of any Restricted Company, Administrative Agent is acting for the ratable benefit of each Lender. Any and all agreements to subordinate (whether made heretofore or hereafter) other indebtedness or obligations of any Restricted Company to the Obligation shall be construed as being for the ratable benefit of each Lender.</w:t>
      </w:r>
    </w:p>
    <w:p>
      <w:pPr>
        <w:spacing w:after="0" w:line="175" w:lineRule="exact"/>
        <w:rPr>
          <w:sz w:val="20"/>
          <w:szCs w:val="20"/>
          <w:color w:val="auto"/>
        </w:rPr>
      </w:pPr>
    </w:p>
    <w:p>
      <w:pPr>
        <w:jc w:val="both"/>
        <w:ind w:firstLine="656"/>
        <w:spacing w:after="0" w:line="272" w:lineRule="auto"/>
        <w:tabs>
          <w:tab w:leader="none" w:pos="109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Each Lender authorizes and directs Administrative Agent to enter into the Security Documents for the benefit of Lenders. </w:t>
      </w:r>
      <w:r>
        <w:rPr>
          <w:rFonts w:ascii="Arial" w:cs="Arial" w:eastAsia="Arial" w:hAnsi="Arial"/>
          <w:sz w:val="18"/>
          <w:szCs w:val="18"/>
          <w:i w:val="1"/>
          <w:iCs w:val="1"/>
          <w:color w:val="auto"/>
        </w:rPr>
        <w:t>Except</w:t>
      </w:r>
      <w:r>
        <w:rPr>
          <w:rFonts w:ascii="Arial" w:cs="Arial" w:eastAsia="Arial" w:hAnsi="Arial"/>
          <w:sz w:val="18"/>
          <w:szCs w:val="18"/>
          <w:color w:val="auto"/>
        </w:rPr>
        <w:t xml:space="preserve"> to the extent unanimity is required hereunder, (i) each Lender agrees that any action taken by Required Lenders in accordance with the provisions of the Loan Papers, and the exercise by Required Lenders of the powers set forth herein or therein, </w:t>
      </w:r>
      <w:r>
        <w:rPr>
          <w:rFonts w:ascii="Arial" w:cs="Arial" w:eastAsia="Arial" w:hAnsi="Arial"/>
          <w:sz w:val="18"/>
          <w:szCs w:val="18"/>
          <w:i w:val="1"/>
          <w:iCs w:val="1"/>
          <w:color w:val="auto"/>
        </w:rPr>
        <w:t>together with</w:t>
      </w:r>
      <w:r>
        <w:rPr>
          <w:rFonts w:ascii="Arial" w:cs="Arial" w:eastAsia="Arial" w:hAnsi="Arial"/>
          <w:sz w:val="18"/>
          <w:szCs w:val="18"/>
          <w:color w:val="auto"/>
        </w:rPr>
        <w:t xml:space="preserve"> such other powers as are reasonably incidental thereto, shall be authorized and binding upon all Lenders, (ii) each Revolver Lender agrees that any action taken by Required Revolver Lenders in accordance with the provisions of the Loan Papers, and the exercise by Required Revolver Lenders of the powers set forth herein or therein, </w:t>
      </w:r>
      <w:r>
        <w:rPr>
          <w:rFonts w:ascii="Arial" w:cs="Arial" w:eastAsia="Arial" w:hAnsi="Arial"/>
          <w:sz w:val="18"/>
          <w:szCs w:val="18"/>
          <w:i w:val="1"/>
          <w:iCs w:val="1"/>
          <w:color w:val="auto"/>
        </w:rPr>
        <w:t>together with</w:t>
      </w:r>
      <w:r>
        <w:rPr>
          <w:rFonts w:ascii="Arial" w:cs="Arial" w:eastAsia="Arial" w:hAnsi="Arial"/>
          <w:sz w:val="18"/>
          <w:szCs w:val="18"/>
          <w:color w:val="auto"/>
        </w:rPr>
        <w:t xml:space="preserve"> such other powers as are reasonably incidental thereto, shall be authorized and binding upon all Revolver Lenders, and (iii) each Term Loan Lender agrees that any action taken by Required Term Loan Lenders in accordance with the provisions of the Loan Papers, and the exercise by Required Term Loan Lenders of the powers set forth herein or therein, </w:t>
      </w:r>
      <w:r>
        <w:rPr>
          <w:rFonts w:ascii="Arial" w:cs="Arial" w:eastAsia="Arial" w:hAnsi="Arial"/>
          <w:sz w:val="18"/>
          <w:szCs w:val="18"/>
          <w:i w:val="1"/>
          <w:iCs w:val="1"/>
          <w:color w:val="auto"/>
        </w:rPr>
        <w:t>together with</w:t>
      </w:r>
      <w:r>
        <w:rPr>
          <w:rFonts w:ascii="Arial" w:cs="Arial" w:eastAsia="Arial" w:hAnsi="Arial"/>
          <w:sz w:val="18"/>
          <w:szCs w:val="18"/>
          <w:color w:val="auto"/>
        </w:rPr>
        <w:t xml:space="preserve"> such other powers as are reasonably incidental thereto, shall be authorized and binding upon all Term Loan Lenders.</w:t>
      </w:r>
    </w:p>
    <w:p>
      <w:pPr>
        <w:spacing w:after="0" w:line="171" w:lineRule="exact"/>
        <w:rPr>
          <w:rFonts w:ascii="Arial" w:cs="Arial" w:eastAsia="Arial" w:hAnsi="Arial"/>
          <w:sz w:val="18"/>
          <w:szCs w:val="18"/>
          <w:color w:val="auto"/>
        </w:rPr>
      </w:pPr>
    </w:p>
    <w:p>
      <w:pPr>
        <w:jc w:val="both"/>
        <w:ind w:firstLine="656"/>
        <w:spacing w:after="0" w:line="250" w:lineRule="auto"/>
        <w:tabs>
          <w:tab w:leader="none" w:pos="1071" w:val="left"/>
        </w:tabs>
        <w:numPr>
          <w:ilvl w:val="0"/>
          <w:numId w:val="154"/>
        </w:numPr>
        <w:rPr>
          <w:rFonts w:ascii="Arial" w:cs="Arial" w:eastAsia="Arial" w:hAnsi="Arial"/>
          <w:sz w:val="20"/>
          <w:szCs w:val="20"/>
          <w:color w:val="auto"/>
        </w:rPr>
      </w:pPr>
      <w:r>
        <w:rPr>
          <w:rFonts w:ascii="Arial" w:cs="Arial" w:eastAsia="Arial" w:hAnsi="Arial"/>
          <w:sz w:val="20"/>
          <w:szCs w:val="20"/>
          <w:color w:val="auto"/>
        </w:rPr>
        <w:t>Administrative Agent is hereby authorized on behalf of all Lenders, without the necessity of any notice to or further consent from any Lender, from time to time to take any action with respect to any Collateral or Security Documents which may be necessary to perfect and maintain perfected the Liens upon the Collateral granted pursuant to the Security Documents.</w:t>
      </w:r>
    </w:p>
    <w:p>
      <w:pPr>
        <w:spacing w:after="0" w:line="186" w:lineRule="exact"/>
        <w:rPr>
          <w:rFonts w:ascii="Arial" w:cs="Arial" w:eastAsia="Arial" w:hAnsi="Arial"/>
          <w:sz w:val="20"/>
          <w:szCs w:val="20"/>
          <w:color w:val="auto"/>
        </w:rPr>
      </w:pPr>
    </w:p>
    <w:p>
      <w:pPr>
        <w:jc w:val="both"/>
        <w:ind w:firstLine="656"/>
        <w:spacing w:after="0" w:line="243" w:lineRule="auto"/>
        <w:tabs>
          <w:tab w:leader="none" w:pos="1075" w:val="left"/>
        </w:tabs>
        <w:numPr>
          <w:ilvl w:val="0"/>
          <w:numId w:val="154"/>
        </w:numPr>
        <w:rPr>
          <w:rFonts w:ascii="Arial" w:cs="Arial" w:eastAsia="Arial" w:hAnsi="Arial"/>
          <w:sz w:val="20"/>
          <w:szCs w:val="20"/>
          <w:color w:val="auto"/>
        </w:rPr>
      </w:pPr>
      <w:r>
        <w:rPr>
          <w:rFonts w:ascii="Arial" w:cs="Arial" w:eastAsia="Arial" w:hAnsi="Arial"/>
          <w:sz w:val="20"/>
          <w:szCs w:val="20"/>
          <w:color w:val="auto"/>
        </w:rPr>
        <w:t xml:space="preserve">Administrative Agent shall have no obligation whatsoever to any Lender or to any other Person to assure that the Collateral exists or is owned by any Restricted Company or is cared for, protected, or insured or has been encumbered or that the Liens granted to Administrative Agent herein or pursuant hereto have been properly or sufficiently or lawfully created, perfected, protected, or enforced, or are entitled to any particular priority, or to exercise at all or in any particular manner or under any duty of care, disclosure, or fidelity, or to continue exercising, any of the Rights granted or available to Administrative Agent in this </w:t>
      </w:r>
      <w:r>
        <w:rPr>
          <w:rFonts w:ascii="Arial" w:cs="Arial" w:eastAsia="Arial" w:hAnsi="Arial"/>
          <w:sz w:val="20"/>
          <w:szCs w:val="20"/>
          <w:b w:val="1"/>
          <w:bCs w:val="1"/>
          <w:i w:val="1"/>
          <w:iCs w:val="1"/>
          <w:color w:val="auto"/>
        </w:rPr>
        <w:t>Section 14.9</w:t>
      </w:r>
      <w:r>
        <w:rPr>
          <w:rFonts w:ascii="Arial" w:cs="Arial" w:eastAsia="Arial" w:hAnsi="Arial"/>
          <w:sz w:val="20"/>
          <w:szCs w:val="20"/>
          <w:color w:val="auto"/>
        </w:rPr>
        <w:t xml:space="preserve"> or in any of the Security Documents; </w:t>
      </w:r>
      <w:r>
        <w:rPr>
          <w:rFonts w:ascii="Arial" w:cs="Arial" w:eastAsia="Arial" w:hAnsi="Arial"/>
          <w:sz w:val="20"/>
          <w:szCs w:val="20"/>
          <w:i w:val="1"/>
          <w:iCs w:val="1"/>
          <w:color w:val="auto"/>
        </w:rPr>
        <w:t>it being</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understood </w:t>
      </w:r>
      <w:r>
        <w:rPr>
          <w:rFonts w:ascii="Arial" w:cs="Arial" w:eastAsia="Arial" w:hAnsi="Arial"/>
          <w:sz w:val="20"/>
          <w:szCs w:val="20"/>
          <w:color w:val="auto"/>
        </w:rPr>
        <w:t>and agreed that in respect of the Collateral, or any act, omission, or event related thereto, Administrative Agent may act in any</w:t>
      </w:r>
      <w:r>
        <w:rPr>
          <w:rFonts w:ascii="Arial" w:cs="Arial" w:eastAsia="Arial" w:hAnsi="Arial"/>
          <w:sz w:val="20"/>
          <w:szCs w:val="20"/>
          <w:i w:val="1"/>
          <w:iCs w:val="1"/>
          <w:color w:val="auto"/>
        </w:rPr>
        <w:t xml:space="preserve"> </w:t>
      </w:r>
      <w:r>
        <w:rPr>
          <w:rFonts w:ascii="Arial" w:cs="Arial" w:eastAsia="Arial" w:hAnsi="Arial"/>
          <w:sz w:val="20"/>
          <w:szCs w:val="20"/>
          <w:color w:val="auto"/>
        </w:rPr>
        <w:t>manner it may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108</w:t>
      </w:r>
    </w:p>
    <w:p>
      <w:pPr>
        <w:sectPr>
          <w:pgSz w:w="11900" w:h="16838" w:orient="portrait"/>
          <w:cols w:equalWidth="0" w:num="1">
            <w:col w:w="11420"/>
          </w:cols>
          <w:pgMar w:left="240" w:top="582" w:right="239" w:bottom="1440" w:gutter="0" w:footer="0" w:header="0"/>
        </w:sectPr>
      </w:pPr>
    </w:p>
    <w:bookmarkStart w:id="172" w:name="page173"/>
    <w:bookmarkEnd w:id="172"/>
    <w:p>
      <w:pPr>
        <w:ind w:right="20"/>
        <w:spacing w:after="0" w:line="316" w:lineRule="auto"/>
        <w:rPr>
          <w:sz w:val="20"/>
          <w:szCs w:val="20"/>
          <w:color w:val="auto"/>
        </w:rPr>
      </w:pPr>
      <w:r>
        <w:rPr>
          <w:rFonts w:ascii="Arial" w:cs="Arial" w:eastAsia="Arial" w:hAnsi="Arial"/>
          <w:sz w:val="18"/>
          <w:szCs w:val="18"/>
          <w:color w:val="auto"/>
        </w:rPr>
        <w:t xml:space="preserve">deem appropriate, in its sole discretion, given Administrative Agent’s own interest in the Collateral as one of Lenders and that Administrative Agent shall have no duty or liability whatsoever to any Lender,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to act without gross negligence or willful misconduct.</w:t>
      </w:r>
    </w:p>
    <w:p>
      <w:pPr>
        <w:spacing w:after="0" w:line="130" w:lineRule="exact"/>
        <w:rPr>
          <w:sz w:val="20"/>
          <w:szCs w:val="20"/>
          <w:color w:val="auto"/>
        </w:rPr>
      </w:pPr>
    </w:p>
    <w:p>
      <w:pPr>
        <w:jc w:val="both"/>
        <w:ind w:firstLine="656"/>
        <w:spacing w:after="0" w:line="254" w:lineRule="auto"/>
        <w:tabs>
          <w:tab w:leader="none" w:pos="1165" w:val="left"/>
        </w:tabs>
        <w:numPr>
          <w:ilvl w:val="0"/>
          <w:numId w:val="155"/>
        </w:numPr>
        <w:rPr>
          <w:rFonts w:ascii="Arial" w:cs="Arial" w:eastAsia="Arial" w:hAnsi="Arial"/>
          <w:sz w:val="19"/>
          <w:szCs w:val="19"/>
          <w:color w:val="auto"/>
        </w:rPr>
      </w:pPr>
      <w:r>
        <w:rPr>
          <w:rFonts w:ascii="Arial" w:cs="Arial" w:eastAsia="Arial" w:hAnsi="Arial"/>
          <w:sz w:val="19"/>
          <w:szCs w:val="19"/>
          <w:color w:val="auto"/>
        </w:rPr>
        <w:t xml:space="preserve">Lenders irrevocably authorize Administrative Agent (or in the case of Bond Rights, the L/C Issuers), at its option and in its discretion, (i) to release any Lien on any property granted to or held by Administrative Agent under any Loan Paper (A) upon termination of the Total Commitment and payment in full of all Obligation (other than contingent indemnification obligations) and the expiration or termination of all L/Cs, (B) as permitted under </w:t>
      </w:r>
      <w:r>
        <w:rPr>
          <w:rFonts w:ascii="Arial" w:cs="Arial" w:eastAsia="Arial" w:hAnsi="Arial"/>
          <w:sz w:val="19"/>
          <w:szCs w:val="19"/>
          <w:b w:val="1"/>
          <w:bCs w:val="1"/>
          <w:i w:val="1"/>
          <w:iCs w:val="1"/>
          <w:color w:val="auto"/>
        </w:rPr>
        <w:t>Section 9.11</w:t>
      </w:r>
      <w:r>
        <w:rPr>
          <w:rFonts w:ascii="Arial" w:cs="Arial" w:eastAsia="Arial" w:hAnsi="Arial"/>
          <w:sz w:val="19"/>
          <w:szCs w:val="19"/>
          <w:color w:val="auto"/>
        </w:rPr>
        <w:t xml:space="preserve">, (C) constituting property being sold or disposed of as permitted under </w:t>
      </w:r>
      <w:r>
        <w:rPr>
          <w:rFonts w:ascii="Arial" w:cs="Arial" w:eastAsia="Arial" w:hAnsi="Arial"/>
          <w:sz w:val="19"/>
          <w:szCs w:val="19"/>
          <w:b w:val="1"/>
          <w:bCs w:val="1"/>
          <w:i w:val="1"/>
          <w:i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10.10</w:t>
      </w:r>
      <w:r>
        <w:rPr>
          <w:rFonts w:ascii="Arial" w:cs="Arial" w:eastAsia="Arial" w:hAnsi="Arial"/>
          <w:sz w:val="19"/>
          <w:szCs w:val="19"/>
          <w:color w:val="auto"/>
        </w:rPr>
        <w:t>, if Administrative Agent determines that the property being sold or disposed is being sold or disposed in accordance with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requirements and limitations of </w:t>
      </w:r>
      <w:r>
        <w:rPr>
          <w:rFonts w:ascii="Arial" w:cs="Arial" w:eastAsia="Arial" w:hAnsi="Arial"/>
          <w:sz w:val="19"/>
          <w:szCs w:val="19"/>
          <w:b w:val="1"/>
          <w:bCs w:val="1"/>
          <w:i w:val="1"/>
          <w:iCs w:val="1"/>
          <w:color w:val="auto"/>
        </w:rPr>
        <w:t>Section 10.10</w:t>
      </w:r>
      <w:r>
        <w:rPr>
          <w:rFonts w:ascii="Arial" w:cs="Arial" w:eastAsia="Arial" w:hAnsi="Arial"/>
          <w:sz w:val="19"/>
          <w:szCs w:val="19"/>
          <w:color w:val="auto"/>
        </w:rPr>
        <w:t xml:space="preserve"> and Administrative Agent concurrently receives all mandatory prepayments with respect thereto, if any, or (D) if approved, authorized, or ratified in writing by Required Lenders, subject to </w:t>
      </w:r>
      <w:r>
        <w:rPr>
          <w:rFonts w:ascii="Arial" w:cs="Arial" w:eastAsia="Arial" w:hAnsi="Arial"/>
          <w:sz w:val="19"/>
          <w:szCs w:val="19"/>
          <w:b w:val="1"/>
          <w:bCs w:val="1"/>
          <w:i w:val="1"/>
          <w:iCs w:val="1"/>
          <w:color w:val="auto"/>
        </w:rPr>
        <w:t>Section 15.9</w:t>
      </w:r>
      <w:r>
        <w:rPr>
          <w:rFonts w:ascii="Arial" w:cs="Arial" w:eastAsia="Arial" w:hAnsi="Arial"/>
          <w:sz w:val="19"/>
          <w:szCs w:val="19"/>
          <w:color w:val="auto"/>
        </w:rPr>
        <w:t xml:space="preserve">, unless such Liens are held under any Bond Document; (ii) to release (or authorize the release by the applicable L/C Issuer of) any Collateral held by Administrative Agent (or the applicable L/C Issuer) under or pursuant to any Bond Document upon the reimbursement of any Bond Purchase Drawing in accordance with </w:t>
      </w:r>
      <w:r>
        <w:rPr>
          <w:rFonts w:ascii="Arial" w:cs="Arial" w:eastAsia="Arial" w:hAnsi="Arial"/>
          <w:sz w:val="19"/>
          <w:szCs w:val="19"/>
          <w:b w:val="1"/>
          <w:bCs w:val="1"/>
          <w:i w:val="1"/>
          <w:iCs w:val="1"/>
          <w:color w:val="auto"/>
        </w:rPr>
        <w:t xml:space="preserve">Section 2.3(i) </w:t>
      </w:r>
      <w:r>
        <w:rPr>
          <w:rFonts w:ascii="Arial" w:cs="Arial" w:eastAsia="Arial" w:hAnsi="Arial"/>
          <w:sz w:val="19"/>
          <w:szCs w:val="19"/>
          <w:color w:val="auto"/>
        </w:rPr>
        <w:t>herein; and (iii) to release any Restricted Company from its Guaranty (A) upon full payment of the Obligation, (B) as permitted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under </w:t>
      </w:r>
      <w:r>
        <w:rPr>
          <w:rFonts w:ascii="Arial" w:cs="Arial" w:eastAsia="Arial" w:hAnsi="Arial"/>
          <w:sz w:val="19"/>
          <w:szCs w:val="19"/>
          <w:b w:val="1"/>
          <w:bCs w:val="1"/>
          <w:i w:val="1"/>
          <w:iCs w:val="1"/>
          <w:color w:val="auto"/>
        </w:rPr>
        <w:t>Section 9.11</w:t>
      </w:r>
      <w:r>
        <w:rPr>
          <w:rFonts w:ascii="Arial" w:cs="Arial" w:eastAsia="Arial" w:hAnsi="Arial"/>
          <w:sz w:val="19"/>
          <w:szCs w:val="19"/>
          <w:color w:val="auto"/>
        </w:rPr>
        <w:t xml:space="preserve">, (C) in connection with the sale of disposition of the stock (or other equity interest) issued by such Restricted Company permitted under </w:t>
      </w:r>
      <w:r>
        <w:rPr>
          <w:rFonts w:ascii="Arial" w:cs="Arial" w:eastAsia="Arial" w:hAnsi="Arial"/>
          <w:sz w:val="19"/>
          <w:szCs w:val="19"/>
          <w:b w:val="1"/>
          <w:bCs w:val="1"/>
          <w:i w:val="1"/>
          <w:iCs w:val="1"/>
          <w:color w:val="auto"/>
        </w:rPr>
        <w:t>Section 10.10</w:t>
      </w:r>
      <w:r>
        <w:rPr>
          <w:rFonts w:ascii="Arial" w:cs="Arial" w:eastAsia="Arial" w:hAnsi="Arial"/>
          <w:sz w:val="19"/>
          <w:szCs w:val="19"/>
          <w:color w:val="auto"/>
        </w:rPr>
        <w:t xml:space="preserve">, if Administrative Agent determines that the disposition or sale is in accordance with the requirements and limitations of </w:t>
      </w:r>
      <w:r>
        <w:rPr>
          <w:rFonts w:ascii="Arial" w:cs="Arial" w:eastAsia="Arial" w:hAnsi="Arial"/>
          <w:sz w:val="19"/>
          <w:szCs w:val="19"/>
          <w:b w:val="1"/>
          <w:bCs w:val="1"/>
          <w:i w:val="1"/>
          <w:iCs w:val="1"/>
          <w:color w:val="auto"/>
        </w:rPr>
        <w:t>Section 10.10</w:t>
      </w:r>
      <w:r>
        <w:rPr>
          <w:rFonts w:ascii="Arial" w:cs="Arial" w:eastAsia="Arial" w:hAnsi="Arial"/>
          <w:sz w:val="19"/>
          <w:szCs w:val="19"/>
          <w:color w:val="auto"/>
        </w:rPr>
        <w:t xml:space="preserve"> and Administrative Agent concurrently receives all mandatory prepayments with respect thereto, if any, or (D) if approved, authorized, or ratified in writing by Required Lenders, subject to </w:t>
      </w:r>
      <w:r>
        <w:rPr>
          <w:rFonts w:ascii="Arial" w:cs="Arial" w:eastAsia="Arial" w:hAnsi="Arial"/>
          <w:sz w:val="19"/>
          <w:szCs w:val="19"/>
          <w:b w:val="1"/>
          <w:bCs w:val="1"/>
          <w:i w:val="1"/>
          <w:iCs w:val="1"/>
          <w:color w:val="auto"/>
        </w:rPr>
        <w:t>Section 15.9</w:t>
      </w:r>
      <w:r>
        <w:rPr>
          <w:rFonts w:ascii="Arial" w:cs="Arial" w:eastAsia="Arial" w:hAnsi="Arial"/>
          <w:sz w:val="19"/>
          <w:szCs w:val="19"/>
          <w:color w:val="auto"/>
        </w:rPr>
        <w:t xml:space="preserve">. Upon request by Administrative Agent at any time, Required Lenders will confirm in writing Administrative Agent’s authority to release any Guarantor from its obligations under the Guaranty pursuant to this </w:t>
      </w:r>
      <w:r>
        <w:rPr>
          <w:rFonts w:ascii="Arial" w:cs="Arial" w:eastAsia="Arial" w:hAnsi="Arial"/>
          <w:sz w:val="19"/>
          <w:szCs w:val="19"/>
          <w:b w:val="1"/>
          <w:bCs w:val="1"/>
          <w:i w:val="1"/>
          <w:iCs w:val="1"/>
          <w:color w:val="auto"/>
        </w:rPr>
        <w:t>Section 14.9</w:t>
      </w:r>
      <w:r>
        <w:rPr>
          <w:rFonts w:ascii="Arial" w:cs="Arial" w:eastAsia="Arial" w:hAnsi="Arial"/>
          <w:sz w:val="19"/>
          <w:szCs w:val="19"/>
          <w:b w:val="1"/>
          <w:bCs w:val="1"/>
          <w:color w:val="auto"/>
        </w:rPr>
        <w:t>.</w:t>
      </w:r>
    </w:p>
    <w:p>
      <w:pPr>
        <w:spacing w:after="0" w:line="189" w:lineRule="exact"/>
        <w:rPr>
          <w:rFonts w:ascii="Arial" w:cs="Arial" w:eastAsia="Arial" w:hAnsi="Arial"/>
          <w:sz w:val="19"/>
          <w:szCs w:val="19"/>
          <w:color w:val="auto"/>
        </w:rPr>
      </w:pPr>
    </w:p>
    <w:p>
      <w:pPr>
        <w:jc w:val="both"/>
        <w:ind w:firstLine="656"/>
        <w:spacing w:after="0" w:line="271" w:lineRule="auto"/>
        <w:tabs>
          <w:tab w:leader="none" w:pos="109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In furtherance of the authorizations set forth in this </w:t>
      </w:r>
      <w:r>
        <w:rPr>
          <w:rFonts w:ascii="Arial" w:cs="Arial" w:eastAsia="Arial" w:hAnsi="Arial"/>
          <w:sz w:val="18"/>
          <w:szCs w:val="18"/>
          <w:b w:val="1"/>
          <w:bCs w:val="1"/>
          <w:i w:val="1"/>
          <w:iCs w:val="1"/>
          <w:color w:val="auto"/>
        </w:rPr>
        <w:t>Section 14.9</w:t>
      </w:r>
      <w:r>
        <w:rPr>
          <w:rFonts w:ascii="Arial" w:cs="Arial" w:eastAsia="Arial" w:hAnsi="Arial"/>
          <w:sz w:val="18"/>
          <w:szCs w:val="18"/>
          <w:color w:val="auto"/>
        </w:rPr>
        <w:t xml:space="preserve">, each Lender and each L/C Issuer hereby irrevocably appoints Administrative Agent its attorney-in-fact, with full power of substitution, for and on behalf of and in the name of each such Lender and each such L/C Issuer, (i) to enter into Security Documents (including, without limitation, any appointments of substitute trustees under any Security Document), (ii) to take action with respect to the Collateral and Security Documents to perfect, maintain, and preserve Lenders’ and the L/C Issuers’ Liens, as applicable, and (iii) to execute instruments of release or to take other action necessary to release Liens upon any Collateral to the extent authorized in </w:t>
      </w:r>
      <w:r>
        <w:rPr>
          <w:rFonts w:ascii="Arial" w:cs="Arial" w:eastAsia="Arial" w:hAnsi="Arial"/>
          <w:sz w:val="18"/>
          <w:szCs w:val="18"/>
          <w:b w:val="1"/>
          <w:bCs w:val="1"/>
          <w:i w:val="1"/>
          <w:iCs w:val="1"/>
          <w:color w:val="auto"/>
        </w:rPr>
        <w:t>clause (e)</w:t>
      </w:r>
      <w:r>
        <w:rPr>
          <w:rFonts w:ascii="Arial" w:cs="Arial" w:eastAsia="Arial" w:hAnsi="Arial"/>
          <w:sz w:val="18"/>
          <w:szCs w:val="18"/>
          <w:color w:val="auto"/>
        </w:rPr>
        <w:t xml:space="preserve"> hereof. This power of attorney shall be liberally, not restrictively, construed so as to give the greatest latitude to Administrative Agent’s power, as attorney, relative to the Collateral matters described in this </w:t>
      </w:r>
      <w:r>
        <w:rPr>
          <w:rFonts w:ascii="Arial" w:cs="Arial" w:eastAsia="Arial" w:hAnsi="Arial"/>
          <w:sz w:val="18"/>
          <w:szCs w:val="18"/>
          <w:b w:val="1"/>
          <w:bCs w:val="1"/>
          <w:i w:val="1"/>
          <w:iCs w:val="1"/>
          <w:color w:val="auto"/>
        </w:rPr>
        <w:t>Section 14.9</w:t>
      </w:r>
      <w:r>
        <w:rPr>
          <w:rFonts w:ascii="Arial" w:cs="Arial" w:eastAsia="Arial" w:hAnsi="Arial"/>
          <w:sz w:val="18"/>
          <w:szCs w:val="18"/>
          <w:color w:val="auto"/>
        </w:rPr>
        <w:t xml:space="preserve">. The powers and authorities herein conferred on Administrative Agent may be exercised by Administrative Agent through any Person who, at the time of the execution of a particular instrument, is an officer of Administrative Agent. The power of attorney conferred by this </w:t>
      </w:r>
      <w:r>
        <w:rPr>
          <w:rFonts w:ascii="Arial" w:cs="Arial" w:eastAsia="Arial" w:hAnsi="Arial"/>
          <w:sz w:val="18"/>
          <w:szCs w:val="18"/>
          <w:b w:val="1"/>
          <w:bCs w:val="1"/>
          <w:i w:val="1"/>
          <w:iCs w:val="1"/>
          <w:color w:val="auto"/>
        </w:rPr>
        <w:t>Section 14.9(f)</w:t>
      </w:r>
      <w:r>
        <w:rPr>
          <w:rFonts w:ascii="Arial" w:cs="Arial" w:eastAsia="Arial" w:hAnsi="Arial"/>
          <w:sz w:val="18"/>
          <w:szCs w:val="18"/>
          <w:color w:val="auto"/>
        </w:rPr>
        <w:t xml:space="preserve"> is granted for valuable consideration and is coupled with an interest and is irrevocable so long as the Obligation, or any part thereof, shall remain unpaid, Lenders are obligated to make any Loans, or the L/C Issuers are obligated to issue L/Cs, under the Loan Papers.</w:t>
      </w:r>
    </w:p>
    <w:p>
      <w:pPr>
        <w:spacing w:after="0" w:line="17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14.10 </w:t>
      </w:r>
      <w:r>
        <w:rPr>
          <w:rFonts w:ascii="Arial" w:cs="Arial" w:eastAsia="Arial" w:hAnsi="Arial"/>
          <w:sz w:val="20"/>
          <w:szCs w:val="20"/>
          <w:u w:val="single" w:color="auto"/>
          <w:color w:val="auto"/>
        </w:rPr>
        <w:t>Financial Hedges</w:t>
      </w:r>
      <w:r>
        <w:rPr>
          <w:rFonts w:ascii="Arial" w:cs="Arial" w:eastAsia="Arial" w:hAnsi="Arial"/>
          <w:sz w:val="20"/>
          <w:szCs w:val="20"/>
          <w:color w:val="auto"/>
        </w:rPr>
        <w:t xml:space="preserve"> To the extent any Lender or any Affiliate of a Lender issues a Financial Hedge in accordance with the requirements of the Loan Papers and accepts the benefits of the Liens in the Collateral arising pursuant to the Security Documents, such Lender (for itself and on behalf of any such Affiliates) agrees (a) to appoint Administrative Agent, as its nominee and agent, to act for and on behalf of such Lender or Affiliate thereof in connection with the Security Documents and (b) to be bound by the terms of this </w:t>
      </w:r>
      <w:r>
        <w:rPr>
          <w:rFonts w:ascii="Arial" w:cs="Arial" w:eastAsia="Arial" w:hAnsi="Arial"/>
          <w:sz w:val="20"/>
          <w:szCs w:val="20"/>
          <w:b w:val="1"/>
          <w:bCs w:val="1"/>
          <w:i w:val="1"/>
          <w:iCs w:val="1"/>
          <w:color w:val="auto"/>
        </w:rPr>
        <w:t>Section 14</w:t>
      </w:r>
      <w:r>
        <w:rPr>
          <w:rFonts w:ascii="Arial" w:cs="Arial" w:eastAsia="Arial" w:hAnsi="Arial"/>
          <w:sz w:val="20"/>
          <w:szCs w:val="20"/>
          <w:color w:val="auto"/>
        </w:rPr>
        <w:t xml:space="preserve">; whereupon all references to </w:t>
      </w:r>
      <w:r>
        <w:rPr>
          <w:rFonts w:ascii="Arial" w:cs="Arial" w:eastAsia="Arial" w:hAnsi="Arial"/>
          <w:sz w:val="20"/>
          <w:szCs w:val="20"/>
          <w:i w:val="1"/>
          <w:iCs w:val="1"/>
          <w:color w:val="auto"/>
        </w:rPr>
        <w:t>“Lender”</w:t>
      </w:r>
      <w:r>
        <w:rPr>
          <w:rFonts w:ascii="Arial" w:cs="Arial" w:eastAsia="Arial" w:hAnsi="Arial"/>
          <w:sz w:val="20"/>
          <w:szCs w:val="20"/>
          <w:color w:val="auto"/>
        </w:rPr>
        <w:t xml:space="preserve"> in this </w:t>
      </w:r>
      <w:r>
        <w:rPr>
          <w:rFonts w:ascii="Arial" w:cs="Arial" w:eastAsia="Arial" w:hAnsi="Arial"/>
          <w:sz w:val="20"/>
          <w:szCs w:val="20"/>
          <w:b w:val="1"/>
          <w:bCs w:val="1"/>
          <w:i w:val="1"/>
          <w:iCs w:val="1"/>
          <w:color w:val="auto"/>
        </w:rPr>
        <w:t>Section 14</w:t>
      </w:r>
      <w:r>
        <w:rPr>
          <w:rFonts w:ascii="Arial" w:cs="Arial" w:eastAsia="Arial" w:hAnsi="Arial"/>
          <w:sz w:val="20"/>
          <w:szCs w:val="20"/>
          <w:color w:val="auto"/>
        </w:rPr>
        <w:t xml:space="preserve"> and in the Security Documents shall include, on any date of determination, any Lender or Affiliate of a Lender that is party to a then-effective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109</w:t>
      </w:r>
    </w:p>
    <w:p>
      <w:pPr>
        <w:sectPr>
          <w:pgSz w:w="11900" w:h="16838" w:orient="portrait"/>
          <w:cols w:equalWidth="0" w:num="1">
            <w:col w:w="11420"/>
          </w:cols>
          <w:pgMar w:left="240" w:top="582" w:right="239" w:bottom="1440" w:gutter="0" w:footer="0" w:header="0"/>
        </w:sectPr>
      </w:pPr>
    </w:p>
    <w:bookmarkStart w:id="173" w:name="page174"/>
    <w:bookmarkEnd w:id="173"/>
    <w:p>
      <w:pPr>
        <w:jc w:val="both"/>
        <w:spacing w:after="0" w:line="243" w:lineRule="auto"/>
        <w:rPr>
          <w:sz w:val="20"/>
          <w:szCs w:val="20"/>
          <w:color w:val="auto"/>
        </w:rPr>
      </w:pPr>
      <w:r>
        <w:rPr>
          <w:rFonts w:ascii="Arial" w:cs="Arial" w:eastAsia="Arial" w:hAnsi="Arial"/>
          <w:sz w:val="20"/>
          <w:szCs w:val="20"/>
          <w:color w:val="auto"/>
        </w:rPr>
        <w:t xml:space="preserve">Financial Hedge which complies with the requirements of the Loan Papers. Additionally, if the Obligation owed to any Lender or Affiliate of a Lender consists </w:t>
      </w:r>
      <w:r>
        <w:rPr>
          <w:rFonts w:ascii="Arial" w:cs="Arial" w:eastAsia="Arial" w:hAnsi="Arial"/>
          <w:sz w:val="20"/>
          <w:szCs w:val="20"/>
          <w:i w:val="1"/>
          <w:iCs w:val="1"/>
          <w:color w:val="auto"/>
        </w:rPr>
        <w:t>solely</w:t>
      </w:r>
      <w:r>
        <w:rPr>
          <w:rFonts w:ascii="Arial" w:cs="Arial" w:eastAsia="Arial" w:hAnsi="Arial"/>
          <w:sz w:val="20"/>
          <w:szCs w:val="20"/>
          <w:color w:val="auto"/>
        </w:rPr>
        <w:t xml:space="preserve"> of Debt arising under a Financial Hedge (such Lender or Affiliate being referred to in this </w:t>
      </w:r>
      <w:r>
        <w:rPr>
          <w:rFonts w:ascii="Arial" w:cs="Arial" w:eastAsia="Arial" w:hAnsi="Arial"/>
          <w:sz w:val="20"/>
          <w:szCs w:val="20"/>
          <w:b w:val="1"/>
          <w:bCs w:val="1"/>
          <w:i w:val="1"/>
          <w:iCs w:val="1"/>
          <w:color w:val="auto"/>
        </w:rPr>
        <w:t>Section 14.10</w:t>
      </w:r>
      <w:r>
        <w:rPr>
          <w:rFonts w:ascii="Arial" w:cs="Arial" w:eastAsia="Arial" w:hAnsi="Arial"/>
          <w:sz w:val="20"/>
          <w:szCs w:val="20"/>
          <w:color w:val="auto"/>
        </w:rPr>
        <w:t xml:space="preserve"> as an </w:t>
      </w:r>
      <w:r>
        <w:rPr>
          <w:rFonts w:ascii="Arial" w:cs="Arial" w:eastAsia="Arial" w:hAnsi="Arial"/>
          <w:sz w:val="20"/>
          <w:szCs w:val="20"/>
          <w:b w:val="1"/>
          <w:bCs w:val="1"/>
          <w:i w:val="1"/>
          <w:iCs w:val="1"/>
          <w:color w:val="auto"/>
        </w:rPr>
        <w:t>“Issuing</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Lender”</w:t>
      </w:r>
      <w:r>
        <w:rPr>
          <w:rFonts w:ascii="Arial" w:cs="Arial" w:eastAsia="Arial" w:hAnsi="Arial"/>
          <w:sz w:val="20"/>
          <w:szCs w:val="20"/>
          <w:color w:val="auto"/>
        </w:rPr>
        <w:t>), then such Issuing Lender (by accepting the benefits of any Security Documents) acknowledges and agrees that pursuant to the Loan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Papers and without notice to or consent of such Issuing Lender: (w) Liens in the Collateral may be released in whole or in part; (x) all Guaranties may be released; (y) any Security Document may be amended, modified, supplemented, or restated; and (z) all or any part of the Collateral may be permitted to secure other Debt.</w:t>
      </w:r>
    </w:p>
    <w:p>
      <w:pPr>
        <w:spacing w:after="0" w:line="200" w:lineRule="exact"/>
        <w:rPr>
          <w:sz w:val="20"/>
          <w:szCs w:val="20"/>
          <w:color w:val="auto"/>
        </w:rPr>
      </w:pPr>
    </w:p>
    <w:p>
      <w:pPr>
        <w:spacing w:after="0" w:line="2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14.11 </w:t>
      </w:r>
      <w:r>
        <w:rPr>
          <w:rFonts w:ascii="Arial" w:cs="Arial" w:eastAsia="Arial" w:hAnsi="Arial"/>
          <w:sz w:val="19"/>
          <w:szCs w:val="19"/>
          <w:u w:val="single" w:color="auto"/>
          <w:color w:val="auto"/>
        </w:rPr>
        <w:t>Bond L/Cs and Bond Documents</w:t>
      </w:r>
      <w:r>
        <w:rPr>
          <w:rFonts w:ascii="Arial" w:cs="Arial" w:eastAsia="Arial" w:hAnsi="Arial"/>
          <w:sz w:val="19"/>
          <w:szCs w:val="19"/>
          <w:color w:val="auto"/>
        </w:rPr>
        <w:t xml:space="preserve">. In addition to the authorizations set forth in </w:t>
      </w:r>
      <w:r>
        <w:rPr>
          <w:rFonts w:ascii="Arial" w:cs="Arial" w:eastAsia="Arial" w:hAnsi="Arial"/>
          <w:sz w:val="19"/>
          <w:szCs w:val="19"/>
          <w:b w:val="1"/>
          <w:bCs w:val="1"/>
          <w:i w:val="1"/>
          <w:iCs w:val="1"/>
          <w:color w:val="auto"/>
        </w:rPr>
        <w:t>Section 14.9</w:t>
      </w:r>
      <w:r>
        <w:rPr>
          <w:rFonts w:ascii="Arial" w:cs="Arial" w:eastAsia="Arial" w:hAnsi="Arial"/>
          <w:sz w:val="19"/>
          <w:szCs w:val="19"/>
          <w:color w:val="auto"/>
        </w:rPr>
        <w:t>, each Lender and each L/C Issuer hereby authorize Administrative Agent or the L/C Issuers, as the case may be, to execute and deliver all certificates, documents, agreements, and instruments required to be delivered after the Closing Date pursuant to or in connection with any Bond L/C and Bond Documents executed in connection therewith, and to take such actions as Administrative Agent or the L/C Issuers, as the case may be, deems necessary in connection therewith. This authorization shall be liberally, not restrictively, construed so as to give the greatest latitude to Administrative Agent’s or the applicable L/C Issuer’s authority, as the case may be, relative to the Bonds, Bond L/Cs, and Bond Documents. The powers and authorities herein conferred on Administrative Agent and the L/C Issuers may be exercised by Administrative Agent or the applicable L/C Issuer, as the case may be, through any Person who, at the time of the execution of a particular instrument, is an officer of Administrative Agent or such L/C Issuer, as applicable.</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14.12 </w:t>
      </w:r>
      <w:r>
        <w:rPr>
          <w:rFonts w:ascii="Arial" w:cs="Arial" w:eastAsia="Arial" w:hAnsi="Arial"/>
          <w:sz w:val="16"/>
          <w:szCs w:val="16"/>
          <w:u w:val="single" w:color="auto"/>
          <w:color w:val="auto"/>
        </w:rPr>
        <w:t>No Other Duties, Etc</w:t>
      </w:r>
      <w:r>
        <w:rPr>
          <w:rFonts w:ascii="Arial" w:cs="Arial" w:eastAsia="Arial" w:hAnsi="Arial"/>
          <w:sz w:val="16"/>
          <w:szCs w:val="16"/>
          <w:color w:val="auto"/>
        </w:rPr>
        <w:t>. Anything herein to the contrary notwithstanding, none of the co-syndication agents, co-documentation agents, joint lead arrangers, or joint bookrunners listed on the cover page hereof shall have any powers, duties, or responsibilities under this Agreement or any of the other Loan Papers, except in its capacity, as applicable, as Administrative Agent, a Lender, or an L/C Issuer hereunder.</w:t>
      </w:r>
    </w:p>
    <w:p>
      <w:pPr>
        <w:spacing w:after="0" w:line="112" w:lineRule="exact"/>
        <w:rPr>
          <w:sz w:val="20"/>
          <w:szCs w:val="20"/>
          <w:color w:val="auto"/>
        </w:rPr>
      </w:pPr>
    </w:p>
    <w:p>
      <w:pPr>
        <w:spacing w:after="0"/>
        <w:tabs>
          <w:tab w:leader="none" w:pos="1320" w:val="left"/>
        </w:tabs>
        <w:rPr>
          <w:sz w:val="20"/>
          <w:szCs w:val="20"/>
          <w:color w:val="auto"/>
        </w:rPr>
      </w:pPr>
      <w:r>
        <w:rPr>
          <w:rFonts w:ascii="Arial" w:cs="Arial" w:eastAsia="Arial" w:hAnsi="Arial"/>
          <w:sz w:val="20"/>
          <w:szCs w:val="20"/>
          <w:b w:val="1"/>
          <w:bCs w:val="1"/>
          <w:u w:val="single" w:color="auto"/>
          <w:color w:val="auto"/>
        </w:rPr>
        <w:t>SECTION 15</w:t>
      </w:r>
      <w:r>
        <w:rPr>
          <w:sz w:val="20"/>
          <w:szCs w:val="20"/>
          <w:color w:val="auto"/>
        </w:rPr>
        <w:tab/>
      </w:r>
      <w:r>
        <w:rPr>
          <w:rFonts w:ascii="Arial" w:cs="Arial" w:eastAsia="Arial" w:hAnsi="Arial"/>
          <w:sz w:val="20"/>
          <w:szCs w:val="20"/>
          <w:b w:val="1"/>
          <w:bCs w:val="1"/>
          <w:u w:val="single" w:color="auto"/>
          <w:color w:val="auto"/>
        </w:rPr>
        <w:t>MISCELLANEOUS</w:t>
      </w:r>
      <w:r>
        <w:rPr>
          <w:rFonts w:ascii="Arial" w:cs="Arial" w:eastAsia="Arial" w:hAnsi="Arial"/>
          <w:sz w:val="20"/>
          <w:szCs w:val="20"/>
          <w:color w:val="auto"/>
        </w:rPr>
        <w:t>.</w:t>
      </w:r>
    </w:p>
    <w:p>
      <w:pPr>
        <w:spacing w:after="0" w:line="22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15.1 </w:t>
      </w:r>
      <w:r>
        <w:rPr>
          <w:rFonts w:ascii="Arial" w:cs="Arial" w:eastAsia="Arial" w:hAnsi="Arial"/>
          <w:sz w:val="19"/>
          <w:szCs w:val="19"/>
          <w:u w:val="single" w:color="auto"/>
          <w:color w:val="auto"/>
        </w:rPr>
        <w:t>Headings</w:t>
      </w:r>
      <w:r>
        <w:rPr>
          <w:rFonts w:ascii="Arial" w:cs="Arial" w:eastAsia="Arial" w:hAnsi="Arial"/>
          <w:sz w:val="19"/>
          <w:szCs w:val="19"/>
          <w:color w:val="auto"/>
        </w:rPr>
        <w:t>. The headings, captions, and arrangements used in any of the Loan Papers are, unless specified otherwise, for convenience only and shall not be deemed to limit, amplify, or modify the terms of the Loan Papers, nor affect the meaning thereof.</w:t>
      </w:r>
    </w:p>
    <w:p>
      <w:pPr>
        <w:spacing w:after="0" w:line="15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15.2 </w:t>
      </w:r>
      <w:r>
        <w:rPr>
          <w:rFonts w:ascii="Arial" w:cs="Arial" w:eastAsia="Arial" w:hAnsi="Arial"/>
          <w:sz w:val="20"/>
          <w:szCs w:val="20"/>
          <w:u w:val="single" w:color="auto"/>
          <w:color w:val="auto"/>
        </w:rPr>
        <w:t>Nonbusiness Days; Time</w:t>
      </w:r>
      <w:r>
        <w:rPr>
          <w:rFonts w:ascii="Arial" w:cs="Arial" w:eastAsia="Arial" w:hAnsi="Arial"/>
          <w:sz w:val="20"/>
          <w:szCs w:val="20"/>
          <w:color w:val="auto"/>
        </w:rPr>
        <w:t>. Any payment or action that is due under any Loan Paper on a non-Business Day may be delayed until the next-succeeding Business Day (but interest shall continue to accrue on any applicable payment until payment is in fact made) unless the payment concerns a Eurocurrency Rate Loan, in which case if the next-succeeding Business Day is in the next calendar month, then such payment shall be made on the next-preceding Business Day.</w:t>
      </w:r>
    </w:p>
    <w:p>
      <w:pPr>
        <w:spacing w:after="0" w:line="19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15.3</w:t>
      </w:r>
      <w:r>
        <w:rPr>
          <w:sz w:val="20"/>
          <w:szCs w:val="20"/>
          <w:color w:val="auto"/>
        </w:rPr>
        <w:tab/>
      </w:r>
      <w:r>
        <w:rPr>
          <w:rFonts w:ascii="Arial" w:cs="Arial" w:eastAsia="Arial" w:hAnsi="Arial"/>
          <w:sz w:val="16"/>
          <w:szCs w:val="16"/>
          <w:u w:val="single" w:color="auto"/>
          <w:color w:val="auto"/>
        </w:rPr>
        <w:t>Notices and Other Communications; Facsimile Copies.</w:t>
      </w:r>
    </w:p>
    <w:p>
      <w:pPr>
        <w:spacing w:after="0" w:line="216" w:lineRule="exact"/>
        <w:rPr>
          <w:sz w:val="20"/>
          <w:szCs w:val="20"/>
          <w:color w:val="auto"/>
        </w:rPr>
      </w:pPr>
    </w:p>
    <w:p>
      <w:pPr>
        <w:jc w:val="both"/>
        <w:ind w:firstLine="656"/>
        <w:spacing w:after="0" w:line="282" w:lineRule="auto"/>
        <w:tabs>
          <w:tab w:leader="none" w:pos="1133" w:val="left"/>
        </w:tabs>
        <w:numPr>
          <w:ilvl w:val="0"/>
          <w:numId w:val="156"/>
        </w:numPr>
        <w:rPr>
          <w:rFonts w:ascii="Arial" w:cs="Arial" w:eastAsia="Arial" w:hAnsi="Arial"/>
          <w:sz w:val="18"/>
          <w:szCs w:val="18"/>
          <w:color w:val="auto"/>
        </w:rPr>
      </w:pPr>
      <w:r>
        <w:rPr>
          <w:rFonts w:ascii="Arial" w:cs="Arial" w:eastAsia="Arial" w:hAnsi="Arial"/>
          <w:sz w:val="18"/>
          <w:szCs w:val="18"/>
          <w:b w:val="1"/>
          <w:bCs w:val="1"/>
          <w:i w:val="1"/>
          <w:iCs w:val="1"/>
          <w:color w:val="auto"/>
        </w:rPr>
        <w:t>Notices Generally</w:t>
      </w:r>
      <w:r>
        <w:rPr>
          <w:rFonts w:ascii="Arial" w:cs="Arial" w:eastAsia="Arial" w:hAnsi="Arial"/>
          <w:sz w:val="18"/>
          <w:szCs w:val="18"/>
          <w:color w:val="auto"/>
        </w:rPr>
        <w:t>. Except in the case of notices and other communications expressly permitted to be given by telephone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except as provided in </w:t>
      </w:r>
      <w:r>
        <w:rPr>
          <w:rFonts w:ascii="Arial" w:cs="Arial" w:eastAsia="Arial" w:hAnsi="Arial"/>
          <w:sz w:val="18"/>
          <w:szCs w:val="18"/>
          <w:b w:val="1"/>
          <w:bCs w:val="1"/>
          <w:i w:val="1"/>
          <w:iCs w:val="1"/>
          <w:color w:val="auto"/>
        </w:rPr>
        <w:t>subsection (b)</w:t>
      </w:r>
      <w:r>
        <w:rPr>
          <w:rFonts w:ascii="Arial" w:cs="Arial" w:eastAsia="Arial" w:hAnsi="Arial"/>
          <w:sz w:val="18"/>
          <w:szCs w:val="18"/>
          <w:color w:val="auto"/>
        </w:rPr>
        <w:t xml:space="preserve">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61" w:lineRule="exact"/>
        <w:rPr>
          <w:rFonts w:ascii="Arial" w:cs="Arial" w:eastAsia="Arial" w:hAnsi="Arial"/>
          <w:sz w:val="18"/>
          <w:szCs w:val="18"/>
          <w:color w:val="auto"/>
        </w:rPr>
      </w:pPr>
    </w:p>
    <w:p>
      <w:pPr>
        <w:ind w:left="660" w:right="20" w:firstLine="645"/>
        <w:spacing w:after="0" w:line="260" w:lineRule="auto"/>
        <w:tabs>
          <w:tab w:leader="none" w:pos="1742" w:val="left"/>
        </w:tabs>
        <w:numPr>
          <w:ilvl w:val="1"/>
          <w:numId w:val="156"/>
        </w:numPr>
        <w:rPr>
          <w:rFonts w:ascii="Arial" w:cs="Arial" w:eastAsia="Arial" w:hAnsi="Arial"/>
          <w:sz w:val="20"/>
          <w:szCs w:val="20"/>
          <w:color w:val="auto"/>
        </w:rPr>
      </w:pPr>
      <w:r>
        <w:rPr>
          <w:rFonts w:ascii="Arial" w:cs="Arial" w:eastAsia="Arial" w:hAnsi="Arial"/>
          <w:sz w:val="20"/>
          <w:szCs w:val="20"/>
          <w:color w:val="auto"/>
        </w:rPr>
        <w:t xml:space="preserve">if to Borrower, Administrative Agent, either L/C Issuer, or either Swing Line Lender, to the address, telecopier number, electronic mail address, or telephone number specified for such Person on </w:t>
      </w:r>
      <w:r>
        <w:rPr>
          <w:rFonts w:ascii="Arial" w:cs="Arial" w:eastAsia="Arial" w:hAnsi="Arial"/>
          <w:sz w:val="20"/>
          <w:szCs w:val="20"/>
          <w:b w:val="1"/>
          <w:bCs w:val="1"/>
          <w:i w:val="1"/>
          <w:iCs w:val="1"/>
          <w:color w:val="auto"/>
        </w:rPr>
        <w:t>Schedule 1</w:t>
      </w:r>
      <w:r>
        <w:rPr>
          <w:rFonts w:ascii="Arial" w:cs="Arial" w:eastAsia="Arial" w:hAnsi="Arial"/>
          <w:sz w:val="20"/>
          <w:szCs w:val="20"/>
          <w:color w:val="auto"/>
        </w:rPr>
        <w:t>; and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110</w:t>
      </w:r>
    </w:p>
    <w:p>
      <w:pPr>
        <w:sectPr>
          <w:pgSz w:w="11900" w:h="16838" w:orient="portrait"/>
          <w:cols w:equalWidth="0" w:num="1">
            <w:col w:w="11420"/>
          </w:cols>
          <w:pgMar w:left="240" w:top="798" w:right="239" w:bottom="1440" w:gutter="0" w:footer="0" w:header="0"/>
        </w:sectPr>
      </w:pPr>
    </w:p>
    <w:bookmarkStart w:id="174" w:name="page175"/>
    <w:bookmarkEnd w:id="174"/>
    <w:p>
      <w:pPr>
        <w:jc w:val="both"/>
        <w:ind w:left="660" w:firstLine="645"/>
        <w:spacing w:after="0" w:line="246" w:lineRule="auto"/>
        <w:tabs>
          <w:tab w:leader="none" w:pos="1817" w:val="left"/>
        </w:tabs>
        <w:numPr>
          <w:ilvl w:val="0"/>
          <w:numId w:val="157"/>
        </w:numPr>
        <w:rPr>
          <w:rFonts w:ascii="Arial" w:cs="Arial" w:eastAsia="Arial" w:hAnsi="Arial"/>
          <w:sz w:val="20"/>
          <w:szCs w:val="20"/>
          <w:color w:val="auto"/>
        </w:rPr>
      </w:pPr>
      <w:r>
        <w:rPr>
          <w:rFonts w:ascii="Arial" w:cs="Arial" w:eastAsia="Arial" w:hAnsi="Arial"/>
          <w:sz w:val="20"/>
          <w:szCs w:val="20"/>
          <w:color w:val="auto"/>
        </w:rPr>
        <w:t>if to any other Lender, to the address, telecopier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Borrower).</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w:t>
      </w:r>
      <w:r>
        <w:rPr>
          <w:rFonts w:ascii="Arial" w:cs="Arial" w:eastAsia="Arial" w:hAnsi="Arial"/>
          <w:sz w:val="19"/>
          <w:szCs w:val="19"/>
          <w:i w:val="1"/>
          <w:iCs w:val="1"/>
          <w:color w:val="auto"/>
        </w:rPr>
        <w:t>except</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if not given during normal business hours for the recipient, shall be deemed to have been given at the opening of business on the next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Business Day for the recipient). Notices and other communications delivered through electronic communications to the extent provided in </w:t>
      </w:r>
      <w:r>
        <w:rPr>
          <w:rFonts w:ascii="Arial" w:cs="Arial" w:eastAsia="Arial" w:hAnsi="Arial"/>
          <w:sz w:val="19"/>
          <w:szCs w:val="19"/>
          <w:b w:val="1"/>
          <w:bCs w:val="1"/>
          <w:i w:val="1"/>
          <w:iCs w:val="1"/>
          <w:color w:val="auto"/>
        </w:rPr>
        <w:t xml:space="preserve">subsection (b) </w:t>
      </w:r>
      <w:r>
        <w:rPr>
          <w:rFonts w:ascii="Arial" w:cs="Arial" w:eastAsia="Arial" w:hAnsi="Arial"/>
          <w:sz w:val="19"/>
          <w:szCs w:val="19"/>
          <w:color w:val="auto"/>
        </w:rPr>
        <w:t>below, shall be effective as provided in such</w:t>
      </w:r>
      <w:r>
        <w:rPr>
          <w:rFonts w:ascii="Arial" w:cs="Arial" w:eastAsia="Arial" w:hAnsi="Arial"/>
          <w:sz w:val="19"/>
          <w:szCs w:val="19"/>
          <w:b w:val="1"/>
          <w:bCs w:val="1"/>
          <w:i w:val="1"/>
          <w:iCs w:val="1"/>
          <w:color w:val="auto"/>
        </w:rPr>
        <w:t xml:space="preserve"> subsection (b)</w:t>
      </w:r>
      <w:r>
        <w:rPr>
          <w:rFonts w:ascii="Arial" w:cs="Arial" w:eastAsia="Arial" w:hAnsi="Arial"/>
          <w:sz w:val="19"/>
          <w:szCs w:val="19"/>
          <w:color w:val="auto"/>
        </w:rPr>
        <w:t>.</w:t>
      </w:r>
    </w:p>
    <w:p>
      <w:pPr>
        <w:spacing w:after="0" w:line="181" w:lineRule="exact"/>
        <w:rPr>
          <w:sz w:val="20"/>
          <w:szCs w:val="20"/>
          <w:color w:val="auto"/>
        </w:rPr>
      </w:pPr>
    </w:p>
    <w:p>
      <w:pPr>
        <w:jc w:val="both"/>
        <w:ind w:firstLine="656"/>
        <w:spacing w:after="0" w:line="232" w:lineRule="exact"/>
        <w:tabs>
          <w:tab w:leader="none" w:pos="1117" w:val="left"/>
        </w:tabs>
        <w:numPr>
          <w:ilvl w:val="0"/>
          <w:numId w:val="158"/>
        </w:numPr>
        <w:rPr>
          <w:rFonts w:ascii="Arial" w:cs="Arial" w:eastAsia="Arial" w:hAnsi="Arial"/>
          <w:sz w:val="20"/>
          <w:szCs w:val="20"/>
          <w:color w:val="auto"/>
        </w:rPr>
      </w:pPr>
      <w:r>
        <w:rPr>
          <w:rFonts w:ascii="Arial" w:cs="Arial" w:eastAsia="Arial" w:hAnsi="Arial"/>
          <w:sz w:val="20"/>
          <w:szCs w:val="20"/>
          <w:b w:val="1"/>
          <w:bCs w:val="1"/>
          <w:i w:val="1"/>
          <w:iCs w:val="1"/>
          <w:color w:val="auto"/>
        </w:rPr>
        <w:t>Electronic Communications</w:t>
      </w:r>
      <w:r>
        <w:rPr>
          <w:rFonts w:ascii="Arial" w:cs="Arial" w:eastAsia="Arial" w:hAnsi="Arial"/>
          <w:sz w:val="20"/>
          <w:szCs w:val="20"/>
          <w:color w:val="auto"/>
        </w:rPr>
        <w:t>. Notices and other communications to Lenders and the L/C Issuers hereunder may be delivered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furnished by electronic communication (including e</w:t>
      </w:r>
      <w:r>
        <w:rPr>
          <w:rFonts w:ascii="MS PGothic" w:cs="MS PGothic" w:eastAsia="MS PGothic" w:hAnsi="MS PGothic"/>
          <w:sz w:val="20"/>
          <w:szCs w:val="20"/>
          <w:color w:val="auto"/>
        </w:rPr>
        <w:t>‑</w:t>
      </w:r>
      <w:r>
        <w:rPr>
          <w:rFonts w:ascii="Arial" w:cs="Arial" w:eastAsia="Arial" w:hAnsi="Arial"/>
          <w:sz w:val="20"/>
          <w:szCs w:val="20"/>
          <w:color w:val="auto"/>
        </w:rPr>
        <w:t xml:space="preserve">mail, FpML messaging and Internet or intranet websites) pursuant to procedures approved by Administrative Agent,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the foregoing shall not apply to notices to any Lender or either L/C Issuer pursuant to </w:t>
      </w:r>
      <w:r>
        <w:rPr>
          <w:rFonts w:ascii="Arial" w:cs="Arial" w:eastAsia="Arial" w:hAnsi="Arial"/>
          <w:sz w:val="20"/>
          <w:szCs w:val="20"/>
          <w:b w:val="1"/>
          <w:bCs w:val="1"/>
          <w:i w:val="1"/>
          <w:iCs w:val="1"/>
          <w:color w:val="auto"/>
        </w:rPr>
        <w:t>Section 2</w:t>
      </w:r>
      <w:r>
        <w:rPr>
          <w:rFonts w:ascii="Arial" w:cs="Arial" w:eastAsia="Arial" w:hAnsi="Arial"/>
          <w:sz w:val="20"/>
          <w:szCs w:val="20"/>
          <w:color w:val="auto"/>
        </w:rPr>
        <w:t xml:space="preserve"> if such Lender or such L/C Issuer, as applicable, has notified Administrative Agent that it is incapable of receiving notices under such </w:t>
      </w:r>
      <w:r>
        <w:rPr>
          <w:rFonts w:ascii="Arial" w:cs="Arial" w:eastAsia="Arial" w:hAnsi="Arial"/>
          <w:sz w:val="20"/>
          <w:szCs w:val="20"/>
          <w:b w:val="1"/>
          <w:bCs w:val="1"/>
          <w:i w:val="1"/>
          <w:iCs w:val="1"/>
          <w:color w:val="auto"/>
        </w:rPr>
        <w:t>Section 2</w:t>
      </w:r>
      <w:r>
        <w:rPr>
          <w:rFonts w:ascii="Arial" w:cs="Arial" w:eastAsia="Arial" w:hAnsi="Arial"/>
          <w:sz w:val="20"/>
          <w:szCs w:val="20"/>
          <w:color w:val="auto"/>
        </w:rPr>
        <w:t xml:space="preserve"> by electronic communication. Administrative Agent or Borrower may, in its discretion, agree to accept notices and other communications to it hereunder by electronic communications pursuant to procedures approved by it,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approval of such procedures may be limited to particular notices or communications.</w:t>
      </w:r>
    </w:p>
    <w:p>
      <w:pPr>
        <w:spacing w:after="0" w:line="20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Unless Administrative Agent otherwise prescribes, (i) notices and other communications sent to an e-mail address shall be deemed received upon the sender’s receipt of an acknowledgement from the intended recipient (such as by the “</w:t>
      </w:r>
      <w:r>
        <w:rPr>
          <w:rFonts w:ascii="Arial" w:cs="Arial" w:eastAsia="Arial" w:hAnsi="Arial"/>
          <w:sz w:val="18"/>
          <w:szCs w:val="18"/>
          <w:i w:val="1"/>
          <w:iCs w:val="1"/>
          <w:color w:val="auto"/>
        </w:rPr>
        <w:t>return receipt requested</w:t>
      </w:r>
      <w:r>
        <w:rPr>
          <w:rFonts w:ascii="Arial" w:cs="Arial" w:eastAsia="Arial" w:hAnsi="Arial"/>
          <w:sz w:val="18"/>
          <w:szCs w:val="18"/>
          <w:color w:val="auto"/>
        </w:rPr>
        <w:t xml:space="preserve">”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8"/>
          <w:szCs w:val="18"/>
          <w:b w:val="1"/>
          <w:bCs w:val="1"/>
          <w:i w:val="1"/>
          <w:iCs w:val="1"/>
          <w:color w:val="auto"/>
        </w:rPr>
        <w:t>clause (i)</w:t>
      </w:r>
      <w:r>
        <w:rPr>
          <w:rFonts w:ascii="Arial" w:cs="Arial" w:eastAsia="Arial" w:hAnsi="Arial"/>
          <w:sz w:val="18"/>
          <w:szCs w:val="18"/>
          <w:color w:val="auto"/>
        </w:rPr>
        <w:t xml:space="preserve"> of notification that such notice or communication is available and identifying the website address therefor;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for both </w:t>
      </w:r>
      <w:r>
        <w:rPr>
          <w:rFonts w:ascii="Arial" w:cs="Arial" w:eastAsia="Arial" w:hAnsi="Arial"/>
          <w:sz w:val="18"/>
          <w:szCs w:val="18"/>
          <w:b w:val="1"/>
          <w:bCs w:val="1"/>
          <w:i w:val="1"/>
          <w:iCs w:val="1"/>
          <w:color w:val="auto"/>
        </w:rPr>
        <w:t>clauses (i)</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(ii)</w:t>
      </w:r>
      <w:r>
        <w:rPr>
          <w:rFonts w:ascii="Arial" w:cs="Arial" w:eastAsia="Arial" w:hAnsi="Arial"/>
          <w:sz w:val="18"/>
          <w:szCs w:val="18"/>
          <w:color w:val="auto"/>
        </w:rPr>
        <w:t>, if such notice or other communication is not sent during the normal business hours of the recipient, such notice or communication shall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deemed to have been sent at the opening of business on the next Business Day for the recipient.</w:t>
      </w:r>
    </w:p>
    <w:p>
      <w:pPr>
        <w:spacing w:after="0" w:line="169" w:lineRule="exact"/>
        <w:rPr>
          <w:sz w:val="20"/>
          <w:szCs w:val="20"/>
          <w:color w:val="auto"/>
        </w:rPr>
      </w:pPr>
    </w:p>
    <w:p>
      <w:pPr>
        <w:jc w:val="both"/>
        <w:ind w:firstLine="656"/>
        <w:spacing w:after="0" w:line="255" w:lineRule="auto"/>
        <w:tabs>
          <w:tab w:leader="none" w:pos="1133" w:val="left"/>
        </w:tabs>
        <w:numPr>
          <w:ilvl w:val="0"/>
          <w:numId w:val="159"/>
        </w:numPr>
        <w:rPr>
          <w:rFonts w:ascii="Arial" w:cs="Arial" w:eastAsia="Arial" w:hAnsi="Arial"/>
          <w:sz w:val="19"/>
          <w:szCs w:val="19"/>
          <w:color w:val="auto"/>
        </w:rPr>
      </w:pPr>
      <w:r>
        <w:rPr>
          <w:rFonts w:ascii="Arial" w:cs="Arial" w:eastAsia="Arial" w:hAnsi="Arial"/>
          <w:sz w:val="19"/>
          <w:szCs w:val="19"/>
          <w:b w:val="1"/>
          <w:bCs w:val="1"/>
          <w:i w:val="1"/>
          <w:iCs w:val="1"/>
          <w:color w:val="auto"/>
        </w:rPr>
        <w:t>The Platform</w:t>
      </w:r>
      <w:r>
        <w:rPr>
          <w:rFonts w:ascii="Arial" w:cs="Arial" w:eastAsia="Arial" w:hAnsi="Arial"/>
          <w:sz w:val="19"/>
          <w:szCs w:val="19"/>
          <w:color w:val="auto"/>
        </w:rPr>
        <w:t>. THE PLATFORM IS PROVIDED “AS IS” AND “AS AVAILABLE.” THE AGENT PARTIES (AS DEFINED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BELOW) DO NOT WARRANT THE ACCURACY OR COMPLETENESS OF BORROWER MATERIALS OR THE ADEQUACY OF THE PLATFORM, AND EXPRESSLY DISCLAIM LIABILITY FOR ERRORS IN OR OMISSIONS FROM BORROWER MATERIALS. NO WARRANTY OF ANY KIND, EXPRESS, IMPLIED, OR STATUTORY, INCLUDING ANY WARRANTY OF MERCHANTABILITY, FITNESS FOR A PARTICULAR PURPOSE, NON-INFRINGEMENT OF THIRD PARTY RIGHTS, OR FREEDOM FROM VIRUSES OR OTHER CODE DEFECTS, IS MADE BY ANY AGENT PARTY IN CONNECTION WITH BORROWER MATERIALS OR THE PLATFORM. In no event shall Administrative Agent or any of its Related Parties (collectively, the “</w:t>
      </w:r>
      <w:r>
        <w:rPr>
          <w:rFonts w:ascii="Arial" w:cs="Arial" w:eastAsia="Arial" w:hAnsi="Arial"/>
          <w:sz w:val="19"/>
          <w:szCs w:val="19"/>
          <w:b w:val="1"/>
          <w:bCs w:val="1"/>
          <w:i w:val="1"/>
          <w:iCs w:val="1"/>
          <w:color w:val="auto"/>
        </w:rPr>
        <w:t>Agent Parties</w:t>
      </w:r>
      <w:r>
        <w:rPr>
          <w:rFonts w:ascii="Arial" w:cs="Arial" w:eastAsia="Arial" w:hAnsi="Arial"/>
          <w:sz w:val="19"/>
          <w:szCs w:val="19"/>
          <w:color w:val="auto"/>
        </w:rPr>
        <w:t>”) have any liability to Borrower, any Lender, either L/C Issuer, or any other Person for losses, claims, damages, liabilities, or expenses of any kind (whether in tort, contract, or otherwise) arising out of Borrower’s or Administrative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or willful</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111</w:t>
      </w:r>
    </w:p>
    <w:p>
      <w:pPr>
        <w:sectPr>
          <w:pgSz w:w="11900" w:h="16838" w:orient="portrait"/>
          <w:cols w:equalWidth="0" w:num="1">
            <w:col w:w="11420"/>
          </w:cols>
          <w:pgMar w:left="240" w:top="582" w:right="239" w:bottom="1440" w:gutter="0" w:footer="0" w:header="0"/>
        </w:sectPr>
      </w:pPr>
    </w:p>
    <w:bookmarkStart w:id="175" w:name="page176"/>
    <w:bookmarkEnd w:id="175"/>
    <w:p>
      <w:pPr>
        <w:ind w:right="20"/>
        <w:spacing w:after="0" w:line="316" w:lineRule="auto"/>
        <w:rPr>
          <w:sz w:val="20"/>
          <w:szCs w:val="20"/>
          <w:color w:val="auto"/>
        </w:rPr>
      </w:pPr>
      <w:r>
        <w:rPr>
          <w:rFonts w:ascii="Arial" w:cs="Arial" w:eastAsia="Arial" w:hAnsi="Arial"/>
          <w:sz w:val="18"/>
          <w:szCs w:val="18"/>
          <w:color w:val="auto"/>
        </w:rPr>
        <w:t xml:space="preserve">misconduct of such Agent Party;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no event shall any Agent Party have any liability to Borrower, any Lender, either L/C Issuer, or any other Person for indirect, special, incidental, consequential, or punitive damages (as opposed to direct or actual damages).</w:t>
      </w:r>
    </w:p>
    <w:p>
      <w:pPr>
        <w:spacing w:after="0" w:line="130" w:lineRule="exact"/>
        <w:rPr>
          <w:sz w:val="20"/>
          <w:szCs w:val="20"/>
          <w:color w:val="auto"/>
        </w:rPr>
      </w:pPr>
    </w:p>
    <w:p>
      <w:pPr>
        <w:jc w:val="both"/>
        <w:ind w:firstLine="656"/>
        <w:spacing w:after="0" w:line="255" w:lineRule="auto"/>
        <w:tabs>
          <w:tab w:leader="none" w:pos="1104" w:val="left"/>
        </w:tabs>
        <w:numPr>
          <w:ilvl w:val="0"/>
          <w:numId w:val="160"/>
        </w:numPr>
        <w:rPr>
          <w:rFonts w:ascii="Arial" w:cs="Arial" w:eastAsia="Arial" w:hAnsi="Arial"/>
          <w:sz w:val="19"/>
          <w:szCs w:val="19"/>
          <w:color w:val="auto"/>
        </w:rPr>
      </w:pPr>
      <w:r>
        <w:rPr>
          <w:rFonts w:ascii="Arial" w:cs="Arial" w:eastAsia="Arial" w:hAnsi="Arial"/>
          <w:sz w:val="19"/>
          <w:szCs w:val="19"/>
          <w:b w:val="1"/>
          <w:bCs w:val="1"/>
          <w:i w:val="1"/>
          <w:iCs w:val="1"/>
          <w:color w:val="auto"/>
        </w:rPr>
        <w:t>Change of Address, Etc</w:t>
      </w:r>
      <w:r>
        <w:rPr>
          <w:rFonts w:ascii="Arial" w:cs="Arial" w:eastAsia="Arial" w:hAnsi="Arial"/>
          <w:sz w:val="19"/>
          <w:szCs w:val="19"/>
          <w:color w:val="auto"/>
        </w:rPr>
        <w:t>. Each of Borrower, Administrative Agent, the L/C Issuers, and the Swing Line Lenders may change its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address, telecopier, or telephone number for notices and other communications hereunder by notice to the other parties hereto. Each other Lender may change its address, telecopier, or telephone number for notices and other communications hereunder by notice to Borrower, Administrative Agent, the L/C Issuers, and the Swing Line Lender. In addition, each Lender agrees to notify Administrative Agent from time to time to ensure that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w:t>
      </w:r>
      <w:r>
        <w:rPr>
          <w:rFonts w:ascii="Arial" w:cs="Arial" w:eastAsia="Arial" w:hAnsi="Arial"/>
          <w:sz w:val="19"/>
          <w:szCs w:val="19"/>
          <w:i w:val="1"/>
          <w:iCs w:val="1"/>
          <w:color w:val="auto"/>
        </w:rPr>
        <w:t>Private Side Information</w:t>
      </w:r>
      <w:r>
        <w:rPr>
          <w:rFonts w:ascii="Arial" w:cs="Arial" w:eastAsia="Arial" w:hAnsi="Arial"/>
          <w:sz w:val="19"/>
          <w:szCs w:val="19"/>
          <w:color w:val="auto"/>
        </w:rPr>
        <w:t>”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w:t>
      </w:r>
      <w:r>
        <w:rPr>
          <w:rFonts w:ascii="Arial" w:cs="Arial" w:eastAsia="Arial" w:hAnsi="Arial"/>
          <w:sz w:val="19"/>
          <w:szCs w:val="19"/>
          <w:i w:val="1"/>
          <w:iCs w:val="1"/>
          <w:color w:val="auto"/>
        </w:rPr>
        <w:t>Public Side Information</w:t>
      </w:r>
      <w:r>
        <w:rPr>
          <w:rFonts w:ascii="Arial" w:cs="Arial" w:eastAsia="Arial" w:hAnsi="Arial"/>
          <w:sz w:val="19"/>
          <w:szCs w:val="19"/>
          <w:color w:val="auto"/>
        </w:rPr>
        <w:t>” portion of the Platform and that may contain material non-public information with respect to Borrower or its securities for purposes of United States Federal or state securities laws.</w:t>
      </w:r>
    </w:p>
    <w:p>
      <w:pPr>
        <w:spacing w:after="0" w:line="185" w:lineRule="exact"/>
        <w:rPr>
          <w:rFonts w:ascii="Arial" w:cs="Arial" w:eastAsia="Arial" w:hAnsi="Arial"/>
          <w:sz w:val="19"/>
          <w:szCs w:val="19"/>
          <w:color w:val="auto"/>
        </w:rPr>
      </w:pPr>
    </w:p>
    <w:p>
      <w:pPr>
        <w:jc w:val="both"/>
        <w:ind w:firstLine="656"/>
        <w:spacing w:after="0" w:line="257" w:lineRule="auto"/>
        <w:tabs>
          <w:tab w:leader="none" w:pos="1187" w:val="left"/>
        </w:tabs>
        <w:numPr>
          <w:ilvl w:val="0"/>
          <w:numId w:val="160"/>
        </w:numPr>
        <w:rPr>
          <w:rFonts w:ascii="Arial" w:cs="Arial" w:eastAsia="Arial" w:hAnsi="Arial"/>
          <w:sz w:val="19"/>
          <w:szCs w:val="19"/>
          <w:color w:val="auto"/>
        </w:rPr>
      </w:pPr>
      <w:r>
        <w:rPr>
          <w:rFonts w:ascii="Arial" w:cs="Arial" w:eastAsia="Arial" w:hAnsi="Arial"/>
          <w:sz w:val="19"/>
          <w:szCs w:val="19"/>
          <w:b w:val="1"/>
          <w:bCs w:val="1"/>
          <w:i w:val="1"/>
          <w:iCs w:val="1"/>
          <w:color w:val="auto"/>
        </w:rPr>
        <w:t>Reliance by Administrative Agent, L/C Issuers, and Lenders</w:t>
      </w:r>
      <w:r>
        <w:rPr>
          <w:rFonts w:ascii="Arial" w:cs="Arial" w:eastAsia="Arial" w:hAnsi="Arial"/>
          <w:sz w:val="19"/>
          <w:szCs w:val="19"/>
          <w:color w:val="auto"/>
        </w:rPr>
        <w:t>. Administrative Agent, the L/C Issuers, and Lenders shall be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entitled to rely and act upon any notices (including telephonic notices, Loan Notices and Swing Line Loan Notices) purportedly given by or on behalf of Borrower even if (i) such notices were not made in a manner specified herein, were incomplete, or were not preceded or followed by any other form of notice specified herein, or (ii) the terms thereof, as understood by the recipient, varied from any confirmation thereof. Borrower shall indemnify Administrative Agent, the L/C Issuers, each Lender, and the Related Parties of each of them from all losses, costs, expenses, and liabilities resulting from the reliance by such Person on each notice purportedly given by or on behalf of Borrower. All telephonic notices to and other telephonic communications with Administrative Agent may be recorded by Administrative Agent, and each of the parties hereto hereby consents to such recording.</w:t>
      </w:r>
    </w:p>
    <w:p>
      <w:pPr>
        <w:spacing w:after="0" w:line="18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15.4</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32" w:lineRule="exact"/>
        <w:tabs>
          <w:tab w:leader="none" w:pos="1174" w:val="left"/>
        </w:tabs>
        <w:numPr>
          <w:ilvl w:val="0"/>
          <w:numId w:val="161"/>
        </w:numPr>
        <w:rPr>
          <w:rFonts w:ascii="Arial" w:cs="Arial" w:eastAsia="Arial" w:hAnsi="Arial"/>
          <w:sz w:val="18"/>
          <w:szCs w:val="18"/>
          <w:color w:val="auto"/>
        </w:rPr>
      </w:pPr>
      <w:r>
        <w:rPr>
          <w:rFonts w:ascii="Arial" w:cs="Arial" w:eastAsia="Arial" w:hAnsi="Arial"/>
          <w:sz w:val="18"/>
          <w:szCs w:val="18"/>
          <w:b w:val="1"/>
          <w:bCs w:val="1"/>
          <w:i w:val="1"/>
          <w:iCs w:val="1"/>
          <w:color w:val="auto"/>
        </w:rPr>
        <w:t>Costs and Expenses</w:t>
      </w:r>
      <w:r>
        <w:rPr>
          <w:rFonts w:ascii="Arial" w:cs="Arial" w:eastAsia="Arial" w:hAnsi="Arial"/>
          <w:sz w:val="18"/>
          <w:szCs w:val="18"/>
          <w:color w:val="auto"/>
        </w:rPr>
        <w:t>. Borrower shall pay (i) all reasonable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expenses incurred by Administrative Agent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Affiliates (including the reasonable fees, charges, and disbursements of counsel for Administrative Agent) in connection with the syndication of the credit facilities provided for herein, the preparation, negotiation, execution, delivery, and administration of this Agreement and the other Loan Papers, or any amendments, modifications, or waivers of the provisions hereof or thereof (whether or not the transactions contemplated hereby or thereby shall be consummated), (ii) all reasonable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expenses incurred by the L/C Issuers in connection with the issuance, amendment, renewal, or extension of any L/C or any demand for payment thereunder, and (iii) all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expenses incurred by Administrative Agent, any Lender, or the L/C Issuers (including the fees, charges, and disbursements of any counsel for Administrative Agent, any Lender, or the L/C Issuers), and shall pay all fees and time charges for attorneys who may be employees of Administrative Agent, any Lender, or the L/C Issuers, in connection with the enforcement or protection of its rights (A) in connection with this Agreement and the other Loan Papers, including its rights under this Section, or (B) in connection with the Loans made or L/Cs issued hereunder, including all such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expenses incurred during any workout, restructuring, or negotiations in respect of such Loans or L/Cs.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112</w:t>
      </w:r>
    </w:p>
    <w:p>
      <w:pPr>
        <w:sectPr>
          <w:pgSz w:w="11900" w:h="16838" w:orient="portrait"/>
          <w:cols w:equalWidth="0" w:num="1">
            <w:col w:w="11420"/>
          </w:cols>
          <w:pgMar w:left="240" w:top="582" w:right="239" w:bottom="1440" w:gutter="0" w:footer="0" w:header="0"/>
        </w:sectPr>
      </w:pPr>
    </w:p>
    <w:bookmarkStart w:id="176" w:name="page177"/>
    <w:bookmarkEnd w:id="176"/>
    <w:p>
      <w:pPr>
        <w:jc w:val="both"/>
        <w:ind w:firstLine="656"/>
        <w:spacing w:after="0" w:line="267" w:lineRule="auto"/>
        <w:tabs>
          <w:tab w:leader="none" w:pos="1077" w:val="left"/>
        </w:tabs>
        <w:numPr>
          <w:ilvl w:val="0"/>
          <w:numId w:val="162"/>
        </w:numPr>
        <w:rPr>
          <w:rFonts w:ascii="Arial" w:cs="Arial" w:eastAsia="Arial" w:hAnsi="Arial"/>
          <w:sz w:val="18"/>
          <w:szCs w:val="18"/>
          <w:color w:val="auto"/>
        </w:rPr>
      </w:pPr>
      <w:r>
        <w:rPr>
          <w:rFonts w:ascii="Arial" w:cs="Arial" w:eastAsia="Arial" w:hAnsi="Arial"/>
          <w:sz w:val="18"/>
          <w:szCs w:val="18"/>
          <w:b w:val="1"/>
          <w:bCs w:val="1"/>
          <w:i w:val="1"/>
          <w:iCs w:val="1"/>
          <w:color w:val="auto"/>
        </w:rPr>
        <w:t>Indemnification by Borrower</w:t>
      </w:r>
      <w:r>
        <w:rPr>
          <w:rFonts w:ascii="Arial" w:cs="Arial" w:eastAsia="Arial" w:hAnsi="Arial"/>
          <w:sz w:val="18"/>
          <w:szCs w:val="18"/>
          <w:color w:val="auto"/>
        </w:rPr>
        <w:t>. Borrower shall indemnify Administrative Agent (and any sub-agent thereof), each Lender,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L/C Issuers, and each Related Party of any of the foregoing Persons (each such Person being called an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 xml:space="preserve">”), against, and hold each Indemnitee harmless from,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third party or by any Company arising out of, in connection with, or as a result of (i) the execution or delivery of this Agreement, any other Loan Paper, or any agreement or instrument contemplated hereby or thereby, the performance by the parties hereto of their respective obligations hereunder or thereunder, or the consummation of the transactions contemplated hereby or thereby, or, in the case of Administrative Agent (and any sub-agent thereof) and its Related Parties only, the administration of this Agreement and the other Loan Papers, (ii) any Loan or L/C or the use or proposed use of the proceeds therefrom (including any refusal by either L/C Issuer to honor a demand for payment under an L/C if the documents presented in connection with such demand do not strictly comply with the terms of such L/C), (iii) any actual or alleged presence or release of Hazardous Substances on or from any property owned or operated by Borrower or any other Company, or any liability under Environmental Laws related in any way to the or any other Company, or (iv) any actual or prospective claim, litigation, investigation, or proceeding relating to any of the foregoing, whether based on contract, tort, or any other theory, whether brought by a third party or by Borrower or any other Company, and regardless of whether any Indemnitee is a party thereto, </w:t>
      </w:r>
      <w:r>
        <w:rPr>
          <w:rFonts w:ascii="Arial" w:cs="Arial" w:eastAsia="Arial" w:hAnsi="Arial"/>
          <w:sz w:val="18"/>
          <w:szCs w:val="18"/>
          <w:b w:val="1"/>
          <w:bCs w:val="1"/>
          <w:color w:val="auto"/>
        </w:rPr>
        <w:t>IN ALL CASES, WHETHER OR NOT</w:t>
      </w:r>
    </w:p>
    <w:p>
      <w:pPr>
        <w:spacing w:after="0" w:line="5" w:lineRule="exact"/>
        <w:rPr>
          <w:rFonts w:ascii="Arial" w:cs="Arial" w:eastAsia="Arial" w:hAnsi="Arial"/>
          <w:sz w:val="18"/>
          <w:szCs w:val="18"/>
          <w:color w:val="auto"/>
        </w:rPr>
      </w:pPr>
    </w:p>
    <w:p>
      <w:pPr>
        <w:jc w:val="both"/>
        <w:spacing w:after="0" w:line="254" w:lineRule="auto"/>
        <w:rPr>
          <w:rFonts w:ascii="Arial" w:cs="Arial" w:eastAsia="Arial" w:hAnsi="Arial"/>
          <w:sz w:val="18"/>
          <w:szCs w:val="18"/>
          <w:color w:val="auto"/>
        </w:rPr>
      </w:pPr>
      <w:r>
        <w:rPr>
          <w:rFonts w:ascii="Arial" w:cs="Arial" w:eastAsia="Arial" w:hAnsi="Arial"/>
          <w:sz w:val="19"/>
          <w:szCs w:val="19"/>
          <w:b w:val="1"/>
          <w:bCs w:val="1"/>
          <w:color w:val="auto"/>
        </w:rPr>
        <w:t>CAUSED BY OR ARISING, IN WHOLE OR IN PART, OUT OF THE COMPARATIVE, CONTRIBUTORY, OR SOLE NEGLIGENCE OF THE INDEMNITEE</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that</w:t>
      </w:r>
      <w:r>
        <w:rPr>
          <w:rFonts w:ascii="Arial" w:cs="Arial" w:eastAsia="Arial" w:hAnsi="Arial"/>
          <w:sz w:val="19"/>
          <w:szCs w:val="19"/>
          <w:b w:val="1"/>
          <w:bCs w:val="1"/>
          <w:color w:val="auto"/>
        </w:rPr>
        <w:t xml:space="preserve"> </w:t>
      </w:r>
      <w:r>
        <w:rPr>
          <w:rFonts w:ascii="Arial" w:cs="Arial" w:eastAsia="Arial" w:hAnsi="Arial"/>
          <w:sz w:val="19"/>
          <w:szCs w:val="19"/>
          <w:color w:val="auto"/>
        </w:rPr>
        <w:t>such indemnity shall not, as to any Indemnitee, be available to the extent that such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losses, claims, damages, liabilities, or related expenses (x) are determined by a court of competent jurisdiction by final and nonappealable judgment to have resulted from the gross negligence or willful misconduct of such Indemnitee, or (y) result from a claim brought by Borrower or any other Company against an Indemnitee for breach in bad faith of such Indemnitee’s obligations hereunder or under any other Loan Paper, if Borrower or another Restricted Company has obtained a final and nonappealable judgment in its favor on such claim as determined by a court of competent jurisdiction. Without limiting the provisions of </w:t>
      </w:r>
      <w:r>
        <w:rPr>
          <w:rFonts w:ascii="Arial" w:cs="Arial" w:eastAsia="Arial" w:hAnsi="Arial"/>
          <w:sz w:val="19"/>
          <w:szCs w:val="19"/>
          <w:b w:val="1"/>
          <w:bCs w:val="1"/>
          <w:i w:val="1"/>
          <w:iCs w:val="1"/>
          <w:color w:val="auto"/>
        </w:rPr>
        <w:t>Section 4.1(c)</w:t>
      </w:r>
      <w:r>
        <w:rPr>
          <w:rFonts w:ascii="Arial" w:cs="Arial" w:eastAsia="Arial" w:hAnsi="Arial"/>
          <w:sz w:val="19"/>
          <w:szCs w:val="19"/>
          <w:color w:val="auto"/>
        </w:rPr>
        <w:t xml:space="preserve">, this </w:t>
      </w:r>
      <w:r>
        <w:rPr>
          <w:rFonts w:ascii="Arial" w:cs="Arial" w:eastAsia="Arial" w:hAnsi="Arial"/>
          <w:sz w:val="19"/>
          <w:szCs w:val="19"/>
          <w:b w:val="1"/>
          <w:bCs w:val="1"/>
          <w:i w:val="1"/>
          <w:iCs w:val="1"/>
          <w:color w:val="auto"/>
        </w:rPr>
        <w:t>Section 15.4</w:t>
      </w:r>
      <w:r>
        <w:rPr>
          <w:rFonts w:ascii="Arial" w:cs="Arial" w:eastAsia="Arial" w:hAnsi="Arial"/>
          <w:sz w:val="19"/>
          <w:szCs w:val="19"/>
          <w:color w:val="auto"/>
        </w:rPr>
        <w:t xml:space="preserve"> shall not apply with respect to Taxes other than any Taxes that represent losses, claims, damages, etc. arising from any non-Tax claim.</w:t>
      </w:r>
    </w:p>
    <w:p>
      <w:pPr>
        <w:spacing w:after="0" w:line="186" w:lineRule="exact"/>
        <w:rPr>
          <w:rFonts w:ascii="Arial" w:cs="Arial" w:eastAsia="Arial" w:hAnsi="Arial"/>
          <w:sz w:val="18"/>
          <w:szCs w:val="18"/>
          <w:color w:val="auto"/>
        </w:rPr>
      </w:pPr>
    </w:p>
    <w:p>
      <w:pPr>
        <w:jc w:val="both"/>
        <w:ind w:firstLine="656"/>
        <w:spacing w:after="0" w:line="273" w:lineRule="auto"/>
        <w:tabs>
          <w:tab w:leader="none" w:pos="1147" w:val="left"/>
        </w:tabs>
        <w:numPr>
          <w:ilvl w:val="0"/>
          <w:numId w:val="162"/>
        </w:numPr>
        <w:rPr>
          <w:rFonts w:ascii="Arial" w:cs="Arial" w:eastAsia="Arial" w:hAnsi="Arial"/>
          <w:sz w:val="18"/>
          <w:szCs w:val="18"/>
          <w:color w:val="auto"/>
        </w:rPr>
      </w:pPr>
      <w:r>
        <w:rPr>
          <w:rFonts w:ascii="Arial" w:cs="Arial" w:eastAsia="Arial" w:hAnsi="Arial"/>
          <w:sz w:val="18"/>
          <w:szCs w:val="18"/>
          <w:b w:val="1"/>
          <w:bCs w:val="1"/>
          <w:i w:val="1"/>
          <w:iCs w:val="1"/>
          <w:color w:val="auto"/>
        </w:rPr>
        <w:t>Reimbursement by Lenders</w:t>
      </w:r>
      <w:r>
        <w:rPr>
          <w:rFonts w:ascii="Arial" w:cs="Arial" w:eastAsia="Arial" w:hAnsi="Arial"/>
          <w:sz w:val="18"/>
          <w:szCs w:val="18"/>
          <w:color w:val="auto"/>
        </w:rPr>
        <w:t>. To the extent that Borrower for any reason fails to indefeasibly pay any amount required under</w:t>
      </w:r>
      <w:r>
        <w:rPr>
          <w:rFonts w:ascii="Arial" w:cs="Arial" w:eastAsia="Arial" w:hAnsi="Arial"/>
          <w:sz w:val="18"/>
          <w:szCs w:val="18"/>
          <w:b w:val="1"/>
          <w:bCs w:val="1"/>
          <w:i w:val="1"/>
          <w:iCs w:val="1"/>
          <w:color w:val="auto"/>
        </w:rPr>
        <w:t xml:space="preserve"> subsection (a)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(b) </w:t>
      </w:r>
      <w:r>
        <w:rPr>
          <w:rFonts w:ascii="Arial" w:cs="Arial" w:eastAsia="Arial" w:hAnsi="Arial"/>
          <w:sz w:val="18"/>
          <w:szCs w:val="18"/>
          <w:color w:val="auto"/>
        </w:rPr>
        <w:t>of this Section to be paid by it to Administrative Agent (or any sub-agent thereof), the L/C Issuers, or any Related Party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any of the foregoing, each Lender severally agrees to pay to Administrative Agent (or any such sub-agent), the L/C Issuers, or such Related Party, as the case may be, such Lender’s Commitment Percentage (determined as of the time that the applicable unreimbursed expense or indemnity payment is sought) of such unpaid amount,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the unreimbursed expense or indemnified loss, claim, damage, liability, or related expense, as the case may be, was incurred by or asserted against Administrative Agent (or any such sub-agent) or any L/C Issuer in its capacity as such, or against any Related Party of any of the foregoing acting for Administrative Agent (or any such sub-agent) any L/C Issuer in connection with such capacity. The obligations of Lenders under this </w:t>
      </w:r>
      <w:r>
        <w:rPr>
          <w:rFonts w:ascii="Arial" w:cs="Arial" w:eastAsia="Arial" w:hAnsi="Arial"/>
          <w:sz w:val="18"/>
          <w:szCs w:val="18"/>
          <w:b w:val="1"/>
          <w:bCs w:val="1"/>
          <w:i w:val="1"/>
          <w:iCs w:val="1"/>
          <w:color w:val="auto"/>
        </w:rPr>
        <w:t>subsection (c)</w:t>
      </w:r>
      <w:r>
        <w:rPr>
          <w:rFonts w:ascii="Arial" w:cs="Arial" w:eastAsia="Arial" w:hAnsi="Arial"/>
          <w:sz w:val="18"/>
          <w:szCs w:val="18"/>
          <w:color w:val="auto"/>
        </w:rPr>
        <w:t xml:space="preserve"> are subject to the provisions of </w:t>
      </w:r>
      <w:r>
        <w:rPr>
          <w:rFonts w:ascii="Arial" w:cs="Arial" w:eastAsia="Arial" w:hAnsi="Arial"/>
          <w:sz w:val="18"/>
          <w:szCs w:val="18"/>
          <w:b w:val="1"/>
          <w:bCs w:val="1"/>
          <w:i w:val="1"/>
          <w:iCs w:val="1"/>
          <w:color w:val="auto"/>
        </w:rPr>
        <w:t>Section 2.2(d)</w:t>
      </w:r>
      <w:r>
        <w:rPr>
          <w:rFonts w:ascii="Arial" w:cs="Arial" w:eastAsia="Arial" w:hAnsi="Arial"/>
          <w:sz w:val="18"/>
          <w:szCs w:val="18"/>
          <w:i w:val="1"/>
          <w:iCs w:val="1"/>
          <w:color w:val="auto"/>
        </w:rPr>
        <w:t>.</w:t>
      </w:r>
    </w:p>
    <w:p>
      <w:pPr>
        <w:spacing w:after="0" w:line="169" w:lineRule="exact"/>
        <w:rPr>
          <w:rFonts w:ascii="Arial" w:cs="Arial" w:eastAsia="Arial" w:hAnsi="Arial"/>
          <w:sz w:val="18"/>
          <w:szCs w:val="18"/>
          <w:color w:val="auto"/>
        </w:rPr>
      </w:pPr>
    </w:p>
    <w:p>
      <w:pPr>
        <w:jc w:val="both"/>
        <w:ind w:firstLine="656"/>
        <w:spacing w:after="0" w:line="244" w:lineRule="auto"/>
        <w:tabs>
          <w:tab w:leader="none" w:pos="1131" w:val="left"/>
        </w:tabs>
        <w:numPr>
          <w:ilvl w:val="0"/>
          <w:numId w:val="162"/>
        </w:numPr>
        <w:rPr>
          <w:rFonts w:ascii="Arial" w:cs="Arial" w:eastAsia="Arial" w:hAnsi="Arial"/>
          <w:sz w:val="20"/>
          <w:szCs w:val="20"/>
          <w:color w:val="auto"/>
        </w:rPr>
      </w:pPr>
      <w:r>
        <w:rPr>
          <w:rFonts w:ascii="Arial" w:cs="Arial" w:eastAsia="Arial" w:hAnsi="Arial"/>
          <w:sz w:val="20"/>
          <w:szCs w:val="20"/>
          <w:b w:val="1"/>
          <w:bCs w:val="1"/>
          <w:i w:val="1"/>
          <w:iCs w:val="1"/>
          <w:color w:val="auto"/>
        </w:rPr>
        <w:t>Waiver of Consequential Damages, Etc</w:t>
      </w:r>
      <w:r>
        <w:rPr>
          <w:rFonts w:ascii="Arial" w:cs="Arial" w:eastAsia="Arial" w:hAnsi="Arial"/>
          <w:sz w:val="20"/>
          <w:szCs w:val="20"/>
          <w:color w:val="auto"/>
        </w:rPr>
        <w:t>. To the fullest extent permitted by applicable Law, each of Borrower and any Related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Party of Borrower that is a party to a Loan Paper from time to time shall not assert, and hereby waives, any claim against any Indemnitee, on any theory of liability, for special, indirect, consequential, or punitive damages (as opposed to direct or actual damages) arising out of, in connection with, or as a result of, this Agreement, any other Loan Paper, or any agreement or instrument contemplated hereby, the transactions contemplated hereby or thereby, any Loan or L/C, or the use of the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113</w:t>
      </w:r>
    </w:p>
    <w:p>
      <w:pPr>
        <w:sectPr>
          <w:pgSz w:w="11900" w:h="16838" w:orient="portrait"/>
          <w:cols w:equalWidth="0" w:num="1">
            <w:col w:w="11420"/>
          </w:cols>
          <w:pgMar w:left="240" w:top="582" w:right="239" w:bottom="1440" w:gutter="0" w:footer="0" w:header="0"/>
        </w:sectPr>
      </w:pPr>
    </w:p>
    <w:bookmarkStart w:id="177" w:name="page178"/>
    <w:bookmarkEnd w:id="177"/>
    <w:p>
      <w:pPr>
        <w:jc w:val="both"/>
        <w:spacing w:after="0" w:line="244" w:lineRule="auto"/>
        <w:rPr>
          <w:sz w:val="20"/>
          <w:szCs w:val="20"/>
          <w:color w:val="auto"/>
        </w:rPr>
      </w:pPr>
      <w:r>
        <w:rPr>
          <w:rFonts w:ascii="Arial" w:cs="Arial" w:eastAsia="Arial" w:hAnsi="Arial"/>
          <w:sz w:val="20"/>
          <w:szCs w:val="20"/>
          <w:color w:val="auto"/>
        </w:rPr>
        <w:t xml:space="preserve">proceeds thereof. No Indemnitee referred to in </w:t>
      </w:r>
      <w:r>
        <w:rPr>
          <w:rFonts w:ascii="Arial" w:cs="Arial" w:eastAsia="Arial" w:hAnsi="Arial"/>
          <w:sz w:val="20"/>
          <w:szCs w:val="20"/>
          <w:b w:val="1"/>
          <w:bCs w:val="1"/>
          <w:i w:val="1"/>
          <w:iCs w:val="1"/>
          <w:color w:val="auto"/>
        </w:rPr>
        <w:t>subsection (b)</w:t>
      </w:r>
      <w:r>
        <w:rPr>
          <w:rFonts w:ascii="Arial" w:cs="Arial" w:eastAsia="Arial" w:hAnsi="Arial"/>
          <w:sz w:val="20"/>
          <w:szCs w:val="20"/>
          <w:color w:val="auto"/>
        </w:rPr>
        <w:t xml:space="preserve"> above shall be liable for any damages arising from the use by unintended recipients of any information or other materials distributed by it through telecommunications, electronic, or other information transmission systems in connection with this Agreement or the other Loan Papers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95" w:lineRule="exact"/>
        <w:rPr>
          <w:sz w:val="20"/>
          <w:szCs w:val="20"/>
          <w:color w:val="auto"/>
        </w:rPr>
      </w:pPr>
    </w:p>
    <w:p>
      <w:pPr>
        <w:ind w:left="1080" w:hanging="424"/>
        <w:spacing w:after="0"/>
        <w:tabs>
          <w:tab w:leader="none" w:pos="1080" w:val="left"/>
        </w:tabs>
        <w:numPr>
          <w:ilvl w:val="0"/>
          <w:numId w:val="163"/>
        </w:numPr>
        <w:rPr>
          <w:rFonts w:ascii="Arial" w:cs="Arial" w:eastAsia="Arial" w:hAnsi="Arial"/>
          <w:sz w:val="19"/>
          <w:szCs w:val="19"/>
          <w:color w:val="auto"/>
        </w:rPr>
      </w:pPr>
      <w:r>
        <w:rPr>
          <w:rFonts w:ascii="Arial" w:cs="Arial" w:eastAsia="Arial" w:hAnsi="Arial"/>
          <w:sz w:val="19"/>
          <w:szCs w:val="19"/>
          <w:b w:val="1"/>
          <w:bCs w:val="1"/>
          <w:i w:val="1"/>
          <w:iCs w:val="1"/>
          <w:color w:val="auto"/>
        </w:rPr>
        <w:t>Payments</w:t>
      </w:r>
      <w:r>
        <w:rPr>
          <w:rFonts w:ascii="Arial" w:cs="Arial" w:eastAsia="Arial" w:hAnsi="Arial"/>
          <w:sz w:val="19"/>
          <w:szCs w:val="19"/>
          <w:color w:val="auto"/>
        </w:rPr>
        <w:t>. All amounts due under this Section shall be payable not later than ten Business Days after demand therefor.</w:t>
      </w:r>
    </w:p>
    <w:p>
      <w:pPr>
        <w:spacing w:after="0" w:line="227" w:lineRule="exact"/>
        <w:rPr>
          <w:rFonts w:ascii="Arial" w:cs="Arial" w:eastAsia="Arial" w:hAnsi="Arial"/>
          <w:sz w:val="19"/>
          <w:szCs w:val="19"/>
          <w:color w:val="auto"/>
        </w:rPr>
      </w:pPr>
    </w:p>
    <w:p>
      <w:pPr>
        <w:jc w:val="both"/>
        <w:ind w:right="20" w:firstLine="656"/>
        <w:spacing w:after="0" w:line="250" w:lineRule="auto"/>
        <w:tabs>
          <w:tab w:leader="none" w:pos="1044" w:val="left"/>
        </w:tabs>
        <w:numPr>
          <w:ilvl w:val="0"/>
          <w:numId w:val="163"/>
        </w:numPr>
        <w:rPr>
          <w:rFonts w:ascii="Arial" w:cs="Arial" w:eastAsia="Arial" w:hAnsi="Arial"/>
          <w:sz w:val="20"/>
          <w:szCs w:val="20"/>
          <w:color w:val="auto"/>
        </w:rPr>
      </w:pPr>
      <w:r>
        <w:rPr>
          <w:rFonts w:ascii="Arial" w:cs="Arial" w:eastAsia="Arial" w:hAnsi="Arial"/>
          <w:sz w:val="20"/>
          <w:szCs w:val="20"/>
          <w:b w:val="1"/>
          <w:bCs w:val="1"/>
          <w:i w:val="1"/>
          <w:iCs w:val="1"/>
          <w:color w:val="auto"/>
        </w:rPr>
        <w:t>Survival</w:t>
      </w:r>
      <w:r>
        <w:rPr>
          <w:rFonts w:ascii="Arial" w:cs="Arial" w:eastAsia="Arial" w:hAnsi="Arial"/>
          <w:sz w:val="20"/>
          <w:szCs w:val="20"/>
          <w:color w:val="auto"/>
        </w:rPr>
        <w:t>. The agreements in this Section shall survive the resignation of Administrative Agent, either L/C Issuer and either Swing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Line Lender, the replacement of any Lender, the termination of the Total Commitment, and the repayment, satisfaction, or discharge of all the other Obligation.</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15.5 </w:t>
      </w:r>
      <w:r>
        <w:rPr>
          <w:rFonts w:ascii="Arial" w:cs="Arial" w:eastAsia="Arial" w:hAnsi="Arial"/>
          <w:sz w:val="20"/>
          <w:szCs w:val="20"/>
          <w:u w:val="single" w:color="auto"/>
          <w:color w:val="auto"/>
        </w:rPr>
        <w:t>Exceptions to Covenants; Conflict with Agreement</w:t>
      </w:r>
      <w:r>
        <w:rPr>
          <w:rFonts w:ascii="Arial" w:cs="Arial" w:eastAsia="Arial" w:hAnsi="Arial"/>
          <w:sz w:val="20"/>
          <w:szCs w:val="20"/>
          <w:color w:val="auto"/>
        </w:rPr>
        <w:t>. The Companies may not take or fail to take any action that is permitted as an exception to any of the covenants contained in any Loan Paper if that action or omission would result in the breach of any other covenant contained in any Loan Paper. Any conflict or ambiguity between the terms and provisions of this Agreement and the terms and provisions in any other Loan Paper is controlled by the terms and provisions of this Agreement.</w:t>
      </w:r>
    </w:p>
    <w:p>
      <w:pPr>
        <w:spacing w:after="0" w:line="19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15.6</w:t>
      </w:r>
      <w:r>
        <w:rPr>
          <w:sz w:val="20"/>
          <w:szCs w:val="20"/>
          <w:color w:val="auto"/>
        </w:rPr>
        <w:tab/>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60" w:lineRule="auto"/>
        <w:tabs>
          <w:tab w:leader="none" w:pos="1201" w:val="left"/>
        </w:tabs>
        <w:numPr>
          <w:ilvl w:val="0"/>
          <w:numId w:val="164"/>
        </w:numPr>
        <w:rPr>
          <w:rFonts w:ascii="Arial" w:cs="Arial" w:eastAsia="Arial" w:hAnsi="Arial"/>
          <w:sz w:val="19"/>
          <w:szCs w:val="19"/>
          <w:color w:val="auto"/>
        </w:rPr>
      </w:pPr>
      <w:r>
        <w:rPr>
          <w:rFonts w:ascii="Arial" w:cs="Arial" w:eastAsia="Arial" w:hAnsi="Arial"/>
          <w:sz w:val="19"/>
          <w:szCs w:val="19"/>
          <w:b w:val="1"/>
          <w:bCs w:val="1"/>
          <w:i w:val="1"/>
          <w:iCs w:val="1"/>
          <w:color w:val="auto"/>
        </w:rPr>
        <w:t>GOVERNING LAW</w:t>
      </w:r>
      <w:r>
        <w:rPr>
          <w:rFonts w:ascii="Arial" w:cs="Arial" w:eastAsia="Arial" w:hAnsi="Arial"/>
          <w:sz w:val="19"/>
          <w:szCs w:val="19"/>
          <w:color w:val="auto"/>
        </w:rPr>
        <w:t>. THIS AGREEMENT AND THE OTHER LOAN PAPERS AND ANY CLAIMS, CONTROVERSY,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DISPUTE OR CAUSE OF ACTION (WHETHER IN CONTRACT OR TORT OR OTHERWISE) BASED UPON, ARISING OUT OF OR RELATING TO THIS AGREEMENT OR ANY OTHER LOAN PAPER (EXCEPT, AS TO ANY OTHER LOAN PAPER, AS EXPRESSLY SET FORTH THEREIN) AND THE TRANSACTIONS CONTEMPLATED HEREBY AND THEREBY SHALL BE GOVERNED BY, AND CONSTRUED IN ACCORDANCE WITH, THE LAW OF THE STATE OF NEW YORK.</w:t>
      </w:r>
    </w:p>
    <w:p>
      <w:pPr>
        <w:spacing w:after="0" w:line="180" w:lineRule="exact"/>
        <w:rPr>
          <w:rFonts w:ascii="Arial" w:cs="Arial" w:eastAsia="Arial" w:hAnsi="Arial"/>
          <w:sz w:val="19"/>
          <w:szCs w:val="19"/>
          <w:color w:val="auto"/>
        </w:rPr>
      </w:pPr>
    </w:p>
    <w:p>
      <w:pPr>
        <w:jc w:val="both"/>
        <w:ind w:firstLine="656"/>
        <w:spacing w:after="0" w:line="254" w:lineRule="auto"/>
        <w:tabs>
          <w:tab w:leader="none" w:pos="1509" w:val="left"/>
        </w:tabs>
        <w:numPr>
          <w:ilvl w:val="0"/>
          <w:numId w:val="164"/>
        </w:numPr>
        <w:rPr>
          <w:rFonts w:ascii="Arial" w:cs="Arial" w:eastAsia="Arial" w:hAnsi="Arial"/>
          <w:sz w:val="19"/>
          <w:szCs w:val="19"/>
          <w:color w:val="auto"/>
        </w:rPr>
      </w:pPr>
      <w:r>
        <w:rPr>
          <w:rFonts w:ascii="Arial" w:cs="Arial" w:eastAsia="Arial" w:hAnsi="Arial"/>
          <w:sz w:val="19"/>
          <w:szCs w:val="19"/>
          <w:b w:val="1"/>
          <w:bCs w:val="1"/>
          <w:i w:val="1"/>
          <w:iCs w:val="1"/>
          <w:color w:val="auto"/>
        </w:rPr>
        <w:t>SUBMISSION TO JURISDICTION</w:t>
      </w:r>
      <w:r>
        <w:rPr>
          <w:rFonts w:ascii="Arial" w:cs="Arial" w:eastAsia="Arial" w:hAnsi="Arial"/>
          <w:sz w:val="19"/>
          <w:szCs w:val="19"/>
          <w:color w:val="auto"/>
        </w:rPr>
        <w:t>. BORROWER AND EACH OTHER COMPANY IRREVOCABLY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UNCONDITIONALLY AGREES THAT IT WILL NOT COMMENCE ANY ACTION, LITIGATION OR PROCEEDING OF ANY KIND OR DESCRIPTION, WHETHER IN LAW OR EQUITY, WHETHER IN CONTRACT OR IN TORT OR OTHERWISE, AGAINST ADMINISTRATIVE AGENT, ANY LENDER, THE L/C ISSUER, OR ANY RELATED PARTY OF THE FOREGOING IN ANY WAY RELATING TO THIS AGREEMENT OR ANY OTHER LOAN PAPER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PAPER SHALL AFFECT ANY RIGHT THAT ADMINISTRATIVE AGENT, ANY LENDER OR EITHER L/C ISSUER MAY OTHERWISE HAVE TO BRING ANY ACTION OR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114</w:t>
      </w:r>
    </w:p>
    <w:p>
      <w:pPr>
        <w:sectPr>
          <w:pgSz w:w="11900" w:h="16838" w:orient="portrait"/>
          <w:cols w:equalWidth="0" w:num="1">
            <w:col w:w="11420"/>
          </w:cols>
          <w:pgMar w:left="240" w:top="582" w:right="239" w:bottom="1440" w:gutter="0" w:footer="0" w:header="0"/>
        </w:sectPr>
      </w:pPr>
    </w:p>
    <w:bookmarkStart w:id="178" w:name="page179"/>
    <w:bookmarkEnd w:id="178"/>
    <w:p>
      <w:pPr>
        <w:spacing w:after="0" w:line="260" w:lineRule="auto"/>
        <w:rPr>
          <w:sz w:val="20"/>
          <w:szCs w:val="20"/>
          <w:color w:val="auto"/>
        </w:rPr>
      </w:pPr>
      <w:r>
        <w:rPr>
          <w:rFonts w:ascii="Arial" w:cs="Arial" w:eastAsia="Arial" w:hAnsi="Arial"/>
          <w:sz w:val="20"/>
          <w:szCs w:val="20"/>
          <w:color w:val="auto"/>
        </w:rPr>
        <w:t>PROCEEDING RELATING TO THIS AGREEMENT OR ANY OTHER LOAN PAPER AGAINST BORROWER OR ANY OTHER COMPANY OR ITS PROPERTIES IN THE COURTS OF ANY JURISDICTION.</w:t>
      </w:r>
    </w:p>
    <w:p>
      <w:pPr>
        <w:spacing w:after="0" w:line="177" w:lineRule="exact"/>
        <w:rPr>
          <w:sz w:val="20"/>
          <w:szCs w:val="20"/>
          <w:color w:val="auto"/>
        </w:rPr>
      </w:pPr>
    </w:p>
    <w:p>
      <w:pPr>
        <w:jc w:val="both"/>
        <w:ind w:firstLine="656"/>
        <w:spacing w:after="0" w:line="259" w:lineRule="auto"/>
        <w:tabs>
          <w:tab w:leader="none" w:pos="1241" w:val="left"/>
        </w:tabs>
        <w:numPr>
          <w:ilvl w:val="0"/>
          <w:numId w:val="165"/>
        </w:numPr>
        <w:rPr>
          <w:rFonts w:ascii="Arial" w:cs="Arial" w:eastAsia="Arial" w:hAnsi="Arial"/>
          <w:sz w:val="19"/>
          <w:szCs w:val="19"/>
          <w:color w:val="auto"/>
        </w:rPr>
      </w:pPr>
      <w:r>
        <w:rPr>
          <w:rFonts w:ascii="Arial" w:cs="Arial" w:eastAsia="Arial" w:hAnsi="Arial"/>
          <w:sz w:val="19"/>
          <w:szCs w:val="19"/>
          <w:b w:val="1"/>
          <w:bCs w:val="1"/>
          <w:i w:val="1"/>
          <w:iCs w:val="1"/>
          <w:color w:val="auto"/>
        </w:rPr>
        <w:t>WAIVER OF VENUE</w:t>
      </w:r>
      <w:r>
        <w:rPr>
          <w:rFonts w:ascii="Arial" w:cs="Arial" w:eastAsia="Arial" w:hAnsi="Arial"/>
          <w:sz w:val="19"/>
          <w:szCs w:val="19"/>
          <w:color w:val="auto"/>
        </w:rPr>
        <w:t>. BORROWER AND EACH OTHER COMPANY IRREVOCABLY AND UNCONDITIONALLY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WAIVES, TO THE FULLEST EXTENT PERMITTED BY APPLICABLE LAW, ANY OBJECTION THAT IT MAY NOW OR HEREAFTER HAVE TO THE LAYING OF VENUE OF ANY ACTION OR PROCEEDING ARISING OUT OF OR RELATING TO THIS AGREEMENT OR ANY OTHER LOAN PAPER IN ANY COURT REFERRED TO IN </w:t>
      </w:r>
      <w:r>
        <w:rPr>
          <w:rFonts w:ascii="Arial" w:cs="Arial" w:eastAsia="Arial" w:hAnsi="Arial"/>
          <w:sz w:val="19"/>
          <w:szCs w:val="19"/>
          <w:b w:val="1"/>
          <w:bCs w:val="1"/>
          <w:i w:val="1"/>
          <w:iCs w:val="1"/>
          <w:color w:val="auto"/>
        </w:rPr>
        <w:t>PARAGRAPH (B)</w:t>
      </w:r>
      <w:r>
        <w:rPr>
          <w:rFonts w:ascii="Arial" w:cs="Arial" w:eastAsia="Arial" w:hAnsi="Arial"/>
          <w:sz w:val="19"/>
          <w:szCs w:val="19"/>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178" w:lineRule="exact"/>
        <w:rPr>
          <w:rFonts w:ascii="Arial" w:cs="Arial" w:eastAsia="Arial" w:hAnsi="Arial"/>
          <w:sz w:val="19"/>
          <w:szCs w:val="19"/>
          <w:color w:val="auto"/>
        </w:rPr>
      </w:pPr>
    </w:p>
    <w:p>
      <w:pPr>
        <w:jc w:val="both"/>
        <w:ind w:firstLine="656"/>
        <w:spacing w:after="0" w:line="250" w:lineRule="auto"/>
        <w:tabs>
          <w:tab w:leader="none" w:pos="1198" w:val="left"/>
        </w:tabs>
        <w:numPr>
          <w:ilvl w:val="0"/>
          <w:numId w:val="165"/>
        </w:numPr>
        <w:rPr>
          <w:rFonts w:ascii="Arial" w:cs="Arial" w:eastAsia="Arial" w:hAnsi="Arial"/>
          <w:sz w:val="20"/>
          <w:szCs w:val="20"/>
          <w:color w:val="auto"/>
        </w:rPr>
      </w:pPr>
      <w:r>
        <w:rPr>
          <w:rFonts w:ascii="Arial" w:cs="Arial" w:eastAsia="Arial" w:hAnsi="Arial"/>
          <w:sz w:val="20"/>
          <w:szCs w:val="20"/>
          <w:b w:val="1"/>
          <w:bCs w:val="1"/>
          <w:i w:val="1"/>
          <w:iCs w:val="1"/>
          <w:color w:val="auto"/>
        </w:rPr>
        <w:t>SERVICE OF PROCESS</w:t>
      </w:r>
      <w:r>
        <w:rPr>
          <w:rFonts w:ascii="Arial" w:cs="Arial" w:eastAsia="Arial" w:hAnsi="Arial"/>
          <w:sz w:val="20"/>
          <w:szCs w:val="20"/>
          <w:color w:val="auto"/>
        </w:rPr>
        <w:t>. EACH PARTY HERETO IRREVOCABLY CONSENTS TO SERVICE OF PROCESS IN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MANNER PROVIDED FOR NOTICES IN </w:t>
      </w:r>
      <w:r>
        <w:rPr>
          <w:rFonts w:ascii="Arial" w:cs="Arial" w:eastAsia="Arial" w:hAnsi="Arial"/>
          <w:sz w:val="20"/>
          <w:szCs w:val="20"/>
          <w:b w:val="1"/>
          <w:bCs w:val="1"/>
          <w:i w:val="1"/>
          <w:iCs w:val="1"/>
          <w:color w:val="auto"/>
        </w:rPr>
        <w:t>SECTION 15.3</w:t>
      </w:r>
      <w:r>
        <w:rPr>
          <w:rFonts w:ascii="Arial" w:cs="Arial" w:eastAsia="Arial" w:hAnsi="Arial"/>
          <w:sz w:val="20"/>
          <w:szCs w:val="20"/>
          <w:color w:val="auto"/>
        </w:rPr>
        <w:t>. NOTHING IN THIS AGREEMENT WILL AFFECT THE RIGHT OF ANY PARTY HERETO TO SERVE PROCESS IN ANY OTHER MANNER PERMITTED BY APPLICABLE LAW.</w:t>
      </w:r>
    </w:p>
    <w:p>
      <w:pPr>
        <w:spacing w:after="0" w:line="18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15.7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the other Loan Papers is held to be illegal, invalid, or unenforceable, (a) the legality, validity, and enforceability of the remaining provisions of this Agreement and the other Loan Papers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6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15.8 </w:t>
      </w:r>
      <w:r>
        <w:rPr>
          <w:rFonts w:ascii="Arial" w:cs="Arial" w:eastAsia="Arial" w:hAnsi="Arial"/>
          <w:sz w:val="20"/>
          <w:szCs w:val="20"/>
          <w:u w:val="single" w:color="auto"/>
          <w:color w:val="auto"/>
        </w:rPr>
        <w:t>Waiver of Jury Trial</w:t>
      </w:r>
      <w:r>
        <w:rPr>
          <w:rFonts w:ascii="Arial" w:cs="Arial" w:eastAsia="Arial" w:hAnsi="Arial"/>
          <w:sz w:val="20"/>
          <w:szCs w:val="20"/>
          <w:color w:val="auto"/>
        </w:rPr>
        <w:t>. EACH PARTY HERETO HEREBY IRREVOCABLY WAIVES, TO THE FULLEST EXTENT PERMITTED BY APPLICABLE LAW, ANY RIGHT IT MAY HAVE TO A TRIAL BY JURY IN ANY LEGAL PROCEEDING DIRECTLY OR INDIRECTLY ARISING OUT OF OR RELATING TO THIS AGREEMENT OR ANY OTHER LOAN PAPER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PAPERS BY, AMONG OTHER THINGS, THE MUTUAL WAIVERS AND CERTIFICATIONS IN THIS SECTION.</w:t>
      </w:r>
    </w:p>
    <w:p>
      <w:pPr>
        <w:spacing w:after="0" w:line="19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15.9 </w:t>
      </w:r>
      <w:r>
        <w:rPr>
          <w:rFonts w:ascii="Arial" w:cs="Arial" w:eastAsia="Arial" w:hAnsi="Arial"/>
          <w:sz w:val="20"/>
          <w:szCs w:val="20"/>
          <w:u w:val="single" w:color="auto"/>
          <w:color w:val="auto"/>
        </w:rPr>
        <w:t>Amendments, Etc.</w:t>
      </w:r>
      <w:r>
        <w:rPr>
          <w:rFonts w:ascii="Arial" w:cs="Arial" w:eastAsia="Arial" w:hAnsi="Arial"/>
          <w:sz w:val="20"/>
          <w:szCs w:val="20"/>
          <w:color w:val="auto"/>
        </w:rPr>
        <w:t xml:space="preserve"> No amendment or waiver of any provision of this Agreement or any other Loan Paper, and no consent to any departure by any Restricted Company therefrom, shall be effective unless in writing signed by Required Lenders, Borrower, and other applicable Restricted Companies, as the case may be, and acknowledged by Administrative Agent, and each such waiver or consent shall be effective only in the specific instance and for the specific purpose for which given; </w:t>
      </w:r>
      <w:r>
        <w:rPr>
          <w:rFonts w:ascii="Arial" w:cs="Arial" w:eastAsia="Arial" w:hAnsi="Arial"/>
          <w:sz w:val="20"/>
          <w:szCs w:val="20"/>
          <w:i w:val="1"/>
          <w:iCs w:val="1"/>
          <w:color w:val="auto"/>
        </w:rPr>
        <w:t>provided, however</w:t>
      </w:r>
      <w:r>
        <w:rPr>
          <w:rFonts w:ascii="Arial" w:cs="Arial" w:eastAsia="Arial" w:hAnsi="Arial"/>
          <w:sz w:val="20"/>
          <w:szCs w:val="20"/>
          <w:color w:val="auto"/>
        </w:rPr>
        <w:t>, that no such amendment, waiver, or consent shall:</w:t>
      </w:r>
    </w:p>
    <w:p>
      <w:pPr>
        <w:spacing w:after="0" w:line="195" w:lineRule="exact"/>
        <w:rPr>
          <w:sz w:val="20"/>
          <w:szCs w:val="20"/>
          <w:color w:val="auto"/>
        </w:rPr>
      </w:pPr>
    </w:p>
    <w:p>
      <w:pPr>
        <w:ind w:left="5560" w:right="3380" w:hanging="4904"/>
        <w:spacing w:after="0" w:line="740" w:lineRule="auto"/>
        <w:tabs>
          <w:tab w:leader="none" w:pos="1065" w:val="left"/>
        </w:tabs>
        <w:numPr>
          <w:ilvl w:val="0"/>
          <w:numId w:val="166"/>
        </w:numPr>
        <w:rPr>
          <w:rFonts w:ascii="Arial" w:cs="Arial" w:eastAsia="Arial" w:hAnsi="Arial"/>
          <w:sz w:val="20"/>
          <w:szCs w:val="20"/>
          <w:color w:val="auto"/>
        </w:rPr>
      </w:pPr>
      <w:r>
        <w:rPr>
          <w:rFonts w:ascii="Arial" w:cs="Arial" w:eastAsia="Arial" w:hAnsi="Arial"/>
          <w:sz w:val="20"/>
          <w:szCs w:val="20"/>
          <w:color w:val="auto"/>
        </w:rPr>
        <w:t xml:space="preserve">waive any condition set forth in </w:t>
      </w:r>
      <w:r>
        <w:rPr>
          <w:rFonts w:ascii="Arial" w:cs="Arial" w:eastAsia="Arial" w:hAnsi="Arial"/>
          <w:sz w:val="20"/>
          <w:szCs w:val="20"/>
          <w:b w:val="1"/>
          <w:bCs w:val="1"/>
          <w:i w:val="1"/>
          <w:iCs w:val="1"/>
          <w:color w:val="auto"/>
        </w:rPr>
        <w:t>Section 7.1</w:t>
      </w:r>
      <w:r>
        <w:rPr>
          <w:rFonts w:ascii="Arial" w:cs="Arial" w:eastAsia="Arial" w:hAnsi="Arial"/>
          <w:sz w:val="20"/>
          <w:szCs w:val="20"/>
          <w:color w:val="auto"/>
        </w:rPr>
        <w:t xml:space="preserve"> without the written consent of each Lender; 115</w:t>
      </w:r>
    </w:p>
    <w:p>
      <w:pPr>
        <w:sectPr>
          <w:pgSz w:w="11900" w:h="16838" w:orient="portrait"/>
          <w:cols w:equalWidth="0" w:num="1">
            <w:col w:w="11420"/>
          </w:cols>
          <w:pgMar w:left="240" w:top="582" w:right="239" w:bottom="1440" w:gutter="0" w:footer="0" w:header="0"/>
        </w:sectPr>
      </w:pPr>
    </w:p>
    <w:bookmarkStart w:id="179" w:name="page180"/>
    <w:bookmarkEnd w:id="179"/>
    <w:p>
      <w:pPr>
        <w:ind w:right="20" w:firstLine="656"/>
        <w:spacing w:after="0" w:line="260" w:lineRule="auto"/>
        <w:tabs>
          <w:tab w:leader="none" w:pos="1136" w:val="left"/>
        </w:tabs>
        <w:numPr>
          <w:ilvl w:val="0"/>
          <w:numId w:val="167"/>
        </w:numPr>
        <w:rPr>
          <w:rFonts w:ascii="Arial" w:cs="Arial" w:eastAsia="Arial" w:hAnsi="Arial"/>
          <w:sz w:val="20"/>
          <w:szCs w:val="20"/>
          <w:color w:val="auto"/>
        </w:rPr>
      </w:pPr>
      <w:r>
        <w:rPr>
          <w:rFonts w:ascii="Arial" w:cs="Arial" w:eastAsia="Arial" w:hAnsi="Arial"/>
          <w:sz w:val="20"/>
          <w:szCs w:val="20"/>
          <w:color w:val="auto"/>
        </w:rPr>
        <w:t xml:space="preserve">waive any condition set forth in </w:t>
      </w:r>
      <w:r>
        <w:rPr>
          <w:rFonts w:ascii="Arial" w:cs="Arial" w:eastAsia="Arial" w:hAnsi="Arial"/>
          <w:sz w:val="20"/>
          <w:szCs w:val="20"/>
          <w:b w:val="1"/>
          <w:bCs w:val="1"/>
          <w:i w:val="1"/>
          <w:iCs w:val="1"/>
          <w:color w:val="auto"/>
        </w:rPr>
        <w:t>Section 7.2</w:t>
      </w:r>
      <w:r>
        <w:rPr>
          <w:rFonts w:ascii="Arial" w:cs="Arial" w:eastAsia="Arial" w:hAnsi="Arial"/>
          <w:sz w:val="20"/>
          <w:szCs w:val="20"/>
          <w:color w:val="auto"/>
        </w:rPr>
        <w:t xml:space="preserve"> as to any Loan under the Revolver Facility or the Term Loan Facility without the written consent of the Required Revolver Lenders or the Required Term Loan Lenders, as the case may be;</w:t>
      </w:r>
    </w:p>
    <w:p>
      <w:pPr>
        <w:spacing w:after="0" w:line="176" w:lineRule="exact"/>
        <w:rPr>
          <w:rFonts w:ascii="Arial" w:cs="Arial" w:eastAsia="Arial" w:hAnsi="Arial"/>
          <w:sz w:val="20"/>
          <w:szCs w:val="20"/>
          <w:color w:val="auto"/>
        </w:rPr>
      </w:pPr>
    </w:p>
    <w:p>
      <w:pPr>
        <w:ind w:right="20" w:firstLine="656"/>
        <w:spacing w:after="0" w:line="260" w:lineRule="auto"/>
        <w:tabs>
          <w:tab w:leader="none" w:pos="1072" w:val="left"/>
        </w:tabs>
        <w:numPr>
          <w:ilvl w:val="0"/>
          <w:numId w:val="167"/>
        </w:numPr>
        <w:rPr>
          <w:rFonts w:ascii="Arial" w:cs="Arial" w:eastAsia="Arial" w:hAnsi="Arial"/>
          <w:sz w:val="20"/>
          <w:szCs w:val="20"/>
          <w:color w:val="auto"/>
        </w:rPr>
      </w:pPr>
      <w:r>
        <w:rPr>
          <w:rFonts w:ascii="Arial" w:cs="Arial" w:eastAsia="Arial" w:hAnsi="Arial"/>
          <w:sz w:val="20"/>
          <w:szCs w:val="20"/>
          <w:color w:val="auto"/>
        </w:rPr>
        <w:t xml:space="preserve">extend or increase the Commitment of any Lender (or reinstate any Commitment terminated pursuant to </w:t>
      </w:r>
      <w:r>
        <w:rPr>
          <w:rFonts w:ascii="Arial" w:cs="Arial" w:eastAsia="Arial" w:hAnsi="Arial"/>
          <w:sz w:val="20"/>
          <w:szCs w:val="20"/>
          <w:b w:val="1"/>
          <w:bCs w:val="1"/>
          <w:i w:val="1"/>
          <w:iCs w:val="1"/>
          <w:color w:val="auto"/>
        </w:rPr>
        <w:t>Section 13.1</w:t>
      </w:r>
      <w:r>
        <w:rPr>
          <w:rFonts w:ascii="Arial" w:cs="Arial" w:eastAsia="Arial" w:hAnsi="Arial"/>
          <w:sz w:val="20"/>
          <w:szCs w:val="20"/>
          <w:color w:val="auto"/>
        </w:rPr>
        <w:t>) without the written consent of such Lender;</w:t>
      </w:r>
    </w:p>
    <w:p>
      <w:pPr>
        <w:spacing w:after="0" w:line="176" w:lineRule="exact"/>
        <w:rPr>
          <w:rFonts w:ascii="Arial" w:cs="Arial" w:eastAsia="Arial" w:hAnsi="Arial"/>
          <w:sz w:val="20"/>
          <w:szCs w:val="20"/>
          <w:color w:val="auto"/>
        </w:rPr>
      </w:pPr>
    </w:p>
    <w:p>
      <w:pPr>
        <w:ind w:firstLine="656"/>
        <w:spacing w:after="0" w:line="316" w:lineRule="auto"/>
        <w:tabs>
          <w:tab w:leader="none" w:pos="109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Paper for any payment of principal, interest, fees, or other amounts due to Lenders (or any of them) hereunder or under any other Loan Paper without the written consent of each Lender directly affected thereby;</w:t>
      </w:r>
    </w:p>
    <w:p>
      <w:pPr>
        <w:spacing w:after="0" w:line="130" w:lineRule="exact"/>
        <w:rPr>
          <w:rFonts w:ascii="Arial" w:cs="Arial" w:eastAsia="Arial" w:hAnsi="Arial"/>
          <w:sz w:val="18"/>
          <w:szCs w:val="18"/>
          <w:color w:val="auto"/>
        </w:rPr>
      </w:pPr>
    </w:p>
    <w:p>
      <w:pPr>
        <w:jc w:val="both"/>
        <w:ind w:firstLine="656"/>
        <w:spacing w:after="0" w:line="282" w:lineRule="auto"/>
        <w:tabs>
          <w:tab w:leader="none" w:pos="106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reduce the principal of, or the rate of interest specified herein on, any Loan or L/C Borrowing, or any fees (other than fees covered by the Fee Letter) or other amounts payable hereunder or under any other Loan Paper without the written consent of each Lender directly affected thereby</w:t>
      </w:r>
      <w:r>
        <w:rPr>
          <w:rFonts w:ascii="Arial" w:cs="Arial" w:eastAsia="Arial" w:hAnsi="Arial"/>
          <w:sz w:val="18"/>
          <w:szCs w:val="18"/>
          <w:i w:val="1"/>
          <w:iCs w:val="1"/>
          <w:color w:val="auto"/>
        </w:rPr>
        <w:t>; 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only the consent of Required Lenders shall be necessary to amend the definition of “</w:t>
      </w:r>
      <w:r>
        <w:rPr>
          <w:rFonts w:ascii="Arial" w:cs="Arial" w:eastAsia="Arial" w:hAnsi="Arial"/>
          <w:sz w:val="18"/>
          <w:szCs w:val="18"/>
          <w:i w:val="1"/>
          <w:iCs w:val="1"/>
          <w:color w:val="auto"/>
        </w:rPr>
        <w:t>Default Rate</w:t>
      </w:r>
      <w:r>
        <w:rPr>
          <w:rFonts w:ascii="Arial" w:cs="Arial" w:eastAsia="Arial" w:hAnsi="Arial"/>
          <w:sz w:val="18"/>
          <w:szCs w:val="18"/>
          <w:color w:val="auto"/>
        </w:rPr>
        <w:t xml:space="preserve">” or to waive any obligation of Borrower to pay interest or L/C Fees (as described in </w:t>
      </w:r>
      <w:r>
        <w:rPr>
          <w:rFonts w:ascii="Arial" w:cs="Arial" w:eastAsia="Arial" w:hAnsi="Arial"/>
          <w:sz w:val="18"/>
          <w:szCs w:val="18"/>
          <w:b w:val="1"/>
          <w:bCs w:val="1"/>
          <w:i w:val="1"/>
          <w:iCs w:val="1"/>
          <w:color w:val="auto"/>
        </w:rPr>
        <w:t>Section 5.3(a)</w:t>
      </w:r>
      <w:r>
        <w:rPr>
          <w:rFonts w:ascii="Arial" w:cs="Arial" w:eastAsia="Arial" w:hAnsi="Arial"/>
          <w:sz w:val="18"/>
          <w:szCs w:val="18"/>
          <w:color w:val="auto"/>
        </w:rPr>
        <w:t>) at the Default Rate;</w:t>
      </w:r>
    </w:p>
    <w:p>
      <w:pPr>
        <w:spacing w:after="0" w:line="161" w:lineRule="exact"/>
        <w:rPr>
          <w:rFonts w:ascii="Arial" w:cs="Arial" w:eastAsia="Arial" w:hAnsi="Arial"/>
          <w:sz w:val="18"/>
          <w:szCs w:val="18"/>
          <w:color w:val="auto"/>
        </w:rPr>
      </w:pPr>
    </w:p>
    <w:p>
      <w:pPr>
        <w:ind w:firstLine="656"/>
        <w:spacing w:after="0" w:line="260" w:lineRule="auto"/>
        <w:tabs>
          <w:tab w:leader="none" w:pos="1088" w:val="left"/>
        </w:tabs>
        <w:numPr>
          <w:ilvl w:val="0"/>
          <w:numId w:val="167"/>
        </w:numPr>
        <w:rPr>
          <w:rFonts w:ascii="Arial" w:cs="Arial" w:eastAsia="Arial" w:hAnsi="Arial"/>
          <w:sz w:val="20"/>
          <w:szCs w:val="20"/>
          <w:color w:val="auto"/>
        </w:rPr>
      </w:pPr>
      <w:r>
        <w:rPr>
          <w:rFonts w:ascii="Arial" w:cs="Arial" w:eastAsia="Arial" w:hAnsi="Arial"/>
          <w:sz w:val="20"/>
          <w:szCs w:val="20"/>
          <w:color w:val="auto"/>
        </w:rPr>
        <w:t xml:space="preserve">amend, waive, modify, supplement, or otherwise change </w:t>
      </w:r>
      <w:r>
        <w:rPr>
          <w:rFonts w:ascii="Arial" w:cs="Arial" w:eastAsia="Arial" w:hAnsi="Arial"/>
          <w:sz w:val="20"/>
          <w:szCs w:val="20"/>
          <w:b w:val="1"/>
          <w:bCs w:val="1"/>
          <w:i w:val="1"/>
          <w:iCs w:val="1"/>
          <w:color w:val="auto"/>
        </w:rPr>
        <w:t>Sections 3.10</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3.11</w:t>
      </w:r>
      <w:r>
        <w:rPr>
          <w:rFonts w:ascii="Arial" w:cs="Arial" w:eastAsia="Arial" w:hAnsi="Arial"/>
          <w:sz w:val="20"/>
          <w:szCs w:val="20"/>
          <w:color w:val="auto"/>
        </w:rPr>
        <w:t xml:space="preserve">, or </w:t>
      </w:r>
      <w:r>
        <w:rPr>
          <w:rFonts w:ascii="Arial" w:cs="Arial" w:eastAsia="Arial" w:hAnsi="Arial"/>
          <w:sz w:val="20"/>
          <w:szCs w:val="20"/>
          <w:b w:val="1"/>
          <w:bCs w:val="1"/>
          <w:i w:val="1"/>
          <w:iCs w:val="1"/>
          <w:color w:val="auto"/>
        </w:rPr>
        <w:t>3.12</w:t>
      </w:r>
      <w:r>
        <w:rPr>
          <w:rFonts w:ascii="Arial" w:cs="Arial" w:eastAsia="Arial" w:hAnsi="Arial"/>
          <w:sz w:val="20"/>
          <w:szCs w:val="20"/>
          <w:color w:val="auto"/>
        </w:rPr>
        <w:t xml:space="preserve"> in a manner that would alter the sharing of payments required thereby without the written consent of each Lender adversely affected thereby;</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077" w:val="left"/>
        </w:tabs>
        <w:numPr>
          <w:ilvl w:val="0"/>
          <w:numId w:val="167"/>
        </w:numPr>
        <w:rPr>
          <w:rFonts w:ascii="Arial" w:cs="Arial" w:eastAsia="Arial" w:hAnsi="Arial"/>
          <w:sz w:val="20"/>
          <w:szCs w:val="20"/>
          <w:color w:val="auto"/>
        </w:rPr>
      </w:pPr>
      <w:r>
        <w:rPr>
          <w:rFonts w:ascii="Arial" w:cs="Arial" w:eastAsia="Arial" w:hAnsi="Arial"/>
          <w:sz w:val="20"/>
          <w:szCs w:val="20"/>
          <w:color w:val="auto"/>
        </w:rPr>
        <w:t>change any provision of this Section, the definition of “</w:t>
      </w:r>
      <w:r>
        <w:rPr>
          <w:rFonts w:ascii="Arial" w:cs="Arial" w:eastAsia="Arial" w:hAnsi="Arial"/>
          <w:sz w:val="20"/>
          <w:szCs w:val="20"/>
          <w:i w:val="1"/>
          <w:iCs w:val="1"/>
          <w:color w:val="auto"/>
        </w:rPr>
        <w:t>Required Lenders</w:t>
      </w:r>
      <w:r>
        <w:rPr>
          <w:rFonts w:ascii="Arial" w:cs="Arial" w:eastAsia="Arial" w:hAnsi="Arial"/>
          <w:sz w:val="20"/>
          <w:szCs w:val="20"/>
          <w:color w:val="auto"/>
        </w:rPr>
        <w:t>,”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186" w:lineRule="exact"/>
        <w:rPr>
          <w:rFonts w:ascii="Arial" w:cs="Arial" w:eastAsia="Arial" w:hAnsi="Arial"/>
          <w:sz w:val="20"/>
          <w:szCs w:val="20"/>
          <w:color w:val="auto"/>
        </w:rPr>
      </w:pPr>
    </w:p>
    <w:p>
      <w:pPr>
        <w:ind w:left="1080" w:hanging="424"/>
        <w:spacing w:after="0"/>
        <w:tabs>
          <w:tab w:leader="none" w:pos="108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change the definition of “</w:t>
      </w:r>
      <w:r>
        <w:rPr>
          <w:rFonts w:ascii="Arial" w:cs="Arial" w:eastAsia="Arial" w:hAnsi="Arial"/>
          <w:sz w:val="20"/>
          <w:szCs w:val="20"/>
          <w:i w:val="1"/>
          <w:iCs w:val="1"/>
          <w:color w:val="auto"/>
        </w:rPr>
        <w:t>Required Revolver Lenders</w:t>
      </w:r>
      <w:r>
        <w:rPr>
          <w:rFonts w:ascii="Arial" w:cs="Arial" w:eastAsia="Arial" w:hAnsi="Arial"/>
          <w:sz w:val="20"/>
          <w:szCs w:val="20"/>
          <w:color w:val="auto"/>
        </w:rPr>
        <w:t>” without the written consent of each Revolver Lender;</w:t>
      </w:r>
    </w:p>
    <w:p>
      <w:pPr>
        <w:spacing w:after="0" w:line="215" w:lineRule="exact"/>
        <w:rPr>
          <w:rFonts w:ascii="Arial" w:cs="Arial" w:eastAsia="Arial" w:hAnsi="Arial"/>
          <w:sz w:val="20"/>
          <w:szCs w:val="20"/>
          <w:color w:val="auto"/>
        </w:rPr>
      </w:pPr>
    </w:p>
    <w:p>
      <w:pPr>
        <w:ind w:left="1040" w:hanging="384"/>
        <w:spacing w:after="0"/>
        <w:tabs>
          <w:tab w:leader="none" w:pos="104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change the definition of “</w:t>
      </w:r>
      <w:r>
        <w:rPr>
          <w:rFonts w:ascii="Arial" w:cs="Arial" w:eastAsia="Arial" w:hAnsi="Arial"/>
          <w:sz w:val="20"/>
          <w:szCs w:val="20"/>
          <w:i w:val="1"/>
          <w:iCs w:val="1"/>
          <w:color w:val="auto"/>
        </w:rPr>
        <w:t>Required Term Loan Lenders</w:t>
      </w:r>
      <w:r>
        <w:rPr>
          <w:rFonts w:ascii="Arial" w:cs="Arial" w:eastAsia="Arial" w:hAnsi="Arial"/>
          <w:sz w:val="20"/>
          <w:szCs w:val="20"/>
          <w:color w:val="auto"/>
        </w:rPr>
        <w:t>” without the written consent of each Term Loan Lender;</w:t>
      </w:r>
    </w:p>
    <w:p>
      <w:pPr>
        <w:spacing w:after="0" w:line="215" w:lineRule="exact"/>
        <w:rPr>
          <w:rFonts w:ascii="Arial" w:cs="Arial" w:eastAsia="Arial" w:hAnsi="Arial"/>
          <w:sz w:val="20"/>
          <w:szCs w:val="20"/>
          <w:color w:val="auto"/>
        </w:rPr>
      </w:pPr>
    </w:p>
    <w:p>
      <w:pPr>
        <w:ind w:firstLine="656"/>
        <w:spacing w:after="0" w:line="260" w:lineRule="auto"/>
        <w:tabs>
          <w:tab w:leader="none" w:pos="1051" w:val="left"/>
        </w:tabs>
        <w:numPr>
          <w:ilvl w:val="0"/>
          <w:numId w:val="167"/>
        </w:numPr>
        <w:rPr>
          <w:rFonts w:ascii="Arial" w:cs="Arial" w:eastAsia="Arial" w:hAnsi="Arial"/>
          <w:sz w:val="20"/>
          <w:szCs w:val="20"/>
          <w:color w:val="auto"/>
        </w:rPr>
      </w:pPr>
      <w:r>
        <w:rPr>
          <w:rFonts w:ascii="Arial" w:cs="Arial" w:eastAsia="Arial" w:hAnsi="Arial"/>
          <w:sz w:val="20"/>
          <w:szCs w:val="20"/>
          <w:color w:val="auto"/>
        </w:rPr>
        <w:t>waive compliance with, amend, or release (in whole or in part) the Guaranty of VRI or the Guaranties of all or substantially all of the Restricted Subsidiaries without the consent of each Lender;</w:t>
      </w:r>
    </w:p>
    <w:p>
      <w:pPr>
        <w:spacing w:after="0" w:line="176" w:lineRule="exact"/>
        <w:rPr>
          <w:rFonts w:ascii="Arial" w:cs="Arial" w:eastAsia="Arial" w:hAnsi="Arial"/>
          <w:sz w:val="20"/>
          <w:szCs w:val="20"/>
          <w:color w:val="auto"/>
        </w:rPr>
      </w:pPr>
    </w:p>
    <w:p>
      <w:pPr>
        <w:ind w:firstLine="656"/>
        <w:spacing w:after="0" w:line="260" w:lineRule="auto"/>
        <w:tabs>
          <w:tab w:leader="none" w:pos="1185" w:val="left"/>
        </w:tabs>
        <w:numPr>
          <w:ilvl w:val="0"/>
          <w:numId w:val="167"/>
        </w:numPr>
        <w:rPr>
          <w:rFonts w:ascii="Arial" w:cs="Arial" w:eastAsia="Arial" w:hAnsi="Arial"/>
          <w:sz w:val="20"/>
          <w:szCs w:val="20"/>
          <w:color w:val="auto"/>
        </w:rPr>
      </w:pPr>
      <w:r>
        <w:rPr>
          <w:rFonts w:ascii="Arial" w:cs="Arial" w:eastAsia="Arial" w:hAnsi="Arial"/>
          <w:sz w:val="20"/>
          <w:szCs w:val="20"/>
          <w:color w:val="auto"/>
        </w:rPr>
        <w:t xml:space="preserve">release all or substantially all of the Collateral without the consent of each Lender, </w:t>
      </w:r>
      <w:r>
        <w:rPr>
          <w:rFonts w:ascii="Arial" w:cs="Arial" w:eastAsia="Arial" w:hAnsi="Arial"/>
          <w:sz w:val="20"/>
          <w:szCs w:val="20"/>
          <w:i w:val="1"/>
          <w:iCs w:val="1"/>
          <w:color w:val="auto"/>
        </w:rPr>
        <w:t>except</w:t>
      </w:r>
      <w:r>
        <w:rPr>
          <w:rFonts w:ascii="Arial" w:cs="Arial" w:eastAsia="Arial" w:hAnsi="Arial"/>
          <w:sz w:val="20"/>
          <w:szCs w:val="20"/>
          <w:color w:val="auto"/>
        </w:rPr>
        <w:t xml:space="preserve"> that Administrative Agent or the applicable L/C Issuer, as applicable, may release Collateral in accordance with </w:t>
      </w:r>
      <w:r>
        <w:rPr>
          <w:rFonts w:ascii="Arial" w:cs="Arial" w:eastAsia="Arial" w:hAnsi="Arial"/>
          <w:sz w:val="20"/>
          <w:szCs w:val="20"/>
          <w:b w:val="1"/>
          <w:bCs w:val="1"/>
          <w:i w:val="1"/>
          <w:iCs w:val="1"/>
          <w:color w:val="auto"/>
        </w:rPr>
        <w:t>Section 14.9(e)</w:t>
      </w:r>
      <w:r>
        <w:rPr>
          <w:rFonts w:ascii="Arial" w:cs="Arial" w:eastAsia="Arial" w:hAnsi="Arial"/>
          <w:sz w:val="20"/>
          <w:szCs w:val="20"/>
          <w:color w:val="auto"/>
        </w:rPr>
        <w:t xml:space="preserve"> herein; or</w:t>
      </w:r>
    </w:p>
    <w:p>
      <w:pPr>
        <w:spacing w:after="0" w:line="176" w:lineRule="exact"/>
        <w:rPr>
          <w:rFonts w:ascii="Arial" w:cs="Arial" w:eastAsia="Arial" w:hAnsi="Arial"/>
          <w:sz w:val="20"/>
          <w:szCs w:val="20"/>
          <w:color w:val="auto"/>
        </w:rPr>
      </w:pPr>
    </w:p>
    <w:p>
      <w:pPr>
        <w:ind w:left="1040" w:hanging="384"/>
        <w:spacing w:after="0"/>
        <w:tabs>
          <w:tab w:leader="none" w:pos="104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amend the definition of “</w:t>
      </w:r>
      <w:r>
        <w:rPr>
          <w:rFonts w:ascii="Arial" w:cs="Arial" w:eastAsia="Arial" w:hAnsi="Arial"/>
          <w:sz w:val="20"/>
          <w:szCs w:val="20"/>
          <w:i w:val="1"/>
          <w:iCs w:val="1"/>
          <w:color w:val="auto"/>
        </w:rPr>
        <w:t>Alternative Currency</w:t>
      </w:r>
      <w:r>
        <w:rPr>
          <w:rFonts w:ascii="Arial" w:cs="Arial" w:eastAsia="Arial" w:hAnsi="Arial"/>
          <w:sz w:val="20"/>
          <w:szCs w:val="20"/>
          <w:color w:val="auto"/>
        </w:rPr>
        <w:t>” without the written consent of each L/C Issuer directly affected thereby;</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and, </w:t>
      </w:r>
      <w:r>
        <w:rPr>
          <w:rFonts w:ascii="Arial" w:cs="Arial" w:eastAsia="Arial" w:hAnsi="Arial"/>
          <w:sz w:val="20"/>
          <w:szCs w:val="20"/>
          <w:i w:val="1"/>
          <w:iCs w:val="1"/>
          <w:color w:val="auto"/>
        </w:rPr>
        <w:t>provided further</w:t>
      </w:r>
      <w:r>
        <w:rPr>
          <w:rFonts w:ascii="Arial" w:cs="Arial" w:eastAsia="Arial" w:hAnsi="Arial"/>
          <w:sz w:val="20"/>
          <w:szCs w:val="20"/>
          <w:color w:val="auto"/>
        </w:rPr>
        <w:t>, that (i) no amendment, waiver, or consent shall affect the Rights or duties of an L/C Issuer under this Agreement or any L/C Agreement relating to any L/C issued or to be issued by it unless signed by the L/C Issuer issuing such L/C in addition to Lender required above; (ii) no amendment, waiver, or consent shall, unless in writing and signed by the applicable Swing Line Lender in addition to Lenders required above, affect the rights or duties of such Swing Line Lender under this Agreement; (iii) no amendment, waiver, or consent shall, unless in writing and signed by Administrative Agent in addition to Lenders required above, affect the rights or duties of Administrative Agent under this Agreement or any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116</w:t>
      </w:r>
    </w:p>
    <w:p>
      <w:pPr>
        <w:sectPr>
          <w:pgSz w:w="11900" w:h="16838" w:orient="portrait"/>
          <w:cols w:equalWidth="0" w:num="1">
            <w:col w:w="11420"/>
          </w:cols>
          <w:pgMar w:left="240" w:top="582" w:right="239" w:bottom="1440" w:gutter="0" w:footer="0" w:header="0"/>
        </w:sectPr>
      </w:pPr>
    </w:p>
    <w:bookmarkStart w:id="180" w:name="page181"/>
    <w:bookmarkEnd w:id="180"/>
    <w:p>
      <w:pPr>
        <w:jc w:val="both"/>
        <w:spacing w:after="0" w:line="258" w:lineRule="auto"/>
        <w:rPr>
          <w:sz w:val="20"/>
          <w:szCs w:val="20"/>
          <w:color w:val="auto"/>
        </w:rPr>
      </w:pPr>
      <w:r>
        <w:rPr>
          <w:rFonts w:ascii="Arial" w:cs="Arial" w:eastAsia="Arial" w:hAnsi="Arial"/>
          <w:sz w:val="19"/>
          <w:szCs w:val="19"/>
          <w:color w:val="auto"/>
        </w:rPr>
        <w:t>other Loan Paper; and (iv) the Fee Letter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such Defaulting Lender may not be increased or extended without the consent of such Defaulting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Notwithstanding any provision herein to the contrary, this Agreement may be amended with the written consent of Administrative Agent, Borrower, Guarantors and lenders providing the Incremental Term Loan Facility (i) to add one or more Incremental Term Loan Facilities to this Agreement (subject to the limitations in </w:t>
      </w:r>
      <w:r>
        <w:rPr>
          <w:rFonts w:ascii="Arial" w:cs="Arial" w:eastAsia="Arial" w:hAnsi="Arial"/>
          <w:sz w:val="18"/>
          <w:szCs w:val="18"/>
          <w:b w:val="1"/>
          <w:bCs w:val="1"/>
          <w:i w:val="1"/>
          <w:iCs w:val="1"/>
          <w:color w:val="auto"/>
        </w:rPr>
        <w:t>Section 2.5</w:t>
      </w:r>
      <w:r>
        <w:rPr>
          <w:rFonts w:ascii="Arial" w:cs="Arial" w:eastAsia="Arial" w:hAnsi="Arial"/>
          <w:sz w:val="18"/>
          <w:szCs w:val="18"/>
          <w:color w:val="auto"/>
        </w:rPr>
        <w:t xml:space="preserve">), and to permit the extensions of credit and all related obligations and liabilities arising in connection therewith from time to time outstanding to share ratably (or on a basis subordinated to the existing facilities hereunder) in the benefits of this Agreement and the other Loan Papers with the obligations and liabilities from time to time outstanding in respect of the existing facilities hereunder, and (ii) in connection with the foregoing, to permit, as deemed appropriate by Administrative Agent, lenders providing the Incremental Term Loan Facility to participate in any required vote or action required to be approved by Required Lenders or by any other number, percentage, or class of Lenders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any amendment pursuant to </w:t>
      </w:r>
      <w:r>
        <w:rPr>
          <w:rFonts w:ascii="Arial" w:cs="Arial" w:eastAsia="Arial" w:hAnsi="Arial"/>
          <w:sz w:val="18"/>
          <w:szCs w:val="18"/>
          <w:b w:val="1"/>
          <w:bCs w:val="1"/>
          <w:i w:val="1"/>
          <w:iCs w:val="1"/>
          <w:color w:val="auto"/>
        </w:rPr>
        <w:t>clause (ii)</w:t>
      </w:r>
      <w:r>
        <w:rPr>
          <w:rFonts w:ascii="Arial" w:cs="Arial" w:eastAsia="Arial" w:hAnsi="Arial"/>
          <w:sz w:val="18"/>
          <w:szCs w:val="18"/>
          <w:color w:val="auto"/>
        </w:rPr>
        <w:t xml:space="preserve"> shall be consistent with the terms of this Agreement in effect on the Closing Date or otherwise approved by Required Lenders.</w:t>
      </w:r>
    </w:p>
    <w:p>
      <w:pPr>
        <w:spacing w:after="0" w:line="17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15.10 </w:t>
      </w:r>
      <w:r>
        <w:rPr>
          <w:rFonts w:ascii="Arial" w:cs="Arial" w:eastAsia="Arial" w:hAnsi="Arial"/>
          <w:sz w:val="20"/>
          <w:szCs w:val="20"/>
          <w:u w:val="single" w:color="auto"/>
          <w:color w:val="auto"/>
        </w:rPr>
        <w:t>Counterparts; Integration; Effectiveness</w:t>
      </w:r>
      <w:r>
        <w:rPr>
          <w:rFonts w:ascii="Arial" w:cs="Arial" w:eastAsia="Arial" w:hAnsi="Arial"/>
          <w:sz w:val="20"/>
          <w:szCs w:val="20"/>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Papers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20"/>
          <w:szCs w:val="20"/>
          <w:b w:val="1"/>
          <w:bCs w:val="1"/>
          <w:i w:val="1"/>
          <w:iCs w:val="1"/>
          <w:color w:val="auto"/>
        </w:rPr>
        <w:t>Section 7.1</w:t>
      </w:r>
      <w:r>
        <w:rPr>
          <w:rFonts w:ascii="Arial" w:cs="Arial" w:eastAsia="Arial" w:hAnsi="Arial"/>
          <w:sz w:val="20"/>
          <w:szCs w:val="20"/>
          <w:color w:val="auto"/>
        </w:rPr>
        <w:t>, this Agreement shall become effective when it shall have been executed by Administrative Agent and when Administrative Agent shall have received counterparts hereof that, when taken together, bear the signatures of each of the other parties hereto. Delivery of an executed counterpart of a signature page of this Agreement by telecopy shall be effective as delivery of a manually executed counterpart of this Agreement.</w:t>
      </w:r>
    </w:p>
    <w:p>
      <w:pPr>
        <w:spacing w:after="0" w:line="19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15.11</w:t>
      </w:r>
      <w:r>
        <w:rPr>
          <w:sz w:val="20"/>
          <w:szCs w:val="20"/>
          <w:color w:val="auto"/>
        </w:rPr>
        <w:tab/>
      </w:r>
      <w:r>
        <w:rPr>
          <w:rFonts w:ascii="Arial" w:cs="Arial" w:eastAsia="Arial" w:hAnsi="Arial"/>
          <w:sz w:val="16"/>
          <w:szCs w:val="16"/>
          <w:u w:val="single" w:color="auto"/>
          <w:color w:val="auto"/>
        </w:rPr>
        <w:t>Successors and Assigns; Participation</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56" w:lineRule="auto"/>
        <w:tabs>
          <w:tab w:leader="none" w:pos="1079" w:val="left"/>
        </w:tabs>
        <w:numPr>
          <w:ilvl w:val="0"/>
          <w:numId w:val="16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Successors and Assigns Generally. </w:t>
      </w:r>
      <w:r>
        <w:rPr>
          <w:rFonts w:ascii="Arial" w:cs="Arial" w:eastAsia="Arial" w:hAnsi="Arial"/>
          <w:sz w:val="19"/>
          <w:szCs w:val="19"/>
          <w:color w:val="auto"/>
        </w:rPr>
        <w:t>The provisions of this Agreement shall be binding upon and inure to the benefit of the parties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hereto and their respective successors and assigns permitted hereby, except that Borrower may not assign or otherwise transfer any of its rights or obligations hereunder without the prior written consent of Administrative Agent and each Lender and no Lender may assign or otherwise transfer any of its rights or obligations hereunder except (i) to an Eligible Assignee in accordance with the provisions of </w:t>
      </w:r>
      <w:r>
        <w:rPr>
          <w:rFonts w:ascii="Arial" w:cs="Arial" w:eastAsia="Arial" w:hAnsi="Arial"/>
          <w:sz w:val="19"/>
          <w:szCs w:val="19"/>
          <w:b w:val="1"/>
          <w:bCs w:val="1"/>
          <w:i w:val="1"/>
          <w:iCs w:val="1"/>
          <w:color w:val="auto"/>
        </w:rPr>
        <w:t>subsection (b)</w:t>
      </w:r>
      <w:r>
        <w:rPr>
          <w:rFonts w:ascii="Arial" w:cs="Arial" w:eastAsia="Arial" w:hAnsi="Arial"/>
          <w:sz w:val="19"/>
          <w:szCs w:val="19"/>
          <w:color w:val="auto"/>
        </w:rPr>
        <w:t xml:space="preserve"> of this Section, (ii) by way of participation in accordance with the provisions of </w:t>
      </w:r>
      <w:r>
        <w:rPr>
          <w:rFonts w:ascii="Arial" w:cs="Arial" w:eastAsia="Arial" w:hAnsi="Arial"/>
          <w:sz w:val="19"/>
          <w:szCs w:val="19"/>
          <w:b w:val="1"/>
          <w:bCs w:val="1"/>
          <w:i w:val="1"/>
          <w:iCs w:val="1"/>
          <w:color w:val="auto"/>
        </w:rPr>
        <w:t>subsection (d)</w:t>
      </w:r>
      <w:r>
        <w:rPr>
          <w:rFonts w:ascii="Arial" w:cs="Arial" w:eastAsia="Arial" w:hAnsi="Arial"/>
          <w:sz w:val="19"/>
          <w:szCs w:val="19"/>
          <w:color w:val="auto"/>
        </w:rPr>
        <w:t xml:space="preserve"> of this Section, or (iii) by way of pledge or assignment of a security interest subject to the restrictions of </w:t>
      </w:r>
      <w:r>
        <w:rPr>
          <w:rFonts w:ascii="Arial" w:cs="Arial" w:eastAsia="Arial" w:hAnsi="Arial"/>
          <w:sz w:val="19"/>
          <w:szCs w:val="19"/>
          <w:b w:val="1"/>
          <w:bCs w:val="1"/>
          <w:i w:val="1"/>
          <w:iCs w:val="1"/>
          <w:color w:val="auto"/>
        </w:rPr>
        <w:t>subsection (h)</w:t>
      </w:r>
      <w:r>
        <w:rPr>
          <w:rFonts w:ascii="Arial" w:cs="Arial" w:eastAsia="Arial" w:hAnsi="Arial"/>
          <w:sz w:val="19"/>
          <w:szCs w:val="19"/>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9"/>
          <w:szCs w:val="19"/>
          <w:b w:val="1"/>
          <w:bCs w:val="1"/>
          <w:i w:val="1"/>
          <w:iCs w:val="1"/>
          <w:color w:val="auto"/>
        </w:rPr>
        <w:t>subsection (d)</w:t>
      </w:r>
      <w:r>
        <w:rPr>
          <w:rFonts w:ascii="Arial" w:cs="Arial" w:eastAsia="Arial" w:hAnsi="Arial"/>
          <w:sz w:val="19"/>
          <w:szCs w:val="19"/>
          <w:color w:val="auto"/>
        </w:rPr>
        <w:t xml:space="preserve"> of this Section and, to the extent expressly contemplated hereby, the Indemnitees) any legal or equitable right, remedy or claim under or by reason of this Agreement.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117</w:t>
      </w:r>
    </w:p>
    <w:p>
      <w:pPr>
        <w:sectPr>
          <w:pgSz w:w="11900" w:h="16838" w:orient="portrait"/>
          <w:cols w:equalWidth="0" w:num="1">
            <w:col w:w="11420"/>
          </w:cols>
          <w:pgMar w:left="240" w:top="582" w:right="239" w:bottom="1440" w:gutter="0" w:footer="0" w:header="0"/>
        </w:sectPr>
      </w:pPr>
    </w:p>
    <w:bookmarkStart w:id="181" w:name="page182"/>
    <w:bookmarkEnd w:id="181"/>
    <w:p>
      <w:pPr>
        <w:jc w:val="both"/>
        <w:ind w:firstLine="656"/>
        <w:spacing w:after="0" w:line="246" w:lineRule="auto"/>
        <w:tabs>
          <w:tab w:leader="none" w:pos="1104" w:val="left"/>
        </w:tabs>
        <w:numPr>
          <w:ilvl w:val="0"/>
          <w:numId w:val="169"/>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Assignments by Lenders. </w:t>
      </w:r>
      <w:r>
        <w:rPr>
          <w:rFonts w:ascii="Arial" w:cs="Arial" w:eastAsia="Arial" w:hAnsi="Arial"/>
          <w:sz w:val="20"/>
          <w:szCs w:val="20"/>
          <w:color w:val="auto"/>
        </w:rPr>
        <w:t>Any Lender may at any time assign to one or more Eligible Assignees all or a portion of its rights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obligations under this Agreement (including all or a portion of its Commitment and the Loans (including for purposes of this </w:t>
      </w:r>
      <w:r>
        <w:rPr>
          <w:rFonts w:ascii="Arial" w:cs="Arial" w:eastAsia="Arial" w:hAnsi="Arial"/>
          <w:sz w:val="20"/>
          <w:szCs w:val="20"/>
          <w:b w:val="1"/>
          <w:bCs w:val="1"/>
          <w:i w:val="1"/>
          <w:iCs w:val="1"/>
          <w:color w:val="auto"/>
        </w:rPr>
        <w:t>subsection (b)</w:t>
      </w:r>
      <w:r>
        <w:rPr>
          <w:rFonts w:ascii="Arial" w:cs="Arial" w:eastAsia="Arial" w:hAnsi="Arial"/>
          <w:sz w:val="20"/>
          <w:szCs w:val="20"/>
          <w:color w:val="auto"/>
        </w:rPr>
        <w:t xml:space="preserve">, participations in L/C Exposure and in Swing Line Loans) at the time owing to it);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any such assignment shall be subject to the following conditions:</w:t>
      </w:r>
    </w:p>
    <w:p>
      <w:pPr>
        <w:spacing w:after="0" w:line="191" w:lineRule="exact"/>
        <w:rPr>
          <w:rFonts w:ascii="Arial" w:cs="Arial" w:eastAsia="Arial" w:hAnsi="Arial"/>
          <w:sz w:val="20"/>
          <w:szCs w:val="20"/>
          <w:color w:val="auto"/>
        </w:rPr>
      </w:pPr>
    </w:p>
    <w:p>
      <w:pPr>
        <w:ind w:left="1680" w:hanging="375"/>
        <w:spacing w:after="0"/>
        <w:tabs>
          <w:tab w:leader="none" w:pos="1680" w:val="left"/>
        </w:tabs>
        <w:numPr>
          <w:ilvl w:val="1"/>
          <w:numId w:val="169"/>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3"/>
        <w:spacing w:after="0" w:line="250" w:lineRule="auto"/>
        <w:tabs>
          <w:tab w:leader="none" w:pos="2497" w:val="left"/>
        </w:tabs>
        <w:numPr>
          <w:ilvl w:val="2"/>
          <w:numId w:val="169"/>
        </w:numPr>
        <w:rPr>
          <w:rFonts w:ascii="Arial" w:cs="Arial" w:eastAsia="Arial" w:hAnsi="Arial"/>
          <w:sz w:val="20"/>
          <w:szCs w:val="20"/>
          <w:color w:val="auto"/>
        </w:rPr>
      </w:pPr>
      <w:r>
        <w:rPr>
          <w:rFonts w:ascii="Arial" w:cs="Arial" w:eastAsia="Arial" w:hAnsi="Arial"/>
          <w:sz w:val="20"/>
          <w:szCs w:val="20"/>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186" w:lineRule="exact"/>
        <w:rPr>
          <w:rFonts w:ascii="Arial" w:cs="Arial" w:eastAsia="Arial" w:hAnsi="Arial"/>
          <w:sz w:val="20"/>
          <w:szCs w:val="20"/>
          <w:color w:val="auto"/>
        </w:rPr>
      </w:pPr>
    </w:p>
    <w:p>
      <w:pPr>
        <w:jc w:val="both"/>
        <w:ind w:left="1300" w:firstLine="653"/>
        <w:spacing w:after="0" w:line="256" w:lineRule="auto"/>
        <w:tabs>
          <w:tab w:leader="none" w:pos="2500" w:val="left"/>
        </w:tabs>
        <w:numPr>
          <w:ilvl w:val="2"/>
          <w:numId w:val="169"/>
        </w:numPr>
        <w:rPr>
          <w:rFonts w:ascii="Arial" w:cs="Arial" w:eastAsia="Arial" w:hAnsi="Arial"/>
          <w:sz w:val="19"/>
          <w:szCs w:val="19"/>
          <w:color w:val="auto"/>
        </w:rPr>
      </w:pPr>
      <w:r>
        <w:rPr>
          <w:rFonts w:ascii="Arial" w:cs="Arial" w:eastAsia="Arial" w:hAnsi="Arial"/>
          <w:sz w:val="19"/>
          <w:szCs w:val="19"/>
          <w:color w:val="auto"/>
        </w:rPr>
        <w:t xml:space="preserve">in any case not described in </w:t>
      </w:r>
      <w:r>
        <w:rPr>
          <w:rFonts w:ascii="Arial" w:cs="Arial" w:eastAsia="Arial" w:hAnsi="Arial"/>
          <w:sz w:val="19"/>
          <w:szCs w:val="19"/>
          <w:b w:val="1"/>
          <w:bCs w:val="1"/>
          <w:i w:val="1"/>
          <w:iCs w:val="1"/>
          <w:color w:val="auto"/>
        </w:rPr>
        <w:t>subsection (b)(i)(A)</w:t>
      </w:r>
      <w:r>
        <w:rPr>
          <w:rFonts w:ascii="Arial" w:cs="Arial" w:eastAsia="Arial" w:hAnsi="Arial"/>
          <w:sz w:val="19"/>
          <w:szCs w:val="19"/>
          <w:color w:val="auto"/>
        </w:rPr>
        <w:t xml:space="preserve">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Administrative Agent or, if “</w:t>
      </w:r>
      <w:r>
        <w:rPr>
          <w:rFonts w:ascii="Arial" w:cs="Arial" w:eastAsia="Arial" w:hAnsi="Arial"/>
          <w:sz w:val="19"/>
          <w:szCs w:val="19"/>
          <w:i w:val="1"/>
          <w:iCs w:val="1"/>
          <w:color w:val="auto"/>
        </w:rPr>
        <w:t>Trade Date</w:t>
      </w:r>
      <w:r>
        <w:rPr>
          <w:rFonts w:ascii="Arial" w:cs="Arial" w:eastAsia="Arial" w:hAnsi="Arial"/>
          <w:sz w:val="19"/>
          <w:szCs w:val="19"/>
          <w:color w:val="auto"/>
        </w:rPr>
        <w:t>” is specified in the Assignment and Assumption, as of the Trade Date, shall not be less than $5,000,000 unless Administrative Agent and, so long as no Default has occurred and is continuing, Borrower otherwise consents (each such consent not to be unreasonably withheld or delayed); provided, however,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81" w:lineRule="exact"/>
        <w:rPr>
          <w:rFonts w:ascii="Arial" w:cs="Arial" w:eastAsia="Arial" w:hAnsi="Arial"/>
          <w:sz w:val="19"/>
          <w:szCs w:val="19"/>
          <w:color w:val="auto"/>
        </w:rPr>
      </w:pPr>
    </w:p>
    <w:p>
      <w:pPr>
        <w:jc w:val="both"/>
        <w:ind w:left="660" w:firstLine="645"/>
        <w:spacing w:after="0" w:line="291" w:lineRule="auto"/>
        <w:tabs>
          <w:tab w:leader="none" w:pos="1865" w:val="left"/>
        </w:tabs>
        <w:numPr>
          <w:ilvl w:val="1"/>
          <w:numId w:val="169"/>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xml:space="preserve">. Each partial assignment shall be made as an assignment of a proportionate part of all the assigning Lender’s rights and obligations under this Agreement with respect to the Loans or the Commitment assigned, except that this </w:t>
      </w:r>
      <w:r>
        <w:rPr>
          <w:rFonts w:ascii="Arial" w:cs="Arial" w:eastAsia="Arial" w:hAnsi="Arial"/>
          <w:sz w:val="18"/>
          <w:szCs w:val="18"/>
          <w:b w:val="1"/>
          <w:bCs w:val="1"/>
          <w:i w:val="1"/>
          <w:iCs w:val="1"/>
          <w:color w:val="auto"/>
        </w:rPr>
        <w:t xml:space="preserve">clause (ii) </w:t>
      </w:r>
      <w:r>
        <w:rPr>
          <w:rFonts w:ascii="Arial" w:cs="Arial" w:eastAsia="Arial" w:hAnsi="Arial"/>
          <w:sz w:val="18"/>
          <w:szCs w:val="18"/>
          <w:color w:val="auto"/>
        </w:rPr>
        <w:t>shall not apply to rights in respect of the Swing Line Lender’s rights and obligations in respect of Swing Line Loans;</w:t>
      </w:r>
    </w:p>
    <w:p>
      <w:pPr>
        <w:spacing w:after="0" w:line="151" w:lineRule="exact"/>
        <w:rPr>
          <w:rFonts w:ascii="Arial" w:cs="Arial" w:eastAsia="Arial" w:hAnsi="Arial"/>
          <w:sz w:val="18"/>
          <w:szCs w:val="18"/>
          <w:color w:val="auto"/>
        </w:rPr>
      </w:pPr>
    </w:p>
    <w:p>
      <w:pPr>
        <w:ind w:left="660" w:firstLine="645"/>
        <w:spacing w:after="0" w:line="260" w:lineRule="auto"/>
        <w:tabs>
          <w:tab w:leader="none" w:pos="1785" w:val="left"/>
        </w:tabs>
        <w:numPr>
          <w:ilvl w:val="1"/>
          <w:numId w:val="169"/>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xml:space="preserve">. No consent shall be required for any assignment except to the extent required by </w:t>
      </w:r>
      <w:r>
        <w:rPr>
          <w:rFonts w:ascii="Arial" w:cs="Arial" w:eastAsia="Arial" w:hAnsi="Arial"/>
          <w:sz w:val="20"/>
          <w:szCs w:val="20"/>
          <w:b w:val="1"/>
          <w:bCs w:val="1"/>
          <w:i w:val="1"/>
          <w:iCs w:val="1"/>
          <w:color w:val="auto"/>
        </w:rPr>
        <w:t>subsection (b)(i)(B)</w:t>
      </w:r>
      <w:r>
        <w:rPr>
          <w:rFonts w:ascii="Arial" w:cs="Arial" w:eastAsia="Arial" w:hAnsi="Arial"/>
          <w:sz w:val="20"/>
          <w:szCs w:val="20"/>
          <w:color w:val="auto"/>
        </w:rPr>
        <w:t xml:space="preserve"> of this Section and, in addition:</w:t>
      </w:r>
    </w:p>
    <w:p>
      <w:pPr>
        <w:spacing w:after="0" w:line="176" w:lineRule="exact"/>
        <w:rPr>
          <w:rFonts w:ascii="Arial" w:cs="Arial" w:eastAsia="Arial" w:hAnsi="Arial"/>
          <w:sz w:val="20"/>
          <w:szCs w:val="20"/>
          <w:color w:val="auto"/>
        </w:rPr>
      </w:pPr>
    </w:p>
    <w:p>
      <w:pPr>
        <w:jc w:val="both"/>
        <w:ind w:left="1300" w:firstLine="653"/>
        <w:spacing w:after="0" w:line="244" w:lineRule="auto"/>
        <w:tabs>
          <w:tab w:leader="none" w:pos="2403" w:val="left"/>
        </w:tabs>
        <w:numPr>
          <w:ilvl w:val="2"/>
          <w:numId w:val="169"/>
        </w:numPr>
        <w:rPr>
          <w:rFonts w:ascii="Arial" w:cs="Arial" w:eastAsia="Arial" w:hAnsi="Arial"/>
          <w:sz w:val="20"/>
          <w:szCs w:val="20"/>
          <w:color w:val="auto"/>
        </w:rPr>
      </w:pPr>
      <w:r>
        <w:rPr>
          <w:rFonts w:ascii="Arial" w:cs="Arial" w:eastAsia="Arial" w:hAnsi="Arial"/>
          <w:sz w:val="20"/>
          <w:szCs w:val="20"/>
          <w:color w:val="auto"/>
        </w:rPr>
        <w:t xml:space="preserve">the consent of Borrower (such consent not to be unreasonably withheld) shall be required unless (1) a Default has occurred and is continuing at the time of such assignment or (2) such assignment is to a Lender, an Affiliate of a Lender or an Approved Fund;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Borrower shall be deemed to have consented to any assignment under the Term Loan Facility or the Incremental Term Loan Facility unless it shall object thereto by written notice to Administrative Agent within ten (10) Business Days after having received written notice thereof;</w:t>
      </w:r>
    </w:p>
    <w:p>
      <w:pPr>
        <w:spacing w:after="0" w:line="194" w:lineRule="exact"/>
        <w:rPr>
          <w:rFonts w:ascii="Arial" w:cs="Arial" w:eastAsia="Arial" w:hAnsi="Arial"/>
          <w:sz w:val="20"/>
          <w:szCs w:val="20"/>
          <w:color w:val="auto"/>
        </w:rPr>
      </w:pPr>
    </w:p>
    <w:p>
      <w:pPr>
        <w:jc w:val="both"/>
        <w:ind w:left="1300" w:right="20" w:firstLine="653"/>
        <w:spacing w:after="0" w:line="250" w:lineRule="auto"/>
        <w:tabs>
          <w:tab w:leader="none" w:pos="2405" w:val="left"/>
        </w:tabs>
        <w:numPr>
          <w:ilvl w:val="2"/>
          <w:numId w:val="169"/>
        </w:numPr>
        <w:rPr>
          <w:rFonts w:ascii="Arial" w:cs="Arial" w:eastAsia="Arial" w:hAnsi="Arial"/>
          <w:sz w:val="20"/>
          <w:szCs w:val="20"/>
          <w:color w:val="auto"/>
        </w:rPr>
      </w:pPr>
      <w:r>
        <w:rPr>
          <w:rFonts w:ascii="Arial" w:cs="Arial" w:eastAsia="Arial" w:hAnsi="Arial"/>
          <w:sz w:val="20"/>
          <w:szCs w:val="20"/>
          <w:color w:val="auto"/>
        </w:rPr>
        <w:t>the consent of Administrative Agent (such consent not to be unreasonably withheld or delayed) shall be required if such assignment is to a Person that is not a Lender, an Affiliate of such Lender or an Approved Fund with respect to such Lender; and</w:t>
      </w:r>
    </w:p>
    <w:p>
      <w:pPr>
        <w:spacing w:after="0" w:line="186" w:lineRule="exact"/>
        <w:rPr>
          <w:rFonts w:ascii="Arial" w:cs="Arial" w:eastAsia="Arial" w:hAnsi="Arial"/>
          <w:sz w:val="20"/>
          <w:szCs w:val="20"/>
          <w:color w:val="auto"/>
        </w:rPr>
      </w:pPr>
    </w:p>
    <w:p>
      <w:pPr>
        <w:ind w:left="1300" w:firstLine="653"/>
        <w:spacing w:after="0" w:line="316" w:lineRule="auto"/>
        <w:tabs>
          <w:tab w:leader="none" w:pos="2446" w:val="left"/>
        </w:tabs>
        <w:numPr>
          <w:ilvl w:val="2"/>
          <w:numId w:val="169"/>
        </w:numPr>
        <w:rPr>
          <w:rFonts w:ascii="Arial" w:cs="Arial" w:eastAsia="Arial" w:hAnsi="Arial"/>
          <w:sz w:val="18"/>
          <w:szCs w:val="18"/>
          <w:color w:val="auto"/>
        </w:rPr>
      </w:pPr>
      <w:r>
        <w:rPr>
          <w:rFonts w:ascii="Arial" w:cs="Arial" w:eastAsia="Arial" w:hAnsi="Arial"/>
          <w:sz w:val="18"/>
          <w:szCs w:val="18"/>
          <w:color w:val="auto"/>
        </w:rPr>
        <w:t>the consent of each L/C Issuer and each Swing Line Lender (such consent not to be unreasonably withheld or delayed) shall be required only for assignments of Commitments in respect of Revolver Loans and L/C Exposure.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118</w:t>
      </w:r>
    </w:p>
    <w:p>
      <w:pPr>
        <w:sectPr>
          <w:pgSz w:w="11900" w:h="16838" w:orient="portrait"/>
          <w:cols w:equalWidth="0" w:num="1">
            <w:col w:w="11420"/>
          </w:cols>
          <w:pgMar w:left="240" w:top="582" w:right="239" w:bottom="1440" w:gutter="0" w:footer="0" w:header="0"/>
        </w:sectPr>
      </w:pPr>
    </w:p>
    <w:bookmarkStart w:id="182" w:name="page183"/>
    <w:bookmarkEnd w:id="182"/>
    <w:p>
      <w:pPr>
        <w:jc w:val="both"/>
        <w:ind w:left="660" w:firstLine="645"/>
        <w:spacing w:after="0" w:line="263" w:lineRule="auto"/>
        <w:tabs>
          <w:tab w:leader="none" w:pos="1896" w:val="left"/>
        </w:tabs>
        <w:numPr>
          <w:ilvl w:val="0"/>
          <w:numId w:val="170"/>
        </w:numPr>
        <w:rPr>
          <w:rFonts w:ascii="Arial" w:cs="Arial" w:eastAsia="Arial" w:hAnsi="Arial"/>
          <w:sz w:val="19"/>
          <w:szCs w:val="19"/>
          <w:color w:val="auto"/>
        </w:rPr>
      </w:pP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xml:space="preserve">. The parties to each assignment shall execute and deliver to Administrative Agent an Assignment and Assumption, together with a processing and recordation fee in the amount of $3,500;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Administrative Agent may, in its sole discretion, elect to waive such processing and recordation fee in the case of any assignment. The assignee, if it is not a Lender, shall deliver to Administrative Agent an Administrative Questionnaire.</w:t>
      </w:r>
    </w:p>
    <w:p>
      <w:pPr>
        <w:spacing w:after="0" w:line="176" w:lineRule="exact"/>
        <w:rPr>
          <w:rFonts w:ascii="Arial" w:cs="Arial" w:eastAsia="Arial" w:hAnsi="Arial"/>
          <w:sz w:val="19"/>
          <w:szCs w:val="19"/>
          <w:color w:val="auto"/>
        </w:rPr>
      </w:pPr>
    </w:p>
    <w:p>
      <w:pPr>
        <w:jc w:val="both"/>
        <w:ind w:left="660" w:firstLine="645"/>
        <w:spacing w:after="0" w:line="250" w:lineRule="auto"/>
        <w:tabs>
          <w:tab w:leader="none" w:pos="1732"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No Assignment to Certain Persons</w:t>
      </w:r>
      <w:r>
        <w:rPr>
          <w:rFonts w:ascii="Arial" w:cs="Arial" w:eastAsia="Arial" w:hAnsi="Arial"/>
          <w:sz w:val="20"/>
          <w:szCs w:val="20"/>
          <w:color w:val="auto"/>
        </w:rPr>
        <w:t xml:space="preserve">. No such assignment shall be made (A) to Borrower or any of Borrower’s Affiliates or Subsidiaries, or (B) to any Defaulting Lender or any of its Subsidiaries, or any Person who, upon becoming a Lender hereunder, would constitute any of the foregoing Persons described in this </w:t>
      </w:r>
      <w:r>
        <w:rPr>
          <w:rFonts w:ascii="Arial" w:cs="Arial" w:eastAsia="Arial" w:hAnsi="Arial"/>
          <w:sz w:val="20"/>
          <w:szCs w:val="20"/>
          <w:b w:val="1"/>
          <w:bCs w:val="1"/>
          <w:i w:val="1"/>
          <w:iCs w:val="1"/>
          <w:color w:val="auto"/>
        </w:rPr>
        <w:t>clause (B)</w:t>
      </w:r>
      <w:r>
        <w:rPr>
          <w:rFonts w:ascii="Arial" w:cs="Arial" w:eastAsia="Arial" w:hAnsi="Arial"/>
          <w:sz w:val="20"/>
          <w:szCs w:val="20"/>
          <w:color w:val="auto"/>
        </w:rPr>
        <w:t>, or (C) to a natural Person.</w:t>
      </w:r>
    </w:p>
    <w:p>
      <w:pPr>
        <w:spacing w:after="0" w:line="186" w:lineRule="exact"/>
        <w:rPr>
          <w:rFonts w:ascii="Arial" w:cs="Arial" w:eastAsia="Arial" w:hAnsi="Arial"/>
          <w:sz w:val="20"/>
          <w:szCs w:val="20"/>
          <w:color w:val="auto"/>
        </w:rPr>
      </w:pPr>
    </w:p>
    <w:p>
      <w:pPr>
        <w:jc w:val="both"/>
        <w:ind w:left="660" w:firstLine="645"/>
        <w:spacing w:after="0" w:line="270" w:lineRule="auto"/>
        <w:tabs>
          <w:tab w:leader="none" w:pos="1869"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Certain Additional Payments</w:t>
      </w:r>
      <w:r>
        <w:rPr>
          <w:rFonts w:ascii="Arial" w:cs="Arial" w:eastAsia="Arial" w:hAnsi="Arial"/>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Borrower and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Administrative Agent or any Lender hereunder (and interest accrued thereon) and (y) acquire (and fund as appropriate) its full pro rata share of all Loans and participations in L/C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Subject to acceptance and recording thereof by Administrative Agent pursuant to </w:t>
      </w:r>
      <w:r>
        <w:rPr>
          <w:rFonts w:ascii="Arial" w:cs="Arial" w:eastAsia="Arial" w:hAnsi="Arial"/>
          <w:sz w:val="19"/>
          <w:szCs w:val="19"/>
          <w:b w:val="1"/>
          <w:bCs w:val="1"/>
          <w:i w:val="1"/>
          <w:iCs w:val="1"/>
          <w:color w:val="auto"/>
        </w:rPr>
        <w:t>subsection (c)</w:t>
      </w:r>
      <w:r>
        <w:rPr>
          <w:rFonts w:ascii="Arial" w:cs="Arial" w:eastAsia="Arial" w:hAnsi="Arial"/>
          <w:sz w:val="19"/>
          <w:szCs w:val="19"/>
          <w:color w:val="auto"/>
        </w:rPr>
        <w:t xml:space="preserve"> of this Section,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b w:val="1"/>
          <w:bCs w:val="1"/>
          <w:i w:val="1"/>
          <w:iCs w:val="1"/>
          <w:color w:val="auto"/>
        </w:rPr>
        <w:t>Sections 4.1</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4.4, 4.5</w:t>
      </w:r>
      <w:r>
        <w:rPr>
          <w:rFonts w:ascii="Arial" w:cs="Arial" w:eastAsia="Arial" w:hAnsi="Arial"/>
          <w:sz w:val="19"/>
          <w:szCs w:val="19"/>
          <w:color w:val="auto"/>
        </w:rPr>
        <w:t xml:space="preserve">, and </w:t>
      </w:r>
      <w:r>
        <w:rPr>
          <w:rFonts w:ascii="Arial" w:cs="Arial" w:eastAsia="Arial" w:hAnsi="Arial"/>
          <w:sz w:val="19"/>
          <w:szCs w:val="19"/>
          <w:b w:val="1"/>
          <w:bCs w:val="1"/>
          <w:i w:val="1"/>
          <w:iCs w:val="1"/>
          <w:color w:val="auto"/>
        </w:rPr>
        <w:t>15.4</w:t>
      </w:r>
      <w:r>
        <w:rPr>
          <w:rFonts w:ascii="Arial" w:cs="Arial" w:eastAsia="Arial" w:hAnsi="Arial"/>
          <w:sz w:val="19"/>
          <w:szCs w:val="19"/>
          <w:color w:val="auto"/>
        </w:rPr>
        <w:t xml:space="preserve"> with respect to facts and circumstances occurring prior to the effective date of such assignment;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except to the extent otherwise expressly agreed by the affected parties no assignment by a Defaulting Lender will constitute a waiver or release of any claim of any party hereunder arising from that Lender’s having been a Defaulting Lender. Upon request,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9"/>
          <w:szCs w:val="19"/>
          <w:b w:val="1"/>
          <w:bCs w:val="1"/>
          <w:i w:val="1"/>
          <w:iCs w:val="1"/>
          <w:color w:val="auto"/>
        </w:rPr>
        <w:t>subsection (d)</w:t>
      </w:r>
      <w:r>
        <w:rPr>
          <w:rFonts w:ascii="Arial" w:cs="Arial" w:eastAsia="Arial" w:hAnsi="Arial"/>
          <w:sz w:val="19"/>
          <w:szCs w:val="19"/>
          <w:color w:val="auto"/>
        </w:rPr>
        <w:t xml:space="preserve"> of this Section.</w:t>
      </w:r>
    </w:p>
    <w:p>
      <w:pPr>
        <w:spacing w:after="0" w:line="185" w:lineRule="exact"/>
        <w:rPr>
          <w:sz w:val="20"/>
          <w:szCs w:val="20"/>
          <w:color w:val="auto"/>
        </w:rPr>
      </w:pPr>
    </w:p>
    <w:p>
      <w:pPr>
        <w:jc w:val="both"/>
        <w:ind w:left="660" w:firstLine="645"/>
        <w:spacing w:after="0" w:line="291" w:lineRule="auto"/>
        <w:tabs>
          <w:tab w:leader="none" w:pos="1807" w:val="left"/>
        </w:tabs>
        <w:numPr>
          <w:ilvl w:val="0"/>
          <w:numId w:val="171"/>
        </w:numPr>
        <w:rPr>
          <w:rFonts w:ascii="Arial" w:cs="Arial" w:eastAsia="Arial" w:hAnsi="Arial"/>
          <w:sz w:val="18"/>
          <w:szCs w:val="18"/>
          <w:color w:val="auto"/>
        </w:rPr>
      </w:pPr>
      <w:r>
        <w:rPr>
          <w:rFonts w:ascii="Arial" w:cs="Arial" w:eastAsia="Arial" w:hAnsi="Arial"/>
          <w:sz w:val="18"/>
          <w:szCs w:val="18"/>
          <w:b w:val="1"/>
          <w:bCs w:val="1"/>
          <w:i w:val="1"/>
          <w:iCs w:val="1"/>
          <w:color w:val="auto"/>
        </w:rPr>
        <w:t>Register</w:t>
      </w:r>
      <w:r>
        <w:rPr>
          <w:rFonts w:ascii="Arial" w:cs="Arial" w:eastAsia="Arial" w:hAnsi="Arial"/>
          <w:sz w:val="18"/>
          <w:szCs w:val="18"/>
          <w:color w:val="auto"/>
        </w:rPr>
        <w:t>. Administrative Agent, acting solely for this purpose as a non-fiduciary agent of Borrower (and such agency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being solely for tax purposes), shall maintain at Administrative Agent’s Office a copy of each Assignment and Assumption delivered to it and a register for the recordation of the names and addresses of Lenders, and the Commitments of, and principal amounts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119</w:t>
      </w:r>
    </w:p>
    <w:p>
      <w:pPr>
        <w:sectPr>
          <w:pgSz w:w="11900" w:h="16838" w:orient="portrait"/>
          <w:cols w:equalWidth="0" w:num="1">
            <w:col w:w="11420"/>
          </w:cols>
          <w:pgMar w:left="240" w:top="582" w:right="239" w:bottom="1440" w:gutter="0" w:footer="0" w:header="0"/>
        </w:sectPr>
      </w:pPr>
    </w:p>
    <w:bookmarkStart w:id="183" w:name="page184"/>
    <w:bookmarkEnd w:id="183"/>
    <w:p>
      <w:pPr>
        <w:jc w:val="both"/>
        <w:ind w:left="4"/>
        <w:spacing w:after="0" w:line="276" w:lineRule="auto"/>
        <w:rPr>
          <w:sz w:val="20"/>
          <w:szCs w:val="20"/>
          <w:color w:val="auto"/>
        </w:rPr>
      </w:pPr>
      <w:r>
        <w:rPr>
          <w:rFonts w:ascii="Arial" w:cs="Arial" w:eastAsia="Arial" w:hAnsi="Arial"/>
          <w:sz w:val="18"/>
          <w:szCs w:val="18"/>
          <w:color w:val="auto"/>
        </w:rPr>
        <w:t>of the Loans and L/C Exposure owing to, each Lender pursuant to the terms hereof from time to time (the “</w:t>
      </w:r>
      <w:r>
        <w:rPr>
          <w:rFonts w:ascii="Arial" w:cs="Arial" w:eastAsia="Arial" w:hAnsi="Arial"/>
          <w:sz w:val="18"/>
          <w:szCs w:val="18"/>
          <w:b w:val="1"/>
          <w:bCs w:val="1"/>
          <w:i w:val="1"/>
          <w:iCs w:val="1"/>
          <w:color w:val="auto"/>
        </w:rPr>
        <w:t>Register</w:t>
      </w:r>
      <w:r>
        <w:rPr>
          <w:rFonts w:ascii="Arial" w:cs="Arial" w:eastAsia="Arial" w:hAnsi="Arial"/>
          <w:sz w:val="18"/>
          <w:szCs w:val="18"/>
          <w:color w:val="auto"/>
        </w:rPr>
        <w:t>”). The entries in the Register shall be conclusive absent manifest error, and Borrower, Administrative Agent and Lenders may treat each Person whose name is recorded in the Register pursuant to the terms hereof as a Lender hereunder for all purposes of this Agreement, notwithstanding notice to the contrary. In addition, Administrative Agent shall maintain on the Register information regarding the designation, and revocation of designation, of any Lender as a Defaulting Lender. The Register shall be available for inspection by Borrower and any Lender at any reasonable time and from time to time upon reasonable prior notice.</w:t>
      </w:r>
    </w:p>
    <w:p>
      <w:pPr>
        <w:spacing w:after="0" w:line="165" w:lineRule="exact"/>
        <w:rPr>
          <w:sz w:val="20"/>
          <w:szCs w:val="20"/>
          <w:color w:val="auto"/>
        </w:rPr>
      </w:pPr>
    </w:p>
    <w:p>
      <w:pPr>
        <w:jc w:val="both"/>
        <w:ind w:left="4" w:firstLine="645"/>
        <w:spacing w:after="0" w:line="267" w:lineRule="auto"/>
        <w:tabs>
          <w:tab w:leader="none" w:pos="1094" w:val="left"/>
        </w:tabs>
        <w:numPr>
          <w:ilvl w:val="1"/>
          <w:numId w:val="172"/>
        </w:numPr>
        <w:rPr>
          <w:rFonts w:ascii="Arial" w:cs="Arial" w:eastAsia="Arial" w:hAnsi="Arial"/>
          <w:sz w:val="18"/>
          <w:szCs w:val="18"/>
          <w:color w:val="auto"/>
        </w:rPr>
      </w:pPr>
      <w:r>
        <w:rPr>
          <w:rFonts w:ascii="Arial" w:cs="Arial" w:eastAsia="Arial" w:hAnsi="Arial"/>
          <w:sz w:val="18"/>
          <w:szCs w:val="18"/>
          <w:b w:val="1"/>
          <w:bCs w:val="1"/>
          <w:i w:val="1"/>
          <w:iCs w:val="1"/>
          <w:color w:val="auto"/>
        </w:rPr>
        <w:t>Participations</w:t>
      </w:r>
      <w:r>
        <w:rPr>
          <w:rFonts w:ascii="Arial" w:cs="Arial" w:eastAsia="Arial" w:hAnsi="Arial"/>
          <w:sz w:val="18"/>
          <w:szCs w:val="18"/>
          <w:color w:val="auto"/>
        </w:rPr>
        <w:t>. Any Lender may at any time, without the consent of, or notice to, Borrower or Administrative Agent, sell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participations to any Person (other than a natural person, a Defaulting Lender, Borrower, or any of Borrower’s Affiliates or Subsidiaries) (each, a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its Commitment and/or the Loans (including such Lender’s participations in L/C Exposure and Swing Line Loans) owing to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(i) such Lender’s obligations under this Agreement shall remain unchanged, (ii) such Lender shall remain solely responsible to the other parties hereto for the performance of such obligations and (iii) Borrower, Administrative Agent, Lenders, and the L/C Issuers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8"/>
          <w:szCs w:val="18"/>
          <w:b w:val="1"/>
          <w:bCs w:val="1"/>
          <w:i w:val="1"/>
          <w:iCs w:val="1"/>
          <w:color w:val="auto"/>
        </w:rPr>
        <w:t>Sections 15.4</w:t>
      </w:r>
      <w:r>
        <w:rPr>
          <w:rFonts w:ascii="Arial" w:cs="Arial" w:eastAsia="Arial" w:hAnsi="Arial"/>
          <w:sz w:val="18"/>
          <w:szCs w:val="18"/>
          <w:color w:val="auto"/>
        </w:rPr>
        <w:t xml:space="preserve"> without regard to the existence of any participation.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8"/>
          <w:szCs w:val="18"/>
          <w:b w:val="1"/>
          <w:bCs w:val="1"/>
          <w:i w:val="1"/>
          <w:iCs w:val="1"/>
          <w:color w:val="auto"/>
        </w:rPr>
        <w:t>Section 15.9</w:t>
      </w:r>
      <w:r>
        <w:rPr>
          <w:rFonts w:ascii="Arial" w:cs="Arial" w:eastAsia="Arial" w:hAnsi="Arial"/>
          <w:sz w:val="18"/>
          <w:szCs w:val="18"/>
          <w:color w:val="auto"/>
        </w:rPr>
        <w:t xml:space="preserve"> that affects such Participant. Subject to </w:t>
      </w:r>
      <w:r>
        <w:rPr>
          <w:rFonts w:ascii="Arial" w:cs="Arial" w:eastAsia="Arial" w:hAnsi="Arial"/>
          <w:sz w:val="18"/>
          <w:szCs w:val="18"/>
          <w:b w:val="1"/>
          <w:bCs w:val="1"/>
          <w:i w:val="1"/>
          <w:iCs w:val="1"/>
          <w:color w:val="auto"/>
        </w:rPr>
        <w:t>subsection (e)</w:t>
      </w:r>
      <w:r>
        <w:rPr>
          <w:rFonts w:ascii="Arial" w:cs="Arial" w:eastAsia="Arial" w:hAnsi="Arial"/>
          <w:sz w:val="18"/>
          <w:szCs w:val="18"/>
          <w:color w:val="auto"/>
        </w:rPr>
        <w:t xml:space="preserve"> of this Section, Borrower agrees that each Participant shall be entitled to the benefits of </w:t>
      </w:r>
      <w:r>
        <w:rPr>
          <w:rFonts w:ascii="Arial" w:cs="Arial" w:eastAsia="Arial" w:hAnsi="Arial"/>
          <w:sz w:val="18"/>
          <w:szCs w:val="18"/>
          <w:b w:val="1"/>
          <w:bCs w:val="1"/>
          <w:i w:val="1"/>
          <w:iCs w:val="1"/>
          <w:color w:val="auto"/>
        </w:rPr>
        <w:t>Sections 4.1</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4.4</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4.5</w:t>
      </w:r>
      <w:r>
        <w:rPr>
          <w:rFonts w:ascii="Arial" w:cs="Arial" w:eastAsia="Arial" w:hAnsi="Arial"/>
          <w:sz w:val="18"/>
          <w:szCs w:val="18"/>
          <w:color w:val="auto"/>
        </w:rPr>
        <w:t xml:space="preserve"> to the same extent as if it were a Lender and had acquired its interest by assignment pursuant to </w:t>
      </w:r>
      <w:r>
        <w:rPr>
          <w:rFonts w:ascii="Arial" w:cs="Arial" w:eastAsia="Arial" w:hAnsi="Arial"/>
          <w:sz w:val="18"/>
          <w:szCs w:val="18"/>
          <w:b w:val="1"/>
          <w:bCs w:val="1"/>
          <w:i w:val="1"/>
          <w:iCs w:val="1"/>
          <w:color w:val="auto"/>
        </w:rPr>
        <w:t>subsection</w:t>
      </w:r>
    </w:p>
    <w:p>
      <w:pPr>
        <w:spacing w:after="0" w:line="6" w:lineRule="exact"/>
        <w:rPr>
          <w:rFonts w:ascii="Arial" w:cs="Arial" w:eastAsia="Arial" w:hAnsi="Arial"/>
          <w:sz w:val="18"/>
          <w:szCs w:val="18"/>
          <w:color w:val="auto"/>
        </w:rPr>
      </w:pPr>
    </w:p>
    <w:p>
      <w:pPr>
        <w:jc w:val="both"/>
        <w:ind w:left="4" w:hanging="4"/>
        <w:spacing w:after="0" w:line="230" w:lineRule="exact"/>
        <w:tabs>
          <w:tab w:leader="none" w:pos="289" w:val="left"/>
        </w:tabs>
        <w:numPr>
          <w:ilvl w:val="0"/>
          <w:numId w:val="173"/>
        </w:numPr>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of this Section (it being understood that the documentation required under </w:t>
      </w:r>
      <w:r>
        <w:rPr>
          <w:rFonts w:ascii="Arial" w:cs="Arial" w:eastAsia="Arial" w:hAnsi="Arial"/>
          <w:sz w:val="18"/>
          <w:szCs w:val="18"/>
          <w:b w:val="1"/>
          <w:bCs w:val="1"/>
          <w:i w:val="1"/>
          <w:iCs w:val="1"/>
          <w:color w:val="auto"/>
        </w:rPr>
        <w:t>Section 4.1(e)</w:t>
      </w:r>
      <w:r>
        <w:rPr>
          <w:rFonts w:ascii="Arial" w:cs="Arial" w:eastAsia="Arial" w:hAnsi="Arial"/>
          <w:sz w:val="18"/>
          <w:szCs w:val="18"/>
          <w:color w:val="auto"/>
        </w:rPr>
        <w:t xml:space="preserve"> shall be delivered to the Lender who sells the participation) to the same extent as if it were a Lender and had acquired its interest by assignment pursuant to paragraph (b) of this Section;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Participant (A) agrees to be subject to the provisions of </w:t>
      </w:r>
      <w:r>
        <w:rPr>
          <w:rFonts w:ascii="Arial" w:cs="Arial" w:eastAsia="Arial" w:hAnsi="Arial"/>
          <w:sz w:val="18"/>
          <w:szCs w:val="18"/>
          <w:b w:val="1"/>
          <w:bCs w:val="1"/>
          <w:i w:val="1"/>
          <w:iCs w:val="1"/>
          <w:color w:val="auto"/>
        </w:rPr>
        <w:t>Sections 4.6</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15.14</w:t>
      </w:r>
      <w:r>
        <w:rPr>
          <w:rFonts w:ascii="Arial" w:cs="Arial" w:eastAsia="Arial" w:hAnsi="Arial"/>
          <w:sz w:val="18"/>
          <w:szCs w:val="18"/>
          <w:color w:val="auto"/>
        </w:rPr>
        <w:t xml:space="preserve"> as if it were an assignee under </w:t>
      </w:r>
      <w:r>
        <w:rPr>
          <w:rFonts w:ascii="Arial" w:cs="Arial" w:eastAsia="Arial" w:hAnsi="Arial"/>
          <w:sz w:val="18"/>
          <w:szCs w:val="18"/>
          <w:b w:val="1"/>
          <w:bCs w:val="1"/>
          <w:i w:val="1"/>
          <w:iCs w:val="1"/>
          <w:color w:val="auto"/>
        </w:rPr>
        <w:t>paragraph (b)</w:t>
      </w:r>
      <w:r>
        <w:rPr>
          <w:rFonts w:ascii="Arial" w:cs="Arial" w:eastAsia="Arial" w:hAnsi="Arial"/>
          <w:sz w:val="18"/>
          <w:szCs w:val="18"/>
          <w:color w:val="auto"/>
        </w:rPr>
        <w:t xml:space="preserve"> of this Section and (B) shall not be entitled to receive any greater payment under </w:t>
      </w:r>
      <w:r>
        <w:rPr>
          <w:rFonts w:ascii="Arial" w:cs="Arial" w:eastAsia="Arial" w:hAnsi="Arial"/>
          <w:sz w:val="18"/>
          <w:szCs w:val="18"/>
          <w:b w:val="1"/>
          <w:bCs w:val="1"/>
          <w:i w:val="1"/>
          <w:iCs w:val="1"/>
          <w:color w:val="auto"/>
        </w:rPr>
        <w:t>Sections 4.1</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4.4</w:t>
      </w:r>
      <w:r>
        <w:rPr>
          <w:rFonts w:ascii="Arial" w:cs="Arial" w:eastAsia="Arial" w:hAnsi="Arial"/>
          <w:sz w:val="18"/>
          <w:szCs w:val="18"/>
          <w:color w:val="auto"/>
        </w:rPr>
        <w:t xml:space="preserve">, with respect to any participation, than the Lender from whom it acquired the applicable participation would have been entitled to receive. Each Lender that sells a participation agrees, at Borrower’s request and expense, to use reasonable efforts to cooperate with Borrower to effectuate the provisions of </w:t>
      </w:r>
      <w:r>
        <w:rPr>
          <w:rFonts w:ascii="Arial" w:cs="Arial" w:eastAsia="Arial" w:hAnsi="Arial"/>
          <w:sz w:val="18"/>
          <w:szCs w:val="18"/>
          <w:b w:val="1"/>
          <w:bCs w:val="1"/>
          <w:i w:val="1"/>
          <w:iCs w:val="1"/>
          <w:color w:val="auto"/>
        </w:rPr>
        <w:t>Section 4.6</w:t>
      </w:r>
      <w:r>
        <w:rPr>
          <w:rFonts w:ascii="Arial" w:cs="Arial" w:eastAsia="Arial" w:hAnsi="Arial"/>
          <w:sz w:val="18"/>
          <w:szCs w:val="18"/>
          <w:color w:val="auto"/>
        </w:rPr>
        <w:t xml:space="preserve"> with respect to any Participant. To the extent permitted by Law, each Participant also shall be entitled to the benefits of </w:t>
      </w:r>
      <w:r>
        <w:rPr>
          <w:rFonts w:ascii="Arial" w:cs="Arial" w:eastAsia="Arial" w:hAnsi="Arial"/>
          <w:sz w:val="18"/>
          <w:szCs w:val="18"/>
          <w:b w:val="1"/>
          <w:bCs w:val="1"/>
          <w:i w:val="1"/>
          <w:iCs w:val="1"/>
          <w:color w:val="auto"/>
        </w:rPr>
        <w:t>Section 15.13</w:t>
      </w:r>
      <w:r>
        <w:rPr>
          <w:rFonts w:ascii="Arial" w:cs="Arial" w:eastAsia="Arial" w:hAnsi="Arial"/>
          <w:sz w:val="18"/>
          <w:szCs w:val="18"/>
          <w:color w:val="auto"/>
        </w:rPr>
        <w:t xml:space="preserve"> as though it were a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Participant agrees to be subject to </w:t>
      </w:r>
      <w:r>
        <w:rPr>
          <w:rFonts w:ascii="Arial" w:cs="Arial" w:eastAsia="Arial" w:hAnsi="Arial"/>
          <w:sz w:val="18"/>
          <w:szCs w:val="18"/>
          <w:b w:val="1"/>
          <w:bCs w:val="1"/>
          <w:i w:val="1"/>
          <w:iCs w:val="1"/>
          <w:color w:val="auto"/>
        </w:rPr>
        <w:t>Section 3.12</w:t>
      </w:r>
      <w:r>
        <w:rPr>
          <w:rFonts w:ascii="Arial" w:cs="Arial" w:eastAsia="Arial" w:hAnsi="Arial"/>
          <w:sz w:val="18"/>
          <w:szCs w:val="18"/>
          <w:color w:val="auto"/>
        </w:rPr>
        <w:t xml:space="preserve"> as though it were a Lender. Each Lender that sells a participation shall, acting solely for this purpose as an agent of Borrower, maintain a register on which it enters the name and address of each Participant and the principal amounts (and stated interest) of each Participant’s interest in the Loans or other obligations under the Loan Papers (the “</w:t>
      </w:r>
      <w:r>
        <w:rPr>
          <w:rFonts w:ascii="Arial" w:cs="Arial" w:eastAsia="Arial" w:hAnsi="Arial"/>
          <w:sz w:val="18"/>
          <w:szCs w:val="18"/>
          <w:b w:val="1"/>
          <w:bCs w:val="1"/>
          <w:i w:val="1"/>
          <w:iCs w:val="1"/>
          <w:color w:val="auto"/>
        </w:rPr>
        <w:t>Participant Register</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Paper) to any Person except to the extent that such disclosure is necessary to establish that such commitment, loan, letter of credit or other obligation is in registered form under </w:t>
      </w:r>
      <w:r>
        <w:rPr>
          <w:rFonts w:ascii="Arial" w:cs="Arial" w:eastAsia="Arial" w:hAnsi="Arial"/>
          <w:sz w:val="18"/>
          <w:szCs w:val="18"/>
          <w:i w:val="1"/>
          <w:iCs w:val="1"/>
          <w:color w:val="auto"/>
        </w:rPr>
        <w:t>Section 5f.103</w:t>
      </w:r>
      <w:r>
        <w:rPr>
          <w:rFonts w:ascii="MS PGothic" w:cs="MS PGothic" w:eastAsia="MS PGothic" w:hAnsi="MS PGothic"/>
          <w:sz w:val="18"/>
          <w:szCs w:val="18"/>
          <w:color w:val="auto"/>
        </w:rPr>
        <w:t>‑</w:t>
      </w:r>
      <w:r>
        <w:rPr>
          <w:rFonts w:ascii="Arial" w:cs="Arial" w:eastAsia="Arial" w:hAnsi="Arial"/>
          <w:sz w:val="18"/>
          <w:szCs w:val="18"/>
          <w:i w:val="1"/>
          <w:iCs w:val="1"/>
          <w:color w:val="auto"/>
        </w:rPr>
        <w:t>1(c)</w:t>
      </w:r>
      <w:r>
        <w:rPr>
          <w:rFonts w:ascii="Arial" w:cs="Arial" w:eastAsia="Arial" w:hAnsi="Arial"/>
          <w:sz w:val="18"/>
          <w:szCs w:val="18"/>
          <w:color w:val="auto"/>
        </w:rPr>
        <w:t xml:space="preserve"> of the United States Treasury Regulations. The entries in the Participant Register shall be conclusive absent manifest error, and such Lender shall treat each Person whose name is recorded</w:t>
      </w:r>
    </w:p>
    <w:p>
      <w:pPr>
        <w:spacing w:after="0" w:line="200" w:lineRule="exact"/>
        <w:rPr>
          <w:sz w:val="20"/>
          <w:szCs w:val="20"/>
          <w:color w:val="auto"/>
        </w:rPr>
      </w:pPr>
    </w:p>
    <w:p>
      <w:pPr>
        <w:spacing w:after="0" w:line="246" w:lineRule="exact"/>
        <w:rPr>
          <w:sz w:val="20"/>
          <w:szCs w:val="20"/>
          <w:color w:val="auto"/>
        </w:rPr>
      </w:pPr>
    </w:p>
    <w:p>
      <w:pPr>
        <w:ind w:left="4904"/>
        <w:spacing w:after="0"/>
        <w:rPr>
          <w:sz w:val="20"/>
          <w:szCs w:val="20"/>
          <w:color w:val="auto"/>
        </w:rPr>
      </w:pPr>
      <w:r>
        <w:rPr>
          <w:rFonts w:ascii="Arial" w:cs="Arial" w:eastAsia="Arial" w:hAnsi="Arial"/>
          <w:sz w:val="20"/>
          <w:szCs w:val="20"/>
          <w:color w:val="auto"/>
        </w:rPr>
        <w:t>120</w:t>
      </w:r>
    </w:p>
    <w:p>
      <w:pPr>
        <w:sectPr>
          <w:pgSz w:w="11900" w:h="16838" w:orient="portrait"/>
          <w:cols w:equalWidth="0" w:num="1">
            <w:col w:w="10764"/>
          </w:cols>
          <w:pgMar w:left="896" w:top="582" w:right="239" w:bottom="1440" w:gutter="0" w:footer="0" w:header="0"/>
        </w:sectPr>
      </w:pPr>
    </w:p>
    <w:bookmarkStart w:id="184" w:name="page185"/>
    <w:bookmarkEnd w:id="184"/>
    <w:p>
      <w:pPr>
        <w:jc w:val="both"/>
        <w:ind w:left="660"/>
        <w:spacing w:after="0" w:line="250" w:lineRule="auto"/>
        <w:rPr>
          <w:sz w:val="20"/>
          <w:szCs w:val="20"/>
          <w:color w:val="auto"/>
        </w:rPr>
      </w:pPr>
      <w:r>
        <w:rPr>
          <w:rFonts w:ascii="Arial" w:cs="Arial" w:eastAsia="Arial" w:hAnsi="Arial"/>
          <w:sz w:val="20"/>
          <w:szCs w:val="20"/>
          <w:color w:val="auto"/>
        </w:rPr>
        <w:t>in the Participant Register as the owner of such participation for all purposes of this Agreement notwithstanding any notice to the contrary. For the avoidance of doubt, Administrative Agent (in its capacity as Administrative Agent) shall have no responsibility for maintaining a Participant Register.</w:t>
      </w:r>
    </w:p>
    <w:p>
      <w:pPr>
        <w:spacing w:after="0" w:line="186" w:lineRule="exact"/>
        <w:rPr>
          <w:sz w:val="20"/>
          <w:szCs w:val="20"/>
          <w:color w:val="auto"/>
        </w:rPr>
      </w:pPr>
    </w:p>
    <w:p>
      <w:pPr>
        <w:jc w:val="both"/>
        <w:ind w:left="660" w:firstLine="645"/>
        <w:spacing w:after="0" w:line="282" w:lineRule="auto"/>
        <w:tabs>
          <w:tab w:leader="none" w:pos="1753" w:val="left"/>
        </w:tabs>
        <w:numPr>
          <w:ilvl w:val="0"/>
          <w:numId w:val="174"/>
        </w:numPr>
        <w:rPr>
          <w:rFonts w:ascii="Arial" w:cs="Arial" w:eastAsia="Arial" w:hAnsi="Arial"/>
          <w:sz w:val="18"/>
          <w:szCs w:val="18"/>
          <w:color w:val="auto"/>
        </w:rPr>
      </w:pPr>
      <w:r>
        <w:rPr>
          <w:rFonts w:ascii="Arial" w:cs="Arial" w:eastAsia="Arial" w:hAnsi="Arial"/>
          <w:sz w:val="18"/>
          <w:szCs w:val="18"/>
          <w:b w:val="1"/>
          <w:bCs w:val="1"/>
          <w:i w:val="1"/>
          <w:iCs w:val="1"/>
          <w:color w:val="auto"/>
        </w:rPr>
        <w:t>Certain Pledges</w:t>
      </w:r>
      <w:r>
        <w:rPr>
          <w:rFonts w:ascii="Arial" w:cs="Arial" w:eastAsia="Arial" w:hAnsi="Arial"/>
          <w:sz w:val="18"/>
          <w:szCs w:val="18"/>
          <w:color w:val="auto"/>
        </w:rPr>
        <w:t>. Any Lender may at any time pledge or assign a security interest in all or any portion of its rights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this Agreement (including under its Note, if any) to secure obligations of such Lender, including any pledge or assignment to secure obligations to a Federal Reserve Bank or any other central bank;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no such pledge or assignment shall release such Lender from any of its obligations hereunder or substitute any such pledgee or assignee for such Lender as a party hereto.</w:t>
      </w:r>
    </w:p>
    <w:p>
      <w:pPr>
        <w:spacing w:after="0" w:line="161" w:lineRule="exact"/>
        <w:rPr>
          <w:rFonts w:ascii="Arial" w:cs="Arial" w:eastAsia="Arial" w:hAnsi="Arial"/>
          <w:sz w:val="18"/>
          <w:szCs w:val="18"/>
          <w:color w:val="auto"/>
        </w:rPr>
      </w:pPr>
    </w:p>
    <w:p>
      <w:pPr>
        <w:jc w:val="both"/>
        <w:ind w:left="660" w:firstLine="645"/>
        <w:spacing w:after="0" w:line="269" w:lineRule="auto"/>
        <w:tabs>
          <w:tab w:leader="none" w:pos="1731" w:val="left"/>
        </w:tabs>
        <w:numPr>
          <w:ilvl w:val="0"/>
          <w:numId w:val="174"/>
        </w:numPr>
        <w:rPr>
          <w:rFonts w:ascii="Arial" w:cs="Arial" w:eastAsia="Arial" w:hAnsi="Arial"/>
          <w:sz w:val="18"/>
          <w:szCs w:val="18"/>
          <w:color w:val="auto"/>
        </w:rPr>
      </w:pPr>
      <w:r>
        <w:rPr>
          <w:rFonts w:ascii="Arial" w:cs="Arial" w:eastAsia="Arial" w:hAnsi="Arial"/>
          <w:sz w:val="18"/>
          <w:szCs w:val="18"/>
          <w:b w:val="1"/>
          <w:bCs w:val="1"/>
          <w:i w:val="1"/>
          <w:iCs w:val="1"/>
          <w:color w:val="auto"/>
        </w:rPr>
        <w:t>Resignation as L/C Issuer or Swing Line Lender after Assignment</w:t>
      </w:r>
      <w:r>
        <w:rPr>
          <w:rFonts w:ascii="Arial" w:cs="Arial" w:eastAsia="Arial" w:hAnsi="Arial"/>
          <w:sz w:val="18"/>
          <w:szCs w:val="18"/>
          <w:color w:val="auto"/>
        </w:rPr>
        <w:t>. Notwithstanding anything to the contrary contained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herein, if at any time any L/C Issuer or any Swing Line Lender assigns all of its Commitment and Loans pursuant to </w:t>
      </w:r>
      <w:r>
        <w:rPr>
          <w:rFonts w:ascii="Arial" w:cs="Arial" w:eastAsia="Arial" w:hAnsi="Arial"/>
          <w:sz w:val="18"/>
          <w:szCs w:val="18"/>
          <w:b w:val="1"/>
          <w:bCs w:val="1"/>
          <w:i w:val="1"/>
          <w:iCs w:val="1"/>
          <w:color w:val="auto"/>
        </w:rPr>
        <w:t>subsection (b)</w:t>
      </w:r>
      <w:r>
        <w:rPr>
          <w:rFonts w:ascii="Arial" w:cs="Arial" w:eastAsia="Arial" w:hAnsi="Arial"/>
          <w:sz w:val="18"/>
          <w:szCs w:val="18"/>
          <w:color w:val="auto"/>
        </w:rPr>
        <w:t xml:space="preserve"> above, such L/C Issuer or such Swing Line Lender may, upon 30 days’ notice to Borrower and Lenders, resign as an L/C Issuer or a Swing Line Lender, or both. In the event of any such resignation as an L/C Issuer or a Swing Line Lender, Borrower shall be entitled to appoint from among Lenders a successor L/C Issuer or Swing Line Lender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no failure by Borrower to appoint any such successor shall affect the resignation of such L/C Issuer or such Swing Line Lender. If an L/C Issuer resigns, it shall retain all the rights, powers, privileges, and duties of an L/C Issuer hereunder with respect to all L/C outstanding as of the effective date of its resignation as an L/C Issuer and all L/C Exposure with respect thereto (including the right to require Lenders to make Base Rate Loans or fund risk participations in unreimbursed amounts pursuant to </w:t>
      </w:r>
      <w:r>
        <w:rPr>
          <w:rFonts w:ascii="Arial" w:cs="Arial" w:eastAsia="Arial" w:hAnsi="Arial"/>
          <w:sz w:val="18"/>
          <w:szCs w:val="18"/>
          <w:b w:val="1"/>
          <w:bCs w:val="1"/>
          <w:i w:val="1"/>
          <w:iCs w:val="1"/>
          <w:color w:val="auto"/>
        </w:rPr>
        <w:t>Section 2.3(c)</w:t>
      </w:r>
      <w:r>
        <w:rPr>
          <w:rFonts w:ascii="Arial" w:cs="Arial" w:eastAsia="Arial" w:hAnsi="Arial"/>
          <w:sz w:val="18"/>
          <w:szCs w:val="18"/>
          <w:color w:val="auto"/>
        </w:rPr>
        <w:t xml:space="preserve">). If a Swing Line Lender resigns, it shall retain all the rights of a Swing Line Lender provided for hereunder with respect to Swing Line Loans made by it and outstanding as of the effective date of such resignation, including the right to require Lenders to make Base Rate Loans or fund risk participations in outstanding Swing Line Loans pursuant to </w:t>
      </w:r>
      <w:r>
        <w:rPr>
          <w:rFonts w:ascii="Arial" w:cs="Arial" w:eastAsia="Arial" w:hAnsi="Arial"/>
          <w:sz w:val="18"/>
          <w:szCs w:val="18"/>
          <w:b w:val="1"/>
          <w:bCs w:val="1"/>
          <w:i w:val="1"/>
          <w:iCs w:val="1"/>
          <w:color w:val="auto"/>
        </w:rPr>
        <w:t>Section 2.4(c)</w:t>
      </w:r>
      <w:r>
        <w:rPr>
          <w:rFonts w:ascii="Arial" w:cs="Arial" w:eastAsia="Arial" w:hAnsi="Arial"/>
          <w:sz w:val="18"/>
          <w:szCs w:val="18"/>
          <w:color w:val="auto"/>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L/Cs, if any, outstanding at the time of such succession or make other arrangements satisfactory to the resigning L/C Issuer to effectively assume the obligations of such resigning L/C Issuer with respect to such L/Cs.</w:t>
      </w:r>
    </w:p>
    <w:p>
      <w:pPr>
        <w:spacing w:after="0" w:line="39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15.12 </w:t>
      </w:r>
      <w:r>
        <w:rPr>
          <w:rFonts w:ascii="Arial" w:cs="Arial" w:eastAsia="Arial" w:hAnsi="Arial"/>
          <w:sz w:val="18"/>
          <w:szCs w:val="18"/>
          <w:u w:val="single" w:color="auto"/>
          <w:color w:val="auto"/>
        </w:rPr>
        <w:t>Payments Set Aside</w:t>
      </w:r>
      <w:r>
        <w:rPr>
          <w:rFonts w:ascii="Arial" w:cs="Arial" w:eastAsia="Arial" w:hAnsi="Arial"/>
          <w:sz w:val="18"/>
          <w:szCs w:val="18"/>
          <w:color w:val="auto"/>
        </w:rPr>
        <w:t>. To the extent that any payment by or on behalf of Borrower or any other obligor on the Obligation under any Loan Paper is made to Administrative Agent, either L/C Issuer, or any Lender, or Administrative Agent, either L/C Issuer, or any Lender exercises its Right of setoff, and such payment or the proceeds of such setoff or any part thereof is subsequently invalidated, declared to be fraudulent or preferential, set aside, or required (including pursuant to any settlement entered into by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Administrative Agent upon demand its applicable share (without duplication) of any amount so recovered from or repaid by Administrative Agent, plus interest thereon from the date of such demand to the date such payment is made at a rate per annum equal to the Federal Funds Rate from time to time in effect. The obligations of Lenders and the L/C Issuers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121</w:t>
      </w:r>
    </w:p>
    <w:p>
      <w:pPr>
        <w:sectPr>
          <w:pgSz w:w="11900" w:h="16838" w:orient="portrait"/>
          <w:cols w:equalWidth="0" w:num="1">
            <w:col w:w="11420"/>
          </w:cols>
          <w:pgMar w:left="240" w:top="582" w:right="239" w:bottom="1440" w:gutter="0" w:footer="0" w:header="0"/>
        </w:sectPr>
      </w:pPr>
    </w:p>
    <w:bookmarkStart w:id="185" w:name="page186"/>
    <w:bookmarkEnd w:id="185"/>
    <w:p>
      <w:pPr>
        <w:spacing w:after="0"/>
        <w:rPr>
          <w:sz w:val="20"/>
          <w:szCs w:val="20"/>
          <w:color w:val="auto"/>
        </w:rPr>
      </w:pPr>
      <w:r>
        <w:rPr>
          <w:rFonts w:ascii="Arial" w:cs="Arial" w:eastAsia="Arial" w:hAnsi="Arial"/>
          <w:sz w:val="19"/>
          <w:szCs w:val="19"/>
          <w:color w:val="auto"/>
        </w:rPr>
        <w:t xml:space="preserve">under </w:t>
      </w:r>
      <w:r>
        <w:rPr>
          <w:rFonts w:ascii="Arial" w:cs="Arial" w:eastAsia="Arial" w:hAnsi="Arial"/>
          <w:sz w:val="19"/>
          <w:szCs w:val="19"/>
          <w:b w:val="1"/>
          <w:bCs w:val="1"/>
          <w:i w:val="1"/>
          <w:iCs w:val="1"/>
          <w:color w:val="auto"/>
        </w:rPr>
        <w:t>clause (b)</w:t>
      </w:r>
      <w:r>
        <w:rPr>
          <w:rFonts w:ascii="Arial" w:cs="Arial" w:eastAsia="Arial" w:hAnsi="Arial"/>
          <w:sz w:val="19"/>
          <w:szCs w:val="19"/>
          <w:color w:val="auto"/>
        </w:rPr>
        <w:t xml:space="preserve"> of the preceding sentence shall survive the payment in full of the Obligation and the termination of this Agreement.</w:t>
      </w:r>
    </w:p>
    <w:p>
      <w:pPr>
        <w:spacing w:after="0" w:line="22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15.13 </w:t>
      </w:r>
      <w:r>
        <w:rPr>
          <w:rFonts w:ascii="Arial" w:cs="Arial" w:eastAsia="Arial" w:hAnsi="Arial"/>
          <w:sz w:val="18"/>
          <w:szCs w:val="18"/>
          <w:u w:val="single" w:color="auto"/>
          <w:color w:val="auto"/>
        </w:rPr>
        <w:t>Right of Setoff</w:t>
      </w:r>
      <w:r>
        <w:rPr>
          <w:rFonts w:ascii="Arial" w:cs="Arial" w:eastAsia="Arial" w:hAnsi="Arial"/>
          <w:sz w:val="18"/>
          <w:szCs w:val="18"/>
          <w:color w:val="auto"/>
        </w:rPr>
        <w:t xml:space="preserve">. If a Default shall have occurred and be continuing, each Lender, the L/C Issuers,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applicable L/C Issuer, or any such Affiliate to or for the credit or the account of Borrower or any other Company against any and all of the obligations of Borrower or such other Company now or hereafter existing under this Agreement or any other Loan Paper to such Lender or the applicable L/C Issuer, irrespective of whether or not such Lender or the applicable L/C Issuer shall have made any demand under this Agreement or any other Loan Paper and although such obligations of Borrower or such other Company may be contingent or unmatured or are owed to a branch or office of such Lender or the applicable L/C Issuer different from the branch or office holding such deposit or obligated on such indebtedness. The rights of each Lender, each L/C Issuer, and their respective Affiliates under this Section are in addition to other rights and remedies (including other rights of setoff) that such Lender, the applicable L/C Issuer, or their respective Affiliates may have. Each Lender and each L/C Issuer agrees to notify Borrower and Administrative Agent promptly after any such setoff and application,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the failure to give such notice shall not affect the validity of such setoff and application.</w:t>
      </w:r>
    </w:p>
    <w:p>
      <w:pPr>
        <w:spacing w:after="0" w:line="3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15.14 </w:t>
      </w: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Under any circumstances set forth in this Agreement providing that Borrower shall have the right to replace a Lender as a party to this Agreement, including, without limitation, if any Lender requests compensation under </w:t>
      </w:r>
      <w:r>
        <w:rPr>
          <w:rFonts w:ascii="Arial" w:cs="Arial" w:eastAsia="Arial" w:hAnsi="Arial"/>
          <w:sz w:val="18"/>
          <w:szCs w:val="18"/>
          <w:b w:val="1"/>
          <w:bCs w:val="1"/>
          <w:i w:val="1"/>
          <w:iCs w:val="1"/>
          <w:color w:val="auto"/>
        </w:rPr>
        <w:t>Section 4.4</w:t>
      </w:r>
      <w:r>
        <w:rPr>
          <w:rFonts w:ascii="Arial" w:cs="Arial" w:eastAsia="Arial" w:hAnsi="Arial"/>
          <w:sz w:val="18"/>
          <w:szCs w:val="18"/>
          <w:color w:val="auto"/>
        </w:rPr>
        <w:t xml:space="preserve">, or if Borrower is required to pay any additional amount to any Lender or any Governmental Authority for the account of any Lender pursuant to </w:t>
      </w:r>
      <w:r>
        <w:rPr>
          <w:rFonts w:ascii="Arial" w:cs="Arial" w:eastAsia="Arial" w:hAnsi="Arial"/>
          <w:sz w:val="18"/>
          <w:szCs w:val="18"/>
          <w:b w:val="1"/>
          <w:bCs w:val="1"/>
          <w:i w:val="1"/>
          <w:iCs w:val="1"/>
          <w:color w:val="auto"/>
        </w:rPr>
        <w:t>Section 4.1</w:t>
      </w:r>
      <w:r>
        <w:rPr>
          <w:rFonts w:ascii="Arial" w:cs="Arial" w:eastAsia="Arial" w:hAnsi="Arial"/>
          <w:sz w:val="18"/>
          <w:szCs w:val="18"/>
          <w:color w:val="auto"/>
        </w:rPr>
        <w:t>, or if any Lender is a Defaulting Lender or a Non-Consenting Lender, then Borrower may, at its sole expense and effort,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notice to such Lender and Administrative Agent, require such Lender to assign and delegate, without recourse (in accordance with and subject to the restrictions contained in, and consents required by, </w:t>
      </w:r>
      <w:r>
        <w:rPr>
          <w:rFonts w:ascii="Arial" w:cs="Arial" w:eastAsia="Arial" w:hAnsi="Arial"/>
          <w:sz w:val="18"/>
          <w:szCs w:val="18"/>
          <w:b w:val="1"/>
          <w:bCs w:val="1"/>
          <w:i w:val="1"/>
          <w:iCs w:val="1"/>
          <w:color w:val="auto"/>
        </w:rPr>
        <w:t>Section 15.11</w:t>
      </w:r>
      <w:r>
        <w:rPr>
          <w:rFonts w:ascii="Arial" w:cs="Arial" w:eastAsia="Arial" w:hAnsi="Arial"/>
          <w:sz w:val="18"/>
          <w:szCs w:val="18"/>
          <w:color w:val="auto"/>
        </w:rPr>
        <w:t xml:space="preserve">), all of its interests, rights (other than its existing rights to payments pursuant to </w:t>
      </w:r>
      <w:r>
        <w:rPr>
          <w:rFonts w:ascii="Arial" w:cs="Arial" w:eastAsia="Arial" w:hAnsi="Arial"/>
          <w:sz w:val="18"/>
          <w:szCs w:val="18"/>
          <w:b w:val="1"/>
          <w:bCs w:val="1"/>
          <w:i w:val="1"/>
          <w:iCs w:val="1"/>
          <w:color w:val="auto"/>
        </w:rPr>
        <w:t>Sections 4.1</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4.4</w:t>
      </w:r>
      <w:r>
        <w:rPr>
          <w:rFonts w:ascii="Arial" w:cs="Arial" w:eastAsia="Arial" w:hAnsi="Arial"/>
          <w:sz w:val="18"/>
          <w:szCs w:val="18"/>
          <w:color w:val="auto"/>
        </w:rPr>
        <w:t xml:space="preserve">), and obligations under this Agreement and the related Loan Papers to an assignee that shall assume such obligations (which assignee may be another Lender, if a Lender accepts such assignment),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w:t>
      </w:r>
    </w:p>
    <w:p>
      <w:pPr>
        <w:spacing w:after="0" w:line="169" w:lineRule="exact"/>
        <w:rPr>
          <w:sz w:val="20"/>
          <w:szCs w:val="20"/>
          <w:color w:val="auto"/>
        </w:rPr>
      </w:pPr>
    </w:p>
    <w:p>
      <w:pPr>
        <w:ind w:left="1080" w:hanging="424"/>
        <w:spacing w:after="0"/>
        <w:tabs>
          <w:tab w:leader="none" w:pos="108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 xml:space="preserve">Borrower shall have paid to Administrative Agent the assignment fee specified in </w:t>
      </w:r>
      <w:r>
        <w:rPr>
          <w:rFonts w:ascii="Arial" w:cs="Arial" w:eastAsia="Arial" w:hAnsi="Arial"/>
          <w:sz w:val="20"/>
          <w:szCs w:val="20"/>
          <w:b w:val="1"/>
          <w:bCs w:val="1"/>
          <w:i w:val="1"/>
          <w:iCs w:val="1"/>
          <w:color w:val="auto"/>
        </w:rPr>
        <w:t>Section 15.11(b)</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656"/>
        <w:spacing w:after="0" w:line="246" w:lineRule="auto"/>
        <w:tabs>
          <w:tab w:leader="none" w:pos="112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 xml:space="preserve">such Lender shall have received payment of an amount equal to the outstanding principal of its Loans and participations in L/C Borrowings, accrued interest thereon, accrued fees, and all other amounts payable to it hereunder and under the other Loan Papers (including any amounts under </w:t>
      </w:r>
      <w:r>
        <w:rPr>
          <w:rFonts w:ascii="Arial" w:cs="Arial" w:eastAsia="Arial" w:hAnsi="Arial"/>
          <w:sz w:val="20"/>
          <w:szCs w:val="20"/>
          <w:b w:val="1"/>
          <w:bCs w:val="1"/>
          <w:i w:val="1"/>
          <w:iCs w:val="1"/>
          <w:color w:val="auto"/>
        </w:rPr>
        <w:t>Section 4.5</w:t>
      </w:r>
      <w:r>
        <w:rPr>
          <w:rFonts w:ascii="Arial" w:cs="Arial" w:eastAsia="Arial" w:hAnsi="Arial"/>
          <w:sz w:val="20"/>
          <w:szCs w:val="20"/>
          <w:color w:val="auto"/>
        </w:rPr>
        <w:t>) from the assignee (to the extent of such outstanding principal and accrued interest and fees) or Borrower (in the case of all other amounts);</w:t>
      </w:r>
    </w:p>
    <w:p>
      <w:pPr>
        <w:spacing w:after="0" w:line="191" w:lineRule="exact"/>
        <w:rPr>
          <w:rFonts w:ascii="Arial" w:cs="Arial" w:eastAsia="Arial" w:hAnsi="Arial"/>
          <w:sz w:val="20"/>
          <w:szCs w:val="20"/>
          <w:color w:val="auto"/>
        </w:rPr>
      </w:pPr>
    </w:p>
    <w:p>
      <w:pPr>
        <w:ind w:firstLine="656"/>
        <w:spacing w:after="0" w:line="260" w:lineRule="auto"/>
        <w:tabs>
          <w:tab w:leader="none" w:pos="1108" w:val="left"/>
        </w:tabs>
        <w:numPr>
          <w:ilvl w:val="0"/>
          <w:numId w:val="175"/>
        </w:numPr>
        <w:rPr>
          <w:rFonts w:ascii="Arial" w:cs="Arial" w:eastAsia="Arial" w:hAnsi="Arial"/>
          <w:sz w:val="20"/>
          <w:szCs w:val="20"/>
          <w:color w:val="auto"/>
        </w:rPr>
      </w:pPr>
      <w:r>
        <w:rPr>
          <w:rFonts w:ascii="Arial" w:cs="Arial" w:eastAsia="Arial" w:hAnsi="Arial"/>
          <w:sz w:val="20"/>
          <w:szCs w:val="20"/>
          <w:color w:val="auto"/>
        </w:rPr>
        <w:t xml:space="preserve">in the case of any such assignment resulting from a claim for compensation under </w:t>
      </w:r>
      <w:r>
        <w:rPr>
          <w:rFonts w:ascii="Arial" w:cs="Arial" w:eastAsia="Arial" w:hAnsi="Arial"/>
          <w:sz w:val="20"/>
          <w:szCs w:val="20"/>
          <w:b w:val="1"/>
          <w:bCs w:val="1"/>
          <w:i w:val="1"/>
          <w:iCs w:val="1"/>
          <w:color w:val="auto"/>
        </w:rPr>
        <w:t>Section 4.4</w:t>
      </w:r>
      <w:r>
        <w:rPr>
          <w:rFonts w:ascii="Arial" w:cs="Arial" w:eastAsia="Arial" w:hAnsi="Arial"/>
          <w:sz w:val="20"/>
          <w:szCs w:val="20"/>
          <w:color w:val="auto"/>
        </w:rPr>
        <w:t xml:space="preserve"> or payments required to be made pursuant to </w:t>
      </w:r>
      <w:r>
        <w:rPr>
          <w:rFonts w:ascii="Arial" w:cs="Arial" w:eastAsia="Arial" w:hAnsi="Arial"/>
          <w:sz w:val="20"/>
          <w:szCs w:val="20"/>
          <w:b w:val="1"/>
          <w:bCs w:val="1"/>
          <w:i w:val="1"/>
          <w:iCs w:val="1"/>
          <w:color w:val="auto"/>
        </w:rPr>
        <w:t>Section 4.1</w:t>
      </w:r>
      <w:r>
        <w:rPr>
          <w:rFonts w:ascii="Arial" w:cs="Arial" w:eastAsia="Arial" w:hAnsi="Arial"/>
          <w:sz w:val="20"/>
          <w:szCs w:val="20"/>
          <w:color w:val="auto"/>
        </w:rPr>
        <w:t>, such assignment will result in a reduction in such compensation or payments thereafter;</w:t>
      </w:r>
    </w:p>
    <w:p>
      <w:pPr>
        <w:spacing w:after="0" w:line="176" w:lineRule="exact"/>
        <w:rPr>
          <w:rFonts w:ascii="Arial" w:cs="Arial" w:eastAsia="Arial" w:hAnsi="Arial"/>
          <w:sz w:val="20"/>
          <w:szCs w:val="20"/>
          <w:color w:val="auto"/>
        </w:rPr>
      </w:pPr>
    </w:p>
    <w:p>
      <w:pPr>
        <w:ind w:left="1080" w:hanging="424"/>
        <w:spacing w:after="0"/>
        <w:tabs>
          <w:tab w:leader="none" w:pos="108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Laws;</w:t>
      </w:r>
    </w:p>
    <w:p>
      <w:pPr>
        <w:spacing w:after="0" w:line="215" w:lineRule="exact"/>
        <w:rPr>
          <w:rFonts w:ascii="Arial" w:cs="Arial" w:eastAsia="Arial" w:hAnsi="Arial"/>
          <w:sz w:val="20"/>
          <w:szCs w:val="20"/>
          <w:color w:val="auto"/>
        </w:rPr>
      </w:pPr>
    </w:p>
    <w:p>
      <w:pPr>
        <w:ind w:right="20" w:firstLine="656"/>
        <w:spacing w:after="0" w:line="260" w:lineRule="auto"/>
        <w:tabs>
          <w:tab w:leader="none" w:pos="1154" w:val="left"/>
        </w:tabs>
        <w:numPr>
          <w:ilvl w:val="0"/>
          <w:numId w:val="175"/>
        </w:numPr>
        <w:rPr>
          <w:rFonts w:ascii="Arial" w:cs="Arial" w:eastAsia="Arial" w:hAnsi="Arial"/>
          <w:sz w:val="20"/>
          <w:szCs w:val="20"/>
          <w:color w:val="auto"/>
        </w:rPr>
      </w:pPr>
      <w:r>
        <w:rPr>
          <w:rFonts w:ascii="Arial" w:cs="Arial" w:eastAsia="Arial" w:hAnsi="Arial"/>
          <w:sz w:val="20"/>
          <w:szCs w:val="20"/>
          <w:color w:val="auto"/>
        </w:rPr>
        <w:t>in the case of an assignment resulting from a Lender becoming a Non-Consenting Lender, the applicable assignee shall have consented to the applicable amendment, waiver or consent.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122</w:t>
      </w:r>
    </w:p>
    <w:p>
      <w:pPr>
        <w:sectPr>
          <w:pgSz w:w="11900" w:h="16838" w:orient="portrait"/>
          <w:cols w:equalWidth="0" w:num="1">
            <w:col w:w="11420"/>
          </w:cols>
          <w:pgMar w:left="240" w:top="798" w:right="239" w:bottom="1440" w:gutter="0" w:footer="0" w:header="0"/>
        </w:sectPr>
      </w:pPr>
    </w:p>
    <w:bookmarkStart w:id="186" w:name="page187"/>
    <w:bookmarkEnd w:id="186"/>
    <w:p>
      <w:pPr>
        <w:jc w:val="both"/>
        <w:spacing w:after="0" w:line="260" w:lineRule="auto"/>
        <w:rPr>
          <w:sz w:val="20"/>
          <w:szCs w:val="20"/>
          <w:color w:val="auto"/>
        </w:rPr>
      </w:pPr>
      <w:r>
        <w:rPr>
          <w:rFonts w:ascii="Arial" w:cs="Arial" w:eastAsia="Arial" w:hAnsi="Arial"/>
          <w:sz w:val="20"/>
          <w:szCs w:val="20"/>
          <w:color w:val="auto"/>
        </w:rPr>
        <w:t>A Lender shall not be required to make any such assignment or delegation if, prior thereto, as a result of a waiver by such Lender or otherwise, the circumstances entitling Borrower to require such assignment and delegation cease to apply.</w:t>
      </w:r>
    </w:p>
    <w:p>
      <w:pPr>
        <w:spacing w:after="0" w:line="17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 xml:space="preserve">15.15 </w:t>
      </w:r>
      <w:r>
        <w:rPr>
          <w:rFonts w:ascii="Arial" w:cs="Arial" w:eastAsia="Arial" w:hAnsi="Arial"/>
          <w:sz w:val="18"/>
          <w:szCs w:val="18"/>
          <w:u w:val="single" w:color="auto"/>
          <w:color w:val="auto"/>
        </w:rPr>
        <w:t>Confidentiality</w:t>
      </w:r>
      <w:r>
        <w:rPr>
          <w:rFonts w:ascii="Arial" w:cs="Arial" w:eastAsia="Arial" w:hAnsi="Arial"/>
          <w:sz w:val="18"/>
          <w:szCs w:val="18"/>
          <w:color w:val="auto"/>
        </w:rPr>
        <w:t>. Each of Administrative Agent, Lenders, and the L/C Issuers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Paper or any action or proceeding relating to this Agreement or any other Loan Paper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derivative or other transaction under which payments are to be made by reference to Borrower and its obligations, this Agreement or payments hereunder,</w:t>
      </w:r>
    </w:p>
    <w:p>
      <w:pPr>
        <w:spacing w:after="0" w:line="9" w:lineRule="exact"/>
        <w:rPr>
          <w:sz w:val="20"/>
          <w:szCs w:val="20"/>
          <w:color w:val="auto"/>
        </w:rPr>
      </w:pPr>
    </w:p>
    <w:p>
      <w:pPr>
        <w:jc w:val="both"/>
        <w:ind w:firstLine="8"/>
        <w:spacing w:after="0" w:line="266" w:lineRule="auto"/>
        <w:tabs>
          <w:tab w:leader="none" w:pos="31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on a confidential basis to (i) any rating agency in connection with rating Borrower or its Subsidiaries or the credit facilities provided hereunder or (ii) the CUSIP Service Bureau or any similar agency in connection with the issuance and monitoring of CUSIP numbers or other market identifiers with respect to the credit facilities provided hereunder, (h) with the consent of Borrower, (i) to the extent such Information</w:t>
      </w:r>
    </w:p>
    <w:p>
      <w:pPr>
        <w:jc w:val="both"/>
        <w:ind w:firstLine="8"/>
        <w:spacing w:after="0" w:line="268" w:lineRule="auto"/>
        <w:tabs>
          <w:tab w:leader="none" w:pos="289"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becomes publicly available other than as a result of a breach of this section or (y) becomes available to Administrative Agent, any Lender, either L/C Issuer, or any of their respective Affiliates on a nonconfidential basis from a source other than Borrower, or (j) to any direct or indirect contractual counterparty in Financial Hedges or such contractual counterparty’s professional advisor (so long as such contractual counterparty or professional advisor to such contractual counterparty agrees to be bound by the provisions of this </w:t>
      </w:r>
      <w:r>
        <w:rPr>
          <w:rFonts w:ascii="Arial" w:cs="Arial" w:eastAsia="Arial" w:hAnsi="Arial"/>
          <w:sz w:val="18"/>
          <w:szCs w:val="18"/>
          <w:b w:val="1"/>
          <w:bCs w:val="1"/>
          <w:i w:val="1"/>
          <w:iCs w:val="1"/>
          <w:color w:val="auto"/>
        </w:rPr>
        <w:t>Section 15.15</w:t>
      </w:r>
      <w:r>
        <w:rPr>
          <w:rFonts w:ascii="Arial" w:cs="Arial" w:eastAsia="Arial" w:hAnsi="Arial"/>
          <w:sz w:val="18"/>
          <w:szCs w:val="18"/>
          <w:color w:val="auto"/>
        </w:rPr>
        <w:t>). For purposes of this section, “</w:t>
      </w:r>
      <w:r>
        <w:rPr>
          <w:rFonts w:ascii="Arial" w:cs="Arial" w:eastAsia="Arial" w:hAnsi="Arial"/>
          <w:sz w:val="18"/>
          <w:szCs w:val="18"/>
          <w:b w:val="1"/>
          <w:bCs w:val="1"/>
          <w:i w:val="1"/>
          <w:iCs w:val="1"/>
          <w:color w:val="auto"/>
        </w:rPr>
        <w:t>Information</w:t>
      </w:r>
      <w:r>
        <w:rPr>
          <w:rFonts w:ascii="Arial" w:cs="Arial" w:eastAsia="Arial" w:hAnsi="Arial"/>
          <w:sz w:val="18"/>
          <w:szCs w:val="18"/>
          <w:color w:val="auto"/>
        </w:rPr>
        <w:t xml:space="preserve">” means all information received from any Restricted Company relating to any Restricted Company or any of their respective businesses, other than any such information that is available to Administrative Agent or any Lender on a nonconfidential basis prior to disclosure by any Restricted Company, </w:t>
      </w:r>
      <w:r>
        <w:rPr>
          <w:rFonts w:ascii="Arial" w:cs="Arial" w:eastAsia="Arial" w:hAnsi="Arial"/>
          <w:sz w:val="18"/>
          <w:szCs w:val="18"/>
          <w:i w:val="1"/>
          <w:iCs w:val="1"/>
          <w:color w:val="auto"/>
        </w:rPr>
        <w:t>provided that</w:t>
      </w:r>
      <w:r>
        <w:rPr>
          <w:rFonts w:ascii="Arial" w:cs="Arial" w:eastAsia="Arial" w:hAnsi="Arial"/>
          <w:sz w:val="18"/>
          <w:szCs w:val="18"/>
          <w:color w:val="auto"/>
        </w:rPr>
        <w:t>, in the case of information received from a Restricted Company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Each of Administrative Agent, Lenders, and the L/C Issuers acknowledges that (a) the Information may include material non-public information concerning any Company, as the case may be, (b) it has developed compliance procedures regarding the use of material non-public information, and (c) it will handle such material non-public information in accordance with applicable Law, including Federal and state securities Laws.</w:t>
      </w:r>
    </w:p>
    <w:p>
      <w:pPr>
        <w:spacing w:after="0" w:line="39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 xml:space="preserve">15.16 </w:t>
      </w:r>
      <w:r>
        <w:rPr>
          <w:rFonts w:ascii="Arial" w:cs="Arial" w:eastAsia="Arial" w:hAnsi="Arial"/>
          <w:sz w:val="18"/>
          <w:szCs w:val="18"/>
          <w:u w:val="single" w:color="auto"/>
          <w:color w:val="auto"/>
        </w:rPr>
        <w:t>No Advisory or Fiduciary Responsibility</w:t>
      </w:r>
      <w:r>
        <w:rPr>
          <w:rFonts w:ascii="Arial" w:cs="Arial" w:eastAsia="Arial" w:hAnsi="Arial"/>
          <w:sz w:val="18"/>
          <w:szCs w:val="18"/>
          <w:color w:val="auto"/>
        </w:rPr>
        <w:t>. In connection with all aspects of each transaction contemplated hereby (including in connection with any amendment, waiver, or other modification hereof or of any other Loan Paper), Borrower acknowledges and agrees that: (i)</w:t>
      </w:r>
    </w:p>
    <w:p>
      <w:pPr>
        <w:spacing w:after="0" w:line="1" w:lineRule="exact"/>
        <w:rPr>
          <w:sz w:val="20"/>
          <w:szCs w:val="20"/>
          <w:color w:val="auto"/>
        </w:rPr>
      </w:pPr>
    </w:p>
    <w:p>
      <w:pPr>
        <w:jc w:val="both"/>
        <w:ind w:firstLine="8"/>
        <w:spacing w:after="0" w:line="276" w:lineRule="auto"/>
        <w:tabs>
          <w:tab w:leader="none" w:pos="33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arranging and other services regarding this Agreement provided by Administrative Agent, the Joint Lead Arrangers and the Lenders, are arm’s-length commercial transactions between Borrower and its Affiliates, on the one hand, and Administrative Agent, the Joint Lead Arrangers and the Lenders, on the other hand, (B) Borrower has consulted its own legal, accounting, regulatory, and tax advisors to the extent it has deemed appropriate, and (C) Borrower is capable of evaluating, and understands and accepts, the terms, risks, and conditions of the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123</w:t>
      </w:r>
    </w:p>
    <w:p>
      <w:pPr>
        <w:sectPr>
          <w:pgSz w:w="11900" w:h="16838" w:orient="portrait"/>
          <w:cols w:equalWidth="0" w:num="1">
            <w:col w:w="11420"/>
          </w:cols>
          <w:pgMar w:left="240" w:top="582" w:right="239" w:bottom="1440" w:gutter="0" w:footer="0" w:header="0"/>
        </w:sectPr>
      </w:pPr>
    </w:p>
    <w:bookmarkStart w:id="187" w:name="page188"/>
    <w:bookmarkEnd w:id="187"/>
    <w:p>
      <w:pPr>
        <w:jc w:val="both"/>
        <w:spacing w:after="0" w:line="271" w:lineRule="auto"/>
        <w:rPr>
          <w:sz w:val="20"/>
          <w:szCs w:val="20"/>
          <w:color w:val="auto"/>
        </w:rPr>
      </w:pPr>
      <w:r>
        <w:rPr>
          <w:rFonts w:ascii="Arial" w:cs="Arial" w:eastAsia="Arial" w:hAnsi="Arial"/>
          <w:sz w:val="18"/>
          <w:szCs w:val="18"/>
          <w:color w:val="auto"/>
        </w:rPr>
        <w:t>transactions contemplated hereby and by the other Loan Papers; (ii)(A) each of Administrative Agent, the Joint Lead Arrangers and the Lenders is and has been acting solely as a principal and, except as expressly agreed in writing by the relevant parties, has not been, is not, and will not be acting as an advisor, agent, or fiduciary for Borrower or any of its Affiliates, or any other Person and (B) neither Administrative Agent nor any Joint Lead Arranger or Lender has any obligation to Borrower or any of its Affiliates with respect to the transactions contemplated hereby except those obligations expressly set forth herein and in the other Loan Papers; and (iii) Administrative Agent, Joint Lead Arrangers, the Lender and their respective Affiliates may be engaged in a broad range of transactions that involve interests that differ from those of Borrower and its Affiliates, and neither Administrative Agent, nor Joint Lead Arrangers, nor any Lender has any obligation to disclose any of such interests to Borrower or its Affiliates. To the fullest extent permitted by law, Borrower hereby waives and releases any claims that it may have against Administrative Agent, Joint Lead Arrangers and the Lenders with respect to any breach or alleged breach of agency or fiduciary duty in connection with any aspect of any transaction contemplated hereby.</w:t>
      </w:r>
    </w:p>
    <w:p>
      <w:pPr>
        <w:spacing w:after="0" w:line="39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15.17 </w:t>
      </w:r>
      <w:r>
        <w:rPr>
          <w:rFonts w:ascii="Arial" w:cs="Arial" w:eastAsia="Arial" w:hAnsi="Arial"/>
          <w:sz w:val="19"/>
          <w:szCs w:val="19"/>
          <w:u w:val="single" w:color="auto"/>
          <w:color w:val="auto"/>
        </w:rPr>
        <w:t>USA PATRIOT Act Notice</w:t>
      </w:r>
      <w:r>
        <w:rPr>
          <w:rFonts w:ascii="Arial" w:cs="Arial" w:eastAsia="Arial" w:hAnsi="Arial"/>
          <w:sz w:val="19"/>
          <w:szCs w:val="19"/>
          <w:color w:val="auto"/>
        </w:rPr>
        <w:t>. Each Lender that is subject to the Act (as hereinafter defined) and Administrative Agent (for itself and not on behalf of any Lender) hereby notifies Borrower that pursuant to the requirements of the USA Patriot Act (Title III of Pub. L. 107-56 (signed into law October 26, 2001)) (the “</w:t>
      </w:r>
      <w:r>
        <w:rPr>
          <w:rFonts w:ascii="Arial" w:cs="Arial" w:eastAsia="Arial" w:hAnsi="Arial"/>
          <w:sz w:val="19"/>
          <w:szCs w:val="19"/>
          <w:b w:val="1"/>
          <w:bCs w:val="1"/>
          <w:i w:val="1"/>
          <w:iCs w:val="1"/>
          <w:color w:val="auto"/>
        </w:rPr>
        <w:t>Act</w:t>
      </w:r>
      <w:r>
        <w:rPr>
          <w:rFonts w:ascii="Arial" w:cs="Arial" w:eastAsia="Arial" w:hAnsi="Arial"/>
          <w:sz w:val="19"/>
          <w:szCs w:val="19"/>
          <w:color w:val="auto"/>
        </w:rPr>
        <w:t>”), it is required to obtain, verify, and record information that identifies Borrower, which information includes the name and address of Borrower and other information that will allow such Lender or Administrative Agent, as applicable, to identify Borrower in accordance with the Act. Borrower shall, promptly following a request by Administrative Agent or any Lender, provide all documentation and other information that Administrative Agent or such Lender requests in order to comply with its ongoing obligations under applicable “</w:t>
      </w:r>
      <w:r>
        <w:rPr>
          <w:rFonts w:ascii="Arial" w:cs="Arial" w:eastAsia="Arial" w:hAnsi="Arial"/>
          <w:sz w:val="19"/>
          <w:szCs w:val="19"/>
          <w:i w:val="1"/>
          <w:iCs w:val="1"/>
          <w:color w:val="auto"/>
        </w:rPr>
        <w:t>know your customer</w:t>
      </w:r>
      <w:r>
        <w:rPr>
          <w:rFonts w:ascii="Arial" w:cs="Arial" w:eastAsia="Arial" w:hAnsi="Arial"/>
          <w:sz w:val="19"/>
          <w:szCs w:val="19"/>
          <w:color w:val="auto"/>
        </w:rPr>
        <w:t>” and anti-money laundering rules and regulations, including the Act.</w:t>
      </w:r>
    </w:p>
    <w:p>
      <w:pPr>
        <w:spacing w:after="0" w:line="17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15.18 </w:t>
      </w:r>
      <w:r>
        <w:rPr>
          <w:rFonts w:ascii="Arial" w:cs="Arial" w:eastAsia="Arial" w:hAnsi="Arial"/>
          <w:sz w:val="20"/>
          <w:szCs w:val="20"/>
          <w:u w:val="single" w:color="auto"/>
          <w:color w:val="auto"/>
        </w:rPr>
        <w:t>Survival of Representations and Warranties</w:t>
      </w:r>
      <w:r>
        <w:rPr>
          <w:rFonts w:ascii="Arial" w:cs="Arial" w:eastAsia="Arial" w:hAnsi="Arial"/>
          <w:sz w:val="20"/>
          <w:szCs w:val="20"/>
          <w:color w:val="auto"/>
        </w:rPr>
        <w:t>. All representations and warranties made hereunder and in any other Loan Paper or other document delivered pursuant hereto or thereto or in connection herewith or therewith shall survive the execution and delivery hereof and thereof. Such representations and warranties have been or will be relied upon by Administrative Agent and each Lender, regardless of any investigation made by Administrative Agent or any Lender or on their behalf and notwithstanding that Administrative Agent or any Lender may have had notice or knowledge of any Default or Potential Default at the time of any Loan or L/C Credit Extension, and shall continue in full force and effect as long as any Loan or any other Obligation hereunder shall remain unpaid or unsatisfied or any L/C shall remain outstanding.</w:t>
      </w:r>
    </w:p>
    <w:p>
      <w:pPr>
        <w:spacing w:after="0" w:line="19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15.19</w:t>
      </w:r>
      <w:r>
        <w:rPr>
          <w:sz w:val="20"/>
          <w:szCs w:val="20"/>
          <w:color w:val="auto"/>
        </w:rPr>
        <w:tab/>
      </w:r>
      <w:r>
        <w:rPr>
          <w:rFonts w:ascii="Arial" w:cs="Arial" w:eastAsia="Arial" w:hAnsi="Arial"/>
          <w:sz w:val="16"/>
          <w:szCs w:val="16"/>
          <w:u w:val="single" w:color="auto"/>
          <w:color w:val="auto"/>
        </w:rPr>
        <w:t>Execution of Assignments and Certain Other Documents.</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The words “execution,” “execute,” “signed,” “signature,” and words of like import in or related to any document to be signed in connection with this Agreement and the transactions contemplated hereby (including without limitation Assignment and Assumptions, amendments or other Loan Notices, Swing Line Loan Notices, waivers and consents) shall be deemed to include electronic signatures, the electronic matching of assignment terms and contract formations on electronic platforms approved by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notwithstanding anything contained herein to the contrary e Administrative Agent is under no obligation to agree to accept electronic signatures in any form or in any format unless expressly agreed to by Administrative Agent pursuant to procedures approved by it.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124</w:t>
      </w:r>
    </w:p>
    <w:p>
      <w:pPr>
        <w:sectPr>
          <w:pgSz w:w="11900" w:h="16838" w:orient="portrait"/>
          <w:cols w:equalWidth="0" w:num="1">
            <w:col w:w="11420"/>
          </w:cols>
          <w:pgMar w:left="240" w:top="798" w:right="239" w:bottom="1440" w:gutter="0" w:footer="0" w:header="0"/>
        </w:sectPr>
      </w:pPr>
    </w:p>
    <w:bookmarkStart w:id="188" w:name="page189"/>
    <w:bookmarkEnd w:id="188"/>
    <w:p>
      <w:pPr>
        <w:jc w:val="both"/>
        <w:ind w:firstLine="648"/>
        <w:spacing w:after="0" w:line="246" w:lineRule="auto"/>
        <w:rPr>
          <w:sz w:val="20"/>
          <w:szCs w:val="20"/>
          <w:color w:val="auto"/>
        </w:rPr>
      </w:pPr>
      <w:r>
        <w:rPr>
          <w:rFonts w:ascii="Arial" w:cs="Arial" w:eastAsia="Arial" w:hAnsi="Arial"/>
          <w:sz w:val="20"/>
          <w:szCs w:val="20"/>
          <w:color w:val="auto"/>
        </w:rPr>
        <w:t xml:space="preserve">15.20 </w:t>
      </w:r>
      <w:r>
        <w:rPr>
          <w:rFonts w:ascii="Arial" w:cs="Arial" w:eastAsia="Arial" w:hAnsi="Arial"/>
          <w:sz w:val="20"/>
          <w:szCs w:val="20"/>
          <w:b w:val="1"/>
          <w:bCs w:val="1"/>
          <w:u w:val="single" w:color="auto"/>
          <w:color w:val="auto"/>
        </w:rPr>
        <w:t>ENTIRE AGREEMENT</w:t>
      </w:r>
      <w:r>
        <w:rPr>
          <w:rFonts w:ascii="Arial" w:cs="Arial" w:eastAsia="Arial" w:hAnsi="Arial"/>
          <w:sz w:val="20"/>
          <w:szCs w:val="20"/>
          <w:color w:val="auto"/>
        </w:rPr>
        <w:t>.</w:t>
      </w:r>
      <w:r>
        <w:rPr>
          <w:rFonts w:ascii="Arial" w:cs="Arial" w:eastAsia="Arial" w:hAnsi="Arial"/>
          <w:sz w:val="20"/>
          <w:szCs w:val="20"/>
          <w:b w:val="1"/>
          <w:bCs w:val="1"/>
          <w:color w:val="auto"/>
        </w:rPr>
        <w:t>THIS AGREEMENT AND THE OTHER LOAN PAPERS REPRESENT THE FINAL</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AGREEMENT AMONG THE PARTIES AND MAY NOT BE CONTRADICTED BY EVIDENCE OF PRIOR, CONTEMPORANEOUS, OR SUBSEQUENT ORAL AGREEMENTS OF THE PARTIES. THERE ARE NO UNWRITTEN ORAL AGREEMENTS AMONG THE PARTIES. </w:t>
      </w:r>
      <w:r>
        <w:rPr>
          <w:rFonts w:ascii="Arial" w:cs="Arial" w:eastAsia="Arial" w:hAnsi="Arial"/>
          <w:sz w:val="20"/>
          <w:szCs w:val="20"/>
          <w:color w:val="auto"/>
        </w:rPr>
        <w:t>This Agreement supersedes all prior written agreements and understandings relating to the</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matter hereof and may be supplemented only by documents delivered in accordance with the terms hereof.</w:t>
      </w: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15.21 </w:t>
      </w:r>
      <w:r>
        <w:rPr>
          <w:rFonts w:ascii="Arial" w:cs="Arial" w:eastAsia="Arial" w:hAnsi="Arial"/>
          <w:sz w:val="18"/>
          <w:szCs w:val="18"/>
          <w:u w:val="single" w:color="auto"/>
          <w:color w:val="auto"/>
        </w:rPr>
        <w:t>Restatement of Existing Agreement</w:t>
      </w:r>
      <w:r>
        <w:rPr>
          <w:rFonts w:ascii="Arial" w:cs="Arial" w:eastAsia="Arial" w:hAnsi="Arial"/>
          <w:sz w:val="18"/>
          <w:szCs w:val="18"/>
          <w:color w:val="auto"/>
        </w:rPr>
        <w:t xml:space="preserve">. The parties hereto agree that, on the Closing Date, after all conditions precedent set forth in </w:t>
      </w:r>
      <w:r>
        <w:rPr>
          <w:rFonts w:ascii="Arial" w:cs="Arial" w:eastAsia="Arial" w:hAnsi="Arial"/>
          <w:sz w:val="18"/>
          <w:szCs w:val="18"/>
          <w:b w:val="1"/>
          <w:bCs w:val="1"/>
          <w:i w:val="1"/>
          <w:iCs w:val="1"/>
          <w:color w:val="auto"/>
        </w:rPr>
        <w:t>Section 7.1</w:t>
      </w:r>
      <w:r>
        <w:rPr>
          <w:rFonts w:ascii="Arial" w:cs="Arial" w:eastAsia="Arial" w:hAnsi="Arial"/>
          <w:sz w:val="18"/>
          <w:szCs w:val="18"/>
          <w:color w:val="auto"/>
        </w:rPr>
        <w:t xml:space="preserve"> have been satisfied or waived: (a) the Obligation (as defined in this Agreement) represents, among other things, the restatement, renewal, amendment, extension, and modification of the </w:t>
      </w:r>
      <w:r>
        <w:rPr>
          <w:rFonts w:ascii="Arial" w:cs="Arial" w:eastAsia="Arial" w:hAnsi="Arial"/>
          <w:sz w:val="18"/>
          <w:szCs w:val="18"/>
          <w:i w:val="1"/>
          <w:iCs w:val="1"/>
          <w:color w:val="auto"/>
        </w:rPr>
        <w:t>“Obligation”</w:t>
      </w:r>
      <w:r>
        <w:rPr>
          <w:rFonts w:ascii="Arial" w:cs="Arial" w:eastAsia="Arial" w:hAnsi="Arial"/>
          <w:sz w:val="18"/>
          <w:szCs w:val="18"/>
          <w:color w:val="auto"/>
        </w:rPr>
        <w:t xml:space="preserve"> (as defined in the Existing Agreement); (b) this Agreement is intended to, and does hereby, restate, renew, extend, amend, modify, supersede, and replace the Existing Agreement in its entirety; (c) the Notes, if any, executed pursuant to this Agreement amend, renew, extend, modify, replace, restate, substitute for, and supersede in their entirety (but do not extinguish the Debt arising under) the promissory notes issued pursuant to the Existing Agreement, which existing promissory notes shall be returned to Administrative Agent promptly after the Closing Date, marked </w:t>
      </w:r>
      <w:r>
        <w:rPr>
          <w:rFonts w:ascii="Arial" w:cs="Arial" w:eastAsia="Arial" w:hAnsi="Arial"/>
          <w:sz w:val="18"/>
          <w:szCs w:val="18"/>
          <w:i w:val="1"/>
          <w:iCs w:val="1"/>
          <w:color w:val="auto"/>
        </w:rPr>
        <w:t>“canceled and replaced”</w:t>
      </w:r>
      <w:r>
        <w:rPr>
          <w:rFonts w:ascii="Arial" w:cs="Arial" w:eastAsia="Arial" w:hAnsi="Arial"/>
          <w:sz w:val="18"/>
          <w:szCs w:val="18"/>
          <w:color w:val="auto"/>
        </w:rPr>
        <w:t>; (d) each Confirmation of Pledge Agreement executed pursuant to this Agreement ratifies and confirms (but does not extinguish or impair the collateral security created or evidenced by) the “</w:t>
      </w:r>
      <w:r>
        <w:rPr>
          <w:rFonts w:ascii="Arial" w:cs="Arial" w:eastAsia="Arial" w:hAnsi="Arial"/>
          <w:sz w:val="18"/>
          <w:szCs w:val="18"/>
          <w:i w:val="1"/>
          <w:iCs w:val="1"/>
          <w:color w:val="auto"/>
        </w:rPr>
        <w:t>Pledge Agreement</w:t>
      </w:r>
      <w:r>
        <w:rPr>
          <w:rFonts w:ascii="Arial" w:cs="Arial" w:eastAsia="Arial" w:hAnsi="Arial"/>
          <w:sz w:val="18"/>
          <w:szCs w:val="18"/>
          <w:color w:val="auto"/>
        </w:rPr>
        <w:t>” executed and delivered by the “</w:t>
      </w:r>
      <w:r>
        <w:rPr>
          <w:rFonts w:ascii="Arial" w:cs="Arial" w:eastAsia="Arial" w:hAnsi="Arial"/>
          <w:sz w:val="18"/>
          <w:szCs w:val="18"/>
          <w:i w:val="1"/>
          <w:iCs w:val="1"/>
          <w:color w:val="auto"/>
        </w:rPr>
        <w:t>Debtor</w:t>
      </w:r>
      <w:r>
        <w:rPr>
          <w:rFonts w:ascii="Arial" w:cs="Arial" w:eastAsia="Arial" w:hAnsi="Arial"/>
          <w:sz w:val="18"/>
          <w:szCs w:val="18"/>
          <w:color w:val="auto"/>
        </w:rPr>
        <w:t>” named therein pursuant to the Original Agreement and all subsequent amendments and restatements thereof (including, without limitation, the Existing Agreement); (e) the Confirmation of Guaranty executed pursuant to this Agreement ratifies and confirms (but does not extinguish or impair the “</w:t>
      </w:r>
      <w:r>
        <w:rPr>
          <w:rFonts w:ascii="Arial" w:cs="Arial" w:eastAsia="Arial" w:hAnsi="Arial"/>
          <w:sz w:val="18"/>
          <w:szCs w:val="18"/>
          <w:i w:val="1"/>
          <w:iCs w:val="1"/>
          <w:color w:val="auto"/>
        </w:rPr>
        <w:t>Guaranteed Debt</w:t>
      </w:r>
      <w:r>
        <w:rPr>
          <w:rFonts w:ascii="Arial" w:cs="Arial" w:eastAsia="Arial" w:hAnsi="Arial"/>
          <w:sz w:val="18"/>
          <w:szCs w:val="18"/>
          <w:color w:val="auto"/>
        </w:rPr>
        <w:t>” guaranteed by) the “</w:t>
      </w:r>
      <w:r>
        <w:rPr>
          <w:rFonts w:ascii="Arial" w:cs="Arial" w:eastAsia="Arial" w:hAnsi="Arial"/>
          <w:sz w:val="18"/>
          <w:szCs w:val="18"/>
          <w:i w:val="1"/>
          <w:iCs w:val="1"/>
          <w:color w:val="auto"/>
        </w:rPr>
        <w:t>Guaranty</w:t>
      </w:r>
      <w:r>
        <w:rPr>
          <w:rFonts w:ascii="Arial" w:cs="Arial" w:eastAsia="Arial" w:hAnsi="Arial"/>
          <w:sz w:val="18"/>
          <w:szCs w:val="18"/>
          <w:color w:val="auto"/>
        </w:rPr>
        <w:t>” executed and delivered pursuant to the Original Agreement and all subsequent amendments and restatements thereof (including, without limitation, the Existing Agreement); and (f) the entering into and performance of their respective obligations under the Loan Papers and the transactions evidenced hereby do not constitute a novation nor shall they be deemed to have terminated, extinguished, or discharged the “</w:t>
      </w:r>
      <w:r>
        <w:rPr>
          <w:rFonts w:ascii="Arial" w:cs="Arial" w:eastAsia="Arial" w:hAnsi="Arial"/>
          <w:sz w:val="18"/>
          <w:szCs w:val="18"/>
          <w:i w:val="1"/>
          <w:iCs w:val="1"/>
          <w:color w:val="auto"/>
        </w:rPr>
        <w:t>Debt</w:t>
      </w:r>
      <w:r>
        <w:rPr>
          <w:rFonts w:ascii="Arial" w:cs="Arial" w:eastAsia="Arial" w:hAnsi="Arial"/>
          <w:sz w:val="18"/>
          <w:szCs w:val="18"/>
          <w:color w:val="auto"/>
        </w:rPr>
        <w:t>” under the Existing Agreement, the Security Documents, the Guaranty, or the other Loan Papers (or the collateral security therefore), all of which Debt and Collateral shall continue under and be governed by this Agreement and the other Loan Papers, except as expressly provided otherwise herein.</w:t>
      </w:r>
    </w:p>
    <w:p>
      <w:pPr>
        <w:spacing w:after="0" w:line="175"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6"/>
          <w:szCs w:val="16"/>
          <w:color w:val="auto"/>
        </w:rPr>
        <w:t xml:space="preserve">15.22 </w:t>
      </w:r>
      <w:r>
        <w:rPr>
          <w:rFonts w:ascii="Arial" w:cs="Arial" w:eastAsia="Arial" w:hAnsi="Arial"/>
          <w:sz w:val="16"/>
          <w:szCs w:val="16"/>
          <w:u w:val="single" w:color="auto"/>
          <w:color w:val="auto"/>
        </w:rPr>
        <w:t>Judgment Currency</w:t>
      </w:r>
      <w:r>
        <w:rPr>
          <w:rFonts w:ascii="Arial" w:cs="Arial" w:eastAsia="Arial" w:hAnsi="Arial"/>
          <w:sz w:val="16"/>
          <w:szCs w:val="16"/>
          <w:color w:val="auto"/>
        </w:rPr>
        <w:t>. If, for the purposes of obtaining judgment in any court, it is necessary to convert a sum due hereunder or any other Loan Paper in one currency into another currency, the rate of exchange used shall be that at which in accordance with normal banking procedures Administrative Agent could purchase the first currency with such other currency on the Business Day preceding that on which final judgment is given. The obligation of Borrower in respect of any such sum due from it to Administrative Agent or any L/C Issuer hereunder or under the other Loan Papers shall, notwithstanding any judgment in a currency (the “</w:t>
      </w:r>
      <w:r>
        <w:rPr>
          <w:rFonts w:ascii="Arial" w:cs="Arial" w:eastAsia="Arial" w:hAnsi="Arial"/>
          <w:sz w:val="16"/>
          <w:szCs w:val="16"/>
          <w:b w:val="1"/>
          <w:bCs w:val="1"/>
          <w:i w:val="1"/>
          <w:iCs w:val="1"/>
          <w:color w:val="auto"/>
        </w:rPr>
        <w:t>Judgment Currency</w:t>
      </w:r>
      <w:r>
        <w:rPr>
          <w:rFonts w:ascii="Arial" w:cs="Arial" w:eastAsia="Arial" w:hAnsi="Arial"/>
          <w:sz w:val="16"/>
          <w:szCs w:val="16"/>
          <w:color w:val="auto"/>
        </w:rPr>
        <w:t>”) other than that in which such sum is denominated in accordance with the applicable provisions of this Agreement (the “</w:t>
      </w:r>
      <w:r>
        <w:rPr>
          <w:rFonts w:ascii="Arial" w:cs="Arial" w:eastAsia="Arial" w:hAnsi="Arial"/>
          <w:sz w:val="16"/>
          <w:szCs w:val="16"/>
          <w:b w:val="1"/>
          <w:bCs w:val="1"/>
          <w:i w:val="1"/>
          <w:iCs w:val="1"/>
          <w:color w:val="auto"/>
        </w:rPr>
        <w:t>Agreement Currency</w:t>
      </w:r>
      <w:r>
        <w:rPr>
          <w:rFonts w:ascii="Arial" w:cs="Arial" w:eastAsia="Arial" w:hAnsi="Arial"/>
          <w:sz w:val="16"/>
          <w:szCs w:val="16"/>
          <w:color w:val="auto"/>
        </w:rPr>
        <w:t>”), be discharged only to the extent that on the Business Day following receipt by Administrative Agent or such L/C Issuer, as the case may be, of any sum adjudged to be so due in the Judgment Currency, Administrative Agent or such L/C Issuer, as the case may be, may in accordance with normal banking procedures purchase the Agreement Currency with the Judgment Currency. If the amount of the Agreement Currency so purchased is less than the sum originally due to Administrative Agent or any L/C Issuer from Borrower in the Agreement Currency, Borrower agrees, as a separate obligation and notwithstanding any such judgment, to indemnify Administrative Agent or such L/C Issuer, as the case may be, against such loss. If the amount of the Agreement Currency so purchased is greater than the sum originally due to Administrative Agent or any L/C Issuer in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125</w:t>
      </w:r>
    </w:p>
    <w:p>
      <w:pPr>
        <w:sectPr>
          <w:pgSz w:w="11900" w:h="16838" w:orient="portrait"/>
          <w:cols w:equalWidth="0" w:num="1">
            <w:col w:w="11420"/>
          </w:cols>
          <w:pgMar w:left="240" w:top="792" w:right="239" w:bottom="1440" w:gutter="0" w:footer="0" w:header="0"/>
        </w:sectPr>
      </w:pPr>
    </w:p>
    <w:bookmarkStart w:id="189" w:name="page190"/>
    <w:bookmarkEnd w:id="189"/>
    <w:p>
      <w:pPr>
        <w:jc w:val="both"/>
        <w:spacing w:after="0" w:line="260" w:lineRule="auto"/>
        <w:rPr>
          <w:sz w:val="20"/>
          <w:szCs w:val="20"/>
          <w:color w:val="auto"/>
        </w:rPr>
      </w:pPr>
      <w:r>
        <w:rPr>
          <w:rFonts w:ascii="Arial" w:cs="Arial" w:eastAsia="Arial" w:hAnsi="Arial"/>
          <w:sz w:val="20"/>
          <w:szCs w:val="20"/>
          <w:color w:val="auto"/>
        </w:rPr>
        <w:t>such currency, Administrative Agent or such L/C Issuer, as the case may be, agrees to return the amount of any excess to Borrower (or to any other Person who may be entitled thereto under applicable law).</w:t>
      </w:r>
    </w:p>
    <w:p>
      <w:pPr>
        <w:spacing w:after="0" w:line="39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15.23 ERISA. Each Lender as of the Closing Date represents and warrants as of the Closing Date to the Administrative Agent and their respective Affiliates, and not, for the avoidance of doubt, for the benefit of the Borrower or any other Loan Party, that such Lender is not and will not be (a) an employee benefit plan subject to Title I of ERISA, (b) a plan or account subject to Section 4975 of the Code, (c) an entity deemed to hold “plan assets” of any such plans or accounts for purposes of ERISA or the Code or (d) a “governmental plan” within the meaning of ERISA.</w:t>
      </w:r>
    </w:p>
    <w:p>
      <w:pPr>
        <w:spacing w:after="0" w:line="19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15.24 </w:t>
      </w:r>
      <w:r>
        <w:rPr>
          <w:rFonts w:ascii="Arial" w:cs="Arial" w:eastAsia="Arial" w:hAnsi="Arial"/>
          <w:sz w:val="18"/>
          <w:szCs w:val="18"/>
          <w:u w:val="single" w:color="auto"/>
          <w:color w:val="auto"/>
        </w:rPr>
        <w:t>Acknowledgement and Consent to Bail-In of EEA Financial Institutions</w:t>
      </w:r>
      <w:r>
        <w:rPr>
          <w:rFonts w:ascii="Arial" w:cs="Arial" w:eastAsia="Arial" w:hAnsi="Arial"/>
          <w:sz w:val="18"/>
          <w:szCs w:val="18"/>
          <w:color w:val="auto"/>
        </w:rPr>
        <w:t>. Notwithstanding anything to the contrary in any Loan Paper or in any other agreement, arrangement or understanding among any such parties, each party hereto acknowledges that any liability of any Lender that is an EEA Financial Institution arising under any Loan Paper, to the extent such liability is unsecured, may be subject to the write-down and conversion powers of an EEA Resolution Authority and agrees and consents to, and acknowledges and agrees to be bound by:</w:t>
      </w:r>
    </w:p>
    <w:p>
      <w:pPr>
        <w:spacing w:after="0" w:line="162" w:lineRule="exact"/>
        <w:rPr>
          <w:sz w:val="20"/>
          <w:szCs w:val="20"/>
          <w:color w:val="auto"/>
        </w:rPr>
      </w:pPr>
    </w:p>
    <w:p>
      <w:pPr>
        <w:ind w:firstLine="656"/>
        <w:spacing w:after="0" w:line="260" w:lineRule="auto"/>
        <w:tabs>
          <w:tab w:leader="none" w:pos="1195" w:val="left"/>
        </w:tabs>
        <w:numPr>
          <w:ilvl w:val="0"/>
          <w:numId w:val="179"/>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an EEA Resolution Authority to any such liabilities arising hereunder which may be payable to it by any Lender that is an EEA Financial Institution; and</w:t>
      </w:r>
    </w:p>
    <w:p>
      <w:pPr>
        <w:spacing w:after="0" w:line="176" w:lineRule="exact"/>
        <w:rPr>
          <w:rFonts w:ascii="Arial" w:cs="Arial" w:eastAsia="Arial" w:hAnsi="Arial"/>
          <w:sz w:val="20"/>
          <w:szCs w:val="20"/>
          <w:color w:val="auto"/>
        </w:rPr>
      </w:pPr>
    </w:p>
    <w:p>
      <w:pPr>
        <w:ind w:left="1080" w:hanging="424"/>
        <w:spacing w:after="0"/>
        <w:tabs>
          <w:tab w:leader="none" w:pos="108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15" w:lineRule="exact"/>
        <w:rPr>
          <w:rFonts w:ascii="Arial" w:cs="Arial" w:eastAsia="Arial" w:hAnsi="Arial"/>
          <w:sz w:val="20"/>
          <w:szCs w:val="20"/>
          <w:color w:val="auto"/>
        </w:rPr>
      </w:pPr>
    </w:p>
    <w:p>
      <w:pPr>
        <w:ind w:left="1680" w:hanging="375"/>
        <w:spacing w:after="0"/>
        <w:tabs>
          <w:tab w:leader="none" w:pos="1680" w:val="left"/>
        </w:tabs>
        <w:numPr>
          <w:ilvl w:val="1"/>
          <w:numId w:val="179"/>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15" w:lineRule="exact"/>
        <w:rPr>
          <w:rFonts w:ascii="Arial" w:cs="Arial" w:eastAsia="Arial" w:hAnsi="Arial"/>
          <w:sz w:val="20"/>
          <w:szCs w:val="20"/>
          <w:color w:val="auto"/>
        </w:rPr>
      </w:pPr>
    </w:p>
    <w:p>
      <w:pPr>
        <w:jc w:val="both"/>
        <w:ind w:left="660" w:firstLine="645"/>
        <w:spacing w:after="0" w:line="246" w:lineRule="auto"/>
        <w:tabs>
          <w:tab w:leader="none" w:pos="1809" w:val="left"/>
        </w:tabs>
        <w:numPr>
          <w:ilvl w:val="1"/>
          <w:numId w:val="179"/>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Paper; or</w:t>
      </w:r>
    </w:p>
    <w:p>
      <w:pPr>
        <w:spacing w:after="0" w:line="191" w:lineRule="exact"/>
        <w:rPr>
          <w:rFonts w:ascii="Arial" w:cs="Arial" w:eastAsia="Arial" w:hAnsi="Arial"/>
          <w:sz w:val="20"/>
          <w:szCs w:val="20"/>
          <w:color w:val="auto"/>
        </w:rPr>
      </w:pPr>
    </w:p>
    <w:p>
      <w:pPr>
        <w:ind w:left="660" w:firstLine="645"/>
        <w:spacing w:after="0" w:line="260" w:lineRule="auto"/>
        <w:tabs>
          <w:tab w:leader="none" w:pos="1850" w:val="left"/>
        </w:tabs>
        <w:numPr>
          <w:ilvl w:val="1"/>
          <w:numId w:val="179"/>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any EEA Resolution Authority.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i w:val="1"/>
          <w:i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126</w:t>
      </w:r>
    </w:p>
    <w:p>
      <w:pPr>
        <w:sectPr>
          <w:pgSz w:w="11900" w:h="16838" w:orient="portrait"/>
          <w:cols w:equalWidth="0" w:num="1">
            <w:col w:w="11420"/>
          </w:cols>
          <w:pgMar w:left="240" w:top="798" w:right="239" w:bottom="1440" w:gutter="0" w:footer="0" w:header="0"/>
        </w:sectPr>
      </w:pPr>
    </w:p>
    <w:bookmarkStart w:id="190" w:name="page191"/>
    <w:bookmarkEnd w:id="190"/>
    <w:p>
      <w:pPr>
        <w:jc w:val="center"/>
        <w:spacing w:after="0"/>
        <w:rPr>
          <w:sz w:val="20"/>
          <w:szCs w:val="20"/>
          <w:color w:val="auto"/>
        </w:rPr>
      </w:pPr>
      <w:r>
        <w:rPr>
          <w:rFonts w:ascii="Arial" w:cs="Arial" w:eastAsia="Arial" w:hAnsi="Arial"/>
          <w:sz w:val="20"/>
          <w:szCs w:val="20"/>
          <w:b w:val="1"/>
          <w:bCs w:val="1"/>
          <w:u w:val="single" w:color="auto"/>
          <w:color w:val="auto"/>
        </w:rPr>
        <w:t>EXHIBIT A-1</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REVOLVER NOTE</w:t>
      </w:r>
    </w:p>
    <w:p>
      <w:pPr>
        <w:spacing w:after="0" w:line="276" w:lineRule="exact"/>
        <w:rPr>
          <w:sz w:val="20"/>
          <w:szCs w:val="20"/>
          <w:color w:val="auto"/>
        </w:rPr>
      </w:pPr>
    </w:p>
    <w:p>
      <w:pPr>
        <w:spacing w:after="0"/>
        <w:tabs>
          <w:tab w:leader="none" w:pos="2060" w:val="left"/>
        </w:tabs>
        <w:rPr>
          <w:sz w:val="20"/>
          <w:szCs w:val="20"/>
          <w:color w:val="auto"/>
        </w:rPr>
      </w:pPr>
      <w:r>
        <w:rPr>
          <w:rFonts w:ascii="Arial" w:cs="Arial" w:eastAsia="Arial" w:hAnsi="Arial"/>
          <w:sz w:val="20"/>
          <w:szCs w:val="20"/>
          <w:color w:val="auto"/>
        </w:rPr>
        <w:t>$________________</w:t>
      </w:r>
      <w:r>
        <w:rPr>
          <w:sz w:val="20"/>
          <w:szCs w:val="20"/>
          <w:color w:val="auto"/>
        </w:rPr>
        <w:tab/>
      </w:r>
      <w:r>
        <w:rPr>
          <w:rFonts w:ascii="Arial" w:cs="Arial" w:eastAsia="Arial" w:hAnsi="Arial"/>
          <w:sz w:val="16"/>
          <w:szCs w:val="16"/>
          <w:color w:val="auto"/>
        </w:rPr>
        <w:t>__________________, 20__</w:t>
      </w:r>
    </w:p>
    <w:p>
      <w:pPr>
        <w:spacing w:after="0" w:line="270" w:lineRule="exact"/>
        <w:rPr>
          <w:sz w:val="20"/>
          <w:szCs w:val="20"/>
          <w:color w:val="auto"/>
        </w:rPr>
      </w:pPr>
    </w:p>
    <w:p>
      <w:pPr>
        <w:spacing w:after="0"/>
        <w:tabs>
          <w:tab w:leader="none" w:pos="420" w:val="left"/>
          <w:tab w:leader="none" w:pos="1020" w:val="left"/>
          <w:tab w:leader="none" w:pos="1900" w:val="left"/>
          <w:tab w:leader="none" w:pos="2500" w:val="left"/>
          <w:tab w:leader="none" w:pos="3720" w:val="left"/>
          <w:tab w:leader="none" w:pos="4320" w:val="left"/>
          <w:tab w:leader="none" w:pos="4580" w:val="left"/>
          <w:tab w:leader="none" w:pos="5460" w:val="left"/>
          <w:tab w:leader="none" w:pos="6540" w:val="left"/>
          <w:tab w:leader="none" w:pos="7600" w:val="left"/>
          <w:tab w:leader="none" w:pos="8300" w:val="left"/>
          <w:tab w:leader="none" w:pos="9180" w:val="left"/>
          <w:tab w:leader="none" w:pos="9480" w:val="left"/>
          <w:tab w:leader="none" w:pos="9940" w:val="left"/>
          <w:tab w:leader="none" w:pos="10240" w:val="left"/>
          <w:tab w:leader="none" w:pos="10660" w:val="left"/>
          <w:tab w:leader="none" w:pos="11240" w:val="left"/>
        </w:tabs>
        <w:rPr>
          <w:sz w:val="20"/>
          <w:szCs w:val="20"/>
          <w:color w:val="auto"/>
        </w:rPr>
      </w:pPr>
      <w:r>
        <w:rPr>
          <w:rFonts w:ascii="Arial" w:cs="Arial" w:eastAsia="Arial" w:hAnsi="Arial"/>
          <w:sz w:val="20"/>
          <w:szCs w:val="20"/>
          <w:color w:val="auto"/>
        </w:rPr>
        <w:t>For</w:t>
        <w:tab/>
        <w:t>value</w:t>
        <w:tab/>
        <w:t>received,</w:t>
        <w:tab/>
        <w:t>VAIL</w:t>
        <w:tab/>
        <w:t>HOLDINGS,</w:t>
        <w:tab/>
        <w:t>INC.,</w:t>
        <w:tab/>
        <w:t>a</w:t>
        <w:tab/>
        <w:t>Colorado</w:t>
        <w:tab/>
        <w:t>corporation</w:t>
        <w:tab/>
        <w:t>(“</w:t>
      </w:r>
      <w:r>
        <w:rPr>
          <w:rFonts w:ascii="Arial" w:cs="Arial" w:eastAsia="Arial" w:hAnsi="Arial"/>
          <w:sz w:val="20"/>
          <w:szCs w:val="20"/>
          <w:b w:val="1"/>
          <w:bCs w:val="1"/>
          <w:i w:val="1"/>
          <w:iCs w:val="1"/>
          <w:color w:val="auto"/>
        </w:rPr>
        <w:t>Maker</w:t>
      </w:r>
      <w:r>
        <w:rPr>
          <w:rFonts w:ascii="Arial" w:cs="Arial" w:eastAsia="Arial" w:hAnsi="Arial"/>
          <w:sz w:val="20"/>
          <w:szCs w:val="20"/>
          <w:color w:val="auto"/>
        </w:rPr>
        <w:t>”),</w:t>
        <w:tab/>
        <w:t>hereby</w:t>
        <w:tab/>
        <w:t>promises</w:t>
        <w:tab/>
        <w:t>to</w:t>
        <w:tab/>
        <w:t>pay</w:t>
        <w:tab/>
        <w:t>to</w:t>
        <w:tab/>
        <w:t>the</w:t>
        <w:tab/>
        <w:t>order</w:t>
      </w:r>
      <w:r>
        <w:rPr>
          <w:sz w:val="20"/>
          <w:szCs w:val="20"/>
          <w:color w:val="auto"/>
        </w:rPr>
        <w:tab/>
      </w:r>
      <w:r>
        <w:rPr>
          <w:rFonts w:ascii="Arial" w:cs="Arial" w:eastAsia="Arial" w:hAnsi="Arial"/>
          <w:sz w:val="19"/>
          <w:szCs w:val="19"/>
          <w:color w:val="auto"/>
        </w:rPr>
        <w:t>of</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 (“</w:t>
      </w:r>
      <w:r>
        <w:rPr>
          <w:rFonts w:ascii="Arial" w:cs="Arial" w:eastAsia="Arial" w:hAnsi="Arial"/>
          <w:sz w:val="18"/>
          <w:szCs w:val="18"/>
          <w:b w:val="1"/>
          <w:bCs w:val="1"/>
          <w:i w:val="1"/>
          <w:iCs w:val="1"/>
          <w:color w:val="auto"/>
        </w:rPr>
        <w:t>Payee</w:t>
      </w:r>
      <w:r>
        <w:rPr>
          <w:rFonts w:ascii="Arial" w:cs="Arial" w:eastAsia="Arial" w:hAnsi="Arial"/>
          <w:sz w:val="18"/>
          <w:szCs w:val="18"/>
          <w:color w:val="auto"/>
        </w:rPr>
        <w:t>”) on or before the Termination Date for the Revolver Facility, the principal amount of _______________, or</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so much thereof as may be disbursed and outstanding hereunder, together with interest, as hereinafter described.</w:t>
      </w:r>
    </w:p>
    <w:p>
      <w:pPr>
        <w:spacing w:after="0" w:line="270" w:lineRule="exact"/>
        <w:rPr>
          <w:sz w:val="20"/>
          <w:szCs w:val="20"/>
          <w:color w:val="auto"/>
        </w:rPr>
      </w:pPr>
    </w:p>
    <w:p>
      <w:pPr>
        <w:jc w:val="both"/>
        <w:spacing w:after="0" w:line="335" w:lineRule="auto"/>
        <w:rPr>
          <w:sz w:val="20"/>
          <w:szCs w:val="20"/>
          <w:color w:val="auto"/>
        </w:rPr>
      </w:pPr>
      <w:r>
        <w:rPr>
          <w:rFonts w:ascii="Arial" w:cs="Arial" w:eastAsia="Arial" w:hAnsi="Arial"/>
          <w:sz w:val="18"/>
          <w:szCs w:val="18"/>
          <w:color w:val="auto"/>
        </w:rPr>
        <w:t>This note has been executed and delivered under, and is subject to the terms of, the Eighth Amended and Restated Credit Agreement dated as of August 15, 2018 (as amended, supplemented, extended, or restated, the “</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 among Maker, the Lenders, and Bank of America, N.A., as Administrative Agent for itself and the other Lenders (including, without limitation, Payee), and is one of the “</w:t>
      </w:r>
      <w:r>
        <w:rPr>
          <w:rFonts w:ascii="Arial" w:cs="Arial" w:eastAsia="Arial" w:hAnsi="Arial"/>
          <w:sz w:val="18"/>
          <w:szCs w:val="18"/>
          <w:i w:val="1"/>
          <w:iCs w:val="1"/>
          <w:color w:val="auto"/>
        </w:rPr>
        <w:t>Revolver</w:t>
      </w:r>
      <w:r>
        <w:rPr>
          <w:rFonts w:ascii="Arial" w:cs="Arial" w:eastAsia="Arial" w:hAnsi="Arial"/>
          <w:sz w:val="18"/>
          <w:szCs w:val="18"/>
          <w:color w:val="auto"/>
        </w:rPr>
        <w:t xml:space="preserve"> </w:t>
      </w:r>
      <w:r>
        <w:rPr>
          <w:rFonts w:ascii="Arial" w:cs="Arial" w:eastAsia="Arial" w:hAnsi="Arial"/>
          <w:sz w:val="18"/>
          <w:szCs w:val="18"/>
          <w:i w:val="1"/>
          <w:iCs w:val="1"/>
          <w:color w:val="auto"/>
        </w:rPr>
        <w:t>Notes</w:t>
      </w:r>
      <w:r>
        <w:rPr>
          <w:rFonts w:ascii="Arial" w:cs="Arial" w:eastAsia="Arial" w:hAnsi="Arial"/>
          <w:sz w:val="18"/>
          <w:szCs w:val="18"/>
          <w:color w:val="auto"/>
        </w:rPr>
        <w:t>” referred to therein. Unless defined herein or the context otherwise requires, capitalized terms used herein have the meaning given to</w:t>
      </w:r>
      <w:r>
        <w:rPr>
          <w:rFonts w:ascii="Arial" w:cs="Arial" w:eastAsia="Arial" w:hAnsi="Arial"/>
          <w:sz w:val="18"/>
          <w:szCs w:val="18"/>
          <w:i w:val="1"/>
          <w:iCs w:val="1"/>
          <w:color w:val="auto"/>
        </w:rPr>
        <w:t xml:space="preserve"> </w:t>
      </w:r>
      <w:r>
        <w:rPr>
          <w:rFonts w:ascii="Arial" w:cs="Arial" w:eastAsia="Arial" w:hAnsi="Arial"/>
          <w:sz w:val="18"/>
          <w:szCs w:val="18"/>
          <w:color w:val="auto"/>
        </w:rPr>
        <w:t>such terms in the Credit Agreement. Reference is made to the Credit Agreement for provisions affecting this note regarding applicable interest rates, principal and interest payment dates, final maturity, acceleration of maturity, exercise of Rights, payment of Attorney Costs, court costs and other costs of collection, and certain waivers by Maker and others now or hereafter obligated for payment of any sums due hereunder. Without limiting the immediately foregoing sentence, Maker, for itself and its successors and assigns, hereby waives diligence, presentment, protest, and demand and notice of protest, demand, dishonor, and non-payment of this note.</w:t>
      </w:r>
    </w:p>
    <w:p>
      <w:pPr>
        <w:spacing w:after="0" w:line="168" w:lineRule="exact"/>
        <w:rPr>
          <w:sz w:val="20"/>
          <w:szCs w:val="20"/>
          <w:color w:val="auto"/>
        </w:rPr>
      </w:pPr>
    </w:p>
    <w:p>
      <w:pPr>
        <w:jc w:val="both"/>
        <w:spacing w:after="0" w:line="354" w:lineRule="auto"/>
        <w:rPr>
          <w:sz w:val="20"/>
          <w:szCs w:val="20"/>
          <w:color w:val="auto"/>
        </w:rPr>
      </w:pPr>
      <w:r>
        <w:rPr>
          <w:rFonts w:ascii="Arial" w:cs="Arial" w:eastAsia="Arial" w:hAnsi="Arial"/>
          <w:sz w:val="18"/>
          <w:szCs w:val="18"/>
          <w:color w:val="auto"/>
        </w:rPr>
        <w:t xml:space="preserve">This note is a Loan Paper and, therefore, is subject to the applicable provisions of </w:t>
      </w:r>
      <w:r>
        <w:rPr>
          <w:rFonts w:ascii="Arial" w:cs="Arial" w:eastAsia="Arial" w:hAnsi="Arial"/>
          <w:sz w:val="18"/>
          <w:szCs w:val="18"/>
          <w:i w:val="1"/>
          <w:iCs w:val="1"/>
          <w:color w:val="auto"/>
        </w:rPr>
        <w:t>Section 15</w:t>
      </w:r>
      <w:r>
        <w:rPr>
          <w:rFonts w:ascii="Arial" w:cs="Arial" w:eastAsia="Arial" w:hAnsi="Arial"/>
          <w:sz w:val="18"/>
          <w:szCs w:val="18"/>
          <w:color w:val="auto"/>
        </w:rPr>
        <w:t xml:space="preserve"> (including, without limitation, the registration provisions of </w:t>
      </w:r>
      <w:r>
        <w:rPr>
          <w:rFonts w:ascii="Arial" w:cs="Arial" w:eastAsia="Arial" w:hAnsi="Arial"/>
          <w:sz w:val="18"/>
          <w:szCs w:val="18"/>
          <w:i w:val="1"/>
          <w:iCs w:val="1"/>
          <w:color w:val="auto"/>
        </w:rPr>
        <w:t>Section 15.11(c)</w:t>
      </w:r>
      <w:r>
        <w:rPr>
          <w:rFonts w:ascii="Arial" w:cs="Arial" w:eastAsia="Arial" w:hAnsi="Arial"/>
          <w:sz w:val="18"/>
          <w:szCs w:val="18"/>
          <w:color w:val="auto"/>
        </w:rPr>
        <w:t>) of the Credit Agreement, all of which applicable provisions are incorporated herein by reference the same as if set forth herein verbatim. This note is also entitled to the benefits of the Guaranties and is secured by the Collateral.</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Specific reference is made to </w:t>
      </w:r>
      <w:r>
        <w:rPr>
          <w:rFonts w:ascii="Arial" w:cs="Arial" w:eastAsia="Arial" w:hAnsi="Arial"/>
          <w:sz w:val="20"/>
          <w:szCs w:val="20"/>
          <w:i w:val="1"/>
          <w:iCs w:val="1"/>
          <w:color w:val="auto"/>
        </w:rPr>
        <w:t>Section 3.8</w:t>
      </w:r>
      <w:r>
        <w:rPr>
          <w:rFonts w:ascii="Arial" w:cs="Arial" w:eastAsia="Arial" w:hAnsi="Arial"/>
          <w:sz w:val="20"/>
          <w:szCs w:val="20"/>
          <w:color w:val="auto"/>
        </w:rPr>
        <w:t xml:space="preserve"> of the Credit Agreement for usury savings provisions.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Remainder of Page Intentionally Blank</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Signature Page to Follow</w:t>
      </w:r>
    </w:p>
    <w:p>
      <w:pPr>
        <w:sectPr>
          <w:pgSz w:w="11900" w:h="16838" w:orient="portrait"/>
          <w:cols w:equalWidth="0" w:num="1">
            <w:col w:w="11420"/>
          </w:cols>
          <w:pgMar w:left="240" w:top="603" w:right="239" w:bottom="1440" w:gutter="0" w:footer="0" w:header="0"/>
        </w:sectPr>
      </w:pPr>
    </w:p>
    <w:bookmarkStart w:id="191" w:name="page192"/>
    <w:bookmarkEnd w:id="191"/>
    <w:p>
      <w:pPr>
        <w:ind w:left="2700"/>
        <w:spacing w:after="0"/>
        <w:rPr>
          <w:sz w:val="20"/>
          <w:szCs w:val="20"/>
          <w:color w:val="auto"/>
        </w:rPr>
      </w:pPr>
      <w:r>
        <w:rPr>
          <w:rFonts w:ascii="Arial" w:cs="Arial" w:eastAsia="Arial" w:hAnsi="Arial"/>
          <w:sz w:val="20"/>
          <w:szCs w:val="20"/>
          <w:color w:val="auto"/>
        </w:rPr>
        <w:t>MAKER:</w:t>
      </w:r>
    </w:p>
    <w:p>
      <w:pPr>
        <w:spacing w:after="0" w:line="243"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VAIL HOLDINGS, INC.</w:t>
      </w:r>
    </w:p>
    <w:p>
      <w:pPr>
        <w:spacing w:after="0" w:line="200" w:lineRule="exact"/>
        <w:rPr>
          <w:sz w:val="20"/>
          <w:szCs w:val="20"/>
          <w:color w:val="auto"/>
        </w:rPr>
      </w:pPr>
    </w:p>
    <w:p>
      <w:pPr>
        <w:spacing w:after="0" w:line="338"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8801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011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2078990</wp:posOffset>
            </wp:positionH>
            <wp:positionV relativeFrom="paragraph">
              <wp:posOffset>-24765</wp:posOffset>
            </wp:positionV>
            <wp:extent cx="6597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1980565</wp:posOffset>
            </wp:positionH>
            <wp:positionV relativeFrom="paragraph">
              <wp:posOffset>-24765</wp:posOffset>
            </wp:positionV>
            <wp:extent cx="7854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85495" cy="8890"/>
                    </a:xfrm>
                    <a:prstGeom prst="rect">
                      <a:avLst/>
                    </a:prstGeom>
                    <a:noFill/>
                  </pic:spPr>
                </pic:pic>
              </a:graphicData>
            </a:graphic>
          </wp:anchor>
        </w:drawing>
      </w:r>
    </w:p>
    <w:p>
      <w:pPr>
        <w:sectPr>
          <w:pgSz w:w="11900" w:h="16838" w:orient="portrait"/>
          <w:cols w:equalWidth="0" w:num="1">
            <w:col w:w="9019"/>
          </w:cols>
          <w:pgMar w:left="1440" w:top="582" w:right="1440" w:bottom="1440" w:gutter="0" w:footer="0" w:header="0"/>
        </w:sectPr>
      </w:pPr>
    </w:p>
    <w:bookmarkStart w:id="192" w:name="page193"/>
    <w:bookmarkEnd w:id="192"/>
    <w:p>
      <w:pPr>
        <w:jc w:val="center"/>
        <w:spacing w:after="0"/>
        <w:rPr>
          <w:sz w:val="20"/>
          <w:szCs w:val="20"/>
          <w:color w:val="auto"/>
        </w:rPr>
      </w:pPr>
      <w:r>
        <w:rPr>
          <w:rFonts w:ascii="Arial" w:cs="Arial" w:eastAsia="Arial" w:hAnsi="Arial"/>
          <w:sz w:val="20"/>
          <w:szCs w:val="20"/>
          <w:b w:val="1"/>
          <w:bCs w:val="1"/>
          <w:u w:val="single" w:color="auto"/>
          <w:color w:val="auto"/>
        </w:rPr>
        <w:t>EXHIBIT A-2</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SWING LINE NOTE</w:t>
      </w:r>
    </w:p>
    <w:p>
      <w:pPr>
        <w:spacing w:after="0" w:line="276" w:lineRule="exact"/>
        <w:rPr>
          <w:sz w:val="20"/>
          <w:szCs w:val="20"/>
          <w:color w:val="auto"/>
        </w:rPr>
      </w:pPr>
    </w:p>
    <w:p>
      <w:pPr>
        <w:spacing w:after="0"/>
        <w:tabs>
          <w:tab w:leader="none" w:pos="2120" w:val="left"/>
        </w:tabs>
        <w:rPr>
          <w:sz w:val="20"/>
          <w:szCs w:val="20"/>
          <w:color w:val="auto"/>
        </w:rPr>
      </w:pPr>
      <w:r>
        <w:rPr>
          <w:rFonts w:ascii="Arial" w:cs="Arial" w:eastAsia="Arial" w:hAnsi="Arial"/>
          <w:sz w:val="20"/>
          <w:szCs w:val="20"/>
          <w:color w:val="auto"/>
        </w:rPr>
        <w:t>$________________</w:t>
      </w:r>
      <w:r>
        <w:rPr>
          <w:sz w:val="20"/>
          <w:szCs w:val="20"/>
          <w:color w:val="auto"/>
        </w:rPr>
        <w:tab/>
      </w:r>
      <w:r>
        <w:rPr>
          <w:rFonts w:ascii="Arial" w:cs="Arial" w:eastAsia="Arial" w:hAnsi="Arial"/>
          <w:sz w:val="16"/>
          <w:szCs w:val="16"/>
          <w:color w:val="auto"/>
        </w:rPr>
        <w:t>__________________, 20__</w:t>
      </w:r>
    </w:p>
    <w:p>
      <w:pPr>
        <w:spacing w:after="0" w:line="270" w:lineRule="exact"/>
        <w:rPr>
          <w:sz w:val="20"/>
          <w:szCs w:val="20"/>
          <w:color w:val="auto"/>
        </w:rPr>
      </w:pPr>
    </w:p>
    <w:p>
      <w:pPr>
        <w:spacing w:after="0"/>
        <w:tabs>
          <w:tab w:leader="none" w:pos="420" w:val="left"/>
          <w:tab w:leader="none" w:pos="1020" w:val="left"/>
          <w:tab w:leader="none" w:pos="1900" w:val="left"/>
          <w:tab w:leader="none" w:pos="2500" w:val="left"/>
          <w:tab w:leader="none" w:pos="3720" w:val="left"/>
          <w:tab w:leader="none" w:pos="4320" w:val="left"/>
          <w:tab w:leader="none" w:pos="4580" w:val="left"/>
          <w:tab w:leader="none" w:pos="5460" w:val="left"/>
          <w:tab w:leader="none" w:pos="6540" w:val="left"/>
          <w:tab w:leader="none" w:pos="7600" w:val="left"/>
          <w:tab w:leader="none" w:pos="8300" w:val="left"/>
          <w:tab w:leader="none" w:pos="9180" w:val="left"/>
          <w:tab w:leader="none" w:pos="9480" w:val="left"/>
          <w:tab w:leader="none" w:pos="9940" w:val="left"/>
          <w:tab w:leader="none" w:pos="10240" w:val="left"/>
          <w:tab w:leader="none" w:pos="10660" w:val="left"/>
          <w:tab w:leader="none" w:pos="11240" w:val="left"/>
        </w:tabs>
        <w:rPr>
          <w:sz w:val="20"/>
          <w:szCs w:val="20"/>
          <w:color w:val="auto"/>
        </w:rPr>
      </w:pPr>
      <w:r>
        <w:rPr>
          <w:rFonts w:ascii="Arial" w:cs="Arial" w:eastAsia="Arial" w:hAnsi="Arial"/>
          <w:sz w:val="20"/>
          <w:szCs w:val="20"/>
          <w:color w:val="auto"/>
        </w:rPr>
        <w:t>For</w:t>
        <w:tab/>
        <w:t>value</w:t>
        <w:tab/>
        <w:t>received,</w:t>
        <w:tab/>
        <w:t>VAIL</w:t>
        <w:tab/>
        <w:t>HOLDINGS,</w:t>
        <w:tab/>
        <w:t>INC.,</w:t>
        <w:tab/>
        <w:t>a</w:t>
        <w:tab/>
        <w:t>Colorado</w:t>
        <w:tab/>
        <w:t>corporation</w:t>
        <w:tab/>
        <w:t>(“</w:t>
      </w:r>
      <w:r>
        <w:rPr>
          <w:rFonts w:ascii="Arial" w:cs="Arial" w:eastAsia="Arial" w:hAnsi="Arial"/>
          <w:sz w:val="20"/>
          <w:szCs w:val="20"/>
          <w:b w:val="1"/>
          <w:bCs w:val="1"/>
          <w:i w:val="1"/>
          <w:iCs w:val="1"/>
          <w:color w:val="auto"/>
        </w:rPr>
        <w:t>Maker</w:t>
      </w:r>
      <w:r>
        <w:rPr>
          <w:rFonts w:ascii="Arial" w:cs="Arial" w:eastAsia="Arial" w:hAnsi="Arial"/>
          <w:sz w:val="20"/>
          <w:szCs w:val="20"/>
          <w:color w:val="auto"/>
        </w:rPr>
        <w:t>”),</w:t>
        <w:tab/>
        <w:t>hereby</w:t>
        <w:tab/>
        <w:t>promises</w:t>
        <w:tab/>
        <w:t>to</w:t>
        <w:tab/>
        <w:t>pay</w:t>
        <w:tab/>
        <w:t>to</w:t>
        <w:tab/>
        <w:t>the</w:t>
        <w:tab/>
        <w:t>order</w:t>
      </w:r>
      <w:r>
        <w:rPr>
          <w:sz w:val="20"/>
          <w:szCs w:val="20"/>
          <w:color w:val="auto"/>
        </w:rPr>
        <w:tab/>
      </w:r>
      <w:r>
        <w:rPr>
          <w:rFonts w:ascii="Arial" w:cs="Arial" w:eastAsia="Arial" w:hAnsi="Arial"/>
          <w:sz w:val="19"/>
          <w:szCs w:val="19"/>
          <w:color w:val="auto"/>
        </w:rPr>
        <w:t>of</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 (“</w:t>
      </w:r>
      <w:r>
        <w:rPr>
          <w:rFonts w:ascii="Arial" w:cs="Arial" w:eastAsia="Arial" w:hAnsi="Arial"/>
          <w:sz w:val="18"/>
          <w:szCs w:val="18"/>
          <w:b w:val="1"/>
          <w:bCs w:val="1"/>
          <w:i w:val="1"/>
          <w:iCs w:val="1"/>
          <w:color w:val="auto"/>
        </w:rPr>
        <w:t>Payee</w:t>
      </w:r>
      <w:r>
        <w:rPr>
          <w:rFonts w:ascii="Arial" w:cs="Arial" w:eastAsia="Arial" w:hAnsi="Arial"/>
          <w:sz w:val="18"/>
          <w:szCs w:val="18"/>
          <w:color w:val="auto"/>
        </w:rPr>
        <w:t xml:space="preserve">”) on or before the Termination Date for the Revolver Facility or such earlier date as specified in </w:t>
      </w:r>
      <w:r>
        <w:rPr>
          <w:rFonts w:ascii="Arial" w:cs="Arial" w:eastAsia="Arial" w:hAnsi="Arial"/>
          <w:sz w:val="18"/>
          <w:szCs w:val="18"/>
          <w:i w:val="1"/>
          <w:iCs w:val="1"/>
          <w:color w:val="auto"/>
        </w:rPr>
        <w:t>Section 3.2</w:t>
      </w:r>
      <w:r>
        <w:rPr>
          <w:rFonts w:ascii="Arial" w:cs="Arial" w:eastAsia="Arial" w:hAnsi="Arial"/>
          <w:sz w:val="18"/>
          <w:szCs w:val="18"/>
          <w:color w:val="auto"/>
        </w:rPr>
        <w:t xml:space="preserve"> of</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(as hereinafter defined), the principal amount of _______________, or so much as may be disbursed and outstanding</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thereunder, together with interest, as hereinafter described.</w:t>
      </w:r>
    </w:p>
    <w:p>
      <w:pPr>
        <w:spacing w:after="0" w:line="270" w:lineRule="exact"/>
        <w:rPr>
          <w:sz w:val="20"/>
          <w:szCs w:val="20"/>
          <w:color w:val="auto"/>
        </w:rPr>
      </w:pPr>
    </w:p>
    <w:p>
      <w:pPr>
        <w:jc w:val="both"/>
        <w:spacing w:after="0" w:line="335" w:lineRule="auto"/>
        <w:rPr>
          <w:sz w:val="20"/>
          <w:szCs w:val="20"/>
          <w:color w:val="auto"/>
        </w:rPr>
      </w:pPr>
      <w:r>
        <w:rPr>
          <w:rFonts w:ascii="Arial" w:cs="Arial" w:eastAsia="Arial" w:hAnsi="Arial"/>
          <w:sz w:val="18"/>
          <w:szCs w:val="18"/>
          <w:color w:val="auto"/>
        </w:rPr>
        <w:t>This note has been executed and delivered under, and is subject to the terms of, the Eighth Amended and Restated Credit Agreement dated as of August 15, 2018 (as amended, supplemented, extended, or restated, the “</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 among Maker, the Lenders, and Bank of America, N.A., as Administrative Agent for itself and the other Lenders (including, without limitation, Payee), and is one of the “</w:t>
      </w:r>
      <w:r>
        <w:rPr>
          <w:rFonts w:ascii="Arial" w:cs="Arial" w:eastAsia="Arial" w:hAnsi="Arial"/>
          <w:sz w:val="18"/>
          <w:szCs w:val="18"/>
          <w:i w:val="1"/>
          <w:iCs w:val="1"/>
          <w:color w:val="auto"/>
        </w:rPr>
        <w:t>Swing Line</w:t>
      </w:r>
      <w:r>
        <w:rPr>
          <w:rFonts w:ascii="Arial" w:cs="Arial" w:eastAsia="Arial" w:hAnsi="Arial"/>
          <w:sz w:val="18"/>
          <w:szCs w:val="18"/>
          <w:color w:val="auto"/>
        </w:rPr>
        <w:t xml:space="preserve"> </w:t>
      </w:r>
      <w:r>
        <w:rPr>
          <w:rFonts w:ascii="Arial" w:cs="Arial" w:eastAsia="Arial" w:hAnsi="Arial"/>
          <w:sz w:val="18"/>
          <w:szCs w:val="18"/>
          <w:i w:val="1"/>
          <w:iCs w:val="1"/>
          <w:color w:val="auto"/>
        </w:rPr>
        <w:t>Notes</w:t>
      </w:r>
      <w:r>
        <w:rPr>
          <w:rFonts w:ascii="Arial" w:cs="Arial" w:eastAsia="Arial" w:hAnsi="Arial"/>
          <w:sz w:val="18"/>
          <w:szCs w:val="18"/>
          <w:color w:val="auto"/>
        </w:rPr>
        <w:t>” referred to therein. Unless defined herein or the context otherwise requires, capitalized terms used herein have the meaning given to</w:t>
      </w:r>
      <w:r>
        <w:rPr>
          <w:rFonts w:ascii="Arial" w:cs="Arial" w:eastAsia="Arial" w:hAnsi="Arial"/>
          <w:sz w:val="18"/>
          <w:szCs w:val="18"/>
          <w:i w:val="1"/>
          <w:iCs w:val="1"/>
          <w:color w:val="auto"/>
        </w:rPr>
        <w:t xml:space="preserve"> </w:t>
      </w:r>
      <w:r>
        <w:rPr>
          <w:rFonts w:ascii="Arial" w:cs="Arial" w:eastAsia="Arial" w:hAnsi="Arial"/>
          <w:sz w:val="18"/>
          <w:szCs w:val="18"/>
          <w:color w:val="auto"/>
        </w:rPr>
        <w:t>such terms in the Credit Agreement. Reference is made to the Credit Agreement for provisions affecting this note regarding applicable interest rates, principal and interest payment dates, final maturity, acceleration of maturity, exercise of Rights, payment of Attorney Costs, court costs and other costs of collection, and certain waivers by Maker and others now or hereafter obligated for payment of any sums due hereunder. Without limiting the immediately foregoing sentence, Maker, for itself and its successors and assigns, hereby waives diligence, presentment, protest, and demand and notice of protest, demand, dishonor, and non-payment of this note.</w:t>
      </w:r>
    </w:p>
    <w:p>
      <w:pPr>
        <w:spacing w:after="0" w:line="168" w:lineRule="exact"/>
        <w:rPr>
          <w:sz w:val="20"/>
          <w:szCs w:val="20"/>
          <w:color w:val="auto"/>
        </w:rPr>
      </w:pPr>
    </w:p>
    <w:p>
      <w:pPr>
        <w:jc w:val="both"/>
        <w:spacing w:after="0" w:line="354" w:lineRule="auto"/>
        <w:rPr>
          <w:sz w:val="20"/>
          <w:szCs w:val="20"/>
          <w:color w:val="auto"/>
        </w:rPr>
      </w:pPr>
      <w:r>
        <w:rPr>
          <w:rFonts w:ascii="Arial" w:cs="Arial" w:eastAsia="Arial" w:hAnsi="Arial"/>
          <w:sz w:val="18"/>
          <w:szCs w:val="18"/>
          <w:color w:val="auto"/>
        </w:rPr>
        <w:t xml:space="preserve">This note is a Loan Paper and, therefore, is subject to the applicable provisions of </w:t>
      </w:r>
      <w:r>
        <w:rPr>
          <w:rFonts w:ascii="Arial" w:cs="Arial" w:eastAsia="Arial" w:hAnsi="Arial"/>
          <w:sz w:val="18"/>
          <w:szCs w:val="18"/>
          <w:i w:val="1"/>
          <w:iCs w:val="1"/>
          <w:color w:val="auto"/>
        </w:rPr>
        <w:t>Section 15</w:t>
      </w:r>
      <w:r>
        <w:rPr>
          <w:rFonts w:ascii="Arial" w:cs="Arial" w:eastAsia="Arial" w:hAnsi="Arial"/>
          <w:sz w:val="18"/>
          <w:szCs w:val="18"/>
          <w:color w:val="auto"/>
        </w:rPr>
        <w:t xml:space="preserve"> (including, without limitation, the registration provisions of </w:t>
      </w:r>
      <w:r>
        <w:rPr>
          <w:rFonts w:ascii="Arial" w:cs="Arial" w:eastAsia="Arial" w:hAnsi="Arial"/>
          <w:sz w:val="18"/>
          <w:szCs w:val="18"/>
          <w:i w:val="1"/>
          <w:iCs w:val="1"/>
          <w:color w:val="auto"/>
        </w:rPr>
        <w:t>Section 15.11(c)</w:t>
      </w:r>
      <w:r>
        <w:rPr>
          <w:rFonts w:ascii="Arial" w:cs="Arial" w:eastAsia="Arial" w:hAnsi="Arial"/>
          <w:sz w:val="18"/>
          <w:szCs w:val="18"/>
          <w:color w:val="auto"/>
        </w:rPr>
        <w:t>) of the Credit Agreement, all of which applicable provisions are incorporated herein by reference the same as if set forth herein verbatim. This note is also entitled to the benefits of the Guaranties and is secured by the Collateral.</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Specific reference is made to </w:t>
      </w:r>
      <w:r>
        <w:rPr>
          <w:rFonts w:ascii="Arial" w:cs="Arial" w:eastAsia="Arial" w:hAnsi="Arial"/>
          <w:sz w:val="20"/>
          <w:szCs w:val="20"/>
          <w:i w:val="1"/>
          <w:iCs w:val="1"/>
          <w:color w:val="auto"/>
        </w:rPr>
        <w:t>Section 3.8</w:t>
      </w:r>
      <w:r>
        <w:rPr>
          <w:rFonts w:ascii="Arial" w:cs="Arial" w:eastAsia="Arial" w:hAnsi="Arial"/>
          <w:sz w:val="20"/>
          <w:szCs w:val="20"/>
          <w:color w:val="auto"/>
        </w:rPr>
        <w:t xml:space="preserve"> of the Credit Agreement for usury savings provisions.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Remainder of Page Intentionally Blank</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Signature Page to Follow</w:t>
      </w:r>
    </w:p>
    <w:p>
      <w:pPr>
        <w:sectPr>
          <w:pgSz w:w="11900" w:h="16838" w:orient="portrait"/>
          <w:cols w:equalWidth="0" w:num="1">
            <w:col w:w="11420"/>
          </w:cols>
          <w:pgMar w:left="240" w:top="576" w:right="239" w:bottom="1440" w:gutter="0" w:footer="0" w:header="0"/>
        </w:sectPr>
      </w:pPr>
    </w:p>
    <w:bookmarkStart w:id="193" w:name="page194"/>
    <w:bookmarkEnd w:id="193"/>
    <w:p>
      <w:pPr>
        <w:ind w:left="2700"/>
        <w:spacing w:after="0"/>
        <w:rPr>
          <w:sz w:val="20"/>
          <w:szCs w:val="20"/>
          <w:color w:val="auto"/>
        </w:rPr>
      </w:pPr>
      <w:r>
        <w:rPr>
          <w:rFonts w:ascii="Arial" w:cs="Arial" w:eastAsia="Arial" w:hAnsi="Arial"/>
          <w:sz w:val="20"/>
          <w:szCs w:val="20"/>
          <w:color w:val="auto"/>
        </w:rPr>
        <w:t>MAKER:</w:t>
      </w:r>
    </w:p>
    <w:p>
      <w:pPr>
        <w:spacing w:after="0" w:line="243"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VAIL HOLDINGS, INC.</w:t>
      </w:r>
    </w:p>
    <w:p>
      <w:pPr>
        <w:spacing w:after="0" w:line="200" w:lineRule="exact"/>
        <w:rPr>
          <w:sz w:val="20"/>
          <w:szCs w:val="20"/>
          <w:color w:val="auto"/>
        </w:rPr>
      </w:pPr>
    </w:p>
    <w:p>
      <w:pPr>
        <w:spacing w:after="0" w:line="338"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8801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011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2078990</wp:posOffset>
            </wp:positionH>
            <wp:positionV relativeFrom="paragraph">
              <wp:posOffset>-24765</wp:posOffset>
            </wp:positionV>
            <wp:extent cx="6597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1980565</wp:posOffset>
            </wp:positionH>
            <wp:positionV relativeFrom="paragraph">
              <wp:posOffset>-24765</wp:posOffset>
            </wp:positionV>
            <wp:extent cx="7854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85495" cy="8890"/>
                    </a:xfrm>
                    <a:prstGeom prst="rect">
                      <a:avLst/>
                    </a:prstGeom>
                    <a:noFill/>
                  </pic:spPr>
                </pic:pic>
              </a:graphicData>
            </a:graphic>
          </wp:anchor>
        </w:drawing>
      </w:r>
    </w:p>
    <w:p>
      <w:pPr>
        <w:sectPr>
          <w:pgSz w:w="11900" w:h="16838" w:orient="portrait"/>
          <w:cols w:equalWidth="0" w:num="1">
            <w:col w:w="9019"/>
          </w:cols>
          <w:pgMar w:left="1440" w:top="582" w:right="1440" w:bottom="1440" w:gutter="0" w:footer="0" w:header="0"/>
        </w:sectPr>
      </w:pPr>
    </w:p>
    <w:bookmarkStart w:id="194" w:name="page195"/>
    <w:bookmarkEnd w:id="194"/>
    <w:p>
      <w:pPr>
        <w:jc w:val="center"/>
        <w:ind w:right="-19"/>
        <w:spacing w:after="0"/>
        <w:rPr>
          <w:sz w:val="20"/>
          <w:szCs w:val="20"/>
          <w:color w:val="auto"/>
        </w:rPr>
      </w:pPr>
      <w:r>
        <w:rPr>
          <w:rFonts w:ascii="Arial" w:cs="Arial" w:eastAsia="Arial" w:hAnsi="Arial"/>
          <w:sz w:val="20"/>
          <w:szCs w:val="20"/>
          <w:b w:val="1"/>
          <w:bCs w:val="1"/>
          <w:u w:val="single" w:color="auto"/>
          <w:color w:val="auto"/>
        </w:rPr>
        <w:t>EXHIBIT A-3</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TERM LOAN NOTE</w:t>
      </w:r>
    </w:p>
    <w:p>
      <w:pPr>
        <w:spacing w:after="0" w:line="276" w:lineRule="exact"/>
        <w:rPr>
          <w:sz w:val="20"/>
          <w:szCs w:val="20"/>
          <w:color w:val="auto"/>
        </w:rPr>
      </w:pPr>
    </w:p>
    <w:p>
      <w:pPr>
        <w:spacing w:after="0"/>
        <w:tabs>
          <w:tab w:leader="none" w:pos="1860" w:val="left"/>
        </w:tabs>
        <w:rPr>
          <w:sz w:val="20"/>
          <w:szCs w:val="20"/>
          <w:color w:val="auto"/>
        </w:rPr>
      </w:pPr>
      <w:r>
        <w:rPr>
          <w:rFonts w:ascii="Arial" w:cs="Arial" w:eastAsia="Arial" w:hAnsi="Arial"/>
          <w:sz w:val="20"/>
          <w:szCs w:val="20"/>
          <w:color w:val="auto"/>
        </w:rPr>
        <w:t>$________________</w:t>
      </w:r>
      <w:r>
        <w:rPr>
          <w:sz w:val="20"/>
          <w:szCs w:val="20"/>
          <w:color w:val="auto"/>
        </w:rPr>
        <w:tab/>
      </w:r>
      <w:r>
        <w:rPr>
          <w:rFonts w:ascii="Arial" w:cs="Arial" w:eastAsia="Arial" w:hAnsi="Arial"/>
          <w:sz w:val="16"/>
          <w:szCs w:val="16"/>
          <w:color w:val="auto"/>
        </w:rPr>
        <w:t>__________________, 20__</w:t>
      </w:r>
    </w:p>
    <w:p>
      <w:pPr>
        <w:spacing w:after="0" w:line="270" w:lineRule="exact"/>
        <w:rPr>
          <w:sz w:val="20"/>
          <w:szCs w:val="20"/>
          <w:color w:val="auto"/>
        </w:rPr>
      </w:pPr>
    </w:p>
    <w:p>
      <w:pPr>
        <w:spacing w:after="0"/>
        <w:tabs>
          <w:tab w:leader="none" w:pos="420" w:val="left"/>
          <w:tab w:leader="none" w:pos="1020" w:val="left"/>
          <w:tab w:leader="none" w:pos="1900" w:val="left"/>
          <w:tab w:leader="none" w:pos="2500" w:val="left"/>
          <w:tab w:leader="none" w:pos="3720" w:val="left"/>
          <w:tab w:leader="none" w:pos="4320" w:val="left"/>
          <w:tab w:leader="none" w:pos="4580" w:val="left"/>
          <w:tab w:leader="none" w:pos="5460" w:val="left"/>
          <w:tab w:leader="none" w:pos="6540" w:val="left"/>
          <w:tab w:leader="none" w:pos="7600" w:val="left"/>
          <w:tab w:leader="none" w:pos="8300" w:val="left"/>
          <w:tab w:leader="none" w:pos="9180" w:val="left"/>
          <w:tab w:leader="none" w:pos="9480" w:val="left"/>
          <w:tab w:leader="none" w:pos="9940" w:val="left"/>
          <w:tab w:leader="none" w:pos="10240" w:val="left"/>
          <w:tab w:leader="none" w:pos="10660" w:val="left"/>
          <w:tab w:leader="none" w:pos="11240" w:val="left"/>
        </w:tabs>
        <w:rPr>
          <w:sz w:val="20"/>
          <w:szCs w:val="20"/>
          <w:color w:val="auto"/>
        </w:rPr>
      </w:pPr>
      <w:r>
        <w:rPr>
          <w:rFonts w:ascii="Arial" w:cs="Arial" w:eastAsia="Arial" w:hAnsi="Arial"/>
          <w:sz w:val="20"/>
          <w:szCs w:val="20"/>
          <w:color w:val="auto"/>
        </w:rPr>
        <w:t>For</w:t>
        <w:tab/>
        <w:t>value</w:t>
        <w:tab/>
        <w:t>received,</w:t>
        <w:tab/>
        <w:t>VAIL</w:t>
        <w:tab/>
        <w:t>HOLDINGS,</w:t>
        <w:tab/>
        <w:t>INC.,</w:t>
        <w:tab/>
        <w:t>a</w:t>
        <w:tab/>
        <w:t>Colorado</w:t>
        <w:tab/>
        <w:t>corporation</w:t>
        <w:tab/>
        <w:t>(“</w:t>
      </w:r>
      <w:r>
        <w:rPr>
          <w:rFonts w:ascii="Arial" w:cs="Arial" w:eastAsia="Arial" w:hAnsi="Arial"/>
          <w:sz w:val="20"/>
          <w:szCs w:val="20"/>
          <w:b w:val="1"/>
          <w:bCs w:val="1"/>
          <w:i w:val="1"/>
          <w:iCs w:val="1"/>
          <w:color w:val="auto"/>
        </w:rPr>
        <w:t>Maker</w:t>
      </w:r>
      <w:r>
        <w:rPr>
          <w:rFonts w:ascii="Arial" w:cs="Arial" w:eastAsia="Arial" w:hAnsi="Arial"/>
          <w:sz w:val="20"/>
          <w:szCs w:val="20"/>
          <w:color w:val="auto"/>
        </w:rPr>
        <w:t>”),</w:t>
        <w:tab/>
        <w:t>hereby</w:t>
        <w:tab/>
        <w:t>promises</w:t>
        <w:tab/>
        <w:t>to</w:t>
        <w:tab/>
        <w:t>pay</w:t>
        <w:tab/>
        <w:t>to</w:t>
        <w:tab/>
        <w:t>the</w:t>
        <w:tab/>
        <w:t>order</w:t>
      </w:r>
      <w:r>
        <w:rPr>
          <w:sz w:val="20"/>
          <w:szCs w:val="20"/>
          <w:color w:val="auto"/>
        </w:rPr>
        <w:tab/>
      </w:r>
      <w:r>
        <w:rPr>
          <w:rFonts w:ascii="Arial" w:cs="Arial" w:eastAsia="Arial" w:hAnsi="Arial"/>
          <w:sz w:val="19"/>
          <w:szCs w:val="19"/>
          <w:color w:val="auto"/>
        </w:rPr>
        <w:t>of</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 (“</w:t>
      </w:r>
      <w:r>
        <w:rPr>
          <w:rFonts w:ascii="Arial" w:cs="Arial" w:eastAsia="Arial" w:hAnsi="Arial"/>
          <w:sz w:val="18"/>
          <w:szCs w:val="18"/>
          <w:b w:val="1"/>
          <w:bCs w:val="1"/>
          <w:i w:val="1"/>
          <w:iCs w:val="1"/>
          <w:color w:val="auto"/>
        </w:rPr>
        <w:t>Payee</w:t>
      </w:r>
      <w:r>
        <w:rPr>
          <w:rFonts w:ascii="Arial" w:cs="Arial" w:eastAsia="Arial" w:hAnsi="Arial"/>
          <w:sz w:val="18"/>
          <w:szCs w:val="18"/>
          <w:color w:val="auto"/>
        </w:rPr>
        <w:t xml:space="preserve">”) on or before the Termination Date for the Term Loan Facility or such earlier date as specified in </w:t>
      </w:r>
      <w:r>
        <w:rPr>
          <w:rFonts w:ascii="Arial" w:cs="Arial" w:eastAsia="Arial" w:hAnsi="Arial"/>
          <w:sz w:val="18"/>
          <w:szCs w:val="18"/>
          <w:i w:val="1"/>
          <w:iCs w:val="1"/>
          <w:color w:val="auto"/>
        </w:rPr>
        <w:t>Section 3.2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of the Credit Agreement (as hereinafter defined), the principal amount of _______________, or so much as may be disbursed and outstanding</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thereunder, together with interest, as hereinafter described.</w:t>
      </w:r>
    </w:p>
    <w:p>
      <w:pPr>
        <w:spacing w:after="0" w:line="270" w:lineRule="exact"/>
        <w:rPr>
          <w:sz w:val="20"/>
          <w:szCs w:val="20"/>
          <w:color w:val="auto"/>
        </w:rPr>
      </w:pPr>
    </w:p>
    <w:p>
      <w:pPr>
        <w:jc w:val="both"/>
        <w:spacing w:after="0" w:line="335" w:lineRule="auto"/>
        <w:rPr>
          <w:sz w:val="20"/>
          <w:szCs w:val="20"/>
          <w:color w:val="auto"/>
        </w:rPr>
      </w:pPr>
      <w:r>
        <w:rPr>
          <w:rFonts w:ascii="Arial" w:cs="Arial" w:eastAsia="Arial" w:hAnsi="Arial"/>
          <w:sz w:val="18"/>
          <w:szCs w:val="18"/>
          <w:color w:val="auto"/>
        </w:rPr>
        <w:t>This note has been executed and delivered under, and is subject to the terms of, the Eighth Amended and Restated Credit Agreement dated as of August 15, 2018 (as amended, supplemented, extended, or restated, the “</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 among Maker, the Lenders, and Bank of America, N.A., as Administrative Agent for itself and the other Lenders (including, without limitation, Payee), and is one of the “</w:t>
      </w:r>
      <w:r>
        <w:rPr>
          <w:rFonts w:ascii="Arial" w:cs="Arial" w:eastAsia="Arial" w:hAnsi="Arial"/>
          <w:sz w:val="18"/>
          <w:szCs w:val="18"/>
          <w:i w:val="1"/>
          <w:iCs w:val="1"/>
          <w:color w:val="auto"/>
        </w:rPr>
        <w:t>Term Loan</w:t>
      </w:r>
      <w:r>
        <w:rPr>
          <w:rFonts w:ascii="Arial" w:cs="Arial" w:eastAsia="Arial" w:hAnsi="Arial"/>
          <w:sz w:val="18"/>
          <w:szCs w:val="18"/>
          <w:color w:val="auto"/>
        </w:rPr>
        <w:t xml:space="preserve"> </w:t>
      </w:r>
      <w:r>
        <w:rPr>
          <w:rFonts w:ascii="Arial" w:cs="Arial" w:eastAsia="Arial" w:hAnsi="Arial"/>
          <w:sz w:val="18"/>
          <w:szCs w:val="18"/>
          <w:i w:val="1"/>
          <w:iCs w:val="1"/>
          <w:color w:val="auto"/>
        </w:rPr>
        <w:t>Notes</w:t>
      </w:r>
      <w:r>
        <w:rPr>
          <w:rFonts w:ascii="Arial" w:cs="Arial" w:eastAsia="Arial" w:hAnsi="Arial"/>
          <w:sz w:val="18"/>
          <w:szCs w:val="18"/>
          <w:color w:val="auto"/>
        </w:rPr>
        <w:t>” referred to therein. Unless defined herein or the context otherwise requires, capitalized terms used herein have the meaning given to</w:t>
      </w:r>
      <w:r>
        <w:rPr>
          <w:rFonts w:ascii="Arial" w:cs="Arial" w:eastAsia="Arial" w:hAnsi="Arial"/>
          <w:sz w:val="18"/>
          <w:szCs w:val="18"/>
          <w:i w:val="1"/>
          <w:iCs w:val="1"/>
          <w:color w:val="auto"/>
        </w:rPr>
        <w:t xml:space="preserve"> </w:t>
      </w:r>
      <w:r>
        <w:rPr>
          <w:rFonts w:ascii="Arial" w:cs="Arial" w:eastAsia="Arial" w:hAnsi="Arial"/>
          <w:sz w:val="18"/>
          <w:szCs w:val="18"/>
          <w:color w:val="auto"/>
        </w:rPr>
        <w:t>such terms in the Credit Agreement. Reference is made to the Credit Agreement for provisions affecting this note regarding applicable interest rates, principal and interest payment dates, final maturity, acceleration of maturity, exercise of Rights, payment of Attorney Costs, court costs and other costs of collection, and certain waivers by Maker and others now or hereafter obligated for payment of any sums due hereunder. Without limiting the immediately foregoing sentence, Maker, for itself and its successors and assigns, hereby waives diligence, presentment, protest, and demand and notice of protest, demand, dishonor, and non-payment of this note.</w:t>
      </w:r>
    </w:p>
    <w:p>
      <w:pPr>
        <w:spacing w:after="0" w:line="168" w:lineRule="exact"/>
        <w:rPr>
          <w:sz w:val="20"/>
          <w:szCs w:val="20"/>
          <w:color w:val="auto"/>
        </w:rPr>
      </w:pPr>
    </w:p>
    <w:p>
      <w:pPr>
        <w:jc w:val="both"/>
        <w:spacing w:after="0" w:line="354" w:lineRule="auto"/>
        <w:rPr>
          <w:sz w:val="20"/>
          <w:szCs w:val="20"/>
          <w:color w:val="auto"/>
        </w:rPr>
      </w:pPr>
      <w:r>
        <w:rPr>
          <w:rFonts w:ascii="Arial" w:cs="Arial" w:eastAsia="Arial" w:hAnsi="Arial"/>
          <w:sz w:val="18"/>
          <w:szCs w:val="18"/>
          <w:color w:val="auto"/>
        </w:rPr>
        <w:t xml:space="preserve">This note is a Loan Paper and, therefore, is subject to the applicable provisions of </w:t>
      </w:r>
      <w:r>
        <w:rPr>
          <w:rFonts w:ascii="Arial" w:cs="Arial" w:eastAsia="Arial" w:hAnsi="Arial"/>
          <w:sz w:val="18"/>
          <w:szCs w:val="18"/>
          <w:i w:val="1"/>
          <w:iCs w:val="1"/>
          <w:color w:val="auto"/>
        </w:rPr>
        <w:t>Section 15</w:t>
      </w:r>
      <w:r>
        <w:rPr>
          <w:rFonts w:ascii="Arial" w:cs="Arial" w:eastAsia="Arial" w:hAnsi="Arial"/>
          <w:sz w:val="18"/>
          <w:szCs w:val="18"/>
          <w:color w:val="auto"/>
        </w:rPr>
        <w:t xml:space="preserve"> (including, without limitation, the registration provisions of </w:t>
      </w:r>
      <w:r>
        <w:rPr>
          <w:rFonts w:ascii="Arial" w:cs="Arial" w:eastAsia="Arial" w:hAnsi="Arial"/>
          <w:sz w:val="18"/>
          <w:szCs w:val="18"/>
          <w:i w:val="1"/>
          <w:iCs w:val="1"/>
          <w:color w:val="auto"/>
        </w:rPr>
        <w:t>Section 15.11(c)</w:t>
      </w:r>
      <w:r>
        <w:rPr>
          <w:rFonts w:ascii="Arial" w:cs="Arial" w:eastAsia="Arial" w:hAnsi="Arial"/>
          <w:sz w:val="18"/>
          <w:szCs w:val="18"/>
          <w:color w:val="auto"/>
        </w:rPr>
        <w:t>) of the Credit Agreement, all of which applicable provisions are incorporated herein by reference the same as if set forth herein verbatim. This note is also entitled to the benefits of the Guaranties and is secured by the Collateral.</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Specific reference is made to </w:t>
      </w:r>
      <w:r>
        <w:rPr>
          <w:rFonts w:ascii="Arial" w:cs="Arial" w:eastAsia="Arial" w:hAnsi="Arial"/>
          <w:sz w:val="20"/>
          <w:szCs w:val="20"/>
          <w:i w:val="1"/>
          <w:iCs w:val="1"/>
          <w:color w:val="auto"/>
        </w:rPr>
        <w:t>Section 3.8</w:t>
      </w:r>
      <w:r>
        <w:rPr>
          <w:rFonts w:ascii="Arial" w:cs="Arial" w:eastAsia="Arial" w:hAnsi="Arial"/>
          <w:sz w:val="20"/>
          <w:szCs w:val="20"/>
          <w:color w:val="auto"/>
        </w:rPr>
        <w:t xml:space="preserve"> of the Credit Agreement for usury savings provisions.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Remainder of Page Intentionally Blank</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Signature Page to Follow</w:t>
      </w:r>
    </w:p>
    <w:p>
      <w:pPr>
        <w:sectPr>
          <w:pgSz w:w="11900" w:h="16838" w:orient="portrait"/>
          <w:cols w:equalWidth="0" w:num="1">
            <w:col w:w="11420"/>
          </w:cols>
          <w:pgMar w:left="240" w:top="576" w:right="239" w:bottom="1440" w:gutter="0" w:footer="0" w:header="0"/>
        </w:sectPr>
      </w:pPr>
    </w:p>
    <w:bookmarkStart w:id="195" w:name="page196"/>
    <w:bookmarkEnd w:id="195"/>
    <w:p>
      <w:pPr>
        <w:ind w:left="2700"/>
        <w:spacing w:after="0"/>
        <w:rPr>
          <w:sz w:val="20"/>
          <w:szCs w:val="20"/>
          <w:color w:val="auto"/>
        </w:rPr>
      </w:pPr>
      <w:r>
        <w:rPr>
          <w:rFonts w:ascii="Arial" w:cs="Arial" w:eastAsia="Arial" w:hAnsi="Arial"/>
          <w:sz w:val="20"/>
          <w:szCs w:val="20"/>
          <w:color w:val="auto"/>
        </w:rPr>
        <w:t>MAKER:</w:t>
      </w:r>
    </w:p>
    <w:p>
      <w:pPr>
        <w:spacing w:after="0" w:line="243"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VAIL HOLDINGS, INC.</w:t>
      </w:r>
    </w:p>
    <w:p>
      <w:pPr>
        <w:spacing w:after="0" w:line="200" w:lineRule="exact"/>
        <w:rPr>
          <w:sz w:val="20"/>
          <w:szCs w:val="20"/>
          <w:color w:val="auto"/>
        </w:rPr>
      </w:pPr>
    </w:p>
    <w:p>
      <w:pPr>
        <w:spacing w:after="0" w:line="338"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8801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011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2078990</wp:posOffset>
            </wp:positionH>
            <wp:positionV relativeFrom="paragraph">
              <wp:posOffset>-24765</wp:posOffset>
            </wp:positionV>
            <wp:extent cx="6597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1980565</wp:posOffset>
            </wp:positionH>
            <wp:positionV relativeFrom="paragraph">
              <wp:posOffset>-24765</wp:posOffset>
            </wp:positionV>
            <wp:extent cx="7854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85495" cy="8890"/>
                    </a:xfrm>
                    <a:prstGeom prst="rect">
                      <a:avLst/>
                    </a:prstGeom>
                    <a:noFill/>
                  </pic:spPr>
                </pic:pic>
              </a:graphicData>
            </a:graphic>
          </wp:anchor>
        </w:drawing>
      </w:r>
    </w:p>
    <w:p>
      <w:pPr>
        <w:sectPr>
          <w:pgSz w:w="11900" w:h="16838" w:orient="portrait"/>
          <w:cols w:equalWidth="0" w:num="1">
            <w:col w:w="9019"/>
          </w:cols>
          <w:pgMar w:left="1440" w:top="582" w:right="1440" w:bottom="1440" w:gutter="0" w:footer="0" w:header="0"/>
        </w:sectPr>
      </w:pPr>
    </w:p>
    <w:bookmarkStart w:id="196" w:name="page197"/>
    <w:bookmarkEnd w:id="196"/>
    <w:p>
      <w:pPr>
        <w:jc w:val="center"/>
        <w:spacing w:after="0"/>
        <w:rPr>
          <w:sz w:val="20"/>
          <w:szCs w:val="20"/>
          <w:color w:val="auto"/>
        </w:rPr>
      </w:pPr>
      <w:r>
        <w:rPr>
          <w:rFonts w:ascii="Arial" w:cs="Arial" w:eastAsia="Arial" w:hAnsi="Arial"/>
          <w:sz w:val="20"/>
          <w:szCs w:val="20"/>
          <w:b w:val="1"/>
          <w:bCs w:val="1"/>
          <w:u w:val="single" w:color="auto"/>
          <w:color w:val="auto"/>
        </w:rPr>
        <w:t>EXHIBIT B-1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GUARANTY</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THIS GUARANTY (this “</w:t>
      </w:r>
      <w:r>
        <w:rPr>
          <w:rFonts w:ascii="Arial" w:cs="Arial" w:eastAsia="Arial" w:hAnsi="Arial"/>
          <w:sz w:val="19"/>
          <w:szCs w:val="19"/>
          <w:b w:val="1"/>
          <w:bCs w:val="1"/>
          <w:i w:val="1"/>
          <w:iCs w:val="1"/>
          <w:color w:val="auto"/>
        </w:rPr>
        <w:t>Guaranty</w:t>
      </w:r>
      <w:r>
        <w:rPr>
          <w:rFonts w:ascii="Arial" w:cs="Arial" w:eastAsia="Arial" w:hAnsi="Arial"/>
          <w:sz w:val="19"/>
          <w:szCs w:val="19"/>
          <w:color w:val="auto"/>
        </w:rPr>
        <w:t>”) is executed as of ______________, by the undersigned guarantor (“</w:t>
      </w:r>
      <w:r>
        <w:rPr>
          <w:rFonts w:ascii="Arial" w:cs="Arial" w:eastAsia="Arial" w:hAnsi="Arial"/>
          <w:sz w:val="19"/>
          <w:szCs w:val="19"/>
          <w:b w:val="1"/>
          <w:bCs w:val="1"/>
          <w:i w:val="1"/>
          <w:iCs w:val="1"/>
          <w:color w:val="auto"/>
        </w:rPr>
        <w:t>Guarantor</w:t>
      </w:r>
      <w:r>
        <w:rPr>
          <w:rFonts w:ascii="Arial" w:cs="Arial" w:eastAsia="Arial" w:hAnsi="Arial"/>
          <w:sz w:val="19"/>
          <w:szCs w:val="19"/>
          <w:color w:val="auto"/>
        </w:rPr>
        <w:t>”) for the benefit of</w:t>
      </w:r>
    </w:p>
    <w:p>
      <w:pPr>
        <w:spacing w:after="0" w:line="27" w:lineRule="exact"/>
        <w:rPr>
          <w:sz w:val="20"/>
          <w:szCs w:val="20"/>
          <w:color w:val="auto"/>
        </w:rPr>
      </w:pPr>
    </w:p>
    <w:p>
      <w:pPr>
        <w:jc w:val="both"/>
        <w:spacing w:after="0"/>
        <w:rPr>
          <w:sz w:val="20"/>
          <w:szCs w:val="20"/>
          <w:color w:val="auto"/>
        </w:rPr>
      </w:pPr>
      <w:r>
        <w:rPr>
          <w:rFonts w:ascii="Arial" w:cs="Arial" w:eastAsia="Arial" w:hAnsi="Arial"/>
          <w:sz w:val="20"/>
          <w:szCs w:val="20"/>
          <w:color w:val="auto"/>
        </w:rPr>
        <w:t>BANK OF AMERICA, N.A. (with its successors in such capacity, “</w:t>
      </w:r>
      <w:r>
        <w:rPr>
          <w:rFonts w:ascii="Arial" w:cs="Arial" w:eastAsia="Arial" w:hAnsi="Arial"/>
          <w:sz w:val="20"/>
          <w:szCs w:val="20"/>
          <w:b w:val="1"/>
          <w:bCs w:val="1"/>
          <w:i w:val="1"/>
          <w:iCs w:val="1"/>
          <w:color w:val="auto"/>
        </w:rPr>
        <w:t>Administrative Agent</w:t>
      </w:r>
      <w:r>
        <w:rPr>
          <w:rFonts w:ascii="Arial" w:cs="Arial" w:eastAsia="Arial" w:hAnsi="Arial"/>
          <w:sz w:val="20"/>
          <w:szCs w:val="20"/>
          <w:color w:val="auto"/>
        </w:rPr>
        <w:t>”), as Administrative Agent for itself and other Lenders (collectively, “</w:t>
      </w:r>
      <w:r>
        <w:rPr>
          <w:rFonts w:ascii="Arial" w:cs="Arial" w:eastAsia="Arial" w:hAnsi="Arial"/>
          <w:sz w:val="20"/>
          <w:szCs w:val="20"/>
          <w:b w:val="1"/>
          <w:bCs w:val="1"/>
          <w:i w:val="1"/>
          <w:iCs w:val="1"/>
          <w:color w:val="auto"/>
        </w:rPr>
        <w:t>Lenders</w:t>
      </w:r>
      <w:r>
        <w:rPr>
          <w:rFonts w:ascii="Arial" w:cs="Arial" w:eastAsia="Arial" w:hAnsi="Arial"/>
          <w:sz w:val="20"/>
          <w:szCs w:val="20"/>
          <w:color w:val="auto"/>
        </w:rPr>
        <w:t>”; together with Administrative Agent, the “</w:t>
      </w:r>
      <w:r>
        <w:rPr>
          <w:rFonts w:ascii="Arial" w:cs="Arial" w:eastAsia="Arial" w:hAnsi="Arial"/>
          <w:sz w:val="20"/>
          <w:szCs w:val="20"/>
          <w:b w:val="1"/>
          <w:bCs w:val="1"/>
          <w:i w:val="1"/>
          <w:iCs w:val="1"/>
          <w:color w:val="auto"/>
        </w:rPr>
        <w:t>Guaranteed Parties</w:t>
      </w:r>
      <w:r>
        <w:rPr>
          <w:rFonts w:ascii="Arial" w:cs="Arial" w:eastAsia="Arial" w:hAnsi="Arial"/>
          <w:sz w:val="20"/>
          <w:szCs w:val="20"/>
          <w:color w:val="auto"/>
        </w:rPr>
        <w:t>”) now or hereafter party to the Eighth Amended and Restated Credit Agreement dated as of August 15, 2018 among Vail Holdings, Inc., a Colorado corporation (“</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the Lenders, and Administrative Agent (as amended, supplemented, extended, or restated, the “</w:t>
      </w:r>
      <w:r>
        <w:rPr>
          <w:rFonts w:ascii="Arial" w:cs="Arial" w:eastAsia="Arial" w:hAnsi="Arial"/>
          <w:sz w:val="20"/>
          <w:szCs w:val="20"/>
          <w:b w:val="1"/>
          <w:bCs w:val="1"/>
          <w:i w:val="1"/>
          <w:iCs w:val="1"/>
          <w:color w:val="auto"/>
        </w:rPr>
        <w:t>Credit Agreement</w:t>
      </w:r>
      <w:r>
        <w:rPr>
          <w:rFonts w:ascii="Arial" w:cs="Arial" w:eastAsia="Arial" w:hAnsi="Arial"/>
          <w:sz w:val="20"/>
          <w:szCs w:val="20"/>
          <w:color w:val="auto"/>
        </w:rPr>
        <w:t>”). Capitalized terms not otherwise defined herein are used as defined in the Credit Agreement.</w:t>
      </w:r>
    </w:p>
    <w:p>
      <w:pPr>
        <w:spacing w:after="0" w:line="198" w:lineRule="exact"/>
        <w:rPr>
          <w:sz w:val="20"/>
          <w:szCs w:val="20"/>
          <w:color w:val="auto"/>
        </w:rPr>
      </w:pPr>
    </w:p>
    <w:p>
      <w:pPr>
        <w:ind w:left="1040" w:hanging="384"/>
        <w:spacing w:after="0"/>
        <w:tabs>
          <w:tab w:leader="none" w:pos="1040" w:val="left"/>
        </w:tabs>
        <w:numPr>
          <w:ilvl w:val="0"/>
          <w:numId w:val="180"/>
        </w:numPr>
        <w:rPr>
          <w:rFonts w:ascii="Arial" w:cs="Arial" w:eastAsia="Arial" w:hAnsi="Arial"/>
          <w:sz w:val="20"/>
          <w:szCs w:val="20"/>
          <w:color w:val="auto"/>
        </w:rPr>
      </w:pPr>
      <w:r>
        <w:rPr>
          <w:rFonts w:ascii="Arial" w:cs="Arial" w:eastAsia="Arial" w:hAnsi="Arial"/>
          <w:sz w:val="20"/>
          <w:szCs w:val="20"/>
          <w:color w:val="auto"/>
        </w:rPr>
        <w:t>Guarantor is an Affiliate of Borrower</w:t>
      </w:r>
    </w:p>
    <w:p>
      <w:pPr>
        <w:spacing w:after="0" w:line="215" w:lineRule="exact"/>
        <w:rPr>
          <w:rFonts w:ascii="Arial" w:cs="Arial" w:eastAsia="Arial" w:hAnsi="Arial"/>
          <w:sz w:val="20"/>
          <w:szCs w:val="20"/>
          <w:color w:val="auto"/>
        </w:rPr>
      </w:pPr>
    </w:p>
    <w:p>
      <w:pPr>
        <w:jc w:val="both"/>
        <w:ind w:firstLine="656"/>
        <w:spacing w:after="0" w:line="250" w:lineRule="auto"/>
        <w:tabs>
          <w:tab w:leader="none" w:pos="1091" w:val="left"/>
        </w:tabs>
        <w:numPr>
          <w:ilvl w:val="0"/>
          <w:numId w:val="180"/>
        </w:numPr>
        <w:rPr>
          <w:rFonts w:ascii="Arial" w:cs="Arial" w:eastAsia="Arial" w:hAnsi="Arial"/>
          <w:sz w:val="20"/>
          <w:szCs w:val="20"/>
          <w:color w:val="auto"/>
        </w:rPr>
      </w:pPr>
      <w:r>
        <w:rPr>
          <w:rFonts w:ascii="Arial" w:cs="Arial" w:eastAsia="Arial" w:hAnsi="Arial"/>
          <w:sz w:val="20"/>
          <w:szCs w:val="20"/>
          <w:color w:val="auto"/>
        </w:rPr>
        <w:t xml:space="preserve">[The execution and delivery of this Guaranty is an integral part of the transactions contemplated by the Loan Papers and is a condition precedent to Lenders’ obligations to extend credit under the Credit Agreement.] [Guarantor is required to deliver this Guaranty pursuant to </w:t>
      </w:r>
      <w:r>
        <w:rPr>
          <w:rFonts w:ascii="Arial" w:cs="Arial" w:eastAsia="Arial" w:hAnsi="Arial"/>
          <w:sz w:val="20"/>
          <w:szCs w:val="20"/>
          <w:i w:val="1"/>
          <w:iCs w:val="1"/>
          <w:color w:val="auto"/>
        </w:rPr>
        <w:t>Section [9.10] [9.11]</w:t>
      </w:r>
      <w:r>
        <w:rPr>
          <w:rFonts w:ascii="Arial" w:cs="Arial" w:eastAsia="Arial" w:hAnsi="Arial"/>
          <w:sz w:val="20"/>
          <w:szCs w:val="20"/>
          <w:color w:val="auto"/>
        </w:rPr>
        <w:t xml:space="preserve"> of the Credit Agreement.]</w:t>
      </w:r>
    </w:p>
    <w:p>
      <w:pPr>
        <w:spacing w:after="0" w:line="18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NOW, THEREFORE, Guarantor hereby guarantees to Lenders the prompt payment at maturity (by acceleration or otherwise), and at all times thereafter, of the Guaranteed Debt owing to Lenders as follows:</w:t>
      </w:r>
    </w:p>
    <w:p>
      <w:pPr>
        <w:spacing w:after="0" w:line="177" w:lineRule="exact"/>
        <w:rPr>
          <w:sz w:val="20"/>
          <w:szCs w:val="20"/>
          <w:color w:val="auto"/>
        </w:rPr>
      </w:pPr>
    </w:p>
    <w:p>
      <w:pPr>
        <w:ind w:firstLine="656"/>
        <w:spacing w:after="0" w:line="260" w:lineRule="auto"/>
        <w:tabs>
          <w:tab w:leader="none" w:pos="1152" w:val="left"/>
        </w:tabs>
        <w:numPr>
          <w:ilvl w:val="0"/>
          <w:numId w:val="181"/>
        </w:numPr>
        <w:rPr>
          <w:rFonts w:ascii="Arial" w:cs="Arial" w:eastAsia="Arial" w:hAnsi="Arial"/>
          <w:sz w:val="20"/>
          <w:szCs w:val="20"/>
          <w:color w:val="auto"/>
        </w:rPr>
      </w:pPr>
      <w:r>
        <w:rPr>
          <w:rFonts w:ascii="Arial" w:cs="Arial" w:eastAsia="Arial" w:hAnsi="Arial"/>
          <w:sz w:val="20"/>
          <w:szCs w:val="20"/>
          <w:u w:val="single" w:color="auto"/>
          <w:color w:val="auto"/>
        </w:rPr>
        <w:t>Borrower</w:t>
      </w:r>
      <w:r>
        <w:rPr>
          <w:rFonts w:ascii="Arial" w:cs="Arial" w:eastAsia="Arial" w:hAnsi="Arial"/>
          <w:sz w:val="20"/>
          <w:szCs w:val="20"/>
          <w:color w:val="auto"/>
        </w:rPr>
        <w:t>. The term “</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includes, without limitation, Borrower as a debtor-in-possession, and any party hereafter appointed “</w:t>
      </w:r>
      <w:r>
        <w:rPr>
          <w:rFonts w:ascii="Arial" w:cs="Arial" w:eastAsia="Arial" w:hAnsi="Arial"/>
          <w:sz w:val="20"/>
          <w:szCs w:val="20"/>
          <w:i w:val="1"/>
          <w:iCs w:val="1"/>
          <w:color w:val="auto"/>
        </w:rPr>
        <w:t>Receiver</w:t>
      </w:r>
      <w:r>
        <w:rPr>
          <w:rFonts w:ascii="Arial" w:cs="Arial" w:eastAsia="Arial" w:hAnsi="Arial"/>
          <w:sz w:val="20"/>
          <w:szCs w:val="20"/>
          <w:color w:val="auto"/>
        </w:rPr>
        <w:t>” for Borrower or all or substantially all of its assets under any Debtor Relief Law.</w:t>
      </w:r>
    </w:p>
    <w:p>
      <w:pPr>
        <w:spacing w:after="0" w:line="176" w:lineRule="exact"/>
        <w:rPr>
          <w:rFonts w:ascii="Arial" w:cs="Arial" w:eastAsia="Arial" w:hAnsi="Arial"/>
          <w:sz w:val="20"/>
          <w:szCs w:val="20"/>
          <w:color w:val="auto"/>
        </w:rPr>
      </w:pPr>
    </w:p>
    <w:p>
      <w:pPr>
        <w:jc w:val="both"/>
        <w:ind w:firstLine="656"/>
        <w:spacing w:after="0" w:line="271" w:lineRule="auto"/>
        <w:tabs>
          <w:tab w:leader="none" w:pos="1017"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Guaranteed Debt</w:t>
      </w:r>
      <w:r>
        <w:rPr>
          <w:rFonts w:ascii="Arial" w:cs="Arial" w:eastAsia="Arial" w:hAnsi="Arial"/>
          <w:sz w:val="18"/>
          <w:szCs w:val="18"/>
          <w:color w:val="auto"/>
        </w:rPr>
        <w:t>. The term “</w:t>
      </w:r>
      <w:r>
        <w:rPr>
          <w:rFonts w:ascii="Arial" w:cs="Arial" w:eastAsia="Arial" w:hAnsi="Arial"/>
          <w:sz w:val="18"/>
          <w:szCs w:val="18"/>
          <w:b w:val="1"/>
          <w:bCs w:val="1"/>
          <w:i w:val="1"/>
          <w:iCs w:val="1"/>
          <w:color w:val="auto"/>
        </w:rPr>
        <w:t>Guaranteed Debt</w:t>
      </w:r>
      <w:r>
        <w:rPr>
          <w:rFonts w:ascii="Arial" w:cs="Arial" w:eastAsia="Arial" w:hAnsi="Arial"/>
          <w:sz w:val="18"/>
          <w:szCs w:val="18"/>
          <w:color w:val="auto"/>
        </w:rPr>
        <w:t xml:space="preserve">” means all present and future indebtedness and obligations of every kind, nature, and character, direct or indirect, absolute or contingent, liquidated or unliquidated, voluntary or involuntary, owed to the Guaranteed Parties by Borrower under the Loan Papers to which it is a party, and all instruments, agreements, and other documents of every kind and nature now or hereafter created in connection with the Credit Agreement (including all renewals, extensions, and modifications thereof), including, without limitation, the Obligation, together with all interest accruing thereon, fees, costs, and expenses (including, without limitation, (a) all Attorney Costs incurred pursuant to, or in connection with the protection of Rights under, the Loan Papers to which Borrower is a party, and (b) amounts that would become due but for operation of Section 502, 506, or any other applicable provision of Title 11 of the Bankruptcy Code of the United States), </w:t>
      </w:r>
      <w:r>
        <w:rPr>
          <w:rFonts w:ascii="Arial" w:cs="Arial" w:eastAsia="Arial" w:hAnsi="Arial"/>
          <w:sz w:val="18"/>
          <w:szCs w:val="18"/>
          <w:i w:val="1"/>
          <w:iCs w:val="1"/>
          <w:color w:val="auto"/>
        </w:rPr>
        <w:t>together with</w:t>
      </w:r>
      <w:r>
        <w:rPr>
          <w:rFonts w:ascii="Arial" w:cs="Arial" w:eastAsia="Arial" w:hAnsi="Arial"/>
          <w:sz w:val="18"/>
          <w:szCs w:val="18"/>
          <w:color w:val="auto"/>
        </w:rPr>
        <w:t xml:space="preserve"> all pre- and post-maturity interest thereon (including, without limitation, all post-petition interest if Borrower voluntarily or involuntarily files for bankruptcy protection) and any and all costs, Attorney Costs, and expenses reasonably incurred by any Guaranteed Party to enforce Borrower’s payment of any of the foregoing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Guarantor is not an “</w:t>
      </w:r>
      <w:r>
        <w:rPr>
          <w:rFonts w:ascii="Arial" w:cs="Arial" w:eastAsia="Arial" w:hAnsi="Arial"/>
          <w:sz w:val="18"/>
          <w:szCs w:val="18"/>
          <w:i w:val="1"/>
          <w:iCs w:val="1"/>
          <w:color w:val="auto"/>
        </w:rPr>
        <w:t>eligible</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 participant</w:t>
      </w:r>
      <w:r>
        <w:rPr>
          <w:rFonts w:ascii="Arial" w:cs="Arial" w:eastAsia="Arial" w:hAnsi="Arial"/>
          <w:sz w:val="18"/>
          <w:szCs w:val="18"/>
          <w:color w:val="auto"/>
        </w:rPr>
        <w:t>” under the Commodity Exchange Act, Excluded Swap Obligations shall be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w:t>
      </w:r>
    </w:p>
    <w:p>
      <w:pPr>
        <w:spacing w:after="0" w:line="179" w:lineRule="exact"/>
        <w:rPr>
          <w:sz w:val="20"/>
          <w:szCs w:val="20"/>
          <w:color w:val="auto"/>
        </w:rPr>
      </w:pPr>
    </w:p>
    <w:p>
      <w:pPr>
        <w:ind w:left="120" w:hanging="112"/>
        <w:spacing w:after="0"/>
        <w:tabs>
          <w:tab w:leader="none" w:pos="120" w:val="left"/>
        </w:tabs>
        <w:numPr>
          <w:ilvl w:val="0"/>
          <w:numId w:val="182"/>
        </w:numPr>
        <w:rPr>
          <w:rFonts w:ascii="Arial" w:cs="Arial" w:eastAsia="Arial" w:hAnsi="Arial"/>
          <w:sz w:val="25"/>
          <w:szCs w:val="25"/>
          <w:color w:val="auto"/>
          <w:vertAlign w:val="superscript"/>
        </w:rPr>
      </w:pPr>
      <w:r>
        <w:rPr>
          <w:rFonts w:ascii="Arial" w:cs="Arial" w:eastAsia="Arial" w:hAnsi="Arial"/>
          <w:sz w:val="20"/>
          <w:szCs w:val="20"/>
          <w:color w:val="auto"/>
        </w:rPr>
        <w:t>Use if the Guaranty is required to be delivered on the Closing Date.</w:t>
      </w:r>
    </w:p>
    <w:p>
      <w:pPr>
        <w:spacing w:after="0" w:line="158" w:lineRule="exact"/>
        <w:rPr>
          <w:sz w:val="20"/>
          <w:szCs w:val="20"/>
          <w:color w:val="auto"/>
        </w:rPr>
      </w:pPr>
    </w:p>
    <w:p>
      <w:pPr>
        <w:ind w:left="120" w:hanging="112"/>
        <w:spacing w:after="0"/>
        <w:tabs>
          <w:tab w:leader="none" w:pos="120" w:val="left"/>
        </w:tabs>
        <w:numPr>
          <w:ilvl w:val="0"/>
          <w:numId w:val="183"/>
        </w:numPr>
        <w:rPr>
          <w:rFonts w:ascii="Arial" w:cs="Arial" w:eastAsia="Arial" w:hAnsi="Arial"/>
          <w:sz w:val="25"/>
          <w:szCs w:val="25"/>
          <w:color w:val="auto"/>
          <w:vertAlign w:val="superscript"/>
        </w:rPr>
      </w:pPr>
      <w:r>
        <w:rPr>
          <w:rFonts w:ascii="Arial" w:cs="Arial" w:eastAsia="Arial" w:hAnsi="Arial"/>
          <w:sz w:val="20"/>
          <w:szCs w:val="20"/>
          <w:color w:val="auto"/>
        </w:rPr>
        <w:t xml:space="preserve">Use if the Guaranty is required to be delivered pursuant to </w:t>
      </w:r>
      <w:r>
        <w:rPr>
          <w:rFonts w:ascii="Arial" w:cs="Arial" w:eastAsia="Arial" w:hAnsi="Arial"/>
          <w:sz w:val="20"/>
          <w:szCs w:val="20"/>
          <w:i w:val="1"/>
          <w:iCs w:val="1"/>
          <w:color w:val="auto"/>
        </w:rPr>
        <w:t>Sections 9.10</w:t>
      </w:r>
      <w:r>
        <w:rPr>
          <w:rFonts w:ascii="Arial" w:cs="Arial" w:eastAsia="Arial" w:hAnsi="Arial"/>
          <w:sz w:val="20"/>
          <w:szCs w:val="20"/>
          <w:color w:val="auto"/>
        </w:rPr>
        <w:t xml:space="preserve"> or </w:t>
      </w:r>
      <w:r>
        <w:rPr>
          <w:rFonts w:ascii="Arial" w:cs="Arial" w:eastAsia="Arial" w:hAnsi="Arial"/>
          <w:sz w:val="20"/>
          <w:szCs w:val="20"/>
          <w:i w:val="1"/>
          <w:iCs w:val="1"/>
          <w:color w:val="auto"/>
        </w:rPr>
        <w:t>9.11</w:t>
      </w:r>
      <w:r>
        <w:rPr>
          <w:rFonts w:ascii="Arial" w:cs="Arial" w:eastAsia="Arial" w:hAnsi="Arial"/>
          <w:sz w:val="20"/>
          <w:szCs w:val="20"/>
          <w:color w:val="auto"/>
        </w:rPr>
        <w:t xml:space="preserve"> of the Credit Agreement.</w:t>
      </w:r>
    </w:p>
    <w:p>
      <w:pPr>
        <w:sectPr>
          <w:pgSz w:w="11900" w:h="16838" w:orient="portrait"/>
          <w:cols w:equalWidth="0" w:num="1">
            <w:col w:w="11420"/>
          </w:cols>
          <w:pgMar w:left="240" w:top="576" w:right="239" w:bottom="1440" w:gutter="0" w:footer="0" w:header="0"/>
        </w:sectPr>
      </w:pPr>
    </w:p>
    <w:bookmarkStart w:id="197" w:name="page198"/>
    <w:bookmarkEnd w:id="197"/>
    <w:p>
      <w:pPr>
        <w:jc w:val="both"/>
        <w:ind w:right="20"/>
        <w:spacing w:after="0" w:line="250" w:lineRule="auto"/>
        <w:rPr>
          <w:sz w:val="20"/>
          <w:szCs w:val="20"/>
          <w:color w:val="auto"/>
        </w:rPr>
      </w:pPr>
      <w:r>
        <w:rPr>
          <w:rFonts w:ascii="Arial" w:cs="Arial" w:eastAsia="Arial" w:hAnsi="Arial"/>
          <w:sz w:val="20"/>
          <w:szCs w:val="20"/>
          <w:color w:val="auto"/>
        </w:rPr>
        <w:t>excluded from “Guaranteed Debt” owing by or guaranteed by Guarantor. Administrative Agent’s books and records showing the amount of the Guaranteed Debt shall be admissible in evidence in any action or proceeding, and shall be binding upon Guarantor and conclusive for the purpose of establishing the amount of the Guaranteed Debt.</w:t>
      </w:r>
    </w:p>
    <w:p>
      <w:pPr>
        <w:spacing w:after="0" w:line="186" w:lineRule="exact"/>
        <w:rPr>
          <w:sz w:val="20"/>
          <w:szCs w:val="20"/>
          <w:color w:val="auto"/>
        </w:rPr>
      </w:pPr>
    </w:p>
    <w:p>
      <w:pPr>
        <w:jc w:val="both"/>
        <w:ind w:firstLine="656"/>
        <w:spacing w:after="0" w:line="276" w:lineRule="auto"/>
        <w:tabs>
          <w:tab w:leader="none" w:pos="1004"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Absolute Guaranty; Limit of Liability</w:t>
      </w:r>
      <w:r>
        <w:rPr>
          <w:rFonts w:ascii="Arial" w:cs="Arial" w:eastAsia="Arial" w:hAnsi="Arial"/>
          <w:sz w:val="18"/>
          <w:szCs w:val="18"/>
          <w:color w:val="auto"/>
        </w:rPr>
        <w:t>. This instrument is an absolute, irrevocable, and continuing guaranty, and the circumstance that at any time or from time to time the Guaranteed Debt may be paid in full does not affect the obligation of Guarantor with respect to the Guaranteed Debt of Borrower thereafter incurred. NOTWITHSTANDING ANY CONTRARY PROVISION IN THIS GUARANTY, HOWEVER, THE OBLIGATIONS OF GUARANTOR HEREUNDER SHALL BE LIMITED TO AN AGGREGATE AMOUNT EQUAL TO THE LARGEST AMOUNT THAT WOULD NOT RENDER ITS OBLIGATIONS HEREUNDER SUBJECT TO AVOIDANCE UNDER SECTION 548 OF THE U.S. BANKRUPTCY CODE OR ANY COMPARABLE PROVISIONS OF ANY APPLICABLE STATE LAW.</w:t>
      </w:r>
    </w:p>
    <w:p>
      <w:pPr>
        <w:spacing w:after="0" w:line="165" w:lineRule="exact"/>
        <w:rPr>
          <w:rFonts w:ascii="Arial" w:cs="Arial" w:eastAsia="Arial" w:hAnsi="Arial"/>
          <w:sz w:val="18"/>
          <w:szCs w:val="18"/>
          <w:color w:val="auto"/>
        </w:rPr>
      </w:pPr>
    </w:p>
    <w:p>
      <w:pPr>
        <w:jc w:val="both"/>
        <w:ind w:firstLine="656"/>
        <w:spacing w:after="0" w:line="272" w:lineRule="auto"/>
        <w:tabs>
          <w:tab w:leader="none" w:pos="1044"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No Setoff or Deductions; Taxes</w:t>
      </w:r>
      <w:r>
        <w:rPr>
          <w:rFonts w:ascii="Arial" w:cs="Arial" w:eastAsia="Arial" w:hAnsi="Arial"/>
          <w:sz w:val="18"/>
          <w:szCs w:val="18"/>
          <w:color w:val="auto"/>
        </w:rPr>
        <w:t>. Guarantor represents and warrants that it is incorporated or formed and resident in the United States of America. All payments by Guarantor hereunder shall be paid in full, without setoff or counterclaim or any deduction or withholding whatsoever, including, without limitation, for any and all present and future Indemnified Taxes or Other Taxes. If Guarantor shall be required by any Laws to deduct any Indemnified Taxes (including any Other Taxes) from or in respect of any sum payable under this Guaranty to any Guaranteed Party, (i) the sum payable shall be increased as necessary so that after making all required deductions, each Guaranteed Party receives an amount equal to the sum it would have received had no such deductions been made, (ii) Guarantor shall make such deductions, (iii) Guarantor shall pay the full amount deducted to the relevant taxation authority or other authority in accordance with applicable Laws, and (iv) within 30 days after the date of such payment, Guarantor shall furnish to Administrative Agent (which shall forward the same to the applicable Guaranteed Parties) the original or a certified copy of a receipt evidencing payment thereof.</w:t>
      </w:r>
    </w:p>
    <w:p>
      <w:pPr>
        <w:spacing w:after="0" w:line="171" w:lineRule="exact"/>
        <w:rPr>
          <w:rFonts w:ascii="Arial" w:cs="Arial" w:eastAsia="Arial" w:hAnsi="Arial"/>
          <w:sz w:val="18"/>
          <w:szCs w:val="18"/>
          <w:color w:val="auto"/>
        </w:rPr>
      </w:pPr>
    </w:p>
    <w:p>
      <w:pPr>
        <w:jc w:val="both"/>
        <w:ind w:firstLine="656"/>
        <w:spacing w:after="0" w:line="258" w:lineRule="auto"/>
        <w:tabs>
          <w:tab w:leader="none" w:pos="1031" w:val="left"/>
        </w:tabs>
        <w:numPr>
          <w:ilvl w:val="0"/>
          <w:numId w:val="184"/>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Guarantor acknowledges that certain representations and warranties contained in the other Loan Papers (including, without limitation, </w:t>
      </w:r>
      <w:r>
        <w:rPr>
          <w:rFonts w:ascii="Arial" w:cs="Arial" w:eastAsia="Arial" w:hAnsi="Arial"/>
          <w:sz w:val="19"/>
          <w:szCs w:val="19"/>
          <w:i w:val="1"/>
          <w:iCs w:val="1"/>
          <w:color w:val="auto"/>
        </w:rPr>
        <w:t>Section 8</w:t>
      </w:r>
      <w:r>
        <w:rPr>
          <w:rFonts w:ascii="Arial" w:cs="Arial" w:eastAsia="Arial" w:hAnsi="Arial"/>
          <w:sz w:val="19"/>
          <w:szCs w:val="19"/>
          <w:color w:val="auto"/>
        </w:rPr>
        <w:t xml:space="preserve"> of the Credit Agreement) apply to it and hereby represents and warrants to Administrative Agent and Lenders that each such representation and warranty is true and correct. In addition, Guarantor represents and warrants that (a) by virtue of its relationship with Borrower, the execution, delivery, and performance of this Guaranty is for the direct benefit of Guarantor and it has received adequate consideration for this Guaranty; and (b) the value of the consideration received and to be received by Guarantor under the Loan Papers is reasonably worth at least as much as its liability and obligation under this Guaranty, and such liability and obligation may reasonably be expected to benefit Guarantor directly or indirectly.</w:t>
      </w:r>
    </w:p>
    <w:p>
      <w:pPr>
        <w:spacing w:after="0" w:line="179" w:lineRule="exact"/>
        <w:rPr>
          <w:rFonts w:ascii="Arial" w:cs="Arial" w:eastAsia="Arial" w:hAnsi="Arial"/>
          <w:sz w:val="19"/>
          <w:szCs w:val="19"/>
          <w:color w:val="auto"/>
        </w:rPr>
      </w:pPr>
    </w:p>
    <w:p>
      <w:pPr>
        <w:jc w:val="both"/>
        <w:ind w:firstLine="656"/>
        <w:spacing w:after="0" w:line="250" w:lineRule="auto"/>
        <w:tabs>
          <w:tab w:leader="none" w:pos="1112" w:val="left"/>
        </w:tabs>
        <w:numPr>
          <w:ilvl w:val="0"/>
          <w:numId w:val="184"/>
        </w:numPr>
        <w:rPr>
          <w:rFonts w:ascii="Arial" w:cs="Arial" w:eastAsia="Arial" w:hAnsi="Arial"/>
          <w:sz w:val="20"/>
          <w:szCs w:val="20"/>
          <w:color w:val="auto"/>
        </w:rPr>
      </w:pPr>
      <w:r>
        <w:rPr>
          <w:rFonts w:ascii="Arial" w:cs="Arial" w:eastAsia="Arial" w:hAnsi="Arial"/>
          <w:sz w:val="20"/>
          <w:szCs w:val="20"/>
          <w:u w:val="single" w:color="auto"/>
          <w:color w:val="auto"/>
        </w:rPr>
        <w:t>Waiver of Notices</w:t>
      </w:r>
      <w:r>
        <w:rPr>
          <w:rFonts w:ascii="Arial" w:cs="Arial" w:eastAsia="Arial" w:hAnsi="Arial"/>
          <w:sz w:val="20"/>
          <w:szCs w:val="20"/>
          <w:color w:val="auto"/>
        </w:rPr>
        <w:t>. Guarantor waives notice of the acceptance of this Guaranty and of the extension or continuation of the Guaranteed Debt or any part thereof. Guarantor further waives presentment, protest, notice, dishonor or default, demand for payment and any other notices to which Guarantor might otherwise be entitled.</w:t>
      </w:r>
    </w:p>
    <w:p>
      <w:pPr>
        <w:spacing w:after="0" w:line="186" w:lineRule="exact"/>
        <w:rPr>
          <w:rFonts w:ascii="Arial" w:cs="Arial" w:eastAsia="Arial" w:hAnsi="Arial"/>
          <w:sz w:val="20"/>
          <w:szCs w:val="20"/>
          <w:color w:val="auto"/>
        </w:rPr>
      </w:pPr>
    </w:p>
    <w:p>
      <w:pPr>
        <w:jc w:val="both"/>
        <w:ind w:firstLine="656"/>
        <w:spacing w:after="0" w:line="243" w:lineRule="auto"/>
        <w:tabs>
          <w:tab w:leader="none" w:pos="1004" w:val="left"/>
        </w:tabs>
        <w:numPr>
          <w:ilvl w:val="0"/>
          <w:numId w:val="184"/>
        </w:numPr>
        <w:rPr>
          <w:rFonts w:ascii="Arial" w:cs="Arial" w:eastAsia="Arial" w:hAnsi="Arial"/>
          <w:sz w:val="20"/>
          <w:szCs w:val="20"/>
          <w:color w:val="auto"/>
        </w:rPr>
      </w:pPr>
      <w:r>
        <w:rPr>
          <w:rFonts w:ascii="Arial" w:cs="Arial" w:eastAsia="Arial" w:hAnsi="Arial"/>
          <w:sz w:val="20"/>
          <w:szCs w:val="20"/>
          <w:u w:val="single" w:color="auto"/>
          <w:color w:val="auto"/>
        </w:rPr>
        <w:t>Reinstatement; Stay of Acceleration</w:t>
      </w:r>
      <w:r>
        <w:rPr>
          <w:rFonts w:ascii="Arial" w:cs="Arial" w:eastAsia="Arial" w:hAnsi="Arial"/>
          <w:sz w:val="20"/>
          <w:szCs w:val="20"/>
          <w:color w:val="auto"/>
        </w:rPr>
        <w:t>. Notwithstanding anything in this Guaranty to the contrary, upon the insolvency, bankruptcy, or reorganization of Borrower or any other Person, (a) this Guaranty shall continue to be effective or be reinstated, as the case may be, if at any time any payment of any portion of the Guaranteed Debt is revoked, terminated, rescinded, or reduced or must otherwise be restored or returned, as if such payment had not been made and whether or not Administrative Agent is in possession of or has released this Guaranty and regardless of any prior revocation, rescission, termination, or reduction, and (b) in the event that acceleration of the time for payment of any of the Guaranteed Debt is</w:t>
      </w:r>
    </w:p>
    <w:p>
      <w:pPr>
        <w:sectPr>
          <w:pgSz w:w="11900" w:h="16838" w:orient="portrait"/>
          <w:cols w:equalWidth="0" w:num="1">
            <w:col w:w="11420"/>
          </w:cols>
          <w:pgMar w:left="240" w:top="582" w:right="239" w:bottom="1440" w:gutter="0" w:footer="0" w:header="0"/>
        </w:sectPr>
      </w:pPr>
    </w:p>
    <w:bookmarkStart w:id="198" w:name="page199"/>
    <w:bookmarkEnd w:id="198"/>
    <w:p>
      <w:pPr>
        <w:spacing w:after="0"/>
        <w:rPr>
          <w:sz w:val="20"/>
          <w:szCs w:val="20"/>
          <w:color w:val="auto"/>
        </w:rPr>
      </w:pPr>
      <w:r>
        <w:rPr>
          <w:rFonts w:ascii="Arial" w:cs="Arial" w:eastAsia="Arial" w:hAnsi="Arial"/>
          <w:sz w:val="20"/>
          <w:szCs w:val="20"/>
          <w:color w:val="auto"/>
        </w:rPr>
        <w:t>stayed, all such amounts shall nonetheless be payable by Guarantor immediately upon demand by Administrative Agent.</w:t>
      </w:r>
    </w:p>
    <w:p>
      <w:pPr>
        <w:spacing w:after="0" w:line="216" w:lineRule="exact"/>
        <w:rPr>
          <w:sz w:val="20"/>
          <w:szCs w:val="20"/>
          <w:color w:val="auto"/>
        </w:rPr>
      </w:pPr>
    </w:p>
    <w:p>
      <w:pPr>
        <w:jc w:val="both"/>
        <w:ind w:firstLine="656"/>
        <w:spacing w:after="0" w:line="250" w:lineRule="auto"/>
        <w:tabs>
          <w:tab w:leader="none" w:pos="1085" w:val="left"/>
        </w:tabs>
        <w:numPr>
          <w:ilvl w:val="0"/>
          <w:numId w:val="185"/>
        </w:numPr>
        <w:rPr>
          <w:rFonts w:ascii="Arial" w:cs="Arial" w:eastAsia="Arial" w:hAnsi="Arial"/>
          <w:sz w:val="20"/>
          <w:szCs w:val="20"/>
          <w:color w:val="auto"/>
        </w:rPr>
      </w:pPr>
      <w:r>
        <w:rPr>
          <w:rFonts w:ascii="Arial" w:cs="Arial" w:eastAsia="Arial" w:hAnsi="Arial"/>
          <w:sz w:val="20"/>
          <w:szCs w:val="20"/>
          <w:u w:val="single" w:color="auto"/>
          <w:color w:val="auto"/>
        </w:rPr>
        <w:t>Covenants</w:t>
      </w:r>
      <w:r>
        <w:rPr>
          <w:rFonts w:ascii="Arial" w:cs="Arial" w:eastAsia="Arial" w:hAnsi="Arial"/>
          <w:sz w:val="20"/>
          <w:szCs w:val="20"/>
          <w:color w:val="auto"/>
        </w:rPr>
        <w:t xml:space="preserve">. Guarantor acknowledges that certain covenants, agreements, and undertakings contained in the other Loan Papers (including, without limitation, </w:t>
      </w:r>
      <w:r>
        <w:rPr>
          <w:rFonts w:ascii="Arial" w:cs="Arial" w:eastAsia="Arial" w:hAnsi="Arial"/>
          <w:sz w:val="20"/>
          <w:szCs w:val="20"/>
          <w:i w:val="1"/>
          <w:iCs w:val="1"/>
          <w:color w:val="auto"/>
        </w:rPr>
        <w:t>Sections 8</w:t>
      </w:r>
      <w:r>
        <w:rPr>
          <w:rFonts w:ascii="Arial" w:cs="Arial" w:eastAsia="Arial" w:hAnsi="Arial"/>
          <w:sz w:val="20"/>
          <w:szCs w:val="20"/>
          <w:color w:val="auto"/>
        </w:rPr>
        <w:t xml:space="preserve">, </w:t>
      </w:r>
      <w:r>
        <w:rPr>
          <w:rFonts w:ascii="Arial" w:cs="Arial" w:eastAsia="Arial" w:hAnsi="Arial"/>
          <w:sz w:val="20"/>
          <w:szCs w:val="20"/>
          <w:i w:val="1"/>
          <w:iCs w:val="1"/>
          <w:color w:val="auto"/>
        </w:rPr>
        <w:t>9</w:t>
      </w:r>
      <w:r>
        <w:rPr>
          <w:rFonts w:ascii="Arial" w:cs="Arial" w:eastAsia="Arial" w:hAnsi="Arial"/>
          <w:sz w:val="20"/>
          <w:szCs w:val="20"/>
          <w:color w:val="auto"/>
        </w:rPr>
        <w:t xml:space="preserve">, and </w:t>
      </w:r>
      <w:r>
        <w:rPr>
          <w:rFonts w:ascii="Arial" w:cs="Arial" w:eastAsia="Arial" w:hAnsi="Arial"/>
          <w:sz w:val="20"/>
          <w:szCs w:val="20"/>
          <w:i w:val="1"/>
          <w:iCs w:val="1"/>
          <w:color w:val="auto"/>
        </w:rPr>
        <w:t>10</w:t>
      </w:r>
      <w:r>
        <w:rPr>
          <w:rFonts w:ascii="Arial" w:cs="Arial" w:eastAsia="Arial" w:hAnsi="Arial"/>
          <w:sz w:val="20"/>
          <w:szCs w:val="20"/>
          <w:color w:val="auto"/>
        </w:rPr>
        <w:t xml:space="preserve"> of the Credit Agreement) apply to it and hereby covenants and agrees with Administrative Agent and Lenders to comply with each such covenant, agreement and undertaking.</w:t>
      </w:r>
    </w:p>
    <w:p>
      <w:pPr>
        <w:spacing w:after="0" w:line="186" w:lineRule="exact"/>
        <w:rPr>
          <w:rFonts w:ascii="Arial" w:cs="Arial" w:eastAsia="Arial" w:hAnsi="Arial"/>
          <w:sz w:val="20"/>
          <w:szCs w:val="20"/>
          <w:color w:val="auto"/>
        </w:rPr>
      </w:pPr>
    </w:p>
    <w:p>
      <w:pPr>
        <w:jc w:val="both"/>
        <w:ind w:firstLine="656"/>
        <w:spacing w:after="0" w:line="244" w:lineRule="auto"/>
        <w:tabs>
          <w:tab w:leader="none" w:pos="1058" w:val="left"/>
        </w:tabs>
        <w:numPr>
          <w:ilvl w:val="0"/>
          <w:numId w:val="185"/>
        </w:numPr>
        <w:rPr>
          <w:rFonts w:ascii="Arial" w:cs="Arial" w:eastAsia="Arial" w:hAnsi="Arial"/>
          <w:sz w:val="20"/>
          <w:szCs w:val="20"/>
          <w:color w:val="auto"/>
        </w:rPr>
      </w:pPr>
      <w:r>
        <w:rPr>
          <w:rFonts w:ascii="Arial" w:cs="Arial" w:eastAsia="Arial" w:hAnsi="Arial"/>
          <w:sz w:val="20"/>
          <w:szCs w:val="20"/>
          <w:u w:val="single" w:color="auto"/>
          <w:color w:val="auto"/>
        </w:rPr>
        <w:t>Other Indebtedness</w:t>
      </w:r>
      <w:r>
        <w:rPr>
          <w:rFonts w:ascii="Arial" w:cs="Arial" w:eastAsia="Arial" w:hAnsi="Arial"/>
          <w:sz w:val="20"/>
          <w:szCs w:val="20"/>
          <w:color w:val="auto"/>
        </w:rPr>
        <w:t xml:space="preserve">. If Guarantor becomes liable for any indebtedness owing by Borrower to any Guaranteed Party,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under this Guaranty, such liability will not be in any manner impaired or affected by this Guaranty, and the Rights of the Guaranteed Parties under this Guaranty are cumulative of any and all other Rights that the Guaranteed Parties may ever have against Guarantor. The exercise by any Guaranteed Parties of any Right or remedy under this Guaranty or otherwise will not preclude the concurrent or subsequent exercise of any other Right or remedy.</w:t>
      </w:r>
    </w:p>
    <w:p>
      <w:pPr>
        <w:spacing w:after="0" w:line="194" w:lineRule="exact"/>
        <w:rPr>
          <w:rFonts w:ascii="Arial" w:cs="Arial" w:eastAsia="Arial" w:hAnsi="Arial"/>
          <w:sz w:val="20"/>
          <w:szCs w:val="20"/>
          <w:color w:val="auto"/>
        </w:rPr>
      </w:pPr>
    </w:p>
    <w:p>
      <w:pPr>
        <w:jc w:val="both"/>
        <w:ind w:firstLine="656"/>
        <w:spacing w:after="0" w:line="242" w:lineRule="auto"/>
        <w:tabs>
          <w:tab w:leader="none" w:pos="1161" w:val="left"/>
        </w:tabs>
        <w:numPr>
          <w:ilvl w:val="0"/>
          <w:numId w:val="185"/>
        </w:numPr>
        <w:rPr>
          <w:rFonts w:ascii="Arial" w:cs="Arial" w:eastAsia="Arial" w:hAnsi="Arial"/>
          <w:sz w:val="20"/>
          <w:szCs w:val="20"/>
          <w:color w:val="auto"/>
        </w:rPr>
      </w:pPr>
      <w:r>
        <w:rPr>
          <w:rFonts w:ascii="Arial" w:cs="Arial" w:eastAsia="Arial" w:hAnsi="Arial"/>
          <w:sz w:val="20"/>
          <w:szCs w:val="20"/>
          <w:u w:val="single" w:color="auto"/>
          <w:color w:val="auto"/>
        </w:rPr>
        <w:t>Default; Exhaustion of Other Remedies Not Required</w:t>
      </w:r>
      <w:r>
        <w:rPr>
          <w:rFonts w:ascii="Arial" w:cs="Arial" w:eastAsia="Arial" w:hAnsi="Arial"/>
          <w:sz w:val="20"/>
          <w:szCs w:val="20"/>
          <w:color w:val="auto"/>
        </w:rPr>
        <w:t>. If a Default under the Credit Agreement exists, and as a result of such Default amounts are owing to any Guaranteed Party in respect of its Guaranteed Debt, Guarantor shall, on demand and without further notice of dishonor and without any notice having been given to Guarantor previous to such demand of either the acceptance by any Guaranteed Party of this Guaranty or the creation or incurrence of any Guaranteed Debt, pay the amount of the Guaranteed Debt then due and payable to the appropriate Guaranteed Party. The obligations of Guarantor hereunder are those of primary obligor, and not merely as surety, and are independent of the Guaranteed Debt. Guarantor waives diligence by Administrative Agent and action on delinquency in respect of the Guaranteed Debt or any part thereof, including, without limitation, any provisions of Law requiring Administrative Agent to exhaust any Right or remedy or to take any action against Borrower, any other Guarantor, or any other Person or property before enforcing this Guaranty against Guarantor.</w:t>
      </w:r>
    </w:p>
    <w:p>
      <w:pPr>
        <w:spacing w:after="0" w:line="195" w:lineRule="exact"/>
        <w:rPr>
          <w:rFonts w:ascii="Arial" w:cs="Arial" w:eastAsia="Arial" w:hAnsi="Arial"/>
          <w:sz w:val="20"/>
          <w:szCs w:val="20"/>
          <w:color w:val="auto"/>
        </w:rPr>
      </w:pPr>
    </w:p>
    <w:p>
      <w:pPr>
        <w:jc w:val="both"/>
        <w:ind w:firstLine="656"/>
        <w:spacing w:after="0" w:line="242" w:lineRule="auto"/>
        <w:tabs>
          <w:tab w:leader="none" w:pos="1190" w:val="left"/>
        </w:tabs>
        <w:numPr>
          <w:ilvl w:val="0"/>
          <w:numId w:val="185"/>
        </w:numPr>
        <w:rPr>
          <w:rFonts w:ascii="Arial" w:cs="Arial" w:eastAsia="Arial" w:hAnsi="Arial"/>
          <w:sz w:val="20"/>
          <w:szCs w:val="20"/>
          <w:color w:val="auto"/>
        </w:rPr>
      </w:pPr>
      <w:r>
        <w:rPr>
          <w:rFonts w:ascii="Arial" w:cs="Arial" w:eastAsia="Arial" w:hAnsi="Arial"/>
          <w:sz w:val="20"/>
          <w:szCs w:val="20"/>
          <w:u w:val="single" w:color="auto"/>
          <w:color w:val="auto"/>
        </w:rPr>
        <w:t>Subordinated Debt</w:t>
      </w:r>
      <w:r>
        <w:rPr>
          <w:rFonts w:ascii="Arial" w:cs="Arial" w:eastAsia="Arial" w:hAnsi="Arial"/>
          <w:sz w:val="20"/>
          <w:szCs w:val="20"/>
          <w:color w:val="auto"/>
        </w:rPr>
        <w:t>. All obligations of Borrower to Guarantor, whether now existing or hereafter arising, including, without limitation, any obligation of Borrower to Guarantor as subrogee of Administrative Agent or Lenders resulting from Guarantor’s performance under this Guaranty (the “</w:t>
      </w:r>
      <w:r>
        <w:rPr>
          <w:rFonts w:ascii="Arial" w:cs="Arial" w:eastAsia="Arial" w:hAnsi="Arial"/>
          <w:sz w:val="20"/>
          <w:szCs w:val="20"/>
          <w:b w:val="1"/>
          <w:bCs w:val="1"/>
          <w:i w:val="1"/>
          <w:iCs w:val="1"/>
          <w:color w:val="auto"/>
        </w:rPr>
        <w:t>Subordinated Debt</w:t>
      </w:r>
      <w:r>
        <w:rPr>
          <w:rFonts w:ascii="Arial" w:cs="Arial" w:eastAsia="Arial" w:hAnsi="Arial"/>
          <w:sz w:val="20"/>
          <w:szCs w:val="20"/>
          <w:color w:val="auto"/>
        </w:rPr>
        <w:t>”), are expressly subordinated to the full and final payment of the Guaranteed Debt. Guarantor agrees not to accept any payment of the Subordinated Debt from Borrower with respect thereto, if a Default exists; and, if Guarantor receives any payment of the Subordinated Debt in violation of the foregoing, Guarantor will hold any such payment in trust for Administrative Agent and promptly turn it over to Administrative Agent, in the form received (with any necessary endorsements), to be applied to the Guaranteed Debt in the manner contemplated by the Credit Agreement, but without reducing or affecting in any manner the liability of Guarantor under this Guaranty.</w:t>
      </w:r>
    </w:p>
    <w:p>
      <w:pPr>
        <w:spacing w:after="0" w:line="197" w:lineRule="exact"/>
        <w:rPr>
          <w:rFonts w:ascii="Arial" w:cs="Arial" w:eastAsia="Arial" w:hAnsi="Arial"/>
          <w:sz w:val="20"/>
          <w:szCs w:val="20"/>
          <w:color w:val="auto"/>
        </w:rPr>
      </w:pPr>
    </w:p>
    <w:p>
      <w:pPr>
        <w:jc w:val="both"/>
        <w:ind w:firstLine="656"/>
        <w:spacing w:after="0" w:line="260" w:lineRule="auto"/>
        <w:tabs>
          <w:tab w:leader="none" w:pos="1089" w:val="left"/>
        </w:tabs>
        <w:numPr>
          <w:ilvl w:val="0"/>
          <w:numId w:val="185"/>
        </w:numPr>
        <w:rPr>
          <w:rFonts w:ascii="Arial" w:cs="Arial" w:eastAsia="Arial" w:hAnsi="Arial"/>
          <w:sz w:val="19"/>
          <w:szCs w:val="19"/>
          <w:color w:val="auto"/>
        </w:rPr>
      </w:pPr>
      <w:r>
        <w:rPr>
          <w:rFonts w:ascii="Arial" w:cs="Arial" w:eastAsia="Arial" w:hAnsi="Arial"/>
          <w:sz w:val="19"/>
          <w:szCs w:val="19"/>
          <w:u w:val="single" w:color="auto"/>
          <w:color w:val="auto"/>
        </w:rPr>
        <w:t>Subrogation and Contribution</w:t>
      </w:r>
      <w:r>
        <w:rPr>
          <w:rFonts w:ascii="Arial" w:cs="Arial" w:eastAsia="Arial" w:hAnsi="Arial"/>
          <w:sz w:val="19"/>
          <w:szCs w:val="19"/>
          <w:color w:val="auto"/>
        </w:rPr>
        <w:t>. Guarantor shall not exercise any Right of subrogation, contribution, or similar Rights with respect to any payments it makes under this Guaranty until all of the Guaranteed Debt and any amounts payable under this Guaranty are indefeasibly paid, the Total Commitment is terminated, and the Obligation is paid in full. If any amounts are paid to the Guarantor in violation of the foregoing limitation, then such amounts shall be held in trust for the benefit of Guaranteed Parties and shall forthwith be paid to Administrative Agent, for the benefit of Lender, to reduce the amount of the Guaranteed Debt, whether matured or unmatured.</w:t>
      </w:r>
    </w:p>
    <w:p>
      <w:pPr>
        <w:spacing w:after="0" w:line="180" w:lineRule="exact"/>
        <w:rPr>
          <w:rFonts w:ascii="Arial" w:cs="Arial" w:eastAsia="Arial" w:hAnsi="Arial"/>
          <w:sz w:val="19"/>
          <w:szCs w:val="19"/>
          <w:color w:val="auto"/>
        </w:rPr>
      </w:pPr>
    </w:p>
    <w:p>
      <w:pPr>
        <w:jc w:val="both"/>
        <w:ind w:firstLine="656"/>
        <w:spacing w:after="0" w:line="250" w:lineRule="auto"/>
        <w:tabs>
          <w:tab w:leader="none" w:pos="1157" w:val="left"/>
        </w:tabs>
        <w:numPr>
          <w:ilvl w:val="0"/>
          <w:numId w:val="185"/>
        </w:numPr>
        <w:rPr>
          <w:rFonts w:ascii="Arial" w:cs="Arial" w:eastAsia="Arial" w:hAnsi="Arial"/>
          <w:sz w:val="20"/>
          <w:szCs w:val="20"/>
          <w:color w:val="auto"/>
        </w:rPr>
      </w:pPr>
      <w:r>
        <w:rPr>
          <w:rFonts w:ascii="Arial" w:cs="Arial" w:eastAsia="Arial" w:hAnsi="Arial"/>
          <w:sz w:val="20"/>
          <w:szCs w:val="20"/>
          <w:u w:val="single" w:color="auto"/>
          <w:color w:val="auto"/>
        </w:rPr>
        <w:t>Obligations Not Diminished</w:t>
      </w:r>
      <w:r>
        <w:rPr>
          <w:rFonts w:ascii="Arial" w:cs="Arial" w:eastAsia="Arial" w:hAnsi="Arial"/>
          <w:sz w:val="20"/>
          <w:szCs w:val="20"/>
          <w:color w:val="auto"/>
        </w:rPr>
        <w:t>. Guarantor’s obligations under this Guaranty will not be released, diminished, or affected by the occurrence of any one or more of the following events: (a) any Guaranteed Party’s taking or accepting of any other security or guaranty for any or all of the Guaranteed</w:t>
      </w:r>
    </w:p>
    <w:p>
      <w:pPr>
        <w:sectPr>
          <w:pgSz w:w="11900" w:h="16838" w:orient="portrait"/>
          <w:cols w:equalWidth="0" w:num="1">
            <w:col w:w="11420"/>
          </w:cols>
          <w:pgMar w:left="240" w:top="582" w:right="239" w:bottom="1440" w:gutter="0" w:footer="0" w:header="0"/>
        </w:sectPr>
      </w:pPr>
    </w:p>
    <w:bookmarkStart w:id="199" w:name="page200"/>
    <w:bookmarkEnd w:id="199"/>
    <w:p>
      <w:pPr>
        <w:jc w:val="both"/>
        <w:spacing w:after="0" w:line="254" w:lineRule="auto"/>
        <w:rPr>
          <w:sz w:val="20"/>
          <w:szCs w:val="20"/>
          <w:color w:val="auto"/>
        </w:rPr>
      </w:pPr>
      <w:r>
        <w:rPr>
          <w:rFonts w:ascii="Arial" w:cs="Arial" w:eastAsia="Arial" w:hAnsi="Arial"/>
          <w:sz w:val="19"/>
          <w:szCs w:val="19"/>
          <w:color w:val="auto"/>
        </w:rPr>
        <w:t xml:space="preserve">Debt; (b) any release, surrender, exchange, subordination, impairment, or loss of any Collateral securing any or all of the Guaranteed Debt; (c) any full or partial release of the liability of any other obligor on the Obligation; (d) the modification of, or waiver of compliance with, any terms of any other Loan Paper; (e) the insolvency, bankruptcy, or lack of corporate power of any party at any time liable for any or all of the Guaranteed Debt, whether now existing or hereafter occurring; (f) any renewal, extension, or rearrangement of any or all of the Guaranteed Debt or any adjustment, indulgence, forbearance, or compromise that may be granted or given by Administrative Agent or Lenders to any other obligor on the Obligation; (g) any neglect, delay, omission, failure, or refusal of Administrative Agent or Lenders to take or prosecute any action in connection with the Guaranteed Debt; (h) any failure of Administrative Agent or Lenders to notify Guarantor of any renewal, extension, or assignment of any or all of the Guaranteed Debt or the release of any security or of any other action taken or refrained from being taken by Administrative Agent or Lenders against Borrower or any new agreement between Administrative Agent or Lenders and Borrower, it being understood that Administrative Agent and Lenders are not required to give Guarantor any notice of any kind under any circumstances whatsoever with respect to or in connection with the Guaranteed Debt; (i) the unenforceability of any part of the Guaranteed Debt against any party because it exceeds the amount permitted by Law, the act of creating it is </w:t>
      </w:r>
      <w:r>
        <w:rPr>
          <w:rFonts w:ascii="Arial" w:cs="Arial" w:eastAsia="Arial" w:hAnsi="Arial"/>
          <w:sz w:val="19"/>
          <w:szCs w:val="19"/>
          <w:i w:val="1"/>
          <w:iCs w:val="1"/>
          <w:color w:val="auto"/>
        </w:rPr>
        <w:t>ultra vires</w:t>
      </w:r>
      <w:r>
        <w:rPr>
          <w:rFonts w:ascii="Arial" w:cs="Arial" w:eastAsia="Arial" w:hAnsi="Arial"/>
          <w:sz w:val="19"/>
          <w:szCs w:val="19"/>
          <w:color w:val="auto"/>
        </w:rPr>
        <w:t>, the officers creating it exceeded their authority or violated their fiduciary duties in connection therewith, or otherwise; or (j) any payment of the Obligation to Administrative Agent or Lenders is held to constitute a preference under any Debtor Relief Law or for any other reason Administrative Agent or Lenders are required to refund such payment or make payment to someone else (and in each such instance this Guaranty will be reinstated in an amount equal to such payment).</w:t>
      </w:r>
    </w:p>
    <w:p>
      <w:pPr>
        <w:spacing w:after="0" w:line="190" w:lineRule="exact"/>
        <w:rPr>
          <w:sz w:val="20"/>
          <w:szCs w:val="20"/>
          <w:color w:val="auto"/>
        </w:rPr>
      </w:pPr>
    </w:p>
    <w:p>
      <w:pPr>
        <w:ind w:firstLine="656"/>
        <w:spacing w:after="0" w:line="260" w:lineRule="auto"/>
        <w:tabs>
          <w:tab w:leader="none" w:pos="1089" w:val="left"/>
        </w:tabs>
        <w:numPr>
          <w:ilvl w:val="0"/>
          <w:numId w:val="186"/>
        </w:numPr>
        <w:rPr>
          <w:rFonts w:ascii="Arial" w:cs="Arial" w:eastAsia="Arial" w:hAnsi="Arial"/>
          <w:sz w:val="20"/>
          <w:szCs w:val="20"/>
          <w:color w:val="auto"/>
        </w:rPr>
      </w:pPr>
      <w:r>
        <w:rPr>
          <w:rFonts w:ascii="Arial" w:cs="Arial" w:eastAsia="Arial" w:hAnsi="Arial"/>
          <w:sz w:val="20"/>
          <w:szCs w:val="20"/>
          <w:u w:val="single" w:color="auto"/>
          <w:color w:val="auto"/>
        </w:rPr>
        <w:t>Waiver of Right to Require Suit</w:t>
      </w:r>
      <w:r>
        <w:rPr>
          <w:rFonts w:ascii="Arial" w:cs="Arial" w:eastAsia="Arial" w:hAnsi="Arial"/>
          <w:sz w:val="20"/>
          <w:szCs w:val="20"/>
          <w:color w:val="auto"/>
        </w:rPr>
        <w:t>. Guarantor waives all Rights by which it might be entitled to require suit on an accrued Right of action in respect of any of the Guaranteed Debt or require suit against Borrower or others.</w:t>
      </w:r>
    </w:p>
    <w:p>
      <w:pPr>
        <w:spacing w:after="0" w:line="176" w:lineRule="exact"/>
        <w:rPr>
          <w:rFonts w:ascii="Arial" w:cs="Arial" w:eastAsia="Arial" w:hAnsi="Arial"/>
          <w:sz w:val="20"/>
          <w:szCs w:val="20"/>
          <w:color w:val="auto"/>
        </w:rPr>
      </w:pPr>
    </w:p>
    <w:p>
      <w:pPr>
        <w:jc w:val="both"/>
        <w:ind w:firstLine="656"/>
        <w:spacing w:after="0" w:line="272" w:lineRule="auto"/>
        <w:tabs>
          <w:tab w:leader="none" w:pos="1116"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Independent Credit Investigation</w:t>
      </w:r>
      <w:r>
        <w:rPr>
          <w:rFonts w:ascii="Arial" w:cs="Arial" w:eastAsia="Arial" w:hAnsi="Arial"/>
          <w:sz w:val="18"/>
          <w:szCs w:val="18"/>
          <w:color w:val="auto"/>
        </w:rPr>
        <w:t>. Guarantor confirms that it has executed and delivered this Guaranty after reviewing the terms and conditions of the Loan Papers and such other information as it has deemed appropriate in order to make its own credit analysis and decision to execute and deliver this Guaranty. Guarantor confirms that it has the sole responsibility for, has adequate means of determining, and has made its own independent investigation with respect to, Borrower’s creditworthiness, and is not executing and delivering this Guaranty in reliance on any representation or warranty by Administrative Agent or Lenders as to such creditworthiness. Guarantor expressly assumes all responsibilities to remain informed of the financial condition, business, and operations of Borrower and any circumstances affecting (a) Borrower’s ability to perform under the Loan Papers to which it is a party or (b) any Collateral securing all or any part of the Guaranteed Debt. Guarantor acknowledges and agrees that Administrative Agent has no duty, and Guarantor is not relying on Administrative Agent at any time, to disclose to Guarantor any information relating to the business, operations or financial condition of Borrower.</w:t>
      </w:r>
    </w:p>
    <w:p>
      <w:pPr>
        <w:spacing w:after="0" w:line="171" w:lineRule="exact"/>
        <w:rPr>
          <w:rFonts w:ascii="Arial" w:cs="Arial" w:eastAsia="Arial" w:hAnsi="Arial"/>
          <w:sz w:val="18"/>
          <w:szCs w:val="18"/>
          <w:color w:val="auto"/>
        </w:rPr>
      </w:pPr>
    </w:p>
    <w:p>
      <w:pPr>
        <w:jc w:val="both"/>
        <w:ind w:firstLine="656"/>
        <w:spacing w:after="0" w:line="263" w:lineRule="auto"/>
        <w:tabs>
          <w:tab w:leader="none" w:pos="1184"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Guarantor shall pay on demand all out-of-pocket expenses (including Attorney Costs) in any way relating to the enforcement or protection of Guaranteed Parties’ Rights under this Guaranty, including any incurred in the preservation, protection, or enforcement of any Rights of Administrative Agent or Lenders in any case commenced by or against Guarantor under Debtor Relief Laws. The obligations of Guarantor under the preceding sentence shall survive termination of this Guaranty.</w:t>
      </w:r>
    </w:p>
    <w:p>
      <w:pPr>
        <w:spacing w:after="0" w:line="176" w:lineRule="exact"/>
        <w:rPr>
          <w:rFonts w:ascii="Arial" w:cs="Arial" w:eastAsia="Arial" w:hAnsi="Arial"/>
          <w:sz w:val="19"/>
          <w:szCs w:val="19"/>
          <w:color w:val="auto"/>
        </w:rPr>
      </w:pPr>
    </w:p>
    <w:p>
      <w:pPr>
        <w:ind w:firstLine="656"/>
        <w:spacing w:after="0" w:line="260" w:lineRule="auto"/>
        <w:tabs>
          <w:tab w:leader="none" w:pos="1076" w:val="left"/>
        </w:tabs>
        <w:numPr>
          <w:ilvl w:val="0"/>
          <w:numId w:val="186"/>
        </w:numPr>
        <w:rPr>
          <w:rFonts w:ascii="Arial" w:cs="Arial" w:eastAsia="Arial" w:hAnsi="Arial"/>
          <w:sz w:val="20"/>
          <w:szCs w:val="20"/>
          <w:color w:val="auto"/>
        </w:rPr>
      </w:pPr>
      <w:r>
        <w:rPr>
          <w:rFonts w:ascii="Arial" w:cs="Arial" w:eastAsia="Arial" w:hAnsi="Arial"/>
          <w:sz w:val="20"/>
          <w:szCs w:val="20"/>
          <w:u w:val="single" w:color="auto"/>
          <w:color w:val="auto"/>
        </w:rPr>
        <w:t>Amendments</w:t>
      </w:r>
      <w:r>
        <w:rPr>
          <w:rFonts w:ascii="Arial" w:cs="Arial" w:eastAsia="Arial" w:hAnsi="Arial"/>
          <w:sz w:val="20"/>
          <w:szCs w:val="20"/>
          <w:color w:val="auto"/>
        </w:rPr>
        <w:t>. No provision of this Guaranty may be waived, amended, supplemented, or modified, except by a written instrument executed by Administrative Agent and Guarantor.</w:t>
      </w:r>
    </w:p>
    <w:p>
      <w:pPr>
        <w:spacing w:after="0" w:line="176" w:lineRule="exact"/>
        <w:rPr>
          <w:rFonts w:ascii="Arial" w:cs="Arial" w:eastAsia="Arial" w:hAnsi="Arial"/>
          <w:sz w:val="20"/>
          <w:szCs w:val="20"/>
          <w:color w:val="auto"/>
        </w:rPr>
      </w:pPr>
    </w:p>
    <w:p>
      <w:pPr>
        <w:ind w:firstLine="656"/>
        <w:spacing w:after="0" w:line="260" w:lineRule="auto"/>
        <w:tabs>
          <w:tab w:leader="none" w:pos="1143" w:val="left"/>
        </w:tabs>
        <w:numPr>
          <w:ilvl w:val="0"/>
          <w:numId w:val="186"/>
        </w:numPr>
        <w:rPr>
          <w:rFonts w:ascii="Arial" w:cs="Arial" w:eastAsia="Arial" w:hAnsi="Arial"/>
          <w:sz w:val="20"/>
          <w:szCs w:val="20"/>
          <w:color w:val="auto"/>
        </w:rPr>
      </w:pPr>
      <w:r>
        <w:rPr>
          <w:rFonts w:ascii="Arial" w:cs="Arial" w:eastAsia="Arial" w:hAnsi="Arial"/>
          <w:sz w:val="20"/>
          <w:szCs w:val="20"/>
          <w:u w:val="single" w:color="auto"/>
          <w:color w:val="auto"/>
        </w:rPr>
        <w:t>No Waiver; Enforceability</w:t>
      </w:r>
      <w:r>
        <w:rPr>
          <w:rFonts w:ascii="Arial" w:cs="Arial" w:eastAsia="Arial" w:hAnsi="Arial"/>
          <w:sz w:val="20"/>
          <w:szCs w:val="20"/>
          <w:color w:val="auto"/>
        </w:rPr>
        <w:t>. No failure by Administrative Agent to exercise, and no delay in exercising, any Right, remedy, or power hereunder shall operate as a waiver thereof; nor shall any single</w:t>
      </w:r>
    </w:p>
    <w:p>
      <w:pPr>
        <w:sectPr>
          <w:pgSz w:w="11900" w:h="16838" w:orient="portrait"/>
          <w:cols w:equalWidth="0" w:num="1">
            <w:col w:w="11420"/>
          </w:cols>
          <w:pgMar w:left="240" w:top="582" w:right="239" w:bottom="1440" w:gutter="0" w:footer="0" w:header="0"/>
        </w:sectPr>
      </w:pPr>
    </w:p>
    <w:bookmarkStart w:id="200" w:name="page201"/>
    <w:bookmarkEnd w:id="200"/>
    <w:p>
      <w:pPr>
        <w:jc w:val="both"/>
        <w:spacing w:after="0" w:line="269" w:lineRule="auto"/>
        <w:rPr>
          <w:sz w:val="20"/>
          <w:szCs w:val="20"/>
          <w:color w:val="auto"/>
        </w:rPr>
      </w:pPr>
      <w:r>
        <w:rPr>
          <w:rFonts w:ascii="Arial" w:cs="Arial" w:eastAsia="Arial" w:hAnsi="Arial"/>
          <w:sz w:val="19"/>
          <w:szCs w:val="19"/>
          <w:color w:val="auto"/>
        </w:rPr>
        <w:t>or partial exercise of any Right, remedy, or power hereunder preclude any other or further exercise thereof or the exercise of any other Right. The remedies herein provided are cumulative and not exclusive of any remedies provided by Law or in equity. The unenforceability or invalidity of any provision of this Guaranty shall not affect the enforceability or validity of any other provision herein.</w:t>
      </w:r>
    </w:p>
    <w:p>
      <w:pPr>
        <w:spacing w:after="0" w:line="170" w:lineRule="exact"/>
        <w:rPr>
          <w:sz w:val="20"/>
          <w:szCs w:val="20"/>
          <w:color w:val="auto"/>
        </w:rPr>
      </w:pPr>
    </w:p>
    <w:p>
      <w:pPr>
        <w:ind w:firstLine="656"/>
        <w:spacing w:after="0" w:line="260" w:lineRule="auto"/>
        <w:tabs>
          <w:tab w:leader="none" w:pos="1076" w:val="left"/>
        </w:tabs>
        <w:numPr>
          <w:ilvl w:val="0"/>
          <w:numId w:val="187"/>
        </w:numPr>
        <w:rPr>
          <w:rFonts w:ascii="Arial" w:cs="Arial" w:eastAsia="Arial" w:hAnsi="Arial"/>
          <w:sz w:val="20"/>
          <w:szCs w:val="20"/>
          <w:color w:val="auto"/>
        </w:rPr>
      </w:pPr>
      <w:r>
        <w:rPr>
          <w:rFonts w:ascii="Arial" w:cs="Arial" w:eastAsia="Arial" w:hAnsi="Arial"/>
          <w:sz w:val="20"/>
          <w:szCs w:val="20"/>
          <w:u w:val="single" w:color="auto"/>
          <w:color w:val="auto"/>
        </w:rPr>
        <w:t>Setoff</w:t>
      </w:r>
      <w:r>
        <w:rPr>
          <w:rFonts w:ascii="Arial" w:cs="Arial" w:eastAsia="Arial" w:hAnsi="Arial"/>
          <w:sz w:val="20"/>
          <w:szCs w:val="20"/>
          <w:color w:val="auto"/>
        </w:rPr>
        <w:t>. If and to the extent any payment is not made when due hereunder, any Lender may setoff and charge from time to time any amount so due against any or all of Guarantor’s accounts or deposits with such Lender.</w:t>
      </w:r>
    </w:p>
    <w:p>
      <w:pPr>
        <w:spacing w:after="0" w:line="176" w:lineRule="exact"/>
        <w:rPr>
          <w:rFonts w:ascii="Arial" w:cs="Arial" w:eastAsia="Arial" w:hAnsi="Arial"/>
          <w:sz w:val="20"/>
          <w:szCs w:val="20"/>
          <w:color w:val="auto"/>
        </w:rPr>
      </w:pPr>
    </w:p>
    <w:p>
      <w:pPr>
        <w:jc w:val="both"/>
        <w:ind w:firstLine="656"/>
        <w:spacing w:after="0" w:line="256" w:lineRule="auto"/>
        <w:tabs>
          <w:tab w:leader="none" w:pos="1089" w:val="left"/>
        </w:tabs>
        <w:numPr>
          <w:ilvl w:val="0"/>
          <w:numId w:val="187"/>
        </w:numPr>
        <w:rPr>
          <w:rFonts w:ascii="Arial" w:cs="Arial" w:eastAsia="Arial" w:hAnsi="Arial"/>
          <w:sz w:val="19"/>
          <w:szCs w:val="19"/>
          <w:color w:val="auto"/>
        </w:rPr>
      </w:pPr>
      <w:r>
        <w:rPr>
          <w:rFonts w:ascii="Arial" w:cs="Arial" w:eastAsia="Arial" w:hAnsi="Arial"/>
          <w:sz w:val="19"/>
          <w:szCs w:val="19"/>
          <w:u w:val="single" w:color="auto"/>
          <w:color w:val="auto"/>
        </w:rPr>
        <w:t>No Discharge</w:t>
      </w:r>
      <w:r>
        <w:rPr>
          <w:rFonts w:ascii="Arial" w:cs="Arial" w:eastAsia="Arial" w:hAnsi="Arial"/>
          <w:sz w:val="19"/>
          <w:szCs w:val="19"/>
          <w:color w:val="auto"/>
        </w:rPr>
        <w:t>. This Guaranty is a continuing and irrevocable guaranty of all Guaranteed Debt now or hereafter existing and shall remain in full force and effect until all Guaranteed Debt and any other amounts payable under this Guaranty are indefeasibly paid and performed in full and any of the Commitments of Lenders are terminated. The Guaranteed Debt will not be reduced, discharged, or released because or by reason of any existing or future offset, claim, or defense (</w:t>
      </w:r>
      <w:r>
        <w:rPr>
          <w:rFonts w:ascii="Arial" w:cs="Arial" w:eastAsia="Arial" w:hAnsi="Arial"/>
          <w:sz w:val="19"/>
          <w:szCs w:val="19"/>
          <w:i w:val="1"/>
          <w:iCs w:val="1"/>
          <w:color w:val="auto"/>
        </w:rPr>
        <w:t>except</w:t>
      </w:r>
      <w:r>
        <w:rPr>
          <w:rFonts w:ascii="Arial" w:cs="Arial" w:eastAsia="Arial" w:hAnsi="Arial"/>
          <w:sz w:val="19"/>
          <w:szCs w:val="19"/>
          <w:color w:val="auto"/>
        </w:rPr>
        <w:t xml:space="preserve"> for the defense of payment of the Guaranteed Debt) of Borrower or any other party against Administrative Agent or Lenders or against payment of the Guaranteed Debt, whether such offset, claim, or defense arises in connection with the Guaranteed Debt or otherwise. Such claims and defenses include, without limitation, failure of consideration, breach of warranty, fraud, bankruptcy, incapacity/infancy, statute of limitations, lender liability, accord and satisfaction, usury, forged signatures, mistake, impossibility, frustration of purpose, and unconscionability. At Administrative Agent’s option, all payments under this Guaranty shall be made to an office of Administrative Agent located in the United States and in Dollars.</w:t>
      </w:r>
    </w:p>
    <w:p>
      <w:pPr>
        <w:spacing w:after="0" w:line="184" w:lineRule="exact"/>
        <w:rPr>
          <w:rFonts w:ascii="Arial" w:cs="Arial" w:eastAsia="Arial" w:hAnsi="Arial"/>
          <w:sz w:val="19"/>
          <w:szCs w:val="19"/>
          <w:color w:val="auto"/>
        </w:rPr>
      </w:pPr>
    </w:p>
    <w:p>
      <w:pPr>
        <w:jc w:val="both"/>
        <w:ind w:firstLine="656"/>
        <w:spacing w:after="0" w:line="291" w:lineRule="auto"/>
        <w:tabs>
          <w:tab w:leader="none" w:pos="1076"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Guaranty is for the benefit of Administrative Agent and Lenders and their respective successors and permitted assigns, and in the event of an assignment of all or any of the Guaranteed Debt, the Rights hereunder, to the extent applicable to the portion assigned, shall be transferred therewith. This Guaranty shall be binding upon Guarantor and its successors and permitted assigns.</w:t>
      </w:r>
    </w:p>
    <w:p>
      <w:pPr>
        <w:spacing w:after="0" w:line="151" w:lineRule="exact"/>
        <w:rPr>
          <w:rFonts w:ascii="Arial" w:cs="Arial" w:eastAsia="Arial" w:hAnsi="Arial"/>
          <w:sz w:val="18"/>
          <w:szCs w:val="18"/>
          <w:color w:val="auto"/>
        </w:rPr>
      </w:pPr>
    </w:p>
    <w:p>
      <w:pPr>
        <w:ind w:firstLine="656"/>
        <w:spacing w:after="0" w:line="260" w:lineRule="auto"/>
        <w:tabs>
          <w:tab w:leader="none" w:pos="1103" w:val="left"/>
        </w:tabs>
        <w:numPr>
          <w:ilvl w:val="0"/>
          <w:numId w:val="187"/>
        </w:numPr>
        <w:rPr>
          <w:rFonts w:ascii="Arial" w:cs="Arial" w:eastAsia="Arial" w:hAnsi="Arial"/>
          <w:sz w:val="20"/>
          <w:szCs w:val="20"/>
          <w:color w:val="auto"/>
        </w:rPr>
      </w:pPr>
      <w:r>
        <w:rPr>
          <w:rFonts w:ascii="Arial" w:cs="Arial" w:eastAsia="Arial" w:hAnsi="Arial"/>
          <w:sz w:val="20"/>
          <w:szCs w:val="20"/>
          <w:u w:val="single" w:color="auto"/>
          <w:color w:val="auto"/>
        </w:rPr>
        <w:t>Loan Paper</w:t>
      </w:r>
      <w:r>
        <w:rPr>
          <w:rFonts w:ascii="Arial" w:cs="Arial" w:eastAsia="Arial" w:hAnsi="Arial"/>
          <w:sz w:val="20"/>
          <w:szCs w:val="20"/>
          <w:color w:val="auto"/>
        </w:rPr>
        <w:t xml:space="preserve">. This Guaranty is a Loan Paper and is subject to the applicable provisions of </w:t>
      </w:r>
      <w:r>
        <w:rPr>
          <w:rFonts w:ascii="Arial" w:cs="Arial" w:eastAsia="Arial" w:hAnsi="Arial"/>
          <w:sz w:val="20"/>
          <w:szCs w:val="20"/>
          <w:i w:val="1"/>
          <w:iCs w:val="1"/>
          <w:color w:val="auto"/>
        </w:rPr>
        <w:t>Section 15</w:t>
      </w:r>
      <w:r>
        <w:rPr>
          <w:rFonts w:ascii="Arial" w:cs="Arial" w:eastAsia="Arial" w:hAnsi="Arial"/>
          <w:sz w:val="20"/>
          <w:szCs w:val="20"/>
          <w:color w:val="auto"/>
        </w:rPr>
        <w:t xml:space="preserve"> of the Credit Agreement, all of which are incorporated into this Guaranty by reference the same as if set forth in this Guaranty verbatim.</w:t>
      </w:r>
    </w:p>
    <w:p>
      <w:pPr>
        <w:spacing w:after="0" w:line="176" w:lineRule="exact"/>
        <w:rPr>
          <w:rFonts w:ascii="Arial" w:cs="Arial" w:eastAsia="Arial" w:hAnsi="Arial"/>
          <w:sz w:val="20"/>
          <w:szCs w:val="20"/>
          <w:color w:val="auto"/>
        </w:rPr>
      </w:pPr>
    </w:p>
    <w:p>
      <w:pPr>
        <w:ind w:firstLine="656"/>
        <w:spacing w:after="0" w:line="260" w:lineRule="auto"/>
        <w:tabs>
          <w:tab w:leader="none" w:pos="1130" w:val="left"/>
        </w:tabs>
        <w:numPr>
          <w:ilvl w:val="0"/>
          <w:numId w:val="187"/>
        </w:numPr>
        <w:rPr>
          <w:rFonts w:ascii="Arial" w:cs="Arial" w:eastAsia="Arial" w:hAnsi="Arial"/>
          <w:sz w:val="20"/>
          <w:szCs w:val="20"/>
          <w:color w:val="auto"/>
        </w:rPr>
      </w:pPr>
      <w:r>
        <w:rPr>
          <w:rFonts w:ascii="Arial" w:cs="Arial" w:eastAsia="Arial" w:hAnsi="Arial"/>
          <w:sz w:val="20"/>
          <w:szCs w:val="20"/>
          <w:u w:val="single" w:color="auto"/>
          <w:color w:val="auto"/>
        </w:rPr>
        <w:t>Release of Guaranty</w:t>
      </w:r>
      <w:r>
        <w:rPr>
          <w:rFonts w:ascii="Arial" w:cs="Arial" w:eastAsia="Arial" w:hAnsi="Arial"/>
          <w:sz w:val="20"/>
          <w:szCs w:val="20"/>
          <w:color w:val="auto"/>
        </w:rPr>
        <w:t xml:space="preserve">. This Guaranty shall be released pursuant to and in accordance with the terms set forth in </w:t>
      </w:r>
      <w:r>
        <w:rPr>
          <w:rFonts w:ascii="Arial" w:cs="Arial" w:eastAsia="Arial" w:hAnsi="Arial"/>
          <w:sz w:val="20"/>
          <w:szCs w:val="20"/>
          <w:i w:val="1"/>
          <w:iCs w:val="1"/>
          <w:color w:val="auto"/>
        </w:rPr>
        <w:t>Section 6.3</w:t>
      </w:r>
      <w:r>
        <w:rPr>
          <w:rFonts w:ascii="Arial" w:cs="Arial" w:eastAsia="Arial" w:hAnsi="Arial"/>
          <w:sz w:val="20"/>
          <w:szCs w:val="20"/>
          <w:color w:val="auto"/>
        </w:rPr>
        <w:t xml:space="preserve"> and </w:t>
      </w:r>
      <w:r>
        <w:rPr>
          <w:rFonts w:ascii="Arial" w:cs="Arial" w:eastAsia="Arial" w:hAnsi="Arial"/>
          <w:sz w:val="20"/>
          <w:szCs w:val="20"/>
          <w:i w:val="1"/>
          <w:iCs w:val="1"/>
          <w:color w:val="auto"/>
        </w:rPr>
        <w:t xml:space="preserve">Section 14.9 </w:t>
      </w:r>
      <w:r>
        <w:rPr>
          <w:rFonts w:ascii="Arial" w:cs="Arial" w:eastAsia="Arial" w:hAnsi="Arial"/>
          <w:sz w:val="20"/>
          <w:szCs w:val="20"/>
          <w:color w:val="auto"/>
        </w:rPr>
        <w:t>of the Credit Agreement.</w:t>
      </w:r>
    </w:p>
    <w:p>
      <w:pPr>
        <w:spacing w:after="0" w:line="176" w:lineRule="exact"/>
        <w:rPr>
          <w:rFonts w:ascii="Arial" w:cs="Arial" w:eastAsia="Arial" w:hAnsi="Arial"/>
          <w:sz w:val="20"/>
          <w:szCs w:val="20"/>
          <w:color w:val="auto"/>
        </w:rPr>
      </w:pPr>
    </w:p>
    <w:p>
      <w:pPr>
        <w:jc w:val="both"/>
        <w:ind w:firstLine="656"/>
        <w:spacing w:after="0" w:line="272" w:lineRule="auto"/>
        <w:tabs>
          <w:tab w:leader="none" w:pos="1103"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Swap Obligations</w:t>
      </w:r>
      <w:r>
        <w:rPr>
          <w:rFonts w:ascii="Arial" w:cs="Arial" w:eastAsia="Arial" w:hAnsi="Arial"/>
          <w:sz w:val="18"/>
          <w:szCs w:val="18"/>
          <w:color w:val="auto"/>
        </w:rPr>
        <w:t xml:space="preserve">. Notwithstanding anything to the contrary set forth in this Guaranty, Guarantor shall not be deemed under this Guaranty to be a guarantor of any Swap Obligations to the extent that the providing of such guaranty by Guarantor would violate applicable law or regulation. If Guarantor is a Qualified ECP Guarantor, Guarantor hereby unconditionally and irrevocably undertakes to provide such funds or other support as may be needed from time to time by each other Guarantor to honor all of such Guarantor’s obligations under any Guaranty in respect of Swap Obligations (provided, however, that Guarantor shall only be liable under this </w:t>
      </w:r>
      <w:r>
        <w:rPr>
          <w:rFonts w:ascii="Arial" w:cs="Arial" w:eastAsia="Arial" w:hAnsi="Arial"/>
          <w:sz w:val="18"/>
          <w:szCs w:val="18"/>
          <w:b w:val="1"/>
          <w:bCs w:val="1"/>
          <w:i w:val="1"/>
          <w:iCs w:val="1"/>
          <w:color w:val="auto"/>
        </w:rPr>
        <w:t>Section</w:t>
      </w:r>
      <w:r>
        <w:rPr>
          <w:rFonts w:ascii="Arial" w:cs="Arial" w:eastAsia="Arial" w:hAnsi="Arial"/>
          <w:sz w:val="18"/>
          <w:szCs w:val="18"/>
          <w:color w:val="auto"/>
        </w:rPr>
        <w:t xml:space="preserve"> for the maximum amount of such liability that can be hereby incurred without rendering its obligations under this </w:t>
      </w:r>
      <w:r>
        <w:rPr>
          <w:rFonts w:ascii="Arial" w:cs="Arial" w:eastAsia="Arial" w:hAnsi="Arial"/>
          <w:sz w:val="18"/>
          <w:szCs w:val="18"/>
          <w:b w:val="1"/>
          <w:bCs w:val="1"/>
          <w:i w:val="1"/>
          <w:iCs w:val="1"/>
          <w:color w:val="auto"/>
        </w:rPr>
        <w:t>Section</w:t>
      </w:r>
      <w:r>
        <w:rPr>
          <w:rFonts w:ascii="Arial" w:cs="Arial" w:eastAsia="Arial" w:hAnsi="Arial"/>
          <w:sz w:val="18"/>
          <w:szCs w:val="18"/>
          <w:color w:val="auto"/>
        </w:rPr>
        <w:t xml:space="preserve">, or otherwise under this Guaranty, voidable under applicable law relating to fraudulent conveyance or fraudulent transfer, and not for any greater amount). Guarantor intends that this </w:t>
      </w:r>
      <w:r>
        <w:rPr>
          <w:rFonts w:ascii="Arial" w:cs="Arial" w:eastAsia="Arial" w:hAnsi="Arial"/>
          <w:sz w:val="18"/>
          <w:szCs w:val="18"/>
          <w:b w:val="1"/>
          <w:bCs w:val="1"/>
          <w:i w:val="1"/>
          <w:iCs w:val="1"/>
          <w:color w:val="auto"/>
        </w:rPr>
        <w:t>Section</w:t>
      </w:r>
      <w:r>
        <w:rPr>
          <w:rFonts w:ascii="Arial" w:cs="Arial" w:eastAsia="Arial" w:hAnsi="Arial"/>
          <w:sz w:val="18"/>
          <w:szCs w:val="18"/>
          <w:color w:val="auto"/>
        </w:rPr>
        <w:t xml:space="preserve"> constitute, and this </w:t>
      </w:r>
      <w:r>
        <w:rPr>
          <w:rFonts w:ascii="Arial" w:cs="Arial" w:eastAsia="Arial" w:hAnsi="Arial"/>
          <w:sz w:val="18"/>
          <w:szCs w:val="18"/>
          <w:b w:val="1"/>
          <w:bCs w:val="1"/>
          <w:i w:val="1"/>
          <w:iCs w:val="1"/>
          <w:color w:val="auto"/>
        </w:rPr>
        <w:t>Section</w:t>
      </w:r>
      <w:r>
        <w:rPr>
          <w:rFonts w:ascii="Arial" w:cs="Arial" w:eastAsia="Arial" w:hAnsi="Arial"/>
          <w:sz w:val="18"/>
          <w:szCs w:val="18"/>
          <w:color w:val="auto"/>
        </w:rPr>
        <w:t xml:space="preserve"> shall be deemed to constitute, a “</w:t>
      </w:r>
      <w:r>
        <w:rPr>
          <w:rFonts w:ascii="Arial" w:cs="Arial" w:eastAsia="Arial" w:hAnsi="Arial"/>
          <w:sz w:val="18"/>
          <w:szCs w:val="18"/>
          <w:i w:val="1"/>
          <w:iCs w:val="1"/>
          <w:color w:val="auto"/>
        </w:rPr>
        <w:t>keepwell, support, or other agreement</w:t>
      </w:r>
      <w:r>
        <w:rPr>
          <w:rFonts w:ascii="Arial" w:cs="Arial" w:eastAsia="Arial" w:hAnsi="Arial"/>
          <w:sz w:val="18"/>
          <w:szCs w:val="18"/>
          <w:color w:val="auto"/>
        </w:rPr>
        <w:t xml:space="preserve">” for the benefit of each other Guarantor for all purposes of </w:t>
      </w:r>
      <w:r>
        <w:rPr>
          <w:rFonts w:ascii="Arial" w:cs="Arial" w:eastAsia="Arial" w:hAnsi="Arial"/>
          <w:sz w:val="18"/>
          <w:szCs w:val="18"/>
          <w:i w:val="1"/>
          <w:iCs w:val="1"/>
          <w:color w:val="auto"/>
        </w:rPr>
        <w:t>Section 1a(18)(A)(v)(II)</w:t>
      </w:r>
      <w:r>
        <w:rPr>
          <w:rFonts w:ascii="Arial" w:cs="Arial" w:eastAsia="Arial" w:hAnsi="Arial"/>
          <w:sz w:val="18"/>
          <w:szCs w:val="18"/>
          <w:color w:val="auto"/>
        </w:rPr>
        <w:t xml:space="preserve"> of the Commodity Exchange Act.</w:t>
      </w:r>
    </w:p>
    <w:p>
      <w:pPr>
        <w:sectPr>
          <w:pgSz w:w="11900" w:h="16838" w:orient="portrait"/>
          <w:cols w:equalWidth="0" w:num="1">
            <w:col w:w="11420"/>
          </w:cols>
          <w:pgMar w:left="240" w:top="582" w:right="2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9"/>
          <w:szCs w:val="19"/>
          <w:color w:val="auto"/>
        </w:rPr>
        <w:t>[SIGNATURES BEGIN ON THE FOLLOWING PAGE]</w:t>
      </w:r>
    </w:p>
    <w:p>
      <w:pPr>
        <w:sectPr>
          <w:pgSz w:w="11900" w:h="16838" w:orient="portrait"/>
          <w:cols w:equalWidth="0" w:num="1">
            <w:col w:w="9019"/>
          </w:cols>
          <w:pgMar w:left="1440" w:top="582" w:right="1440" w:bottom="1440" w:gutter="0" w:footer="0" w:header="0"/>
        </w:sectPr>
      </w:pPr>
    </w:p>
    <w:bookmarkStart w:id="202" w:name="page203"/>
    <w:bookmarkEnd w:id="202"/>
    <w:p>
      <w:pPr>
        <w:spacing w:after="0"/>
        <w:rPr>
          <w:sz w:val="20"/>
          <w:szCs w:val="20"/>
          <w:color w:val="auto"/>
        </w:rPr>
      </w:pPr>
      <w:r>
        <w:rPr>
          <w:rFonts w:ascii="Arial" w:cs="Arial" w:eastAsia="Arial" w:hAnsi="Arial"/>
          <w:sz w:val="20"/>
          <w:szCs w:val="20"/>
          <w:color w:val="auto"/>
        </w:rPr>
        <w:t>Executed as of the date first written above.</w:t>
      </w:r>
    </w:p>
    <w:p>
      <w:pPr>
        <w:spacing w:after="0" w:line="243" w:lineRule="exact"/>
        <w:rPr>
          <w:sz w:val="20"/>
          <w:szCs w:val="20"/>
          <w:color w:val="auto"/>
        </w:rPr>
      </w:pPr>
    </w:p>
    <w:p>
      <w:pPr>
        <w:jc w:val="right"/>
        <w:ind w:right="5019"/>
        <w:spacing w:after="0"/>
        <w:rPr>
          <w:sz w:val="20"/>
          <w:szCs w:val="20"/>
          <w:color w:val="auto"/>
        </w:rPr>
      </w:pPr>
      <w:r>
        <w:rPr>
          <w:rFonts w:ascii="Arial" w:cs="Arial" w:eastAsia="Arial" w:hAnsi="Arial"/>
          <w:sz w:val="20"/>
          <w:szCs w:val="20"/>
          <w:color w:val="auto"/>
        </w:rPr>
        <w:t>GUARANTOR: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-14605</wp:posOffset>
            </wp:positionV>
            <wp:extent cx="8801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011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-24765</wp:posOffset>
            </wp:positionV>
            <wp:extent cx="6597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2742565</wp:posOffset>
            </wp:positionH>
            <wp:positionV relativeFrom="paragraph">
              <wp:posOffset>-24765</wp:posOffset>
            </wp:positionV>
            <wp:extent cx="7854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85495" cy="8890"/>
                    </a:xfrm>
                    <a:prstGeom prst="rect">
                      <a:avLst/>
                    </a:prstGeom>
                    <a:noFill/>
                  </pic:spPr>
                </pic:pic>
              </a:graphicData>
            </a:graphic>
          </wp:anchor>
        </w:drawing>
      </w:r>
    </w:p>
    <w:p>
      <w:pPr>
        <w:sectPr>
          <w:pgSz w:w="11900" w:h="16838" w:orient="portrait"/>
          <w:cols w:equalWidth="0" w:num="1">
            <w:col w:w="10219"/>
          </w:cols>
          <w:pgMar w:left="240" w:top="582" w:right="1440" w:bottom="1440" w:gutter="0" w:footer="0" w:header="0"/>
        </w:sectPr>
      </w:pPr>
    </w:p>
    <w:bookmarkStart w:id="203" w:name="page204"/>
    <w:bookmarkEnd w:id="203"/>
    <w:p>
      <w:pPr>
        <w:jc w:val="center"/>
        <w:spacing w:after="0"/>
        <w:rPr>
          <w:sz w:val="20"/>
          <w:szCs w:val="20"/>
          <w:color w:val="auto"/>
        </w:rPr>
      </w:pPr>
      <w:r>
        <w:rPr>
          <w:rFonts w:ascii="Arial" w:cs="Arial" w:eastAsia="Arial" w:hAnsi="Arial"/>
          <w:sz w:val="20"/>
          <w:szCs w:val="20"/>
          <w:b w:val="1"/>
          <w:bCs w:val="1"/>
          <w:u w:val="single" w:color="auto"/>
          <w:color w:val="auto"/>
        </w:rPr>
        <w:t>EXHIBIT B-2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CONFIRMATION OF GUARANTY</w:t>
      </w:r>
    </w:p>
    <w:p>
      <w:pPr>
        <w:spacing w:after="0" w:line="276"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THIS CONFIRMATION OF GUARANTY (this “</w:t>
      </w:r>
      <w:r>
        <w:rPr>
          <w:rFonts w:ascii="Arial" w:cs="Arial" w:eastAsia="Arial" w:hAnsi="Arial"/>
          <w:sz w:val="20"/>
          <w:szCs w:val="20"/>
          <w:b w:val="1"/>
          <w:bCs w:val="1"/>
          <w:i w:val="1"/>
          <w:iCs w:val="1"/>
          <w:color w:val="auto"/>
        </w:rPr>
        <w:t>Confirmation</w:t>
      </w:r>
      <w:r>
        <w:rPr>
          <w:rFonts w:ascii="Arial" w:cs="Arial" w:eastAsia="Arial" w:hAnsi="Arial"/>
          <w:sz w:val="20"/>
          <w:szCs w:val="20"/>
          <w:color w:val="auto"/>
        </w:rPr>
        <w:t>”) is executed as of August 15, 2018, by each of the undersigned (each, a “</w:t>
      </w:r>
      <w:r>
        <w:rPr>
          <w:rFonts w:ascii="Arial" w:cs="Arial" w:eastAsia="Arial" w:hAnsi="Arial"/>
          <w:sz w:val="20"/>
          <w:szCs w:val="20"/>
          <w:b w:val="1"/>
          <w:bCs w:val="1"/>
          <w:i w:val="1"/>
          <w:iCs w:val="1"/>
          <w:color w:val="auto"/>
        </w:rPr>
        <w:t>Guarantor</w:t>
      </w:r>
      <w:r>
        <w:rPr>
          <w:rFonts w:ascii="Arial" w:cs="Arial" w:eastAsia="Arial" w:hAnsi="Arial"/>
          <w:sz w:val="20"/>
          <w:szCs w:val="20"/>
          <w:color w:val="auto"/>
        </w:rPr>
        <w:t>,” and collectively, the “</w:t>
      </w:r>
      <w:r>
        <w:rPr>
          <w:rFonts w:ascii="Arial" w:cs="Arial" w:eastAsia="Arial" w:hAnsi="Arial"/>
          <w:sz w:val="20"/>
          <w:szCs w:val="20"/>
          <w:b w:val="1"/>
          <w:bCs w:val="1"/>
          <w:i w:val="1"/>
          <w:iCs w:val="1"/>
          <w:color w:val="auto"/>
        </w:rPr>
        <w:t>Guarantors</w:t>
      </w:r>
      <w:r>
        <w:rPr>
          <w:rFonts w:ascii="Arial" w:cs="Arial" w:eastAsia="Arial" w:hAnsi="Arial"/>
          <w:sz w:val="20"/>
          <w:szCs w:val="20"/>
          <w:color w:val="auto"/>
        </w:rPr>
        <w:t>”), in favor of Bank of America, N.A., as administrative agent (the “</w:t>
      </w:r>
      <w:r>
        <w:rPr>
          <w:rFonts w:ascii="Arial" w:cs="Arial" w:eastAsia="Arial" w:hAnsi="Arial"/>
          <w:sz w:val="20"/>
          <w:szCs w:val="20"/>
          <w:b w:val="1"/>
          <w:bCs w:val="1"/>
          <w:i w:val="1"/>
          <w:iCs w:val="1"/>
          <w:color w:val="auto"/>
        </w:rPr>
        <w:t>Administrative Agent</w:t>
      </w:r>
      <w:r>
        <w:rPr>
          <w:rFonts w:ascii="Arial" w:cs="Arial" w:eastAsia="Arial" w:hAnsi="Arial"/>
          <w:sz w:val="20"/>
          <w:szCs w:val="20"/>
          <w:color w:val="auto"/>
        </w:rPr>
        <w:t>”) for the Lenders and their respective successors and assigns (collectively, the “</w:t>
      </w:r>
      <w:r>
        <w:rPr>
          <w:rFonts w:ascii="Arial" w:cs="Arial" w:eastAsia="Arial" w:hAnsi="Arial"/>
          <w:sz w:val="20"/>
          <w:szCs w:val="20"/>
          <w:b w:val="1"/>
          <w:bCs w:val="1"/>
          <w:i w:val="1"/>
          <w:iCs w:val="1"/>
          <w:color w:val="auto"/>
        </w:rPr>
        <w:t>Lenders</w:t>
      </w:r>
      <w:r>
        <w:rPr>
          <w:rFonts w:ascii="Arial" w:cs="Arial" w:eastAsia="Arial" w:hAnsi="Arial"/>
          <w:sz w:val="20"/>
          <w:szCs w:val="20"/>
          <w:color w:val="auto"/>
        </w:rPr>
        <w:t>”) that are from time to time parties to the Credit Agreement (as hereinafter defined).</w:t>
      </w:r>
    </w:p>
    <w:p>
      <w:pPr>
        <w:spacing w:after="0" w:line="189"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Capitalized terms not otherwise defined in this Confirmation shall have the meanings ascribed to such terms in the applicable Guaranty (as hereinafter defined).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 E C I T A L S</w:t>
      </w:r>
    </w:p>
    <w:p>
      <w:pPr>
        <w:spacing w:after="0" w:line="270" w:lineRule="exact"/>
        <w:rPr>
          <w:sz w:val="20"/>
          <w:szCs w:val="20"/>
          <w:color w:val="auto"/>
        </w:rPr>
      </w:pPr>
    </w:p>
    <w:p>
      <w:pPr>
        <w:jc w:val="both"/>
        <w:ind w:firstLine="8"/>
        <w:spacing w:after="0" w:line="306" w:lineRule="auto"/>
        <w:tabs>
          <w:tab w:leader="none" w:pos="416" w:val="left"/>
        </w:tabs>
        <w:numPr>
          <w:ilvl w:val="0"/>
          <w:numId w:val="188"/>
        </w:numPr>
        <w:rPr>
          <w:rFonts w:ascii="Arial" w:cs="Arial" w:eastAsia="Arial" w:hAnsi="Arial"/>
          <w:sz w:val="20"/>
          <w:szCs w:val="20"/>
          <w:color w:val="auto"/>
        </w:rPr>
      </w:pPr>
      <w:r>
        <w:rPr>
          <w:rFonts w:ascii="Arial" w:cs="Arial" w:eastAsia="Arial" w:hAnsi="Arial"/>
          <w:sz w:val="20"/>
          <w:szCs w:val="20"/>
          <w:color w:val="auto"/>
        </w:rPr>
        <w:t>Vail Holdings, Inc., a Colorado corporation (the “</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certain lenders party thereto, and Bank of America, N.A., as administrative agent, are parties to that certain Seventh Amended and Restated Revolving Credit Agreement dated as of May 1, 2015 (as the same may have been amended from time to time prior to the date hereof, the “</w:t>
      </w:r>
      <w:r>
        <w:rPr>
          <w:rFonts w:ascii="Arial" w:cs="Arial" w:eastAsia="Arial" w:hAnsi="Arial"/>
          <w:sz w:val="20"/>
          <w:szCs w:val="20"/>
          <w:b w:val="1"/>
          <w:bCs w:val="1"/>
          <w:i w:val="1"/>
          <w:iCs w:val="1"/>
          <w:color w:val="auto"/>
        </w:rPr>
        <w:t>Existing Credit Agreement</w:t>
      </w:r>
      <w:r>
        <w:rPr>
          <w:rFonts w:ascii="Arial" w:cs="Arial" w:eastAsia="Arial" w:hAnsi="Arial"/>
          <w:sz w:val="20"/>
          <w:szCs w:val="20"/>
          <w:color w:val="auto"/>
        </w:rPr>
        <w:t>”).</w:t>
      </w:r>
    </w:p>
    <w:p>
      <w:pPr>
        <w:spacing w:after="0" w:line="187" w:lineRule="exact"/>
        <w:rPr>
          <w:rFonts w:ascii="Arial" w:cs="Arial" w:eastAsia="Arial" w:hAnsi="Arial"/>
          <w:sz w:val="20"/>
          <w:szCs w:val="20"/>
          <w:color w:val="auto"/>
        </w:rPr>
      </w:pPr>
    </w:p>
    <w:p>
      <w:pPr>
        <w:ind w:right="20" w:firstLine="8"/>
        <w:spacing w:after="0" w:line="456" w:lineRule="auto"/>
        <w:tabs>
          <w:tab w:leader="none" w:pos="379"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Guarantors executed and delivered the respective Guaranties identified on </w:t>
      </w:r>
      <w:r>
        <w:rPr>
          <w:rFonts w:ascii="Arial" w:cs="Arial" w:eastAsia="Arial" w:hAnsi="Arial"/>
          <w:sz w:val="16"/>
          <w:szCs w:val="16"/>
          <w:b w:val="1"/>
          <w:bCs w:val="1"/>
          <w:i w:val="1"/>
          <w:iCs w:val="1"/>
          <w:color w:val="auto"/>
        </w:rPr>
        <w:t>Schedule A</w:t>
      </w:r>
      <w:r>
        <w:rPr>
          <w:rFonts w:ascii="Arial" w:cs="Arial" w:eastAsia="Arial" w:hAnsi="Arial"/>
          <w:sz w:val="16"/>
          <w:szCs w:val="16"/>
          <w:color w:val="auto"/>
        </w:rPr>
        <w:t xml:space="preserve"> hereto (individually, a “</w:t>
      </w:r>
      <w:r>
        <w:rPr>
          <w:rFonts w:ascii="Arial" w:cs="Arial" w:eastAsia="Arial" w:hAnsi="Arial"/>
          <w:sz w:val="16"/>
          <w:szCs w:val="16"/>
          <w:b w:val="1"/>
          <w:bCs w:val="1"/>
          <w:i w:val="1"/>
          <w:iCs w:val="1"/>
          <w:color w:val="auto"/>
        </w:rPr>
        <w:t>Guaranty</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Guaranties</w:t>
      </w:r>
      <w:r>
        <w:rPr>
          <w:rFonts w:ascii="Arial" w:cs="Arial" w:eastAsia="Arial" w:hAnsi="Arial"/>
          <w:sz w:val="16"/>
          <w:szCs w:val="16"/>
          <w:color w:val="auto"/>
        </w:rPr>
        <w:t>”), pursuant to which each Guarantor agreed to guarantee the Obligation (as defined in the Existing Credit Agreement).</w:t>
      </w:r>
    </w:p>
    <w:p>
      <w:pPr>
        <w:spacing w:after="0" w:line="84" w:lineRule="exact"/>
        <w:rPr>
          <w:rFonts w:ascii="Arial" w:cs="Arial" w:eastAsia="Arial" w:hAnsi="Arial"/>
          <w:sz w:val="16"/>
          <w:szCs w:val="16"/>
          <w:color w:val="auto"/>
        </w:rPr>
      </w:pPr>
    </w:p>
    <w:p>
      <w:pPr>
        <w:jc w:val="both"/>
        <w:ind w:firstLine="8"/>
        <w:spacing w:after="0" w:line="345" w:lineRule="auto"/>
        <w:tabs>
          <w:tab w:leader="none" w:pos="45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Concurrently herewith, (a) the Existing Credit Agreement will be amended and restated pursuant to the Eighth Amended and Restated Credit Agreement (as the same may be restated, extended, modified, amended, or supplemented from time to time, the “</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 by and among the Borrower, the Administrative Agent, and the Lenders, and (b) the Borrower, the Administrative Agent and the Lenders will execute an Amendment Agreement (the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pursuant to which the Credit Agreement will be effected.</w:t>
      </w:r>
    </w:p>
    <w:p>
      <w:pPr>
        <w:spacing w:after="0" w:line="160" w:lineRule="exact"/>
        <w:rPr>
          <w:rFonts w:ascii="Arial" w:cs="Arial" w:eastAsia="Arial" w:hAnsi="Arial"/>
          <w:sz w:val="18"/>
          <w:szCs w:val="18"/>
          <w:color w:val="auto"/>
        </w:rPr>
      </w:pPr>
    </w:p>
    <w:p>
      <w:pPr>
        <w:ind w:firstLine="8"/>
        <w:spacing w:after="0" w:line="317" w:lineRule="auto"/>
        <w:tabs>
          <w:tab w:leader="none" w:pos="406" w:val="left"/>
        </w:tabs>
        <w:numPr>
          <w:ilvl w:val="0"/>
          <w:numId w:val="188"/>
        </w:numPr>
        <w:rPr>
          <w:rFonts w:ascii="Arial" w:cs="Arial" w:eastAsia="Arial" w:hAnsi="Arial"/>
          <w:sz w:val="20"/>
          <w:szCs w:val="20"/>
          <w:color w:val="auto"/>
        </w:rPr>
      </w:pPr>
      <w:r>
        <w:rPr>
          <w:rFonts w:ascii="Arial" w:cs="Arial" w:eastAsia="Arial" w:hAnsi="Arial"/>
          <w:sz w:val="20"/>
          <w:szCs w:val="20"/>
          <w:color w:val="auto"/>
        </w:rPr>
        <w:t>The execution and delivery of this Confirmation is an integral part of the transactions contemplated by the Loan Papers and is a condition precedent to Lenders’ obligations to extend credit under the Credit Agreement.</w:t>
      </w:r>
    </w:p>
    <w:p>
      <w:pPr>
        <w:spacing w:after="0" w:line="175" w:lineRule="exact"/>
        <w:rPr>
          <w:rFonts w:ascii="Arial" w:cs="Arial" w:eastAsia="Arial" w:hAnsi="Arial"/>
          <w:sz w:val="20"/>
          <w:szCs w:val="20"/>
          <w:color w:val="auto"/>
        </w:rPr>
      </w:pPr>
    </w:p>
    <w:p>
      <w:pPr>
        <w:ind w:firstLine="8"/>
        <w:spacing w:after="0" w:line="317" w:lineRule="auto"/>
        <w:tabs>
          <w:tab w:leader="none" w:pos="371" w:val="left"/>
        </w:tabs>
        <w:numPr>
          <w:ilvl w:val="0"/>
          <w:numId w:val="188"/>
        </w:numPr>
        <w:rPr>
          <w:rFonts w:ascii="Arial" w:cs="Arial" w:eastAsia="Arial" w:hAnsi="Arial"/>
          <w:sz w:val="20"/>
          <w:szCs w:val="20"/>
          <w:color w:val="auto"/>
        </w:rPr>
      </w:pPr>
      <w:r>
        <w:rPr>
          <w:rFonts w:ascii="Arial" w:cs="Arial" w:eastAsia="Arial" w:hAnsi="Arial"/>
          <w:sz w:val="20"/>
          <w:szCs w:val="20"/>
          <w:color w:val="auto"/>
        </w:rPr>
        <w:t>In connection with the Credit Agreement and the Amendment, each Guarantor has agreed to ratify and confirm the Guaranty to which such Guarantor is party.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for good and valuable consideration, the receipt and sufficiency of which are hereby acknowledged, the</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Guarantors hereby agree as follows:</w:t>
      </w:r>
    </w:p>
    <w:p>
      <w:pPr>
        <w:spacing w:after="0" w:line="264" w:lineRule="exact"/>
        <w:rPr>
          <w:sz w:val="20"/>
          <w:szCs w:val="20"/>
          <w:color w:val="auto"/>
        </w:rPr>
      </w:pPr>
    </w:p>
    <w:p>
      <w:pPr>
        <w:ind w:firstLine="8"/>
        <w:spacing w:after="0" w:line="323" w:lineRule="auto"/>
        <w:tabs>
          <w:tab w:leader="none" w:pos="427" w:val="left"/>
        </w:tabs>
        <w:numPr>
          <w:ilvl w:val="0"/>
          <w:numId w:val="18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Confirmation of Guaranty</w:t>
      </w:r>
      <w:r>
        <w:rPr>
          <w:rFonts w:ascii="Arial" w:cs="Arial" w:eastAsia="Arial" w:hAnsi="Arial"/>
          <w:sz w:val="20"/>
          <w:szCs w:val="20"/>
          <w:b w:val="1"/>
          <w:bCs w:val="1"/>
          <w:color w:val="auto"/>
        </w:rPr>
        <w:t xml:space="preserve">. </w:t>
      </w:r>
      <w:r>
        <w:rPr>
          <w:rFonts w:ascii="Arial" w:cs="Arial" w:eastAsia="Arial" w:hAnsi="Arial"/>
          <w:sz w:val="20"/>
          <w:szCs w:val="20"/>
          <w:color w:val="auto"/>
        </w:rPr>
        <w:t>Each Guarantor hereby (a) consents and agrees to the execution and delivery of the Amendment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related Loan Papers (as defined in the Credit Agreement), (b) ratifies</w:t>
      </w:r>
    </w:p>
    <w:p>
      <w:pPr>
        <w:sectPr>
          <w:pgSz w:w="11900" w:h="16838" w:orient="portrait"/>
          <w:cols w:equalWidth="0" w:num="1">
            <w:col w:w="11420"/>
          </w:cols>
          <w:pgMar w:left="240" w:top="576" w:right="239" w:bottom="1440" w:gutter="0" w:footer="0" w:header="0"/>
        </w:sectPr>
      </w:pPr>
    </w:p>
    <w:bookmarkStart w:id="204" w:name="page205"/>
    <w:bookmarkEnd w:id="204"/>
    <w:p>
      <w:pPr>
        <w:jc w:val="both"/>
        <w:spacing w:after="0" w:line="303" w:lineRule="auto"/>
        <w:rPr>
          <w:sz w:val="20"/>
          <w:szCs w:val="20"/>
          <w:color w:val="auto"/>
        </w:rPr>
      </w:pPr>
      <w:r>
        <w:rPr>
          <w:rFonts w:ascii="Arial" w:cs="Arial" w:eastAsia="Arial" w:hAnsi="Arial"/>
          <w:sz w:val="20"/>
          <w:szCs w:val="20"/>
          <w:color w:val="auto"/>
        </w:rPr>
        <w:t>and confirms that the Guaranty executed by such Guarantor is not released, diminished, impaired, reduced, or otherwise adversely affected by the Credit Agreement or the Amendment and continues to guarantee and assure the full payment and performance of all present and future obligations thereunder, and (c) agrees that the Guaranteed Debt includes, without limitation, the Obligation (as defined in the Credit Agreement).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8"/>
        <w:spacing w:after="0" w:line="343" w:lineRule="auto"/>
        <w:tabs>
          <w:tab w:leader="none" w:pos="40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Each Guarantor (a) agrees to perform such acts and duly authorize, execute, acknowledge, deliver, file, and record</w:t>
      </w:r>
      <w:r>
        <w:rPr>
          <w:rFonts w:ascii="Arial" w:cs="Arial" w:eastAsia="Arial" w:hAnsi="Arial"/>
          <w:sz w:val="18"/>
          <w:szCs w:val="18"/>
          <w:b w:val="1"/>
          <w:bCs w:val="1"/>
          <w:color w:val="auto"/>
        </w:rPr>
        <w:t xml:space="preserve"> </w:t>
      </w:r>
      <w:r>
        <w:rPr>
          <w:rFonts w:ascii="Arial" w:cs="Arial" w:eastAsia="Arial" w:hAnsi="Arial"/>
          <w:sz w:val="18"/>
          <w:szCs w:val="18"/>
          <w:color w:val="auto"/>
        </w:rPr>
        <w:t>such additional guaranties, and other agreements, documents, instruments, and certificates as the Administrative Agent may reasonably deem necessary or appropriate in order to preserve and protect those guaranties and assurances previously guaranteed by such Guarantor pursuant to the Guaranty executed by such Guarantor, (b) represents and warrants to the Administrative Agent that such liability and obligation may reasonably be expected to directly or indirectly benefit such Guarantor, and (c) waives notice of acceptance of this Confirmation.</w:t>
      </w:r>
    </w:p>
    <w:p>
      <w:pPr>
        <w:spacing w:after="0" w:line="155" w:lineRule="exact"/>
        <w:rPr>
          <w:rFonts w:ascii="Arial" w:cs="Arial" w:eastAsia="Arial" w:hAnsi="Arial"/>
          <w:sz w:val="18"/>
          <w:szCs w:val="18"/>
          <w:b w:val="1"/>
          <w:bCs w:val="1"/>
          <w:color w:val="auto"/>
        </w:rPr>
      </w:pPr>
    </w:p>
    <w:p>
      <w:pPr>
        <w:ind w:firstLine="8"/>
        <w:spacing w:after="0" w:line="323" w:lineRule="auto"/>
        <w:tabs>
          <w:tab w:leader="none" w:pos="495" w:val="left"/>
        </w:tabs>
        <w:numPr>
          <w:ilvl w:val="0"/>
          <w:numId w:val="19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Continued Effect</w:t>
      </w:r>
      <w:r>
        <w:rPr>
          <w:rFonts w:ascii="Arial" w:cs="Arial" w:eastAsia="Arial" w:hAnsi="Arial"/>
          <w:sz w:val="20"/>
          <w:szCs w:val="20"/>
          <w:b w:val="1"/>
          <w:bCs w:val="1"/>
          <w:color w:val="auto"/>
        </w:rPr>
        <w:t xml:space="preserve">. </w:t>
      </w:r>
      <w:r>
        <w:rPr>
          <w:rFonts w:ascii="Arial" w:cs="Arial" w:eastAsia="Arial" w:hAnsi="Arial"/>
          <w:sz w:val="20"/>
          <w:szCs w:val="20"/>
          <w:color w:val="auto"/>
        </w:rPr>
        <w:t>All terms, provisions, and conditions of the Guaranties shall continue in full force and effect and shall remain</w:t>
      </w:r>
      <w:r>
        <w:rPr>
          <w:rFonts w:ascii="Arial" w:cs="Arial" w:eastAsia="Arial" w:hAnsi="Arial"/>
          <w:sz w:val="20"/>
          <w:szCs w:val="20"/>
          <w:b w:val="1"/>
          <w:bCs w:val="1"/>
          <w:color w:val="auto"/>
        </w:rPr>
        <w:t xml:space="preserve"> </w:t>
      </w:r>
      <w:r>
        <w:rPr>
          <w:rFonts w:ascii="Arial" w:cs="Arial" w:eastAsia="Arial" w:hAnsi="Arial"/>
          <w:sz w:val="20"/>
          <w:szCs w:val="20"/>
          <w:color w:val="auto"/>
        </w:rPr>
        <w:t>enforceable and binding in accordance with the terms thereof.</w:t>
      </w:r>
    </w:p>
    <w:p>
      <w:pPr>
        <w:spacing w:after="0" w:line="164" w:lineRule="exact"/>
        <w:rPr>
          <w:rFonts w:ascii="Arial" w:cs="Arial" w:eastAsia="Arial" w:hAnsi="Arial"/>
          <w:sz w:val="20"/>
          <w:szCs w:val="20"/>
          <w:b w:val="1"/>
          <w:bCs w:val="1"/>
          <w:color w:val="auto"/>
        </w:rPr>
      </w:pPr>
    </w:p>
    <w:p>
      <w:pPr>
        <w:ind w:firstLine="8"/>
        <w:spacing w:after="0" w:line="323" w:lineRule="auto"/>
        <w:tabs>
          <w:tab w:leader="none" w:pos="360" w:val="left"/>
        </w:tabs>
        <w:numPr>
          <w:ilvl w:val="0"/>
          <w:numId w:val="19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Parties Bound</w:t>
      </w:r>
      <w:r>
        <w:rPr>
          <w:rFonts w:ascii="Arial" w:cs="Arial" w:eastAsia="Arial" w:hAnsi="Arial"/>
          <w:sz w:val="20"/>
          <w:szCs w:val="20"/>
          <w:b w:val="1"/>
          <w:bCs w:val="1"/>
          <w:color w:val="auto"/>
        </w:rPr>
        <w:t xml:space="preserve">. </w:t>
      </w:r>
      <w:r>
        <w:rPr>
          <w:rFonts w:ascii="Arial" w:cs="Arial" w:eastAsia="Arial" w:hAnsi="Arial"/>
          <w:sz w:val="20"/>
          <w:szCs w:val="20"/>
          <w:color w:val="auto"/>
        </w:rPr>
        <w:t>This Confirmation shall be binding upon and inure to the benefit of each Guarantor and the Administrative Agent,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benefit of the Lenders, and their respective successors, permitted assigns, and legal representatives.</w:t>
      </w:r>
    </w:p>
    <w:p>
      <w:pPr>
        <w:spacing w:after="0" w:line="164" w:lineRule="exact"/>
        <w:rPr>
          <w:rFonts w:ascii="Arial" w:cs="Arial" w:eastAsia="Arial" w:hAnsi="Arial"/>
          <w:sz w:val="20"/>
          <w:szCs w:val="20"/>
          <w:b w:val="1"/>
          <w:bCs w:val="1"/>
          <w:color w:val="auto"/>
        </w:rPr>
      </w:pPr>
    </w:p>
    <w:p>
      <w:pPr>
        <w:ind w:left="360" w:hanging="352"/>
        <w:spacing w:after="0"/>
        <w:tabs>
          <w:tab w:leader="none" w:pos="360" w:val="left"/>
        </w:tabs>
        <w:numPr>
          <w:ilvl w:val="0"/>
          <w:numId w:val="19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Headings</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headings are for convenience of reference only and shall in no way affect the interpretation of this Confirmation.</w:t>
      </w:r>
    </w:p>
    <w:p>
      <w:pPr>
        <w:spacing w:after="0" w:line="281" w:lineRule="exact"/>
        <w:rPr>
          <w:rFonts w:ascii="Arial" w:cs="Arial" w:eastAsia="Arial" w:hAnsi="Arial"/>
          <w:sz w:val="19"/>
          <w:szCs w:val="19"/>
          <w:b w:val="1"/>
          <w:bCs w:val="1"/>
          <w:color w:val="auto"/>
        </w:rPr>
      </w:pPr>
    </w:p>
    <w:p>
      <w:pPr>
        <w:ind w:right="20" w:firstLine="8"/>
        <w:spacing w:after="0" w:line="323" w:lineRule="auto"/>
        <w:tabs>
          <w:tab w:leader="none" w:pos="670" w:val="left"/>
        </w:tabs>
        <w:numPr>
          <w:ilvl w:val="0"/>
          <w:numId w:val="19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b w:val="1"/>
          <w:bCs w:val="1"/>
          <w:color w:val="auto"/>
        </w:rPr>
        <w:t xml:space="preserve">. </w:t>
      </w:r>
      <w:r>
        <w:rPr>
          <w:rFonts w:ascii="Arial" w:cs="Arial" w:eastAsia="Arial" w:hAnsi="Arial"/>
          <w:sz w:val="20"/>
          <w:szCs w:val="20"/>
          <w:color w:val="auto"/>
        </w:rPr>
        <w:t>THE SUBSTANTIVE LAWS OF THE STATE OF NEW YORK SHALL GOVERN THE VALIDITY,</w:t>
      </w:r>
      <w:r>
        <w:rPr>
          <w:rFonts w:ascii="Arial" w:cs="Arial" w:eastAsia="Arial" w:hAnsi="Arial"/>
          <w:sz w:val="20"/>
          <w:szCs w:val="20"/>
          <w:b w:val="1"/>
          <w:bCs w:val="1"/>
          <w:color w:val="auto"/>
        </w:rPr>
        <w:t xml:space="preserve"> </w:t>
      </w:r>
      <w:r>
        <w:rPr>
          <w:rFonts w:ascii="Arial" w:cs="Arial" w:eastAsia="Arial" w:hAnsi="Arial"/>
          <w:sz w:val="20"/>
          <w:szCs w:val="20"/>
          <w:color w:val="auto"/>
        </w:rPr>
        <w:t>CONSTRUCTION, ENFORCEMENT, AND INTERPRETATION OF THIS CONFIRMATION.</w:t>
      </w:r>
    </w:p>
    <w:p>
      <w:pPr>
        <w:spacing w:after="0" w:line="164" w:lineRule="exact"/>
        <w:rPr>
          <w:rFonts w:ascii="Arial" w:cs="Arial" w:eastAsia="Arial" w:hAnsi="Arial"/>
          <w:sz w:val="20"/>
          <w:szCs w:val="20"/>
          <w:b w:val="1"/>
          <w:bCs w:val="1"/>
          <w:color w:val="auto"/>
        </w:rPr>
      </w:pPr>
    </w:p>
    <w:p>
      <w:pPr>
        <w:jc w:val="both"/>
        <w:ind w:firstLine="8"/>
        <w:spacing w:after="0" w:line="309" w:lineRule="auto"/>
        <w:tabs>
          <w:tab w:leader="none" w:pos="346" w:val="left"/>
        </w:tabs>
        <w:numPr>
          <w:ilvl w:val="0"/>
          <w:numId w:val="19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NOTICE OF FINAL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CONFIRMATION REPRESENTS THE FINAL AGREEMENT BETWEEN THE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AND MAY NOT BE CONTRADICTED BY EVIDENCE OF PRIOR, CONTEMPORANEOUS, OR SUBSEQUENT ORAL AGREEMENTS OF THE PARTIES.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THERE ARE NO ORAL AGREEMENTS BETWEEN THE PARTIES.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Remainder of Page Intentionally Blank</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Signature Pages to Follow</w:t>
      </w:r>
    </w:p>
    <w:p>
      <w:pPr>
        <w:sectPr>
          <w:pgSz w:w="11900" w:h="16838" w:orient="portrait"/>
          <w:cols w:equalWidth="0" w:num="1">
            <w:col w:w="11420"/>
          </w:cols>
          <w:pgMar w:left="240" w:top="609" w:right="239" w:bottom="1440" w:gutter="0" w:footer="0" w:header="0"/>
        </w:sectPr>
      </w:pPr>
    </w:p>
    <w:bookmarkStart w:id="205" w:name="page206"/>
    <w:bookmarkEnd w:id="205"/>
    <w:p>
      <w:pPr>
        <w:spacing w:after="0"/>
        <w:rPr>
          <w:sz w:val="20"/>
          <w:szCs w:val="20"/>
          <w:color w:val="auto"/>
        </w:rPr>
      </w:pPr>
      <w:r>
        <w:rPr>
          <w:rFonts w:ascii="Arial" w:cs="Arial" w:eastAsia="Arial" w:hAnsi="Arial"/>
          <w:sz w:val="20"/>
          <w:szCs w:val="20"/>
          <w:color w:val="auto"/>
        </w:rPr>
        <w:t>EXECUTED as of the day and year first above written.</w:t>
      </w:r>
    </w:p>
    <w:p>
      <w:pPr>
        <w:spacing w:after="0" w:line="23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GUARANTORS:</w:t>
      </w: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Vail Resorts, Inc.</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All Media Associates, Inc.</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All Media Holdings, Inc.</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Arrabelle at Vail Square, LLC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Vail Resorts Development Company</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Beaver Creek Associates, Inc.</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Beaver Creek Consultants, Inc.</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Beaver Creek Food Services, Inc.</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Booth Creek Ski Holdings, Inc.</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BCRP Inc.</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Breckenridge Resort Properties, Inc.</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Colorado Mountain Express, Inc.</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Colter Bay Café Court, LLC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Grand Teton Lodge Company</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Colter Bay Convenience Store, LLC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Grand Teton Lodge Company</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Colter Bay Corporation</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Colter Bay General Store, LLC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Grand Teton Lodge Company</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Colter Bay Marina, LLC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Grand Teton Lodge Company</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Crystal Peak Lodge of Breckenridge, Inc.</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DTPC, LLC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Rockresorts International, LLC</w:t>
      </w:r>
    </w:p>
    <w:p>
      <w:pPr>
        <w:spacing w:after="0" w:line="54"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EpicSki, Inc.</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Flagg Ranch Company</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Gillett Broadcasting, Inc.</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Grand Teton Lodge Company</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Heavenly Valley, Limited Partnership</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VR Heavenly I, Inc.</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HVLP Kirkwood Services, LLC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By: Heavenly Valley, Limited Partnership</w:t>
      </w:r>
    </w:p>
    <w:p>
      <w:pPr>
        <w:spacing w:after="0" w:line="65"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By: VR Heavenly I, Inc.</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Jackson Hole Golf and Tennis Club, Inc.</w:t>
      </w:r>
    </w:p>
    <w:p>
      <w:pPr>
        <w:spacing w:after="0" w:line="54" w:lineRule="exact"/>
        <w:rPr>
          <w:sz w:val="20"/>
          <w:szCs w:val="20"/>
          <w:color w:val="auto"/>
        </w:rPr>
      </w:pPr>
    </w:p>
    <w:p>
      <w:pPr>
        <w:jc w:val="right"/>
        <w:ind w:right="2099"/>
        <w:spacing w:after="0"/>
        <w:rPr>
          <w:sz w:val="20"/>
          <w:szCs w:val="20"/>
          <w:color w:val="auto"/>
        </w:rPr>
      </w:pPr>
      <w:r>
        <w:rPr>
          <w:rFonts w:ascii="Arial" w:cs="Arial" w:eastAsia="Arial" w:hAnsi="Arial"/>
          <w:sz w:val="20"/>
          <w:szCs w:val="20"/>
          <w:color w:val="auto"/>
        </w:rPr>
        <w:t>Jackson Hole Golf &amp; Tennis Club Snack Shack, LLC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Grand Teton Lodge Company</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Jackson Lake Lodge Corporation</w:t>
      </w:r>
    </w:p>
    <w:p>
      <w:pPr>
        <w:sectPr>
          <w:pgSz w:w="11900" w:h="16838" w:orient="portrait"/>
          <w:cols w:equalWidth="0" w:num="1">
            <w:col w:w="10219"/>
          </w:cols>
          <w:pgMar w:left="240" w:top="582" w:right="1440" w:bottom="1440" w:gutter="0" w:footer="0" w:header="0"/>
        </w:sectPr>
      </w:pPr>
    </w:p>
    <w:bookmarkStart w:id="206" w:name="page207"/>
    <w:bookmarkEnd w:id="206"/>
    <w:p>
      <w:pPr>
        <w:ind w:left="2700"/>
        <w:spacing w:after="0"/>
        <w:rPr>
          <w:sz w:val="20"/>
          <w:szCs w:val="20"/>
          <w:color w:val="auto"/>
        </w:rPr>
      </w:pPr>
      <w:r>
        <w:rPr>
          <w:rFonts w:ascii="Arial" w:cs="Arial" w:eastAsia="Arial" w:hAnsi="Arial"/>
          <w:sz w:val="20"/>
          <w:szCs w:val="20"/>
          <w:color w:val="auto"/>
        </w:rPr>
        <w:t>Jenny Lake Lodge,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Jenny Lake Store, LLC</w:t>
      </w:r>
    </w:p>
    <w:p>
      <w:pPr>
        <w:spacing w:after="0" w:line="54"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Grand Teton Lodge Company</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JHL&amp;S LLC</w:t>
      </w:r>
    </w:p>
    <w:p>
      <w:pPr>
        <w:spacing w:after="0" w:line="54"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Teton Hospitality Services,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Keystone Conference Services,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Keystone Development Sales,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Keystone Food &amp; Beverage Company</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Keystone Resort Property Management Company</w:t>
      </w:r>
    </w:p>
    <w:p>
      <w:pPr>
        <w:spacing w:after="0" w:line="10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Keystone Ranch Water Company</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Lake Tahoe Lodging Company</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Lodge Properties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Lodge Realty,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La Posada Beverage Service, LLC</w:t>
      </w:r>
    </w:p>
    <w:p>
      <w:pPr>
        <w:spacing w:after="0" w:line="54"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Rockresorts International, LLC</w:t>
      </w:r>
    </w:p>
    <w:p>
      <w:pPr>
        <w:spacing w:after="0" w:line="54"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National Park Hospitality Company</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Northstar Group Commercial Properties LLC</w:t>
      </w:r>
    </w:p>
    <w:p>
      <w:pPr>
        <w:spacing w:after="0" w:line="6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VR Acquisition,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Northstar Group Restaurant Properties, LLC</w:t>
      </w:r>
    </w:p>
    <w:p>
      <w:pPr>
        <w:spacing w:after="0" w:line="54"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VR Acquisition,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One Ski Hill Place, LLC</w:t>
      </w:r>
    </w:p>
    <w:p>
      <w:pPr>
        <w:spacing w:after="0" w:line="54"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Vail Resorts Development Company</w:t>
      </w:r>
    </w:p>
    <w:p>
      <w:pPr>
        <w:spacing w:after="0" w:line="77"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Property Management Acquisition Corp., Inc.</w:t>
      </w:r>
    </w:p>
    <w:p>
      <w:pPr>
        <w:spacing w:after="0" w:line="6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RCR Vail, LLC</w:t>
      </w:r>
    </w:p>
    <w:p>
      <w:pPr>
        <w:spacing w:after="0" w:line="54"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Vail Resorts Development Company</w:t>
      </w:r>
    </w:p>
    <w:p>
      <w:pPr>
        <w:spacing w:after="0" w:line="7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Rockresorts Arrabelle, LLC</w:t>
      </w:r>
    </w:p>
    <w:p>
      <w:pPr>
        <w:spacing w:after="0" w:line="54"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Rockresorts International, LLC</w:t>
      </w:r>
    </w:p>
    <w:p>
      <w:pPr>
        <w:spacing w:after="0" w:line="54"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Rockresorts Cordillera Lodge Company, LLC</w:t>
      </w:r>
    </w:p>
    <w:p>
      <w:pPr>
        <w:spacing w:after="0" w:line="6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Rockresorts International, LLC</w:t>
      </w:r>
    </w:p>
    <w:p>
      <w:pPr>
        <w:spacing w:after="0" w:line="54"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Rockresorts DR, LLC</w:t>
      </w:r>
    </w:p>
    <w:p>
      <w:pPr>
        <w:spacing w:after="0" w:line="54"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Rockresorts International, LLC</w:t>
      </w:r>
    </w:p>
    <w:p>
      <w:pPr>
        <w:spacing w:after="0" w:line="54"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Rockresorts Equinox,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Rockresorts Hotel Jerome, LLC</w:t>
      </w:r>
    </w:p>
    <w:p>
      <w:pPr>
        <w:spacing w:after="0" w:line="54"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Rockresorts International, LLC</w:t>
      </w:r>
    </w:p>
    <w:p>
      <w:pPr>
        <w:spacing w:after="0" w:line="54"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Rockresorts International, LLC</w:t>
      </w:r>
    </w:p>
    <w:p>
      <w:pPr>
        <w:spacing w:after="0" w:line="54"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Rockresorts, LLC</w:t>
      </w:r>
    </w:p>
    <w:p>
      <w:pPr>
        <w:sectPr>
          <w:pgSz w:w="11900" w:h="16838" w:orient="portrait"/>
          <w:cols w:equalWidth="0" w:num="1">
            <w:col w:w="9019"/>
          </w:cols>
          <w:pgMar w:left="1440" w:top="609" w:right="1440" w:bottom="1440" w:gutter="0" w:footer="0" w:header="0"/>
        </w:sectPr>
      </w:pPr>
    </w:p>
    <w:bookmarkStart w:id="207" w:name="page208"/>
    <w:bookmarkEnd w:id="207"/>
    <w:p>
      <w:pPr>
        <w:ind w:left="3340"/>
        <w:spacing w:after="0"/>
        <w:rPr>
          <w:sz w:val="20"/>
          <w:szCs w:val="20"/>
          <w:color w:val="auto"/>
        </w:rPr>
      </w:pPr>
      <w:r>
        <w:rPr>
          <w:rFonts w:ascii="Arial" w:cs="Arial" w:eastAsia="Arial" w:hAnsi="Arial"/>
          <w:sz w:val="20"/>
          <w:szCs w:val="20"/>
          <w:color w:val="auto"/>
        </w:rPr>
        <w:t>By: Rockresorts International, LLC</w:t>
      </w:r>
    </w:p>
    <w:p>
      <w:pPr>
        <w:spacing w:after="0" w:line="54"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Rockresorts International Management Company</w:t>
      </w:r>
    </w:p>
    <w:p>
      <w:pPr>
        <w:spacing w:after="0" w:line="77"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Rockresorts International, LLC</w:t>
      </w:r>
    </w:p>
    <w:p>
      <w:pPr>
        <w:spacing w:after="0" w:line="54"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Rockresorts Ski Tip, LLC</w:t>
      </w:r>
    </w:p>
    <w:p>
      <w:pPr>
        <w:spacing w:after="0" w:line="54"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Rockresorts International, LLC</w:t>
      </w:r>
    </w:p>
    <w:p>
      <w:pPr>
        <w:spacing w:after="0" w:line="54"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Rockresorts Wyoming, LLC</w:t>
      </w:r>
    </w:p>
    <w:p>
      <w:pPr>
        <w:spacing w:after="0" w:line="54"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Rockresorts International, LLC</w:t>
      </w:r>
    </w:p>
    <w:p>
      <w:pPr>
        <w:spacing w:after="0" w:line="54"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Soho Development, LLC</w:t>
      </w:r>
    </w:p>
    <w:p>
      <w:pPr>
        <w:spacing w:after="0" w:line="54"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Vail Associates Holdings, Ltd.</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SSI Venture LLC</w:t>
      </w:r>
    </w:p>
    <w:p>
      <w:pPr>
        <w:spacing w:after="0" w:line="54"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SSV Holdings,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SSV Online Holdings,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SSV Online LLC</w:t>
      </w:r>
    </w:p>
    <w:p>
      <w:pPr>
        <w:spacing w:after="0" w:line="54"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SSV Holdings,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SSV Holdings,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Stampede Canteen, LLC</w:t>
      </w:r>
    </w:p>
    <w:p>
      <w:pPr>
        <w:spacing w:after="0" w:line="54"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Grand Teton Lodge Company</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Teton Hospitality Services,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The Chalets at the Lodge at Vail, LLC</w:t>
      </w:r>
    </w:p>
    <w:p>
      <w:pPr>
        <w:spacing w:after="0" w:line="54"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By: Vail Resorts Development Company</w:t>
      </w:r>
    </w:p>
    <w:p>
      <w:pPr>
        <w:spacing w:after="0" w:line="6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The Village at Breckenridge Acquisition Corp., Inc.</w:t>
      </w:r>
    </w:p>
    <w:p>
      <w:pPr>
        <w:spacing w:after="0" w:line="7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Trimont Land Company</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VA Rancho Mirage I,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VA Rancho Mirage II,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VA Rancho Mirage Resort, L.P.</w:t>
      </w:r>
    </w:p>
    <w:p>
      <w:pPr>
        <w:spacing w:after="0" w:line="54"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VA Rancho Mirage I,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Vail/Arrowhead,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Vail Associates Holdings, Ltd.</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Vail Associates Investments,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Vail Associates Real Estate,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Vail/Beaver Creek Resort Properties,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Vail Food Services,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Vail Hotel Management Company, LLC</w:t>
      </w:r>
    </w:p>
    <w:p>
      <w:pPr>
        <w:spacing w:after="0" w:line="54"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Rockresorts International, LLC</w:t>
      </w:r>
    </w:p>
    <w:p>
      <w:pPr>
        <w:spacing w:after="0" w:line="54"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Vail Resorts Development Company</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Vail Resorts Lodging Company</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Vail RR, Inc.</w:t>
      </w:r>
    </w:p>
    <w:p>
      <w:pPr>
        <w:sectPr>
          <w:pgSz w:w="11900" w:h="16838" w:orient="portrait"/>
          <w:cols w:equalWidth="0" w:num="1">
            <w:col w:w="9019"/>
          </w:cols>
          <w:pgMar w:left="1440" w:top="609" w:right="1440" w:bottom="1440" w:gutter="0" w:footer="0" w:header="0"/>
        </w:sectPr>
      </w:pPr>
    </w:p>
    <w:bookmarkStart w:id="208" w:name="page209"/>
    <w:bookmarkEnd w:id="208"/>
    <w:p>
      <w:pPr>
        <w:ind w:left="2700"/>
        <w:spacing w:after="0"/>
        <w:rPr>
          <w:sz w:val="20"/>
          <w:szCs w:val="20"/>
          <w:color w:val="auto"/>
        </w:rPr>
      </w:pPr>
      <w:r>
        <w:rPr>
          <w:rFonts w:ascii="Arial" w:cs="Arial" w:eastAsia="Arial" w:hAnsi="Arial"/>
          <w:sz w:val="20"/>
          <w:szCs w:val="20"/>
          <w:color w:val="auto"/>
        </w:rPr>
        <w:t>Vail Summit Resorts,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Vail Trademarks,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VAMHC,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VR Acquisition,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VR CPC Holdings,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VR CPC Services, LLC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VR Heavenly Concessions, Inc.</w:t>
      </w:r>
    </w:p>
    <w:p>
      <w:pPr>
        <w:spacing w:after="0" w:line="6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VR Heavenly I,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VR Heavenly II,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VR Holdings,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VR US Holdings,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VR US Holdings II, LLC</w:t>
      </w:r>
    </w:p>
    <w:p>
      <w:pPr>
        <w:spacing w:after="0" w:line="54" w:lineRule="exact"/>
        <w:rPr>
          <w:sz w:val="20"/>
          <w:szCs w:val="20"/>
          <w:color w:val="auto"/>
        </w:rPr>
      </w:pPr>
    </w:p>
    <w:p>
      <w:pPr>
        <w:jc w:val="right"/>
        <w:ind w:right="3579"/>
        <w:spacing w:after="0"/>
        <w:rPr>
          <w:sz w:val="20"/>
          <w:szCs w:val="20"/>
          <w:color w:val="auto"/>
        </w:rPr>
      </w:pPr>
      <w:r>
        <w:rPr>
          <w:rFonts w:ascii="Arial" w:cs="Arial" w:eastAsia="Arial" w:hAnsi="Arial"/>
          <w:sz w:val="20"/>
          <w:szCs w:val="20"/>
          <w:color w:val="auto"/>
        </w:rPr>
        <w:t>By: VR US Holdings,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VR WM Holdings, LLC</w:t>
      </w:r>
    </w:p>
    <w:p>
      <w:pPr>
        <w:spacing w:after="0" w:line="54" w:lineRule="exact"/>
        <w:rPr>
          <w:sz w:val="20"/>
          <w:szCs w:val="20"/>
          <w:color w:val="auto"/>
        </w:rPr>
      </w:pPr>
    </w:p>
    <w:p>
      <w:pPr>
        <w:jc w:val="right"/>
        <w:ind w:right="3579"/>
        <w:spacing w:after="0"/>
        <w:rPr>
          <w:sz w:val="20"/>
          <w:szCs w:val="20"/>
          <w:color w:val="auto"/>
        </w:rPr>
      </w:pPr>
      <w:r>
        <w:rPr>
          <w:rFonts w:ascii="Arial" w:cs="Arial" w:eastAsia="Arial" w:hAnsi="Arial"/>
          <w:sz w:val="20"/>
          <w:szCs w:val="20"/>
          <w:color w:val="auto"/>
        </w:rPr>
        <w:t>By: VR US Holdings,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VR NE Holdings, LLC</w:t>
      </w:r>
    </w:p>
    <w:p>
      <w:pPr>
        <w:spacing w:after="0" w:line="54" w:lineRule="exact"/>
        <w:rPr>
          <w:sz w:val="20"/>
          <w:szCs w:val="20"/>
          <w:color w:val="auto"/>
        </w:rPr>
      </w:pPr>
    </w:p>
    <w:p>
      <w:pPr>
        <w:jc w:val="right"/>
        <w:ind w:right="3579"/>
        <w:spacing w:after="0"/>
        <w:rPr>
          <w:sz w:val="20"/>
          <w:szCs w:val="20"/>
          <w:color w:val="auto"/>
        </w:rPr>
      </w:pPr>
      <w:r>
        <w:rPr>
          <w:rFonts w:ascii="Arial" w:cs="Arial" w:eastAsia="Arial" w:hAnsi="Arial"/>
          <w:sz w:val="20"/>
          <w:szCs w:val="20"/>
          <w:color w:val="auto"/>
        </w:rPr>
        <w:t>By: VR US Holdings,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VR NW Holdings,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-14605</wp:posOffset>
            </wp:positionV>
            <wp:extent cx="628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3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9019"/>
          </w:cols>
          <w:pgMar w:left="1440" w:top="609" w:right="1440"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color w:val="auto"/>
        </w:rPr>
        <w:t>The undersigned, as Administrative Agent for the benefit of the Lenders, hereby accepts the foregoing Confirmation.</w:t>
      </w:r>
    </w:p>
    <w:p>
      <w:pPr>
        <w:sectPr>
          <w:pgSz w:w="11900" w:h="16838" w:orient="portrait"/>
          <w:cols w:equalWidth="0" w:num="1">
            <w:col w:w="9559"/>
          </w:cols>
          <w:pgMar w:left="900" w:top="893" w:right="1440" w:bottom="1440" w:gutter="0" w:footer="0" w:header="0"/>
        </w:sectPr>
      </w:pPr>
    </w:p>
    <w:p>
      <w:pPr>
        <w:spacing w:after="0" w:line="287"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ADMINISTRATIVE AGENT:</w:t>
      </w:r>
    </w:p>
    <w:p>
      <w:pPr>
        <w:spacing w:after="0" w:line="27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BANK OF AMERICA, N.A.</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2362835</wp:posOffset>
            </wp:positionH>
            <wp:positionV relativeFrom="paragraph">
              <wp:posOffset>-14605</wp:posOffset>
            </wp:positionV>
            <wp:extent cx="6286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3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9559"/>
          </w:cols>
          <w:pgMar w:left="900" w:top="893" w:right="1440" w:bottom="1440" w:gutter="0" w:footer="0" w:header="0"/>
          <w:type w:val="continuous"/>
        </w:sectPr>
      </w:pPr>
    </w:p>
    <w:bookmarkStart w:id="210" w:name="page211"/>
    <w:bookmarkEnd w:id="210"/>
    <w:p>
      <w:pPr>
        <w:jc w:val="center"/>
        <w:spacing w:after="0"/>
        <w:rPr>
          <w:sz w:val="20"/>
          <w:szCs w:val="20"/>
          <w:color w:val="auto"/>
        </w:rPr>
      </w:pPr>
      <w:r>
        <w:rPr>
          <w:rFonts w:ascii="Arial" w:cs="Arial" w:eastAsia="Arial" w:hAnsi="Arial"/>
          <w:sz w:val="20"/>
          <w:szCs w:val="20"/>
          <w:b w:val="1"/>
          <w:bCs w:val="1"/>
          <w:color w:val="auto"/>
        </w:rPr>
        <w:t>Schedule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Guaranties</w:t>
      </w:r>
    </w:p>
    <w:p>
      <w:pPr>
        <w:spacing w:after="0" w:line="222" w:lineRule="exact"/>
        <w:rPr>
          <w:sz w:val="20"/>
          <w:szCs w:val="20"/>
          <w:color w:val="auto"/>
        </w:rPr>
      </w:pPr>
    </w:p>
    <w:p>
      <w:pPr>
        <w:jc w:val="both"/>
        <w:ind w:left="660" w:hanging="652"/>
        <w:spacing w:after="0" w:line="271" w:lineRule="auto"/>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Amended and Restated Guaranty dated as of June 10, 2003, executed by Vail Resorts, Inc., Vail Holdings, Inc., Beaver Creek Associates, Inc., Beaver Creek Consultants, Inc., Beaver Creek Food Services, Inc., Breckenridge Resort Properties, Inc., Gillett Broadcasting, Inc., Grand Teton Lodge Company, Heavenly Valley, Limited Partnership, Jackson Hole Golf and Tennis Club, Inc., JHL&amp;S LLC, Keystone Conference Services, Inc., Keystone Development Sales, Inc., Keystone Food &amp; Beverage Company, Keystone Resort Property Management Company, Lodge Properties Inc., Lodge Realty, Inc., Property Management Acquisition Corp., Inc., Rockresorts Cheeca, LLC, Rockresorts Equinox, Inc., Rockresorts International, LLC, Rockresorts LaPosada, LLC, Rockresorts, LLC, Rockresorts Rosario, LLC, Teton Hospitality Services, Inc., The Village at Breckenridge Acquisition Corp., Inc., VA Rancho Mirage I, Inc., VA Rancho Mirage II, Inc., VA Rancho Mirage Resort, L.P., Vail Associates Holdings, Ltd., Vail Associates Investments, Inc., Vail Associates Real Estate, Inc., Vail Food Services, Inc., Vail Resorts Development Company, Vail RR, Inc., Vail Summit Resorts, Inc., Vail Trademarks, Inc., Vail/Arrowhead, Inc., Vail/Beaver Creek Resort Properties, Inc., VAMHC, Inc., VR Heavenly I, Inc., VR Heavenly II, Inc., and VR Holdings, Inc., in favor of Bank of America, N.A., as Administrative Agent for the Lenders.</w:t>
      </w:r>
    </w:p>
    <w:p>
      <w:pPr>
        <w:spacing w:after="0" w:line="170" w:lineRule="exact"/>
        <w:rPr>
          <w:rFonts w:ascii="Arial" w:cs="Arial" w:eastAsia="Arial" w:hAnsi="Arial"/>
          <w:sz w:val="18"/>
          <w:szCs w:val="18"/>
          <w:color w:val="auto"/>
        </w:rPr>
      </w:pPr>
    </w:p>
    <w:p>
      <w:pPr>
        <w:ind w:left="660" w:right="20" w:hanging="652"/>
        <w:spacing w:after="0" w:line="260" w:lineRule="auto"/>
        <w:tabs>
          <w:tab w:leader="none" w:pos="66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Guaranty dated as of August 29, 2003, executed by Rockresorts Wyoming, LLC, in favor of Bank of America, N.A., as Administrative Agent for the Lenders.</w:t>
      </w:r>
    </w:p>
    <w:p>
      <w:pPr>
        <w:spacing w:after="0" w:line="176" w:lineRule="exact"/>
        <w:rPr>
          <w:rFonts w:ascii="Arial" w:cs="Arial" w:eastAsia="Arial" w:hAnsi="Arial"/>
          <w:sz w:val="20"/>
          <w:szCs w:val="20"/>
          <w:color w:val="auto"/>
        </w:rPr>
      </w:pPr>
    </w:p>
    <w:p>
      <w:pPr>
        <w:ind w:left="660" w:right="20" w:hanging="652"/>
        <w:spacing w:after="0" w:line="260" w:lineRule="auto"/>
        <w:tabs>
          <w:tab w:leader="none" w:pos="66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Guaranty dated as of December 29, 2005, executed by SSV Holdings, Inc., in favor of Bank of America, N.A., as Administrative Agent for the Lenders.</w:t>
      </w:r>
    </w:p>
    <w:p>
      <w:pPr>
        <w:spacing w:after="0" w:line="176"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Guaranty dated as of January 25, 2006, executed by Rockresorts Cordillera Lodge Company, LLC, in favor of Bank of America, N.A., as Administrative Agent for the Lenders.</w:t>
      </w:r>
    </w:p>
    <w:p>
      <w:pPr>
        <w:spacing w:after="0" w:line="176"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Guaranty dated as of January 25, 2006, executed by Soho Development, LLC, in favor of Bank of America, N.A., as Administrative Agent for the Lenders.</w:t>
      </w:r>
    </w:p>
    <w:p>
      <w:pPr>
        <w:spacing w:after="0" w:line="176" w:lineRule="exact"/>
        <w:rPr>
          <w:rFonts w:ascii="Arial" w:cs="Arial" w:eastAsia="Arial" w:hAnsi="Arial"/>
          <w:sz w:val="20"/>
          <w:szCs w:val="20"/>
          <w:color w:val="auto"/>
        </w:rPr>
      </w:pPr>
    </w:p>
    <w:p>
      <w:pPr>
        <w:ind w:left="660" w:right="20" w:hanging="652"/>
        <w:spacing w:after="0" w:line="260" w:lineRule="auto"/>
        <w:tabs>
          <w:tab w:leader="none" w:pos="66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Guaranty dated as of January 25, 2006, executed by Vail Hotel Management Company, LLC, in favor of Bank of America, N.A., as Administrative Agent for the Lenders.</w:t>
      </w:r>
    </w:p>
    <w:p>
      <w:pPr>
        <w:spacing w:after="0" w:line="176"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Guaranty dated as of March 13, 2007, executed by National Park Hospitality Company, in favor of Bank of America, N.A., as Administrative Agent for the Lenders.</w:t>
      </w:r>
    </w:p>
    <w:p>
      <w:pPr>
        <w:spacing w:after="0" w:line="176"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Guaranty dated as of March 13, 2007, executed by Rockresorts Arrabelle, LLC, in favor of Bank of America, N.A., as Administrative Agent for the Lenders.</w:t>
      </w:r>
    </w:p>
    <w:p>
      <w:pPr>
        <w:spacing w:after="0" w:line="176"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Guaranty dated as of December 19, 2007, executed by Rockresorts Ski Tip, LLC, in favor of Bank of America, N.A., as Administrative Agent for the Lenders.</w:t>
      </w:r>
    </w:p>
    <w:p>
      <w:pPr>
        <w:spacing w:after="0" w:line="176"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Guaranty dated as of April 16, 2008, executed by One Ski Hill Place, LLC, in favor of Bank of America, N.A., as Administrative Agent for the Lenders.</w:t>
      </w:r>
    </w:p>
    <w:p>
      <w:pPr>
        <w:spacing w:after="0" w:line="176"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Guaranty dated as of April 16, 2008, executed by Rockresorts Hotel Jerome, LLC, in favor of Bank of America, N.A., as Administrative Agent for the Lenders.</w:t>
      </w:r>
    </w:p>
    <w:p>
      <w:pPr>
        <w:sectPr>
          <w:pgSz w:w="11900" w:h="16838" w:orient="portrait"/>
          <w:cols w:equalWidth="0" w:num="1">
            <w:col w:w="11420"/>
          </w:cols>
          <w:pgMar w:left="240" w:top="576" w:right="239" w:bottom="1440" w:gutter="0" w:footer="0" w:header="0"/>
        </w:sectPr>
      </w:pPr>
    </w:p>
    <w:bookmarkStart w:id="211" w:name="page212"/>
    <w:bookmarkEnd w:id="211"/>
    <w:p>
      <w:pPr>
        <w:ind w:left="652" w:hanging="652"/>
        <w:spacing w:after="0" w:line="260" w:lineRule="auto"/>
        <w:tabs>
          <w:tab w:leader="none" w:pos="652" w:val="left"/>
        </w:tabs>
        <w:numPr>
          <w:ilvl w:val="0"/>
          <w:numId w:val="192"/>
        </w:numPr>
        <w:rPr>
          <w:rFonts w:ascii="Arial" w:cs="Arial" w:eastAsia="Arial" w:hAnsi="Arial"/>
          <w:sz w:val="20"/>
          <w:szCs w:val="20"/>
          <w:color w:val="auto"/>
        </w:rPr>
      </w:pPr>
      <w:r>
        <w:rPr>
          <w:rFonts w:ascii="Arial" w:cs="Arial" w:eastAsia="Arial" w:hAnsi="Arial"/>
          <w:sz w:val="20"/>
          <w:szCs w:val="20"/>
          <w:color w:val="auto"/>
        </w:rPr>
        <w:t>Guaranty dated as of June 23, 2008, executed by Colter Bay Café Court, LLC,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2"/>
        </w:numPr>
        <w:rPr>
          <w:rFonts w:ascii="Arial" w:cs="Arial" w:eastAsia="Arial" w:hAnsi="Arial"/>
          <w:sz w:val="20"/>
          <w:szCs w:val="20"/>
          <w:color w:val="auto"/>
        </w:rPr>
      </w:pPr>
      <w:r>
        <w:rPr>
          <w:rFonts w:ascii="Arial" w:cs="Arial" w:eastAsia="Arial" w:hAnsi="Arial"/>
          <w:sz w:val="20"/>
          <w:szCs w:val="20"/>
          <w:color w:val="auto"/>
        </w:rPr>
        <w:t>Guaranty dated as of June 23, 2008, executed by Colter Bay Convenience Store, LLC, in favor of Bank of America, N.A., as Administrative Agent for the Lenders.</w:t>
      </w:r>
    </w:p>
    <w:p>
      <w:pPr>
        <w:spacing w:after="0" w:line="176" w:lineRule="exact"/>
        <w:rPr>
          <w:rFonts w:ascii="Arial" w:cs="Arial" w:eastAsia="Arial" w:hAnsi="Arial"/>
          <w:sz w:val="20"/>
          <w:szCs w:val="20"/>
          <w:color w:val="auto"/>
        </w:rPr>
      </w:pPr>
    </w:p>
    <w:p>
      <w:pPr>
        <w:ind w:left="652" w:right="20" w:hanging="652"/>
        <w:spacing w:after="0" w:line="260" w:lineRule="auto"/>
        <w:tabs>
          <w:tab w:leader="none" w:pos="652" w:val="left"/>
        </w:tabs>
        <w:numPr>
          <w:ilvl w:val="0"/>
          <w:numId w:val="192"/>
        </w:numPr>
        <w:rPr>
          <w:rFonts w:ascii="Arial" w:cs="Arial" w:eastAsia="Arial" w:hAnsi="Arial"/>
          <w:sz w:val="20"/>
          <w:szCs w:val="20"/>
          <w:color w:val="auto"/>
        </w:rPr>
      </w:pPr>
      <w:r>
        <w:rPr>
          <w:rFonts w:ascii="Arial" w:cs="Arial" w:eastAsia="Arial" w:hAnsi="Arial"/>
          <w:sz w:val="20"/>
          <w:szCs w:val="20"/>
          <w:color w:val="auto"/>
        </w:rPr>
        <w:t>Guaranty dated as of June 23, 2008, executed by Colter Bay Corporation,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2"/>
        </w:numPr>
        <w:rPr>
          <w:rFonts w:ascii="Arial" w:cs="Arial" w:eastAsia="Arial" w:hAnsi="Arial"/>
          <w:sz w:val="20"/>
          <w:szCs w:val="20"/>
          <w:color w:val="auto"/>
        </w:rPr>
      </w:pPr>
      <w:r>
        <w:rPr>
          <w:rFonts w:ascii="Arial" w:cs="Arial" w:eastAsia="Arial" w:hAnsi="Arial"/>
          <w:sz w:val="20"/>
          <w:szCs w:val="20"/>
          <w:color w:val="auto"/>
        </w:rPr>
        <w:t>Guaranty dated as of June 23, 2008, executed by Colter Bay General Store, LLC,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2"/>
        </w:numPr>
        <w:rPr>
          <w:rFonts w:ascii="Arial" w:cs="Arial" w:eastAsia="Arial" w:hAnsi="Arial"/>
          <w:sz w:val="20"/>
          <w:szCs w:val="20"/>
          <w:color w:val="auto"/>
        </w:rPr>
      </w:pPr>
      <w:r>
        <w:rPr>
          <w:rFonts w:ascii="Arial" w:cs="Arial" w:eastAsia="Arial" w:hAnsi="Arial"/>
          <w:sz w:val="20"/>
          <w:szCs w:val="20"/>
          <w:color w:val="auto"/>
        </w:rPr>
        <w:t>Guaranty dated as of June 23, 2008, executed by Colter Bay Marina, LLC,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2"/>
        </w:numPr>
        <w:rPr>
          <w:rFonts w:ascii="Arial" w:cs="Arial" w:eastAsia="Arial" w:hAnsi="Arial"/>
          <w:sz w:val="20"/>
          <w:szCs w:val="20"/>
          <w:color w:val="auto"/>
        </w:rPr>
      </w:pPr>
      <w:r>
        <w:rPr>
          <w:rFonts w:ascii="Arial" w:cs="Arial" w:eastAsia="Arial" w:hAnsi="Arial"/>
          <w:sz w:val="20"/>
          <w:szCs w:val="20"/>
          <w:color w:val="auto"/>
        </w:rPr>
        <w:t>Guaranty dated as of June 23, 2008, executed by Crystal Peak Lodge of Breckenridge, Inc.,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2"/>
        </w:numPr>
        <w:rPr>
          <w:rFonts w:ascii="Arial" w:cs="Arial" w:eastAsia="Arial" w:hAnsi="Arial"/>
          <w:sz w:val="20"/>
          <w:szCs w:val="20"/>
          <w:color w:val="auto"/>
        </w:rPr>
      </w:pPr>
      <w:r>
        <w:rPr>
          <w:rFonts w:ascii="Arial" w:cs="Arial" w:eastAsia="Arial" w:hAnsi="Arial"/>
          <w:sz w:val="20"/>
          <w:szCs w:val="20"/>
          <w:color w:val="auto"/>
        </w:rPr>
        <w:t>Guaranty dated as of June 23, 2008, executed by Colorado Mountain Express, Inc. (f/k/a Delivery Acquisition, Inc.),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2"/>
        </w:numPr>
        <w:rPr>
          <w:rFonts w:ascii="Arial" w:cs="Arial" w:eastAsia="Arial" w:hAnsi="Arial"/>
          <w:sz w:val="20"/>
          <w:szCs w:val="20"/>
          <w:color w:val="auto"/>
        </w:rPr>
      </w:pPr>
      <w:r>
        <w:rPr>
          <w:rFonts w:ascii="Arial" w:cs="Arial" w:eastAsia="Arial" w:hAnsi="Arial"/>
          <w:sz w:val="20"/>
          <w:szCs w:val="20"/>
          <w:color w:val="auto"/>
        </w:rPr>
        <w:t>Guaranty dated as of June 23, 2008, executed by Jackson Hole Golf &amp; Tennis Club Snack Shack, LLC,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2"/>
        </w:numPr>
        <w:rPr>
          <w:rFonts w:ascii="Arial" w:cs="Arial" w:eastAsia="Arial" w:hAnsi="Arial"/>
          <w:sz w:val="20"/>
          <w:szCs w:val="20"/>
          <w:color w:val="auto"/>
        </w:rPr>
      </w:pPr>
      <w:r>
        <w:rPr>
          <w:rFonts w:ascii="Arial" w:cs="Arial" w:eastAsia="Arial" w:hAnsi="Arial"/>
          <w:sz w:val="20"/>
          <w:szCs w:val="20"/>
          <w:color w:val="auto"/>
        </w:rPr>
        <w:t>Guaranty dated as of June 23, 2008, executed by Jackson Lake Lodge Corporation,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2"/>
        </w:numPr>
        <w:rPr>
          <w:rFonts w:ascii="Arial" w:cs="Arial" w:eastAsia="Arial" w:hAnsi="Arial"/>
          <w:sz w:val="20"/>
          <w:szCs w:val="20"/>
          <w:color w:val="auto"/>
        </w:rPr>
      </w:pPr>
      <w:r>
        <w:rPr>
          <w:rFonts w:ascii="Arial" w:cs="Arial" w:eastAsia="Arial" w:hAnsi="Arial"/>
          <w:sz w:val="20"/>
          <w:szCs w:val="20"/>
          <w:color w:val="auto"/>
        </w:rPr>
        <w:t>Guaranty dated as of June 23, 2008, executed by Jenny Lake Lodge, Inc.,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2"/>
        </w:numPr>
        <w:rPr>
          <w:rFonts w:ascii="Arial" w:cs="Arial" w:eastAsia="Arial" w:hAnsi="Arial"/>
          <w:sz w:val="20"/>
          <w:szCs w:val="20"/>
          <w:color w:val="auto"/>
        </w:rPr>
      </w:pPr>
      <w:r>
        <w:rPr>
          <w:rFonts w:ascii="Arial" w:cs="Arial" w:eastAsia="Arial" w:hAnsi="Arial"/>
          <w:sz w:val="20"/>
          <w:szCs w:val="20"/>
          <w:color w:val="auto"/>
        </w:rPr>
        <w:t>Guaranty dated as of June 23, 2008, executed by Jenny Lake Store, LLC,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2"/>
        </w:numPr>
        <w:rPr>
          <w:rFonts w:ascii="Arial" w:cs="Arial" w:eastAsia="Arial" w:hAnsi="Arial"/>
          <w:sz w:val="20"/>
          <w:szCs w:val="20"/>
          <w:color w:val="auto"/>
        </w:rPr>
      </w:pPr>
      <w:r>
        <w:rPr>
          <w:rFonts w:ascii="Arial" w:cs="Arial" w:eastAsia="Arial" w:hAnsi="Arial"/>
          <w:sz w:val="20"/>
          <w:szCs w:val="20"/>
          <w:color w:val="auto"/>
        </w:rPr>
        <w:t>Guaranty dated as of June 23, 2008, executed by RCR Vail, LLC,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2"/>
        </w:numPr>
        <w:rPr>
          <w:rFonts w:ascii="Arial" w:cs="Arial" w:eastAsia="Arial" w:hAnsi="Arial"/>
          <w:sz w:val="20"/>
          <w:szCs w:val="20"/>
          <w:color w:val="auto"/>
        </w:rPr>
      </w:pPr>
      <w:r>
        <w:rPr>
          <w:rFonts w:ascii="Arial" w:cs="Arial" w:eastAsia="Arial" w:hAnsi="Arial"/>
          <w:sz w:val="20"/>
          <w:szCs w:val="20"/>
          <w:color w:val="auto"/>
        </w:rPr>
        <w:t>Guaranty dated as of June 23, 2008, executed by Stampede Canteen, LLC,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2"/>
        </w:numPr>
        <w:rPr>
          <w:rFonts w:ascii="Arial" w:cs="Arial" w:eastAsia="Arial" w:hAnsi="Arial"/>
          <w:sz w:val="20"/>
          <w:szCs w:val="20"/>
          <w:color w:val="auto"/>
        </w:rPr>
      </w:pPr>
      <w:r>
        <w:rPr>
          <w:rFonts w:ascii="Arial" w:cs="Arial" w:eastAsia="Arial" w:hAnsi="Arial"/>
          <w:sz w:val="20"/>
          <w:szCs w:val="20"/>
          <w:color w:val="auto"/>
        </w:rPr>
        <w:t>Guaranty dated as of June 23, 2008, executed by Vail Resorts Lodging Company,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2"/>
        </w:numPr>
        <w:rPr>
          <w:rFonts w:ascii="Arial" w:cs="Arial" w:eastAsia="Arial" w:hAnsi="Arial"/>
          <w:sz w:val="20"/>
          <w:szCs w:val="20"/>
          <w:color w:val="auto"/>
        </w:rPr>
      </w:pPr>
      <w:r>
        <w:rPr>
          <w:rFonts w:ascii="Arial" w:cs="Arial" w:eastAsia="Arial" w:hAnsi="Arial"/>
          <w:sz w:val="20"/>
          <w:szCs w:val="20"/>
          <w:color w:val="auto"/>
        </w:rPr>
        <w:t>Guaranty dated as of January 23, 2009, executed by Arrabelle at Vail Square, LLC,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2"/>
        </w:numPr>
        <w:rPr>
          <w:rFonts w:ascii="Arial" w:cs="Arial" w:eastAsia="Arial" w:hAnsi="Arial"/>
          <w:sz w:val="20"/>
          <w:szCs w:val="20"/>
          <w:color w:val="auto"/>
        </w:rPr>
      </w:pPr>
      <w:r>
        <w:rPr>
          <w:rFonts w:ascii="Arial" w:cs="Arial" w:eastAsia="Arial" w:hAnsi="Arial"/>
          <w:sz w:val="20"/>
          <w:szCs w:val="20"/>
          <w:color w:val="auto"/>
        </w:rPr>
        <w:t>Guaranty dated as of January 23, 2009, executed by The Chalets at the Lodge at Vail, LLC, in favor of Bank of America, N.A., as Administrative Agent for the Lenders.</w:t>
      </w:r>
    </w:p>
    <w:p>
      <w:pPr>
        <w:spacing w:after="0" w:line="176" w:lineRule="exact"/>
        <w:rPr>
          <w:rFonts w:ascii="Arial" w:cs="Arial" w:eastAsia="Arial" w:hAnsi="Arial"/>
          <w:sz w:val="20"/>
          <w:szCs w:val="20"/>
          <w:color w:val="auto"/>
        </w:rPr>
      </w:pPr>
    </w:p>
    <w:p>
      <w:pPr>
        <w:ind w:left="652" w:right="20" w:hanging="652"/>
        <w:spacing w:after="0" w:line="260" w:lineRule="auto"/>
        <w:tabs>
          <w:tab w:leader="none" w:pos="652" w:val="left"/>
        </w:tabs>
        <w:numPr>
          <w:ilvl w:val="0"/>
          <w:numId w:val="192"/>
        </w:numPr>
        <w:rPr>
          <w:rFonts w:ascii="Arial" w:cs="Arial" w:eastAsia="Arial" w:hAnsi="Arial"/>
          <w:sz w:val="20"/>
          <w:szCs w:val="20"/>
          <w:color w:val="auto"/>
        </w:rPr>
      </w:pPr>
      <w:r>
        <w:rPr>
          <w:rFonts w:ascii="Arial" w:cs="Arial" w:eastAsia="Arial" w:hAnsi="Arial"/>
          <w:sz w:val="20"/>
          <w:szCs w:val="20"/>
          <w:color w:val="auto"/>
        </w:rPr>
        <w:t>Guaranty dated as of July 16, 2009, executed by Rockresorts DR, LLC, in favor of Bank of America, N.A., as Administrative Agent for the Lenders.</w:t>
      </w:r>
    </w:p>
    <w:p>
      <w:pPr>
        <w:sectPr>
          <w:pgSz w:w="11900" w:h="16838" w:orient="portrait"/>
          <w:cols w:equalWidth="0" w:num="1">
            <w:col w:w="11412"/>
          </w:cols>
          <w:pgMar w:left="248" w:top="582" w:right="239" w:bottom="1440" w:gutter="0" w:footer="0" w:header="0"/>
        </w:sectPr>
      </w:pPr>
    </w:p>
    <w:bookmarkStart w:id="212" w:name="page213"/>
    <w:bookmarkEnd w:id="212"/>
    <w:p>
      <w:pPr>
        <w:ind w:left="652" w:hanging="652"/>
        <w:spacing w:after="0" w:line="260" w:lineRule="auto"/>
        <w:tabs>
          <w:tab w:leader="none" w:pos="652" w:val="left"/>
        </w:tabs>
        <w:numPr>
          <w:ilvl w:val="0"/>
          <w:numId w:val="193"/>
        </w:numPr>
        <w:rPr>
          <w:rFonts w:ascii="Arial" w:cs="Arial" w:eastAsia="Arial" w:hAnsi="Arial"/>
          <w:sz w:val="20"/>
          <w:szCs w:val="20"/>
          <w:color w:val="auto"/>
        </w:rPr>
      </w:pPr>
      <w:r>
        <w:rPr>
          <w:rFonts w:ascii="Arial" w:cs="Arial" w:eastAsia="Arial" w:hAnsi="Arial"/>
          <w:sz w:val="20"/>
          <w:szCs w:val="20"/>
          <w:color w:val="auto"/>
        </w:rPr>
        <w:t>Guaranty dated May 25, 2010, effective as of April 30, 2010, executed by SSI Venture LLC, in favor of Bank of America, N.A., as Administrative Agent for the Lenders.</w:t>
      </w:r>
    </w:p>
    <w:p>
      <w:pPr>
        <w:spacing w:after="0" w:line="176" w:lineRule="exact"/>
        <w:rPr>
          <w:rFonts w:ascii="Arial" w:cs="Arial" w:eastAsia="Arial" w:hAnsi="Arial"/>
          <w:sz w:val="20"/>
          <w:szCs w:val="20"/>
          <w:color w:val="auto"/>
        </w:rPr>
      </w:pPr>
    </w:p>
    <w:p>
      <w:pPr>
        <w:ind w:left="652" w:right="20" w:hanging="652"/>
        <w:spacing w:after="0" w:line="260" w:lineRule="auto"/>
        <w:tabs>
          <w:tab w:leader="none" w:pos="652" w:val="left"/>
        </w:tabs>
        <w:numPr>
          <w:ilvl w:val="0"/>
          <w:numId w:val="193"/>
        </w:numPr>
        <w:rPr>
          <w:rFonts w:ascii="Arial" w:cs="Arial" w:eastAsia="Arial" w:hAnsi="Arial"/>
          <w:sz w:val="20"/>
          <w:szCs w:val="20"/>
          <w:color w:val="auto"/>
        </w:rPr>
      </w:pPr>
      <w:r>
        <w:rPr>
          <w:rFonts w:ascii="Arial" w:cs="Arial" w:eastAsia="Arial" w:hAnsi="Arial"/>
          <w:sz w:val="20"/>
          <w:szCs w:val="20"/>
          <w:color w:val="auto"/>
        </w:rPr>
        <w:t>Guaranty dated as of June 25, 2010, executed by All Media Associates, Inc.,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3"/>
        </w:numPr>
        <w:rPr>
          <w:rFonts w:ascii="Arial" w:cs="Arial" w:eastAsia="Arial" w:hAnsi="Arial"/>
          <w:sz w:val="20"/>
          <w:szCs w:val="20"/>
          <w:color w:val="auto"/>
        </w:rPr>
      </w:pPr>
      <w:r>
        <w:rPr>
          <w:rFonts w:ascii="Arial" w:cs="Arial" w:eastAsia="Arial" w:hAnsi="Arial"/>
          <w:sz w:val="20"/>
          <w:szCs w:val="20"/>
          <w:color w:val="auto"/>
        </w:rPr>
        <w:t>Guaranty dated as of June 25, 2010, executed by All Media Holdings, Inc., in favor of Bank of America, N.A., as Administrative Agent for the Lenders.</w:t>
      </w:r>
    </w:p>
    <w:p>
      <w:pPr>
        <w:spacing w:after="0" w:line="176" w:lineRule="exact"/>
        <w:rPr>
          <w:rFonts w:ascii="Arial" w:cs="Arial" w:eastAsia="Arial" w:hAnsi="Arial"/>
          <w:sz w:val="20"/>
          <w:szCs w:val="20"/>
          <w:color w:val="auto"/>
        </w:rPr>
      </w:pPr>
    </w:p>
    <w:p>
      <w:pPr>
        <w:ind w:left="652" w:right="20" w:hanging="652"/>
        <w:spacing w:after="0" w:line="260" w:lineRule="auto"/>
        <w:tabs>
          <w:tab w:leader="none" w:pos="652" w:val="left"/>
        </w:tabs>
        <w:numPr>
          <w:ilvl w:val="0"/>
          <w:numId w:val="193"/>
        </w:numPr>
        <w:rPr>
          <w:rFonts w:ascii="Arial" w:cs="Arial" w:eastAsia="Arial" w:hAnsi="Arial"/>
          <w:sz w:val="20"/>
          <w:szCs w:val="20"/>
          <w:color w:val="auto"/>
        </w:rPr>
      </w:pPr>
      <w:r>
        <w:rPr>
          <w:rFonts w:ascii="Arial" w:cs="Arial" w:eastAsia="Arial" w:hAnsi="Arial"/>
          <w:sz w:val="20"/>
          <w:szCs w:val="20"/>
          <w:color w:val="auto"/>
        </w:rPr>
        <w:t>Guaranty dated as of September 13, 2010, executed by Lake Tahoe Lodging Company,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3"/>
        </w:numPr>
        <w:rPr>
          <w:rFonts w:ascii="Arial" w:cs="Arial" w:eastAsia="Arial" w:hAnsi="Arial"/>
          <w:sz w:val="20"/>
          <w:szCs w:val="20"/>
          <w:color w:val="auto"/>
        </w:rPr>
      </w:pPr>
      <w:r>
        <w:rPr>
          <w:rFonts w:ascii="Arial" w:cs="Arial" w:eastAsia="Arial" w:hAnsi="Arial"/>
          <w:sz w:val="20"/>
          <w:szCs w:val="20"/>
          <w:color w:val="auto"/>
        </w:rPr>
        <w:t>Guaranty dated as of November 15, 2010, executed by BCRP Inc.,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3"/>
        </w:numPr>
        <w:rPr>
          <w:rFonts w:ascii="Arial" w:cs="Arial" w:eastAsia="Arial" w:hAnsi="Arial"/>
          <w:sz w:val="20"/>
          <w:szCs w:val="20"/>
          <w:color w:val="auto"/>
        </w:rPr>
      </w:pPr>
      <w:r>
        <w:rPr>
          <w:rFonts w:ascii="Arial" w:cs="Arial" w:eastAsia="Arial" w:hAnsi="Arial"/>
          <w:sz w:val="20"/>
          <w:szCs w:val="20"/>
          <w:color w:val="auto"/>
        </w:rPr>
        <w:t>Guaranty dated as of November 15, 2010, executed by Booth Creek Ski Holdings, Inc.,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3"/>
        </w:numPr>
        <w:rPr>
          <w:rFonts w:ascii="Arial" w:cs="Arial" w:eastAsia="Arial" w:hAnsi="Arial"/>
          <w:sz w:val="20"/>
          <w:szCs w:val="20"/>
          <w:color w:val="auto"/>
        </w:rPr>
      </w:pPr>
      <w:r>
        <w:rPr>
          <w:rFonts w:ascii="Arial" w:cs="Arial" w:eastAsia="Arial" w:hAnsi="Arial"/>
          <w:sz w:val="20"/>
          <w:szCs w:val="20"/>
          <w:color w:val="auto"/>
        </w:rPr>
        <w:t>Guaranty dated as of November 15, 2010, executed by Northstar Group Commercial Properties LLC,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3"/>
        </w:numPr>
        <w:rPr>
          <w:rFonts w:ascii="Arial" w:cs="Arial" w:eastAsia="Arial" w:hAnsi="Arial"/>
          <w:sz w:val="20"/>
          <w:szCs w:val="20"/>
          <w:color w:val="auto"/>
        </w:rPr>
      </w:pPr>
      <w:r>
        <w:rPr>
          <w:rFonts w:ascii="Arial" w:cs="Arial" w:eastAsia="Arial" w:hAnsi="Arial"/>
          <w:sz w:val="20"/>
          <w:szCs w:val="20"/>
          <w:color w:val="auto"/>
        </w:rPr>
        <w:t>Guaranty dated as of November 15, 2010, executed by Northstar Group Restaurant Properties, LLC,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3"/>
        </w:numPr>
        <w:rPr>
          <w:rFonts w:ascii="Arial" w:cs="Arial" w:eastAsia="Arial" w:hAnsi="Arial"/>
          <w:sz w:val="20"/>
          <w:szCs w:val="20"/>
          <w:color w:val="auto"/>
        </w:rPr>
      </w:pPr>
      <w:r>
        <w:rPr>
          <w:rFonts w:ascii="Arial" w:cs="Arial" w:eastAsia="Arial" w:hAnsi="Arial"/>
          <w:sz w:val="20"/>
          <w:szCs w:val="20"/>
          <w:color w:val="auto"/>
        </w:rPr>
        <w:t>Guaranty dated as of November 15, 2010, executed by Trimont Land Company,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3"/>
        </w:numPr>
        <w:rPr>
          <w:rFonts w:ascii="Arial" w:cs="Arial" w:eastAsia="Arial" w:hAnsi="Arial"/>
          <w:sz w:val="20"/>
          <w:szCs w:val="20"/>
          <w:color w:val="auto"/>
        </w:rPr>
      </w:pPr>
      <w:r>
        <w:rPr>
          <w:rFonts w:ascii="Arial" w:cs="Arial" w:eastAsia="Arial" w:hAnsi="Arial"/>
          <w:sz w:val="20"/>
          <w:szCs w:val="20"/>
          <w:color w:val="auto"/>
        </w:rPr>
        <w:t>Guaranty dated as of November 15, 2010, executed by VR Acquisition, Inc., in favor of Bank of America, N.A., as Administrative Agent for the Lenders.</w:t>
      </w:r>
    </w:p>
    <w:p>
      <w:pPr>
        <w:spacing w:after="0" w:line="176" w:lineRule="exact"/>
        <w:rPr>
          <w:rFonts w:ascii="Arial" w:cs="Arial" w:eastAsia="Arial" w:hAnsi="Arial"/>
          <w:sz w:val="20"/>
          <w:szCs w:val="20"/>
          <w:color w:val="auto"/>
        </w:rPr>
      </w:pPr>
    </w:p>
    <w:p>
      <w:pPr>
        <w:ind w:left="652" w:right="20" w:hanging="652"/>
        <w:spacing w:after="0" w:line="260" w:lineRule="auto"/>
        <w:tabs>
          <w:tab w:leader="none" w:pos="652" w:val="left"/>
        </w:tabs>
        <w:numPr>
          <w:ilvl w:val="0"/>
          <w:numId w:val="193"/>
        </w:numPr>
        <w:rPr>
          <w:rFonts w:ascii="Arial" w:cs="Arial" w:eastAsia="Arial" w:hAnsi="Arial"/>
          <w:sz w:val="20"/>
          <w:szCs w:val="20"/>
          <w:color w:val="auto"/>
        </w:rPr>
      </w:pPr>
      <w:r>
        <w:rPr>
          <w:rFonts w:ascii="Arial" w:cs="Arial" w:eastAsia="Arial" w:hAnsi="Arial"/>
          <w:sz w:val="20"/>
          <w:szCs w:val="20"/>
          <w:color w:val="auto"/>
        </w:rPr>
        <w:t>Guaranty dated as of January 25, 2011, executed by La Posada Beverage Service, LLC,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3"/>
        </w:numPr>
        <w:rPr>
          <w:rFonts w:ascii="Arial" w:cs="Arial" w:eastAsia="Arial" w:hAnsi="Arial"/>
          <w:sz w:val="20"/>
          <w:szCs w:val="20"/>
          <w:color w:val="auto"/>
        </w:rPr>
      </w:pPr>
      <w:r>
        <w:rPr>
          <w:rFonts w:ascii="Arial" w:cs="Arial" w:eastAsia="Arial" w:hAnsi="Arial"/>
          <w:sz w:val="20"/>
          <w:szCs w:val="20"/>
          <w:color w:val="auto"/>
        </w:rPr>
        <w:t>Guaranty dated as of January 25, 2011, executed by Rockresorts International Management Company,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3"/>
        </w:numPr>
        <w:rPr>
          <w:rFonts w:ascii="Arial" w:cs="Arial" w:eastAsia="Arial" w:hAnsi="Arial"/>
          <w:sz w:val="20"/>
          <w:szCs w:val="20"/>
          <w:color w:val="auto"/>
        </w:rPr>
      </w:pPr>
      <w:r>
        <w:rPr>
          <w:rFonts w:ascii="Arial" w:cs="Arial" w:eastAsia="Arial" w:hAnsi="Arial"/>
          <w:sz w:val="20"/>
          <w:szCs w:val="20"/>
          <w:color w:val="auto"/>
        </w:rPr>
        <w:t>Guaranty dated as of January 25, 2011, executed by VR Heavenly Concessions, Inc.,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3"/>
        </w:numPr>
        <w:rPr>
          <w:rFonts w:ascii="Arial" w:cs="Arial" w:eastAsia="Arial" w:hAnsi="Arial"/>
          <w:sz w:val="20"/>
          <w:szCs w:val="20"/>
          <w:color w:val="auto"/>
        </w:rPr>
      </w:pPr>
      <w:r>
        <w:rPr>
          <w:rFonts w:ascii="Arial" w:cs="Arial" w:eastAsia="Arial" w:hAnsi="Arial"/>
          <w:sz w:val="20"/>
          <w:szCs w:val="20"/>
          <w:color w:val="auto"/>
        </w:rPr>
        <w:t>Guaranty dated as of June 29, 2011, executed by SSV Online Holdings, Inc.,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3"/>
        </w:numPr>
        <w:rPr>
          <w:rFonts w:ascii="Arial" w:cs="Arial" w:eastAsia="Arial" w:hAnsi="Arial"/>
          <w:sz w:val="20"/>
          <w:szCs w:val="20"/>
          <w:color w:val="auto"/>
        </w:rPr>
      </w:pPr>
      <w:r>
        <w:rPr>
          <w:rFonts w:ascii="Arial" w:cs="Arial" w:eastAsia="Arial" w:hAnsi="Arial"/>
          <w:sz w:val="20"/>
          <w:szCs w:val="20"/>
          <w:color w:val="auto"/>
        </w:rPr>
        <w:t>Guaranty dated as of June 29, 2011, executed by SSV Online LLC,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3"/>
        </w:numPr>
        <w:rPr>
          <w:rFonts w:ascii="Arial" w:cs="Arial" w:eastAsia="Arial" w:hAnsi="Arial"/>
          <w:sz w:val="20"/>
          <w:szCs w:val="20"/>
          <w:color w:val="auto"/>
        </w:rPr>
      </w:pPr>
      <w:r>
        <w:rPr>
          <w:rFonts w:ascii="Arial" w:cs="Arial" w:eastAsia="Arial" w:hAnsi="Arial"/>
          <w:sz w:val="20"/>
          <w:szCs w:val="20"/>
          <w:color w:val="auto"/>
        </w:rPr>
        <w:t>Guaranty dated as of September 16, 2011, executed by Flagg Ranch Company,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3"/>
        </w:numPr>
        <w:rPr>
          <w:rFonts w:ascii="Arial" w:cs="Arial" w:eastAsia="Arial" w:hAnsi="Arial"/>
          <w:sz w:val="20"/>
          <w:szCs w:val="20"/>
          <w:color w:val="auto"/>
        </w:rPr>
      </w:pPr>
      <w:r>
        <w:rPr>
          <w:rFonts w:ascii="Arial" w:cs="Arial" w:eastAsia="Arial" w:hAnsi="Arial"/>
          <w:sz w:val="20"/>
          <w:szCs w:val="20"/>
          <w:color w:val="auto"/>
        </w:rPr>
        <w:t>Guaranty dated as of April 11, 2012, executed by HVLP Kirkwood Services, LLC, in favor of Bank of America, N.A., as Administrative Agent for the Lenders.</w:t>
      </w:r>
    </w:p>
    <w:p>
      <w:pPr>
        <w:sectPr>
          <w:pgSz w:w="11900" w:h="16838" w:orient="portrait"/>
          <w:cols w:equalWidth="0" w:num="1">
            <w:col w:w="11412"/>
          </w:cols>
          <w:pgMar w:left="248" w:top="582" w:right="239" w:bottom="1440" w:gutter="0" w:footer="0" w:header="0"/>
        </w:sectPr>
      </w:pPr>
    </w:p>
    <w:bookmarkStart w:id="213" w:name="page214"/>
    <w:bookmarkEnd w:id="213"/>
    <w:p>
      <w:pPr>
        <w:ind w:left="652" w:right="20" w:hanging="652"/>
        <w:spacing w:after="0" w:line="260" w:lineRule="auto"/>
        <w:tabs>
          <w:tab w:leader="none" w:pos="652" w:val="left"/>
        </w:tabs>
        <w:numPr>
          <w:ilvl w:val="0"/>
          <w:numId w:val="194"/>
        </w:numPr>
        <w:rPr>
          <w:rFonts w:ascii="Arial" w:cs="Arial" w:eastAsia="Arial" w:hAnsi="Arial"/>
          <w:sz w:val="20"/>
          <w:szCs w:val="20"/>
          <w:color w:val="auto"/>
        </w:rPr>
      </w:pPr>
      <w:r>
        <w:rPr>
          <w:rFonts w:ascii="Arial" w:cs="Arial" w:eastAsia="Arial" w:hAnsi="Arial"/>
          <w:sz w:val="20"/>
          <w:szCs w:val="20"/>
          <w:color w:val="auto"/>
        </w:rPr>
        <w:t>Guaranty dated as of November 28, 2012, executed by VR US Holdings, Inc.,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4"/>
        </w:numPr>
        <w:rPr>
          <w:rFonts w:ascii="Arial" w:cs="Arial" w:eastAsia="Arial" w:hAnsi="Arial"/>
          <w:sz w:val="20"/>
          <w:szCs w:val="20"/>
          <w:color w:val="auto"/>
        </w:rPr>
      </w:pPr>
      <w:r>
        <w:rPr>
          <w:rFonts w:ascii="Arial" w:cs="Arial" w:eastAsia="Arial" w:hAnsi="Arial"/>
          <w:sz w:val="20"/>
          <w:szCs w:val="20"/>
          <w:color w:val="auto"/>
        </w:rPr>
        <w:t>Guaranty dated as of January 24, 2013, executed by EpicSki, Inc.,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4"/>
        </w:numPr>
        <w:rPr>
          <w:rFonts w:ascii="Arial" w:cs="Arial" w:eastAsia="Arial" w:hAnsi="Arial"/>
          <w:sz w:val="20"/>
          <w:szCs w:val="20"/>
          <w:color w:val="auto"/>
        </w:rPr>
      </w:pPr>
      <w:r>
        <w:rPr>
          <w:rFonts w:ascii="Arial" w:cs="Arial" w:eastAsia="Arial" w:hAnsi="Arial"/>
          <w:sz w:val="20"/>
          <w:szCs w:val="20"/>
          <w:color w:val="auto"/>
        </w:rPr>
        <w:t>Guaranty dated as of April 26, 2013, executed by VR CPC Holdings, Inc.,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4"/>
        </w:numPr>
        <w:rPr>
          <w:rFonts w:ascii="Arial" w:cs="Arial" w:eastAsia="Arial" w:hAnsi="Arial"/>
          <w:sz w:val="20"/>
          <w:szCs w:val="20"/>
          <w:color w:val="auto"/>
        </w:rPr>
      </w:pPr>
      <w:r>
        <w:rPr>
          <w:rFonts w:ascii="Arial" w:cs="Arial" w:eastAsia="Arial" w:hAnsi="Arial"/>
          <w:sz w:val="20"/>
          <w:szCs w:val="20"/>
          <w:color w:val="auto"/>
        </w:rPr>
        <w:t>Guaranty dated as of March 13, 2014, executed by The Vail Corporation,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4"/>
        </w:numPr>
        <w:rPr>
          <w:rFonts w:ascii="Arial" w:cs="Arial" w:eastAsia="Arial" w:hAnsi="Arial"/>
          <w:sz w:val="20"/>
          <w:szCs w:val="20"/>
          <w:color w:val="auto"/>
        </w:rPr>
      </w:pPr>
      <w:r>
        <w:rPr>
          <w:rFonts w:ascii="Arial" w:cs="Arial" w:eastAsia="Arial" w:hAnsi="Arial"/>
          <w:sz w:val="20"/>
          <w:szCs w:val="20"/>
          <w:color w:val="auto"/>
        </w:rPr>
        <w:t>Guaranty dated as of October 5, 2014, executed by VR CPC Services, LLC,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4"/>
        </w:numPr>
        <w:rPr>
          <w:rFonts w:ascii="Arial" w:cs="Arial" w:eastAsia="Arial" w:hAnsi="Arial"/>
          <w:sz w:val="20"/>
          <w:szCs w:val="20"/>
          <w:color w:val="auto"/>
        </w:rPr>
      </w:pPr>
      <w:r>
        <w:rPr>
          <w:rFonts w:ascii="Arial" w:cs="Arial" w:eastAsia="Arial" w:hAnsi="Arial"/>
          <w:sz w:val="20"/>
          <w:szCs w:val="20"/>
          <w:color w:val="auto"/>
        </w:rPr>
        <w:t>Guaranty dated as of March 24, 2015, executed by DTPC, LLC,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4"/>
        </w:numPr>
        <w:rPr>
          <w:rFonts w:ascii="Arial" w:cs="Arial" w:eastAsia="Arial" w:hAnsi="Arial"/>
          <w:sz w:val="20"/>
          <w:szCs w:val="20"/>
          <w:color w:val="auto"/>
        </w:rPr>
      </w:pPr>
      <w:r>
        <w:rPr>
          <w:rFonts w:ascii="Arial" w:cs="Arial" w:eastAsia="Arial" w:hAnsi="Arial"/>
          <w:sz w:val="20"/>
          <w:szCs w:val="20"/>
          <w:color w:val="auto"/>
        </w:rPr>
        <w:t>Guaranty, dated as of February 15, 2016, executed by VR WM Holdings, LLC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4"/>
        </w:numPr>
        <w:rPr>
          <w:rFonts w:ascii="Arial" w:cs="Arial" w:eastAsia="Arial" w:hAnsi="Arial"/>
          <w:sz w:val="20"/>
          <w:szCs w:val="20"/>
          <w:color w:val="auto"/>
        </w:rPr>
      </w:pPr>
      <w:r>
        <w:rPr>
          <w:rFonts w:ascii="Arial" w:cs="Arial" w:eastAsia="Arial" w:hAnsi="Arial"/>
          <w:sz w:val="20"/>
          <w:szCs w:val="20"/>
          <w:color w:val="auto"/>
        </w:rPr>
        <w:t>Guaranty, dated as of April 12, 2017, executed by VR US Holdings II, LLC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4"/>
        </w:numPr>
        <w:rPr>
          <w:rFonts w:ascii="Arial" w:cs="Arial" w:eastAsia="Arial" w:hAnsi="Arial"/>
          <w:sz w:val="20"/>
          <w:szCs w:val="20"/>
          <w:color w:val="auto"/>
        </w:rPr>
      </w:pPr>
      <w:r>
        <w:rPr>
          <w:rFonts w:ascii="Arial" w:cs="Arial" w:eastAsia="Arial" w:hAnsi="Arial"/>
          <w:sz w:val="20"/>
          <w:szCs w:val="20"/>
          <w:color w:val="auto"/>
        </w:rPr>
        <w:t>Guaranty, dated as of May 4, 2017, executed by Keystone Ranch Water Company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4"/>
        </w:numPr>
        <w:rPr>
          <w:rFonts w:ascii="Arial" w:cs="Arial" w:eastAsia="Arial" w:hAnsi="Arial"/>
          <w:sz w:val="20"/>
          <w:szCs w:val="20"/>
          <w:color w:val="auto"/>
        </w:rPr>
      </w:pPr>
      <w:r>
        <w:rPr>
          <w:rFonts w:ascii="Arial" w:cs="Arial" w:eastAsia="Arial" w:hAnsi="Arial"/>
          <w:sz w:val="20"/>
          <w:szCs w:val="20"/>
          <w:color w:val="auto"/>
        </w:rPr>
        <w:t>Guaranty, dated as of June 20, 2018, executed by VR NW Holdings, Inc. in favor of Bank of America, N.A., as Administrative Agent for the Lenders.</w:t>
      </w:r>
    </w:p>
    <w:p>
      <w:pPr>
        <w:spacing w:after="0" w:line="17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94"/>
        </w:numPr>
        <w:rPr>
          <w:rFonts w:ascii="Arial" w:cs="Arial" w:eastAsia="Arial" w:hAnsi="Arial"/>
          <w:sz w:val="20"/>
          <w:szCs w:val="20"/>
          <w:color w:val="auto"/>
        </w:rPr>
      </w:pPr>
      <w:r>
        <w:rPr>
          <w:rFonts w:ascii="Arial" w:cs="Arial" w:eastAsia="Arial" w:hAnsi="Arial"/>
          <w:sz w:val="20"/>
          <w:szCs w:val="20"/>
          <w:color w:val="auto"/>
        </w:rPr>
        <w:t>Guaranty, dated as of June 20, 2018, executed by VR NE Holdings, LLC. in favor of Bank of America, N.A., as Administrative Agent for the Lenders.</w:t>
      </w:r>
    </w:p>
    <w:p>
      <w:pPr>
        <w:sectPr>
          <w:pgSz w:w="11900" w:h="16838" w:orient="portrait"/>
          <w:cols w:equalWidth="0" w:num="1">
            <w:col w:w="11412"/>
          </w:cols>
          <w:pgMar w:left="248" w:top="582" w:right="239" w:bottom="1440" w:gutter="0" w:footer="0" w:header="0"/>
        </w:sectPr>
      </w:pPr>
    </w:p>
    <w:bookmarkStart w:id="214" w:name="page215"/>
    <w:bookmarkEnd w:id="214"/>
    <w:p>
      <w:pPr>
        <w:jc w:val="center"/>
        <w:spacing w:after="0"/>
        <w:rPr>
          <w:sz w:val="20"/>
          <w:szCs w:val="20"/>
          <w:color w:val="auto"/>
        </w:rPr>
      </w:pPr>
      <w:r>
        <w:rPr>
          <w:rFonts w:ascii="Arial" w:cs="Arial" w:eastAsia="Arial" w:hAnsi="Arial"/>
          <w:sz w:val="20"/>
          <w:szCs w:val="20"/>
          <w:b w:val="1"/>
          <w:bCs w:val="1"/>
          <w:u w:val="single" w:color="auto"/>
          <w:color w:val="auto"/>
        </w:rPr>
        <w:t>EXHIBIT C-1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LOAN NOTICE</w:t>
      </w:r>
    </w:p>
    <w:p>
      <w:pPr>
        <w:spacing w:after="0" w:line="276"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________________</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Bank of America, N.A., as Administrative Agent</w:t>
      </w:r>
    </w:p>
    <w:p>
      <w:pPr>
        <w:spacing w:after="0" w:line="200" w:lineRule="exact"/>
        <w:rPr>
          <w:sz w:val="20"/>
          <w:szCs w:val="20"/>
          <w:color w:val="auto"/>
        </w:rPr>
      </w:pPr>
    </w:p>
    <w:p>
      <w:pPr>
        <w:spacing w:after="0" w:line="353"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Attn:</w:t>
      </w:r>
      <w:r>
        <w:rPr>
          <w:sz w:val="20"/>
          <w:szCs w:val="20"/>
          <w:color w:val="auto"/>
        </w:rPr>
        <w:tab/>
      </w:r>
      <w:r>
        <w:rPr>
          <w:rFonts w:ascii="Arial" w:cs="Arial" w:eastAsia="Arial" w:hAnsi="Arial"/>
          <w:sz w:val="19"/>
          <w:szCs w:val="19"/>
          <w:color w:val="auto"/>
        </w:rPr>
        <w:t>Arlene Minor</w:t>
      </w:r>
    </w:p>
    <w:p>
      <w:pPr>
        <w:spacing w:after="0" w:line="54"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Fax:</w:t>
      </w:r>
      <w:r>
        <w:rPr>
          <w:sz w:val="20"/>
          <w:szCs w:val="20"/>
          <w:color w:val="auto"/>
        </w:rPr>
        <w:tab/>
      </w:r>
      <w:r>
        <w:rPr>
          <w:rFonts w:ascii="Arial" w:cs="Arial" w:eastAsia="Arial" w:hAnsi="Arial"/>
          <w:sz w:val="16"/>
          <w:szCs w:val="16"/>
          <w:color w:val="auto"/>
        </w:rPr>
        <w:t>214-290-9412</w:t>
      </w:r>
    </w:p>
    <w:p>
      <w:pPr>
        <w:spacing w:after="0" w:line="337" w:lineRule="exact"/>
        <w:rPr>
          <w:sz w:val="20"/>
          <w:szCs w:val="20"/>
          <w:color w:val="auto"/>
        </w:rPr>
      </w:pPr>
    </w:p>
    <w:p>
      <w:pPr>
        <w:jc w:val="both"/>
        <w:spacing w:after="0" w:line="301" w:lineRule="auto"/>
        <w:rPr>
          <w:sz w:val="20"/>
          <w:szCs w:val="20"/>
          <w:color w:val="auto"/>
        </w:rPr>
      </w:pPr>
      <w:r>
        <w:rPr>
          <w:rFonts w:ascii="Arial" w:cs="Arial" w:eastAsia="Arial" w:hAnsi="Arial"/>
          <w:sz w:val="20"/>
          <w:szCs w:val="20"/>
          <w:color w:val="auto"/>
        </w:rPr>
        <w:t>Reference is made to the Eighth Amended and Restated Credit Agreement dated as of August 15, 2018 (as amended, supplemented, extended, or restated from time to time, the “</w:t>
      </w:r>
      <w:r>
        <w:rPr>
          <w:rFonts w:ascii="Arial" w:cs="Arial" w:eastAsia="Arial" w:hAnsi="Arial"/>
          <w:sz w:val="20"/>
          <w:szCs w:val="20"/>
          <w:b w:val="1"/>
          <w:bCs w:val="1"/>
          <w:i w:val="1"/>
          <w:iCs w:val="1"/>
          <w:color w:val="auto"/>
        </w:rPr>
        <w:t>Credit Agreement</w:t>
      </w:r>
      <w:r>
        <w:rPr>
          <w:rFonts w:ascii="Arial" w:cs="Arial" w:eastAsia="Arial" w:hAnsi="Arial"/>
          <w:sz w:val="20"/>
          <w:szCs w:val="20"/>
          <w:color w:val="auto"/>
        </w:rPr>
        <w:t xml:space="preserve">”), among Vail Holdings, Inc., a Colorado corporation, the Lenders, and Bank of America, N.A., as Administrative Agent for itself and the other Lenders. Capitalized terms used herein and not otherwise defined herein shall have the meanings assigned to such terms in the Credit Agreement. The undersigned hereby gives you notice pursuant to </w:t>
      </w:r>
      <w:r>
        <w:rPr>
          <w:rFonts w:ascii="Arial" w:cs="Arial" w:eastAsia="Arial" w:hAnsi="Arial"/>
          <w:sz w:val="20"/>
          <w:szCs w:val="20"/>
          <w:i w:val="1"/>
          <w:iCs w:val="1"/>
          <w:color w:val="auto"/>
        </w:rPr>
        <w:t>Section 2.2(a)</w:t>
      </w:r>
      <w:r>
        <w:rPr>
          <w:rFonts w:ascii="Arial" w:cs="Arial" w:eastAsia="Arial" w:hAnsi="Arial"/>
          <w:sz w:val="20"/>
          <w:szCs w:val="20"/>
          <w:color w:val="auto"/>
        </w:rPr>
        <w:t xml:space="preserve"> of the Credit Agreement that it requests: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20" w:type="dxa"/>
            <w:vAlign w:val="bottom"/>
            <w:gridSpan w:val="5"/>
          </w:tcPr>
          <w:p>
            <w:pPr>
              <w:spacing w:after="0"/>
              <w:rPr>
                <w:sz w:val="20"/>
                <w:szCs w:val="20"/>
                <w:color w:val="auto"/>
              </w:rPr>
            </w:pPr>
            <w:r>
              <w:rPr>
                <w:rFonts w:ascii="Arial" w:cs="Arial" w:eastAsia="Arial" w:hAnsi="Arial"/>
                <w:sz w:val="20"/>
                <w:szCs w:val="20"/>
                <w:color w:val="auto"/>
              </w:rPr>
              <w:t>A borrowing of Loans</w:t>
            </w:r>
          </w:p>
        </w:tc>
        <w:tc>
          <w:tcPr>
            <w:tcW w:w="3720" w:type="dxa"/>
            <w:vAlign w:val="bottom"/>
            <w:gridSpan w:val="4"/>
          </w:tcPr>
          <w:p>
            <w:pPr>
              <w:jc w:val="right"/>
              <w:ind w:right="561"/>
              <w:spacing w:after="0"/>
              <w:rPr>
                <w:sz w:val="20"/>
                <w:szCs w:val="20"/>
                <w:color w:val="auto"/>
              </w:rPr>
            </w:pPr>
            <w:r>
              <w:rPr>
                <w:rFonts w:ascii="Arial" w:cs="Arial" w:eastAsia="Arial" w:hAnsi="Arial"/>
                <w:sz w:val="20"/>
                <w:szCs w:val="20"/>
                <w:color w:val="auto"/>
                <w:w w:val="90"/>
              </w:rPr>
              <w:t>A conversion or continuation of Loans</w:t>
            </w:r>
          </w:p>
        </w:tc>
      </w:tr>
      <w:tr>
        <w:trPr>
          <w:trHeight w:val="500"/>
        </w:trPr>
        <w:tc>
          <w:tcPr>
            <w:tcW w:w="2020" w:type="dxa"/>
            <w:vAlign w:val="bottom"/>
            <w:gridSpan w:val="5"/>
          </w:tcPr>
          <w:p>
            <w:pPr>
              <w:spacing w:after="0"/>
              <w:rPr>
                <w:sz w:val="20"/>
                <w:szCs w:val="20"/>
                <w:color w:val="auto"/>
              </w:rPr>
            </w:pPr>
            <w:r>
              <w:rPr>
                <w:rFonts w:ascii="Arial" w:cs="Arial" w:eastAsia="Arial" w:hAnsi="Arial"/>
                <w:sz w:val="20"/>
                <w:szCs w:val="20"/>
                <w:color w:val="auto"/>
              </w:rPr>
              <w:t>Such Loans to be:</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500"/>
        </w:trPr>
        <w:tc>
          <w:tcPr>
            <w:tcW w:w="1100" w:type="dxa"/>
            <w:vAlign w:val="bottom"/>
            <w:gridSpan w:val="2"/>
          </w:tcPr>
          <w:p>
            <w:pPr>
              <w:spacing w:after="0"/>
              <w:rPr>
                <w:sz w:val="20"/>
                <w:szCs w:val="20"/>
                <w:color w:val="auto"/>
              </w:rPr>
            </w:pPr>
            <w:r>
              <w:rPr>
                <w:rFonts w:ascii="Arial" w:cs="Arial" w:eastAsia="Arial" w:hAnsi="Arial"/>
                <w:sz w:val="20"/>
                <w:szCs w:val="20"/>
                <w:color w:val="auto"/>
              </w:rPr>
              <w:t>Term Loans</w:t>
            </w:r>
          </w:p>
        </w:tc>
        <w:tc>
          <w:tcPr>
            <w:tcW w:w="4640" w:type="dxa"/>
            <w:vAlign w:val="bottom"/>
            <w:gridSpan w:val="7"/>
          </w:tcPr>
          <w:p>
            <w:pPr>
              <w:jc w:val="right"/>
              <w:ind w:right="2981"/>
              <w:spacing w:after="0"/>
              <w:rPr>
                <w:sz w:val="20"/>
                <w:szCs w:val="20"/>
                <w:color w:val="auto"/>
              </w:rPr>
            </w:pPr>
            <w:r>
              <w:rPr>
                <w:rFonts w:ascii="Arial" w:cs="Arial" w:eastAsia="Arial" w:hAnsi="Arial"/>
                <w:sz w:val="20"/>
                <w:szCs w:val="20"/>
                <w:color w:val="auto"/>
              </w:rPr>
              <w:t>Revolver Loans</w:t>
            </w:r>
          </w:p>
        </w:tc>
      </w:tr>
      <w:tr>
        <w:trPr>
          <w:trHeight w:val="455"/>
        </w:trPr>
        <w:tc>
          <w:tcPr>
            <w:tcW w:w="260" w:type="dxa"/>
            <w:vAlign w:val="bottom"/>
          </w:tcPr>
          <w:p>
            <w:pPr>
              <w:spacing w:after="0"/>
              <w:rPr>
                <w:sz w:val="20"/>
                <w:szCs w:val="20"/>
                <w:color w:val="auto"/>
              </w:rPr>
            </w:pPr>
            <w:r>
              <w:rPr>
                <w:rFonts w:ascii="Arial" w:cs="Arial" w:eastAsia="Arial" w:hAnsi="Arial"/>
                <w:sz w:val="20"/>
                <w:szCs w:val="20"/>
                <w:color w:val="auto"/>
              </w:rPr>
              <w:t>on</w:t>
            </w: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gridSpan w:val="5"/>
          </w:tcPr>
          <w:p>
            <w:pPr>
              <w:jc w:val="right"/>
              <w:ind w:right="2741"/>
              <w:spacing w:after="0"/>
              <w:rPr>
                <w:sz w:val="20"/>
                <w:szCs w:val="20"/>
                <w:color w:val="auto"/>
              </w:rPr>
            </w:pPr>
            <w:r>
              <w:rPr>
                <w:rFonts w:ascii="Arial" w:cs="Arial" w:eastAsia="Arial" w:hAnsi="Arial"/>
                <w:sz w:val="20"/>
                <w:szCs w:val="20"/>
                <w:color w:val="auto"/>
                <w:w w:val="89"/>
              </w:rPr>
              <w:t>(a Business Day),</w:t>
            </w:r>
          </w:p>
        </w:tc>
      </w:tr>
      <w:tr>
        <w:trPr>
          <w:trHeight w:val="480"/>
        </w:trPr>
        <w:tc>
          <w:tcPr>
            <w:tcW w:w="1460" w:type="dxa"/>
            <w:vAlign w:val="bottom"/>
            <w:gridSpan w:val="4"/>
          </w:tcPr>
          <w:p>
            <w:pPr>
              <w:spacing w:after="0"/>
              <w:rPr>
                <w:sz w:val="20"/>
                <w:szCs w:val="20"/>
                <w:color w:val="auto"/>
              </w:rPr>
            </w:pPr>
            <w:r>
              <w:rPr>
                <w:rFonts w:ascii="Arial" w:cs="Arial" w:eastAsia="Arial" w:hAnsi="Arial"/>
                <w:sz w:val="20"/>
                <w:szCs w:val="20"/>
                <w:color w:val="auto"/>
                <w:w w:val="89"/>
              </w:rPr>
              <w:t>in the amount of $</w:t>
            </w:r>
          </w:p>
        </w:tc>
        <w:tc>
          <w:tcPr>
            <w:tcW w:w="560" w:type="dxa"/>
            <w:vAlign w:val="bottom"/>
          </w:tcPr>
          <w:p>
            <w:pPr>
              <w:spacing w:after="0"/>
              <w:rPr>
                <w:sz w:val="24"/>
                <w:szCs w:val="24"/>
                <w:color w:val="auto"/>
              </w:rPr>
            </w:pPr>
          </w:p>
        </w:tc>
        <w:tc>
          <w:tcPr>
            <w:tcW w:w="3720" w:type="dxa"/>
            <w:vAlign w:val="bottom"/>
            <w:gridSpan w:val="4"/>
          </w:tcPr>
          <w:p>
            <w:pPr>
              <w:jc w:val="right"/>
              <w:ind w:right="3241"/>
              <w:spacing w:after="0"/>
              <w:rPr>
                <w:sz w:val="20"/>
                <w:szCs w:val="20"/>
                <w:color w:val="auto"/>
              </w:rPr>
            </w:pPr>
            <w:r>
              <w:rPr>
                <w:rFonts w:ascii="Arial" w:cs="Arial" w:eastAsia="Arial" w:hAnsi="Arial"/>
                <w:sz w:val="20"/>
                <w:szCs w:val="20"/>
                <w:color w:val="auto"/>
              </w:rPr>
              <w:t>,*</w:t>
            </w:r>
          </w:p>
        </w:tc>
      </w:tr>
      <w:tr>
        <w:trPr>
          <w:trHeight w:val="20"/>
        </w:trPr>
        <w:tc>
          <w:tcPr>
            <w:tcW w:w="1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480"/>
        </w:trPr>
        <w:tc>
          <w:tcPr>
            <w:tcW w:w="1100" w:type="dxa"/>
            <w:vAlign w:val="bottom"/>
            <w:gridSpan w:val="2"/>
          </w:tcPr>
          <w:p>
            <w:pPr>
              <w:spacing w:after="0"/>
              <w:rPr>
                <w:sz w:val="20"/>
                <w:szCs w:val="20"/>
                <w:color w:val="auto"/>
              </w:rPr>
            </w:pPr>
            <w:r>
              <w:rPr>
                <w:rFonts w:ascii="Arial" w:cs="Arial" w:eastAsia="Arial" w:hAnsi="Arial"/>
                <w:sz w:val="20"/>
                <w:szCs w:val="20"/>
                <w:color w:val="auto"/>
                <w:w w:val="94"/>
              </w:rPr>
              <w:t>comprised of</w:t>
            </w: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60" w:type="dxa"/>
            <w:vAlign w:val="bottom"/>
            <w:gridSpan w:val="2"/>
          </w:tcPr>
          <w:p>
            <w:pPr>
              <w:jc w:val="right"/>
              <w:ind w:right="1261"/>
              <w:spacing w:after="0"/>
              <w:rPr>
                <w:sz w:val="20"/>
                <w:szCs w:val="20"/>
                <w:color w:val="auto"/>
              </w:rPr>
            </w:pPr>
            <w:r>
              <w:rPr>
                <w:rFonts w:ascii="Arial" w:cs="Arial" w:eastAsia="Arial" w:hAnsi="Arial"/>
                <w:sz w:val="20"/>
                <w:szCs w:val="20"/>
                <w:color w:val="auto"/>
                <w:w w:val="92"/>
              </w:rPr>
              <w:t>(Type of Loan requested),**</w:t>
            </w:r>
          </w:p>
        </w:tc>
      </w:tr>
      <w:tr>
        <w:trPr>
          <w:trHeight w:val="480"/>
        </w:trPr>
        <w:tc>
          <w:tcPr>
            <w:tcW w:w="2020" w:type="dxa"/>
            <w:vAlign w:val="bottom"/>
            <w:gridSpan w:val="5"/>
          </w:tcPr>
          <w:p>
            <w:pPr>
              <w:spacing w:after="0"/>
              <w:rPr>
                <w:sz w:val="20"/>
                <w:szCs w:val="20"/>
                <w:color w:val="auto"/>
              </w:rPr>
            </w:pPr>
            <w:r>
              <w:rPr>
                <w:rFonts w:ascii="Arial" w:cs="Arial" w:eastAsia="Arial" w:hAnsi="Arial"/>
                <w:sz w:val="20"/>
                <w:szCs w:val="20"/>
                <w:color w:val="auto"/>
                <w:w w:val="90"/>
              </w:rPr>
              <w:t>with an Interest Period of</w:t>
            </w: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80" w:type="dxa"/>
            <w:vAlign w:val="bottom"/>
          </w:tcPr>
          <w:p>
            <w:pPr>
              <w:jc w:val="right"/>
              <w:spacing w:after="0"/>
              <w:rPr>
                <w:sz w:val="20"/>
                <w:szCs w:val="20"/>
                <w:color w:val="auto"/>
              </w:rPr>
            </w:pPr>
            <w:r>
              <w:rPr>
                <w:rFonts w:ascii="Arial" w:cs="Arial" w:eastAsia="Arial" w:hAnsi="Arial"/>
                <w:sz w:val="20"/>
                <w:szCs w:val="20"/>
                <w:color w:val="auto"/>
                <w:w w:val="93"/>
              </w:rPr>
              <w:t>months (for Eurocurrency Rate Loans).***</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Please deposit the requested Loan in our account with you [and then wire transfer amounts from that account as follows:</w:t>
      </w:r>
    </w:p>
    <w:p>
      <w:pPr>
        <w:spacing w:after="0" w:line="270"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w:t>
      </w:r>
    </w:p>
    <w:p>
      <w:pPr>
        <w:spacing w:after="0" w:line="270" w:lineRule="exact"/>
        <w:rPr>
          <w:sz w:val="20"/>
          <w:szCs w:val="20"/>
          <w:color w:val="auto"/>
        </w:rPr>
      </w:pPr>
    </w:p>
    <w:p>
      <w:pPr>
        <w:jc w:val="both"/>
        <w:spacing w:after="0" w:line="320" w:lineRule="auto"/>
        <w:rPr>
          <w:sz w:val="20"/>
          <w:szCs w:val="20"/>
          <w:color w:val="auto"/>
        </w:rPr>
      </w:pPr>
      <w:r>
        <w:rPr>
          <w:rFonts w:ascii="Arial" w:cs="Arial" w:eastAsia="Arial" w:hAnsi="Arial"/>
          <w:sz w:val="19"/>
          <w:szCs w:val="19"/>
          <w:color w:val="auto"/>
        </w:rPr>
        <w:t>[Borrower hereby certifies that the following statements are true and correct on the date hereof, and will be true and correct on the Loan Date specified above after giving effect to such Loan: (a) all of the representations and warranties of the Companies in the Loan Papers are true and correct in all material respects (</w:t>
      </w:r>
      <w:r>
        <w:rPr>
          <w:rFonts w:ascii="Arial" w:cs="Arial" w:eastAsia="Arial" w:hAnsi="Arial"/>
          <w:sz w:val="19"/>
          <w:szCs w:val="19"/>
          <w:i w:val="1"/>
          <w:iCs w:val="1"/>
          <w:color w:val="auto"/>
        </w:rPr>
        <w:t>except</w:t>
      </w:r>
      <w:r>
        <w:rPr>
          <w:rFonts w:ascii="Arial" w:cs="Arial" w:eastAsia="Arial" w:hAnsi="Arial"/>
          <w:sz w:val="19"/>
          <w:szCs w:val="19"/>
          <w:color w:val="auto"/>
        </w:rPr>
        <w:t xml:space="preserve"> to the extent that (i) they speak to a specific date or (ii) the facts on which they are based have been changed by transactions contemplated or permitted by the Credit Agreement); and (b) no Material Adverse Event, Default, or Potential Default exists or will result from the proposed funding of Loans requested herein.]****</w:t>
      </w:r>
    </w:p>
    <w:p>
      <w:pPr>
        <w:sectPr>
          <w:pgSz w:w="11900" w:h="16838" w:orient="portrait"/>
          <w:cols w:equalWidth="0" w:num="1">
            <w:col w:w="11420"/>
          </w:cols>
          <w:pgMar w:left="240" w:top="576" w:right="239" w:bottom="1440" w:gutter="0" w:footer="0" w:header="0"/>
        </w:sectPr>
      </w:pPr>
    </w:p>
    <w:bookmarkStart w:id="215" w:name="page216"/>
    <w:bookmarkEnd w:id="215"/>
    <w:p>
      <w:pPr>
        <w:ind w:left="3892"/>
        <w:spacing w:after="0"/>
        <w:rPr>
          <w:sz w:val="20"/>
          <w:szCs w:val="20"/>
          <w:color w:val="auto"/>
        </w:rPr>
      </w:pPr>
      <w:r>
        <w:rPr>
          <w:rFonts w:ascii="Arial" w:cs="Arial" w:eastAsia="Arial" w:hAnsi="Arial"/>
          <w:sz w:val="20"/>
          <w:szCs w:val="20"/>
          <w:color w:val="auto"/>
        </w:rPr>
        <w:t>Very truly yours,</w:t>
      </w:r>
    </w:p>
    <w:p>
      <w:pPr>
        <w:spacing w:after="0" w:line="243" w:lineRule="exact"/>
        <w:rPr>
          <w:sz w:val="20"/>
          <w:szCs w:val="20"/>
          <w:color w:val="auto"/>
        </w:rPr>
      </w:pPr>
    </w:p>
    <w:p>
      <w:pPr>
        <w:ind w:left="3892"/>
        <w:spacing w:after="0"/>
        <w:rPr>
          <w:sz w:val="20"/>
          <w:szCs w:val="20"/>
          <w:color w:val="auto"/>
        </w:rPr>
      </w:pPr>
      <w:r>
        <w:rPr>
          <w:rFonts w:ascii="Arial" w:cs="Arial" w:eastAsia="Arial" w:hAnsi="Arial"/>
          <w:sz w:val="20"/>
          <w:szCs w:val="20"/>
          <w:color w:val="auto"/>
        </w:rPr>
        <w:t>VAIL HOLDINGS, INC.</w:t>
      </w:r>
    </w:p>
    <w:p>
      <w:pPr>
        <w:spacing w:after="0" w:line="200" w:lineRule="exact"/>
        <w:rPr>
          <w:sz w:val="20"/>
          <w:szCs w:val="20"/>
          <w:color w:val="auto"/>
        </w:rPr>
      </w:pPr>
    </w:p>
    <w:p>
      <w:pPr>
        <w:spacing w:after="0" w:line="326" w:lineRule="exact"/>
        <w:rPr>
          <w:sz w:val="20"/>
          <w:szCs w:val="20"/>
          <w:color w:val="auto"/>
        </w:rPr>
      </w:pPr>
    </w:p>
    <w:p>
      <w:pPr>
        <w:ind w:left="3892"/>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-14605</wp:posOffset>
            </wp:positionV>
            <wp:extent cx="8801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0110" cy="8890"/>
                    </a:xfrm>
                    <a:prstGeom prst="rect">
                      <a:avLst/>
                    </a:prstGeom>
                    <a:noFill/>
                  </pic:spPr>
                </pic:pic>
              </a:graphicData>
            </a:graphic>
          </wp:anchor>
        </w:drawing>
      </w:r>
    </w:p>
    <w:p>
      <w:pPr>
        <w:ind w:left="3892"/>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2835910</wp:posOffset>
            </wp:positionH>
            <wp:positionV relativeFrom="paragraph">
              <wp:posOffset>-24765</wp:posOffset>
            </wp:positionV>
            <wp:extent cx="6597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ind w:left="3892"/>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-24765</wp:posOffset>
            </wp:positionV>
            <wp:extent cx="7854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854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52" w:hanging="652"/>
        <w:spacing w:after="0" w:line="317" w:lineRule="auto"/>
        <w:tabs>
          <w:tab w:leader="none" w:pos="652" w:val="left"/>
        </w:tabs>
        <w:numPr>
          <w:ilvl w:val="0"/>
          <w:numId w:val="195"/>
        </w:numPr>
        <w:rPr>
          <w:rFonts w:ascii="Arial" w:cs="Arial" w:eastAsia="Arial" w:hAnsi="Arial"/>
          <w:sz w:val="20"/>
          <w:szCs w:val="20"/>
          <w:color w:val="auto"/>
        </w:rPr>
      </w:pPr>
      <w:r>
        <w:rPr>
          <w:rFonts w:ascii="Arial" w:cs="Arial" w:eastAsia="Arial" w:hAnsi="Arial"/>
          <w:sz w:val="20"/>
          <w:szCs w:val="20"/>
          <w:color w:val="auto"/>
        </w:rPr>
        <w:t>Not less than $500,000 or a greater integral multiple of $100,000 (if a Base Rate Loan); not less than $1,000,000 or a greater integral multiple of $100,000 (if a Eurocurrency Rate Loan).</w:t>
      </w:r>
    </w:p>
    <w:p>
      <w:pPr>
        <w:spacing w:after="0" w:line="176" w:lineRule="exact"/>
        <w:rPr>
          <w:sz w:val="20"/>
          <w:szCs w:val="20"/>
          <w:color w:val="auto"/>
        </w:rPr>
      </w:pPr>
    </w:p>
    <w:p>
      <w:pPr>
        <w:ind w:left="652" w:hanging="652"/>
        <w:spacing w:after="0"/>
        <w:tabs>
          <w:tab w:leader="none" w:pos="652" w:val="left"/>
        </w:tabs>
        <w:numPr>
          <w:ilvl w:val="0"/>
          <w:numId w:val="196"/>
        </w:numPr>
        <w:rPr>
          <w:rFonts w:ascii="Arial" w:cs="Arial" w:eastAsia="Arial" w:hAnsi="Arial"/>
          <w:sz w:val="20"/>
          <w:szCs w:val="20"/>
          <w:color w:val="auto"/>
        </w:rPr>
      </w:pPr>
      <w:r>
        <w:rPr>
          <w:rFonts w:ascii="Arial" w:cs="Arial" w:eastAsia="Arial" w:hAnsi="Arial"/>
          <w:sz w:val="20"/>
          <w:szCs w:val="20"/>
          <w:color w:val="auto"/>
        </w:rPr>
        <w:t>Eurocurrency Rate Loan or Base Rate Loan.</w:t>
      </w:r>
    </w:p>
    <w:p>
      <w:pPr>
        <w:spacing w:after="0" w:line="269" w:lineRule="exact"/>
        <w:rPr>
          <w:rFonts w:ascii="Arial" w:cs="Arial" w:eastAsia="Arial" w:hAnsi="Arial"/>
          <w:sz w:val="20"/>
          <w:szCs w:val="20"/>
          <w:color w:val="auto"/>
        </w:rPr>
      </w:pPr>
    </w:p>
    <w:p>
      <w:pPr>
        <w:ind w:left="652" w:hanging="652"/>
        <w:spacing w:after="0"/>
        <w:tabs>
          <w:tab w:leader="none" w:pos="652" w:val="left"/>
        </w:tabs>
        <w:numPr>
          <w:ilvl w:val="0"/>
          <w:numId w:val="197"/>
        </w:numPr>
        <w:rPr>
          <w:rFonts w:ascii="Arial" w:cs="Arial" w:eastAsia="Arial" w:hAnsi="Arial"/>
          <w:sz w:val="20"/>
          <w:szCs w:val="20"/>
          <w:color w:val="auto"/>
        </w:rPr>
      </w:pPr>
      <w:r>
        <w:rPr>
          <w:rFonts w:ascii="Arial" w:cs="Arial" w:eastAsia="Arial" w:hAnsi="Arial"/>
          <w:sz w:val="20"/>
          <w:szCs w:val="20"/>
          <w:color w:val="auto"/>
        </w:rPr>
        <w:t>Eurocurrency Rate Loan -- 1, 3, or 6 months.</w:t>
      </w:r>
    </w:p>
    <w:p>
      <w:pPr>
        <w:spacing w:after="0" w:line="269" w:lineRule="exact"/>
        <w:rPr>
          <w:rFonts w:ascii="Arial" w:cs="Arial" w:eastAsia="Arial" w:hAnsi="Arial"/>
          <w:sz w:val="20"/>
          <w:szCs w:val="20"/>
          <w:color w:val="auto"/>
        </w:rPr>
      </w:pPr>
    </w:p>
    <w:p>
      <w:pPr>
        <w:ind w:left="652"/>
        <w:spacing w:after="0"/>
        <w:rPr>
          <w:rFonts w:ascii="Arial" w:cs="Arial" w:eastAsia="Arial" w:hAnsi="Arial"/>
          <w:sz w:val="20"/>
          <w:szCs w:val="20"/>
          <w:color w:val="auto"/>
        </w:rPr>
      </w:pPr>
      <w:r>
        <w:rPr>
          <w:rFonts w:ascii="Arial" w:cs="Arial" w:eastAsia="Arial" w:hAnsi="Arial"/>
          <w:sz w:val="20"/>
          <w:szCs w:val="20"/>
          <w:color w:val="auto"/>
        </w:rPr>
        <w:t>In no event may the Interest Period end after the applicable Termination Date.</w:t>
      </w:r>
    </w:p>
    <w:p>
      <w:pPr>
        <w:spacing w:after="0" w:line="269" w:lineRule="exact"/>
        <w:rPr>
          <w:rFonts w:ascii="Arial" w:cs="Arial" w:eastAsia="Arial" w:hAnsi="Arial"/>
          <w:sz w:val="20"/>
          <w:szCs w:val="20"/>
          <w:color w:val="auto"/>
        </w:rPr>
      </w:pPr>
    </w:p>
    <w:p>
      <w:pPr>
        <w:ind w:left="652" w:hanging="652"/>
        <w:spacing w:after="0"/>
        <w:tabs>
          <w:tab w:leader="none" w:pos="652" w:val="left"/>
        </w:tabs>
        <w:numPr>
          <w:ilvl w:val="0"/>
          <w:numId w:val="198"/>
        </w:numPr>
        <w:rPr>
          <w:rFonts w:ascii="Arial" w:cs="Arial" w:eastAsia="Arial" w:hAnsi="Arial"/>
          <w:sz w:val="20"/>
          <w:szCs w:val="20"/>
          <w:color w:val="auto"/>
        </w:rPr>
      </w:pPr>
      <w:r>
        <w:rPr>
          <w:rFonts w:ascii="Arial" w:cs="Arial" w:eastAsia="Arial" w:hAnsi="Arial"/>
          <w:sz w:val="20"/>
          <w:szCs w:val="20"/>
          <w:color w:val="auto"/>
        </w:rPr>
        <w:t>Insert paragraph for any Loan Notice provided prior to a borrowing of Loans</w:t>
      </w:r>
    </w:p>
    <w:p>
      <w:pPr>
        <w:sectPr>
          <w:pgSz w:w="11900" w:h="16838" w:orient="portrait"/>
          <w:cols w:equalWidth="0" w:num="1">
            <w:col w:w="11412"/>
          </w:cols>
          <w:pgMar w:left="248" w:top="582" w:right="2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20"/>
          <w:szCs w:val="20"/>
          <w:b w:val="1"/>
          <w:bCs w:val="1"/>
          <w:u w:val="single" w:color="auto"/>
          <w:color w:val="auto"/>
        </w:rPr>
        <w:t>EXHIBIT C-2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SWING LINE LOAN NOTICE</w:t>
      </w:r>
    </w:p>
    <w:p>
      <w:pPr>
        <w:spacing w:after="0" w:line="276"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________________</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color w:val="auto"/>
        </w:rPr>
        <w:t>Bank of America, N.A., as Administrative Agent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Attn:</w:t>
      </w:r>
      <w:r>
        <w:rPr>
          <w:sz w:val="20"/>
          <w:szCs w:val="20"/>
          <w:color w:val="auto"/>
        </w:rPr>
        <w:tab/>
      </w:r>
      <w:r>
        <w:rPr>
          <w:rFonts w:ascii="Arial" w:cs="Arial" w:eastAsia="Arial" w:hAnsi="Arial"/>
          <w:sz w:val="19"/>
          <w:szCs w:val="19"/>
          <w:color w:val="auto"/>
        </w:rPr>
        <w:t>Arlene Minor</w:t>
      </w:r>
    </w:p>
    <w:p>
      <w:pPr>
        <w:spacing w:after="0" w:line="54"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Fax:</w:t>
      </w:r>
      <w:r>
        <w:rPr>
          <w:sz w:val="20"/>
          <w:szCs w:val="20"/>
          <w:color w:val="auto"/>
        </w:rPr>
        <w:tab/>
      </w:r>
      <w:r>
        <w:rPr>
          <w:rFonts w:ascii="Arial" w:cs="Arial" w:eastAsia="Arial" w:hAnsi="Arial"/>
          <w:sz w:val="16"/>
          <w:szCs w:val="16"/>
          <w:color w:val="auto"/>
        </w:rPr>
        <w:t>214-290-9412</w:t>
      </w:r>
    </w:p>
    <w:p>
      <w:pPr>
        <w:spacing w:after="0" w:line="337" w:lineRule="exact"/>
        <w:rPr>
          <w:sz w:val="20"/>
          <w:szCs w:val="20"/>
          <w:color w:val="auto"/>
        </w:rPr>
      </w:pPr>
    </w:p>
    <w:p>
      <w:pPr>
        <w:jc w:val="both"/>
        <w:spacing w:after="0" w:line="301" w:lineRule="auto"/>
        <w:rPr>
          <w:sz w:val="20"/>
          <w:szCs w:val="20"/>
          <w:color w:val="auto"/>
        </w:rPr>
      </w:pPr>
      <w:r>
        <w:rPr>
          <w:rFonts w:ascii="Arial" w:cs="Arial" w:eastAsia="Arial" w:hAnsi="Arial"/>
          <w:sz w:val="20"/>
          <w:szCs w:val="20"/>
          <w:color w:val="auto"/>
        </w:rPr>
        <w:t>Reference is made to the Eighth Amended and Restated Credit Agreement dated as of August 15, 2018 (as amended, supplemented, extended, or restated from time to time, the “</w:t>
      </w:r>
      <w:r>
        <w:rPr>
          <w:rFonts w:ascii="Arial" w:cs="Arial" w:eastAsia="Arial" w:hAnsi="Arial"/>
          <w:sz w:val="20"/>
          <w:szCs w:val="20"/>
          <w:b w:val="1"/>
          <w:bCs w:val="1"/>
          <w:i w:val="1"/>
          <w:iCs w:val="1"/>
          <w:color w:val="auto"/>
        </w:rPr>
        <w:t>Credit Agreement</w:t>
      </w:r>
      <w:r>
        <w:rPr>
          <w:rFonts w:ascii="Arial" w:cs="Arial" w:eastAsia="Arial" w:hAnsi="Arial"/>
          <w:sz w:val="20"/>
          <w:szCs w:val="20"/>
          <w:color w:val="auto"/>
        </w:rPr>
        <w:t xml:space="preserve">”), among Vail Holdings, Inc., a Colorado corporation, the Lenders, and Bank of America, N.A., as Administrative Agent for itself and the other Lenders. Capitalized terms used herein and not otherwise defined herein shall have the meanings assigned to such terms in the Credit Agreement. The undersigned hereby gives you notice pursuant to </w:t>
      </w:r>
      <w:r>
        <w:rPr>
          <w:rFonts w:ascii="Arial" w:cs="Arial" w:eastAsia="Arial" w:hAnsi="Arial"/>
          <w:sz w:val="20"/>
          <w:szCs w:val="20"/>
          <w:i w:val="1"/>
          <w:iCs w:val="1"/>
          <w:color w:val="auto"/>
        </w:rPr>
        <w:t>Section 2.4(b)</w:t>
      </w:r>
      <w:r>
        <w:rPr>
          <w:rFonts w:ascii="Arial" w:cs="Arial" w:eastAsia="Arial" w:hAnsi="Arial"/>
          <w:sz w:val="20"/>
          <w:szCs w:val="20"/>
          <w:color w:val="auto"/>
        </w:rPr>
        <w:t xml:space="preserve"> of the Credit Agreement that it requests a Swing Line Loan: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r>
              <w:rPr>
                <w:rFonts w:ascii="Arial" w:cs="Arial" w:eastAsia="Arial" w:hAnsi="Arial"/>
                <w:sz w:val="20"/>
                <w:szCs w:val="20"/>
                <w:color w:val="auto"/>
              </w:rPr>
              <w:t>on</w:t>
            </w:r>
          </w:p>
        </w:tc>
        <w:tc>
          <w:tcPr>
            <w:tcW w:w="1180" w:type="dxa"/>
            <w:vAlign w:val="bottom"/>
            <w:tcBorders>
              <w:bottom w:val="single" w:sz="8" w:color="auto"/>
            </w:tcBorders>
          </w:tcPr>
          <w:p>
            <w:pPr>
              <w:spacing w:after="0"/>
              <w:rPr>
                <w:sz w:val="19"/>
                <w:szCs w:val="19"/>
                <w:color w:val="auto"/>
              </w:rPr>
            </w:pPr>
          </w:p>
        </w:tc>
        <w:tc>
          <w:tcPr>
            <w:tcW w:w="40" w:type="dxa"/>
            <w:vAlign w:val="bottom"/>
            <w:gridSpan w:val="2"/>
          </w:tcPr>
          <w:p>
            <w:pPr>
              <w:spacing w:after="0"/>
              <w:rPr>
                <w:sz w:val="19"/>
                <w:szCs w:val="19"/>
                <w:color w:val="auto"/>
              </w:rPr>
            </w:pPr>
          </w:p>
        </w:tc>
        <w:tc>
          <w:tcPr>
            <w:tcW w:w="8060" w:type="dxa"/>
            <w:vAlign w:val="bottom"/>
            <w:gridSpan w:val="2"/>
          </w:tcPr>
          <w:p>
            <w:pPr>
              <w:jc w:val="right"/>
              <w:ind w:right="6640"/>
              <w:spacing w:after="0"/>
              <w:rPr>
                <w:sz w:val="20"/>
                <w:szCs w:val="20"/>
                <w:color w:val="auto"/>
              </w:rPr>
            </w:pPr>
            <w:r>
              <w:rPr>
                <w:rFonts w:ascii="Arial" w:cs="Arial" w:eastAsia="Arial" w:hAnsi="Arial"/>
                <w:sz w:val="20"/>
                <w:szCs w:val="20"/>
                <w:color w:val="auto"/>
                <w:w w:val="88"/>
              </w:rPr>
              <w:t>(a Business Day),</w:t>
            </w:r>
          </w:p>
        </w:tc>
      </w:tr>
      <w:tr>
        <w:trPr>
          <w:trHeight w:val="480"/>
        </w:trPr>
        <w:tc>
          <w:tcPr>
            <w:tcW w:w="1460" w:type="dxa"/>
            <w:vAlign w:val="bottom"/>
            <w:gridSpan w:val="3"/>
          </w:tcPr>
          <w:p>
            <w:pPr>
              <w:spacing w:after="0"/>
              <w:rPr>
                <w:sz w:val="20"/>
                <w:szCs w:val="20"/>
                <w:color w:val="auto"/>
              </w:rPr>
            </w:pPr>
            <w:r>
              <w:rPr>
                <w:rFonts w:ascii="Arial" w:cs="Arial" w:eastAsia="Arial" w:hAnsi="Arial"/>
                <w:sz w:val="20"/>
                <w:szCs w:val="20"/>
                <w:color w:val="auto"/>
                <w:w w:val="89"/>
              </w:rPr>
              <w:t>in the amount of $</w:t>
            </w: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340" w:type="dxa"/>
            <w:vAlign w:val="bottom"/>
          </w:tcPr>
          <w:p>
            <w:pPr>
              <w:spacing w:after="0"/>
              <w:rPr>
                <w:sz w:val="24"/>
                <w:szCs w:val="24"/>
                <w:color w:val="auto"/>
              </w:rPr>
            </w:pPr>
          </w:p>
        </w:tc>
      </w:tr>
      <w:tr>
        <w:trPr>
          <w:trHeight w:val="524"/>
        </w:trPr>
        <w:tc>
          <w:tcPr>
            <w:tcW w:w="9540" w:type="dxa"/>
            <w:vAlign w:val="bottom"/>
            <w:gridSpan w:val="6"/>
          </w:tcPr>
          <w:p>
            <w:pPr>
              <w:spacing w:after="0"/>
              <w:rPr>
                <w:sz w:val="20"/>
                <w:szCs w:val="20"/>
                <w:color w:val="auto"/>
              </w:rPr>
            </w:pPr>
            <w:r>
              <w:rPr>
                <w:rFonts w:ascii="Arial" w:cs="Arial" w:eastAsia="Arial" w:hAnsi="Arial"/>
                <w:sz w:val="20"/>
                <w:szCs w:val="20"/>
                <w:color w:val="auto"/>
                <w:w w:val="89"/>
              </w:rPr>
              <w:t>Please deposit the requested Loan in our account with you [and then wire transfer amounts from that account as follows:</w:t>
            </w:r>
          </w:p>
        </w:tc>
      </w:tr>
      <w:tr>
        <w:trPr>
          <w:trHeight w:val="500"/>
        </w:trPr>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60" w:type="dxa"/>
            <w:vAlign w:val="bottom"/>
            <w:gridSpan w:val="2"/>
          </w:tcPr>
          <w:p>
            <w:pPr>
              <w:jc w:val="right"/>
              <w:ind w:right="2940"/>
              <w:spacing w:after="0"/>
              <w:rPr>
                <w:sz w:val="20"/>
                <w:szCs w:val="20"/>
                <w:color w:val="auto"/>
              </w:rPr>
            </w:pPr>
            <w:r>
              <w:rPr>
                <w:rFonts w:ascii="Arial" w:cs="Arial" w:eastAsia="Arial" w:hAnsi="Arial"/>
                <w:sz w:val="20"/>
                <w:szCs w:val="20"/>
                <w:color w:val="auto"/>
              </w:rPr>
              <w:t>.]</w:t>
            </w:r>
          </w:p>
        </w:tc>
      </w:tr>
    </w:tbl>
    <w:p>
      <w:pPr>
        <w:spacing w:after="0" w:line="249" w:lineRule="exact"/>
        <w:rPr>
          <w:sz w:val="20"/>
          <w:szCs w:val="20"/>
          <w:color w:val="auto"/>
        </w:rPr>
      </w:pPr>
    </w:p>
    <w:p>
      <w:pPr>
        <w:jc w:val="both"/>
        <w:spacing w:after="0" w:line="320" w:lineRule="auto"/>
        <w:rPr>
          <w:sz w:val="20"/>
          <w:szCs w:val="20"/>
          <w:color w:val="auto"/>
        </w:rPr>
      </w:pPr>
      <w:r>
        <w:rPr>
          <w:rFonts w:ascii="Arial" w:cs="Arial" w:eastAsia="Arial" w:hAnsi="Arial"/>
          <w:sz w:val="19"/>
          <w:szCs w:val="19"/>
          <w:color w:val="auto"/>
        </w:rPr>
        <w:t>[Borrower hereby certifies that the following statements are true and correct on the date hereof, and will be true and correct on the Loan Date specified above after giving effect to such Loan: (a) all of the representations and warranties of the Companies in the Loan Papers are true and correct in all material respects (</w:t>
      </w:r>
      <w:r>
        <w:rPr>
          <w:rFonts w:ascii="Arial" w:cs="Arial" w:eastAsia="Arial" w:hAnsi="Arial"/>
          <w:sz w:val="19"/>
          <w:szCs w:val="19"/>
          <w:i w:val="1"/>
          <w:iCs w:val="1"/>
          <w:color w:val="auto"/>
        </w:rPr>
        <w:t>except</w:t>
      </w:r>
      <w:r>
        <w:rPr>
          <w:rFonts w:ascii="Arial" w:cs="Arial" w:eastAsia="Arial" w:hAnsi="Arial"/>
          <w:sz w:val="19"/>
          <w:szCs w:val="19"/>
          <w:color w:val="auto"/>
        </w:rPr>
        <w:t xml:space="preserve"> to the extent that (i) they speak to a specific date or (ii) the facts on which they are based have been changed by transactions contemplated or permitted by the Credit Agreement); and (b) no Material Adverse Event, Default, or Potential Default exists or will result from the proposed funding of Loans requested herein.]</w:t>
      </w:r>
    </w:p>
    <w:p>
      <w:pPr>
        <w:spacing w:after="0" w:line="178"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color w:val="auto"/>
        </w:rPr>
        <w:t xml:space="preserve">The Swing Line Borrowing requested herein complies with the requirements of the provisos to the first sentence of </w:t>
      </w:r>
      <w:r>
        <w:rPr>
          <w:rFonts w:ascii="Arial" w:cs="Arial" w:eastAsia="Arial" w:hAnsi="Arial"/>
          <w:sz w:val="20"/>
          <w:szCs w:val="20"/>
          <w:i w:val="1"/>
          <w:iCs w:val="1"/>
          <w:color w:val="auto"/>
        </w:rPr>
        <w:t>Section 2.4(a)</w:t>
      </w:r>
      <w:r>
        <w:rPr>
          <w:rFonts w:ascii="Arial" w:cs="Arial" w:eastAsia="Arial" w:hAnsi="Arial"/>
          <w:sz w:val="20"/>
          <w:szCs w:val="20"/>
          <w:color w:val="auto"/>
        </w:rPr>
        <w:t xml:space="preserve"> of the Credit Agreement.</w:t>
      </w:r>
    </w:p>
    <w:p>
      <w:pPr>
        <w:sectPr>
          <w:pgSz w:w="11900" w:h="16838" w:orient="portrait"/>
          <w:cols w:equalWidth="0" w:num="1">
            <w:col w:w="11420"/>
          </w:cols>
          <w:pgMar w:left="240" w:top="576" w:right="239" w:bottom="1440" w:gutter="0" w:footer="0" w:header="0"/>
        </w:sectPr>
      </w:pPr>
    </w:p>
    <w:bookmarkStart w:id="217" w:name="page218"/>
    <w:bookmarkEnd w:id="217"/>
    <w:p>
      <w:pPr>
        <w:ind w:left="3900"/>
        <w:spacing w:after="0"/>
        <w:rPr>
          <w:sz w:val="20"/>
          <w:szCs w:val="20"/>
          <w:color w:val="auto"/>
        </w:rPr>
      </w:pPr>
      <w:r>
        <w:rPr>
          <w:rFonts w:ascii="Arial" w:cs="Arial" w:eastAsia="Arial" w:hAnsi="Arial"/>
          <w:sz w:val="20"/>
          <w:szCs w:val="20"/>
          <w:color w:val="auto"/>
        </w:rPr>
        <w:t>Very truly yours,</w:t>
      </w:r>
    </w:p>
    <w:p>
      <w:pPr>
        <w:spacing w:after="0" w:line="310" w:lineRule="exact"/>
        <w:rPr>
          <w:sz w:val="20"/>
          <w:szCs w:val="20"/>
          <w:color w:val="auto"/>
        </w:rPr>
      </w:pPr>
    </w:p>
    <w:p>
      <w:pPr>
        <w:jc w:val="right"/>
        <w:ind w:right="4319"/>
        <w:spacing w:after="0"/>
        <w:rPr>
          <w:sz w:val="20"/>
          <w:szCs w:val="20"/>
          <w:color w:val="auto"/>
        </w:rPr>
      </w:pPr>
      <w:r>
        <w:rPr>
          <w:rFonts w:ascii="Arial" w:cs="Arial" w:eastAsia="Arial" w:hAnsi="Arial"/>
          <w:sz w:val="20"/>
          <w:szCs w:val="20"/>
          <w:color w:val="auto"/>
        </w:rPr>
        <w:t>VAIL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-14605</wp:posOffset>
            </wp:positionV>
            <wp:extent cx="8801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011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-24765</wp:posOffset>
            </wp:positionV>
            <wp:extent cx="6597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2742565</wp:posOffset>
            </wp:positionH>
            <wp:positionV relativeFrom="paragraph">
              <wp:posOffset>-24765</wp:posOffset>
            </wp:positionV>
            <wp:extent cx="7854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854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 Not less than $1,000,000</w:t>
      </w:r>
    </w:p>
    <w:p>
      <w:pPr>
        <w:sectPr>
          <w:pgSz w:w="11900" w:h="16838" w:orient="portrait"/>
          <w:cols w:equalWidth="0" w:num="1">
            <w:col w:w="10219"/>
          </w:cols>
          <w:pgMar w:left="240" w:top="582" w:right="1440" w:bottom="1440" w:gutter="0" w:footer="0" w:header="0"/>
        </w:sectPr>
      </w:pPr>
    </w:p>
    <w:bookmarkStart w:id="218" w:name="page219"/>
    <w:bookmarkEnd w:id="218"/>
    <w:p>
      <w:pPr>
        <w:jc w:val="center"/>
        <w:spacing w:after="0"/>
        <w:rPr>
          <w:sz w:val="20"/>
          <w:szCs w:val="20"/>
          <w:color w:val="auto"/>
        </w:rPr>
      </w:pPr>
      <w:r>
        <w:rPr>
          <w:rFonts w:ascii="Arial" w:cs="Arial" w:eastAsia="Arial" w:hAnsi="Arial"/>
          <w:sz w:val="20"/>
          <w:szCs w:val="20"/>
          <w:b w:val="1"/>
          <w:bCs w:val="1"/>
          <w:u w:val="single" w:color="auto"/>
          <w:color w:val="auto"/>
        </w:rPr>
        <w:t>EXHIBIT 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COMPLIANCE CERTIFICATE</w:t>
      </w:r>
    </w:p>
    <w:p>
      <w:pPr>
        <w:spacing w:after="0" w:line="216" w:lineRule="exact"/>
        <w:rPr>
          <w:sz w:val="20"/>
          <w:szCs w:val="20"/>
          <w:color w:val="auto"/>
        </w:rPr>
      </w:pPr>
    </w:p>
    <w:p>
      <w:pPr>
        <w:ind w:left="4400"/>
        <w:spacing w:after="0"/>
        <w:rPr>
          <w:sz w:val="20"/>
          <w:szCs w:val="20"/>
          <w:color w:val="auto"/>
        </w:rPr>
      </w:pPr>
      <w:r>
        <w:rPr>
          <w:rFonts w:ascii="Arial" w:cs="Arial" w:eastAsia="Arial" w:hAnsi="Arial"/>
          <w:sz w:val="20"/>
          <w:szCs w:val="20"/>
          <w:b w:val="1"/>
          <w:bCs w:val="1"/>
          <w:color w:val="auto"/>
        </w:rPr>
        <w:t>FOR _______ ENDED _______</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Bank of America, N.A., as Administrative Agent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901 Main Street, 67th Floor</w:t>
      </w:r>
    </w:p>
    <w:p>
      <w:pPr>
        <w:spacing w:after="0"/>
        <w:rPr>
          <w:sz w:val="20"/>
          <w:szCs w:val="20"/>
          <w:color w:val="auto"/>
        </w:rPr>
      </w:pPr>
      <w:r>
        <w:rPr>
          <w:rFonts w:ascii="Arial" w:cs="Arial" w:eastAsia="Arial" w:hAnsi="Arial"/>
          <w:sz w:val="20"/>
          <w:szCs w:val="20"/>
          <w:color w:val="auto"/>
        </w:rPr>
        <w:t>Dallas, Texas 75202</w:t>
      </w:r>
    </w:p>
    <w:p>
      <w:pPr>
        <w:spacing w:after="0"/>
        <w:tabs>
          <w:tab w:leader="none" w:pos="640" w:val="left"/>
        </w:tabs>
        <w:rPr>
          <w:sz w:val="20"/>
          <w:szCs w:val="20"/>
          <w:color w:val="auto"/>
        </w:rPr>
      </w:pPr>
      <w:r>
        <w:rPr>
          <w:rFonts w:ascii="Arial" w:cs="Arial" w:eastAsia="Arial" w:hAnsi="Arial"/>
          <w:sz w:val="20"/>
          <w:szCs w:val="20"/>
          <w:color w:val="auto"/>
        </w:rPr>
        <w:t>Attn:</w:t>
        <w:tab/>
        <w:t>Frank M. Johnson</w:t>
      </w:r>
    </w:p>
    <w:p>
      <w:pPr>
        <w:spacing w:after="0"/>
        <w:tabs>
          <w:tab w:leader="none" w:pos="620" w:val="left"/>
        </w:tabs>
        <w:rPr>
          <w:sz w:val="20"/>
          <w:szCs w:val="20"/>
          <w:color w:val="auto"/>
        </w:rPr>
      </w:pPr>
      <w:r>
        <w:rPr>
          <w:rFonts w:ascii="Arial" w:cs="Arial" w:eastAsia="Arial" w:hAnsi="Arial"/>
          <w:sz w:val="20"/>
          <w:szCs w:val="20"/>
          <w:color w:val="auto"/>
        </w:rPr>
        <w:t>FAX:</w:t>
      </w:r>
      <w:r>
        <w:rPr>
          <w:sz w:val="20"/>
          <w:szCs w:val="20"/>
          <w:color w:val="auto"/>
        </w:rPr>
        <w:tab/>
      </w:r>
      <w:r>
        <w:rPr>
          <w:rFonts w:ascii="Arial" w:cs="Arial" w:eastAsia="Arial" w:hAnsi="Arial"/>
          <w:sz w:val="16"/>
          <w:szCs w:val="16"/>
          <w:color w:val="auto"/>
        </w:rPr>
        <w:t>214-209-0980</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Reference is made to the Eighth Amended and Restated Credit Agreement dated as of August 15, 2018 (as amended, supplemented, extended, or restated, the “</w:t>
      </w:r>
      <w:r>
        <w:rPr>
          <w:rFonts w:ascii="Arial" w:cs="Arial" w:eastAsia="Arial" w:hAnsi="Arial"/>
          <w:sz w:val="20"/>
          <w:szCs w:val="20"/>
          <w:b w:val="1"/>
          <w:bCs w:val="1"/>
          <w:i w:val="1"/>
          <w:iCs w:val="1"/>
          <w:color w:val="auto"/>
        </w:rPr>
        <w:t>Credit Agreement</w:t>
      </w:r>
      <w:r>
        <w:rPr>
          <w:rFonts w:ascii="Arial" w:cs="Arial" w:eastAsia="Arial" w:hAnsi="Arial"/>
          <w:sz w:val="20"/>
          <w:szCs w:val="20"/>
          <w:color w:val="auto"/>
        </w:rPr>
        <w:t>”), among Vail Holdings, Inc., a Colorado corporation, the Lenders, and Bank of America, N.A., as Administrative Agent for itself and the other Lenders. Unless otherwise defined herein, all capitalized terms have the meanings given to such terms in the Credit Agreement.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This certificate is delivered pursuant to </w:t>
      </w:r>
      <w:r>
        <w:rPr>
          <w:rFonts w:ascii="Arial" w:cs="Arial" w:eastAsia="Arial" w:hAnsi="Arial"/>
          <w:sz w:val="20"/>
          <w:szCs w:val="20"/>
          <w:i w:val="1"/>
          <w:iCs w:val="1"/>
          <w:color w:val="auto"/>
        </w:rPr>
        <w:t>Section 9.1</w:t>
      </w:r>
      <w:r>
        <w:rPr>
          <w:rFonts w:ascii="Arial" w:cs="Arial" w:eastAsia="Arial" w:hAnsi="Arial"/>
          <w:sz w:val="20"/>
          <w:szCs w:val="20"/>
          <w:color w:val="auto"/>
        </w:rPr>
        <w:t xml:space="preserve"> of the Credit Agreement.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 certify to Administrative Agent that I am the Chief Financial Officer of Borrower on the date hereof and that:</w:t>
      </w:r>
    </w:p>
    <w:p>
      <w:pPr>
        <w:spacing w:after="0" w:line="243" w:lineRule="exact"/>
        <w:rPr>
          <w:sz w:val="20"/>
          <w:szCs w:val="20"/>
          <w:color w:val="auto"/>
        </w:rPr>
      </w:pPr>
    </w:p>
    <w:p>
      <w:pPr>
        <w:jc w:val="both"/>
        <w:ind w:firstLine="656"/>
        <w:spacing w:after="0" w:line="274" w:lineRule="auto"/>
        <w:tabs>
          <w:tab w:leader="none" w:pos="1546" w:val="left"/>
        </w:tabs>
        <w:numPr>
          <w:ilvl w:val="0"/>
          <w:numId w:val="199"/>
        </w:numPr>
        <w:rPr>
          <w:rFonts w:ascii="Arial" w:cs="Arial" w:eastAsia="Arial" w:hAnsi="Arial"/>
          <w:sz w:val="20"/>
          <w:szCs w:val="20"/>
          <w:color w:val="auto"/>
        </w:rPr>
      </w:pPr>
      <w:r>
        <w:rPr>
          <w:rFonts w:ascii="Arial" w:cs="Arial" w:eastAsia="Arial" w:hAnsi="Arial"/>
          <w:sz w:val="20"/>
          <w:szCs w:val="20"/>
          <w:color w:val="auto"/>
        </w:rPr>
        <w:t>The financial statements attached hereto were prepared in accordance with GAAP (</w:t>
      </w:r>
      <w:r>
        <w:rPr>
          <w:rFonts w:ascii="Arial" w:cs="Arial" w:eastAsia="Arial" w:hAnsi="Arial"/>
          <w:sz w:val="20"/>
          <w:szCs w:val="20"/>
          <w:i w:val="1"/>
          <w:iCs w:val="1"/>
          <w:color w:val="auto"/>
        </w:rPr>
        <w:t>except</w:t>
      </w:r>
      <w:r>
        <w:rPr>
          <w:rFonts w:ascii="Arial" w:cs="Arial" w:eastAsia="Arial" w:hAnsi="Arial"/>
          <w:sz w:val="20"/>
          <w:szCs w:val="20"/>
          <w:color w:val="auto"/>
        </w:rPr>
        <w:t xml:space="preserve"> for the omission of footnotes from financial statements delivered pursuant to </w:t>
      </w:r>
      <w:r>
        <w:rPr>
          <w:rFonts w:ascii="Arial" w:cs="Arial" w:eastAsia="Arial" w:hAnsi="Arial"/>
          <w:sz w:val="20"/>
          <w:szCs w:val="20"/>
          <w:i w:val="1"/>
          <w:iCs w:val="1"/>
          <w:color w:val="auto"/>
        </w:rPr>
        <w:t>Section 9.1(b)</w:t>
      </w:r>
      <w:r>
        <w:rPr>
          <w:rFonts w:ascii="Arial" w:cs="Arial" w:eastAsia="Arial" w:hAnsi="Arial"/>
          <w:sz w:val="20"/>
          <w:szCs w:val="20"/>
          <w:color w:val="auto"/>
        </w:rPr>
        <w:t xml:space="preserve"> of the Credit Agreement) and present fairly, in all material respects, the consolidated financial condition and results of operations of the Companies as of, and for the ___________ ended on, ________________ (the “</w:t>
      </w:r>
      <w:r>
        <w:rPr>
          <w:rFonts w:ascii="Arial" w:cs="Arial" w:eastAsia="Arial" w:hAnsi="Arial"/>
          <w:sz w:val="20"/>
          <w:szCs w:val="20"/>
          <w:b w:val="1"/>
          <w:bCs w:val="1"/>
          <w:i w:val="1"/>
          <w:iCs w:val="1"/>
          <w:color w:val="auto"/>
        </w:rPr>
        <w:t>Subject Period</w:t>
      </w:r>
      <w:r>
        <w:rPr>
          <w:rFonts w:ascii="Arial" w:cs="Arial" w:eastAsia="Arial" w:hAnsi="Arial"/>
          <w:sz w:val="20"/>
          <w:szCs w:val="20"/>
          <w:color w:val="auto"/>
        </w:rPr>
        <w:t>”).</w:t>
      </w:r>
    </w:p>
    <w:p>
      <w:pPr>
        <w:spacing w:after="0" w:line="192" w:lineRule="exact"/>
        <w:rPr>
          <w:rFonts w:ascii="Arial" w:cs="Arial" w:eastAsia="Arial" w:hAnsi="Arial"/>
          <w:sz w:val="20"/>
          <w:szCs w:val="20"/>
          <w:color w:val="auto"/>
        </w:rPr>
      </w:pPr>
    </w:p>
    <w:p>
      <w:pPr>
        <w:ind w:right="20" w:firstLine="656"/>
        <w:spacing w:after="0" w:line="289" w:lineRule="auto"/>
        <w:tabs>
          <w:tab w:leader="none" w:pos="1588" w:val="left"/>
        </w:tabs>
        <w:numPr>
          <w:ilvl w:val="0"/>
          <w:numId w:val="199"/>
        </w:numPr>
        <w:rPr>
          <w:rFonts w:ascii="Arial" w:cs="Arial" w:eastAsia="Arial" w:hAnsi="Arial"/>
          <w:sz w:val="20"/>
          <w:szCs w:val="20"/>
          <w:color w:val="auto"/>
        </w:rPr>
      </w:pPr>
      <w:r>
        <w:rPr>
          <w:rFonts w:ascii="Arial" w:cs="Arial" w:eastAsia="Arial" w:hAnsi="Arial"/>
          <w:sz w:val="20"/>
          <w:szCs w:val="20"/>
          <w:color w:val="auto"/>
        </w:rPr>
        <w:t>During the Subject Period, no Default or Potential Default has occurred which has not been cured or waived (</w:t>
      </w:r>
      <w:r>
        <w:rPr>
          <w:rFonts w:ascii="Arial" w:cs="Arial" w:eastAsia="Arial" w:hAnsi="Arial"/>
          <w:sz w:val="20"/>
          <w:szCs w:val="20"/>
          <w:i w:val="1"/>
          <w:iCs w:val="1"/>
          <w:color w:val="auto"/>
        </w:rPr>
        <w:t>except</w:t>
      </w:r>
      <w:r>
        <w:rPr>
          <w:rFonts w:ascii="Arial" w:cs="Arial" w:eastAsia="Arial" w:hAnsi="Arial"/>
          <w:sz w:val="20"/>
          <w:szCs w:val="20"/>
          <w:color w:val="auto"/>
        </w:rPr>
        <w:t xml:space="preserve"> for any Defaults set forth on the attached schedule).</w:t>
      </w:r>
    </w:p>
    <w:p>
      <w:pPr>
        <w:spacing w:after="0" w:line="175" w:lineRule="exact"/>
        <w:rPr>
          <w:rFonts w:ascii="Arial" w:cs="Arial" w:eastAsia="Arial" w:hAnsi="Arial"/>
          <w:sz w:val="20"/>
          <w:szCs w:val="20"/>
          <w:color w:val="auto"/>
        </w:rPr>
      </w:pPr>
    </w:p>
    <w:p>
      <w:pPr>
        <w:jc w:val="both"/>
        <w:ind w:firstLine="656"/>
        <w:spacing w:after="0" w:line="274" w:lineRule="auto"/>
        <w:tabs>
          <w:tab w:leader="none" w:pos="1593" w:val="left"/>
        </w:tabs>
        <w:numPr>
          <w:ilvl w:val="0"/>
          <w:numId w:val="199"/>
        </w:numPr>
        <w:rPr>
          <w:rFonts w:ascii="Arial" w:cs="Arial" w:eastAsia="Arial" w:hAnsi="Arial"/>
          <w:sz w:val="20"/>
          <w:szCs w:val="20"/>
          <w:color w:val="auto"/>
        </w:rPr>
      </w:pPr>
      <w:r>
        <w:rPr>
          <w:rFonts w:ascii="Arial" w:cs="Arial" w:eastAsia="Arial" w:hAnsi="Arial"/>
          <w:sz w:val="20"/>
          <w:szCs w:val="20"/>
          <w:color w:val="auto"/>
        </w:rPr>
        <w:t xml:space="preserve">Evidence of compliance (or non-compliance) by Borrower (a) with the covenant of </w:t>
      </w:r>
      <w:r>
        <w:rPr>
          <w:rFonts w:ascii="Arial" w:cs="Arial" w:eastAsia="Arial" w:hAnsi="Arial"/>
          <w:sz w:val="20"/>
          <w:szCs w:val="20"/>
          <w:i w:val="1"/>
          <w:iCs w:val="1"/>
          <w:color w:val="auto"/>
        </w:rPr>
        <w:t>Section 9.7(b)</w:t>
      </w:r>
      <w:r>
        <w:rPr>
          <w:rFonts w:ascii="Arial" w:cs="Arial" w:eastAsia="Arial" w:hAnsi="Arial"/>
          <w:sz w:val="20"/>
          <w:szCs w:val="20"/>
          <w:color w:val="auto"/>
        </w:rPr>
        <w:t xml:space="preserve">, as of the time such Additional Critical Assets were acquired, (b) with the covenants of </w:t>
      </w:r>
      <w:r>
        <w:rPr>
          <w:rFonts w:ascii="Arial" w:cs="Arial" w:eastAsia="Arial" w:hAnsi="Arial"/>
          <w:sz w:val="20"/>
          <w:szCs w:val="20"/>
          <w:i w:val="1"/>
          <w:iCs w:val="1"/>
          <w:color w:val="auto"/>
        </w:rPr>
        <w:t>Sections 10.8(l)</w:t>
      </w:r>
      <w:r>
        <w:rPr>
          <w:rFonts w:ascii="Arial" w:cs="Arial" w:eastAsia="Arial" w:hAnsi="Arial"/>
          <w:sz w:val="20"/>
          <w:szCs w:val="20"/>
          <w:color w:val="auto"/>
        </w:rPr>
        <w:t xml:space="preserve">, </w:t>
      </w:r>
      <w:r>
        <w:rPr>
          <w:rFonts w:ascii="Arial" w:cs="Arial" w:eastAsia="Arial" w:hAnsi="Arial"/>
          <w:sz w:val="20"/>
          <w:szCs w:val="20"/>
          <w:i w:val="1"/>
          <w:iCs w:val="1"/>
          <w:color w:val="auto"/>
        </w:rPr>
        <w:t>10.8(m)</w:t>
      </w:r>
      <w:r>
        <w:rPr>
          <w:rFonts w:ascii="Arial" w:cs="Arial" w:eastAsia="Arial" w:hAnsi="Arial"/>
          <w:sz w:val="20"/>
          <w:szCs w:val="20"/>
          <w:color w:val="auto"/>
        </w:rPr>
        <w:t xml:space="preserve">, </w:t>
      </w:r>
      <w:r>
        <w:rPr>
          <w:rFonts w:ascii="Arial" w:cs="Arial" w:eastAsia="Arial" w:hAnsi="Arial"/>
          <w:sz w:val="20"/>
          <w:szCs w:val="20"/>
          <w:i w:val="1"/>
          <w:iCs w:val="1"/>
          <w:color w:val="auto"/>
        </w:rPr>
        <w:t>10.8(s)</w:t>
      </w:r>
      <w:r>
        <w:rPr>
          <w:rFonts w:ascii="Arial" w:cs="Arial" w:eastAsia="Arial" w:hAnsi="Arial"/>
          <w:sz w:val="20"/>
          <w:szCs w:val="20"/>
          <w:color w:val="auto"/>
        </w:rPr>
        <w:t xml:space="preserve">, </w:t>
      </w:r>
      <w:r>
        <w:rPr>
          <w:rFonts w:ascii="Arial" w:cs="Arial" w:eastAsia="Arial" w:hAnsi="Arial"/>
          <w:sz w:val="20"/>
          <w:szCs w:val="20"/>
          <w:i w:val="1"/>
          <w:iCs w:val="1"/>
          <w:color w:val="auto"/>
        </w:rPr>
        <w:t>10.8(t)</w:t>
      </w:r>
      <w:r>
        <w:rPr>
          <w:rFonts w:ascii="Arial" w:cs="Arial" w:eastAsia="Arial" w:hAnsi="Arial"/>
          <w:sz w:val="20"/>
          <w:szCs w:val="20"/>
          <w:color w:val="auto"/>
        </w:rPr>
        <w:t xml:space="preserve">, and </w:t>
      </w:r>
      <w:r>
        <w:rPr>
          <w:rFonts w:ascii="Arial" w:cs="Arial" w:eastAsia="Arial" w:hAnsi="Arial"/>
          <w:sz w:val="20"/>
          <w:szCs w:val="20"/>
          <w:i w:val="1"/>
          <w:iCs w:val="1"/>
          <w:color w:val="auto"/>
        </w:rPr>
        <w:t>10.18</w:t>
      </w:r>
      <w:r>
        <w:rPr>
          <w:rFonts w:ascii="Arial" w:cs="Arial" w:eastAsia="Arial" w:hAnsi="Arial"/>
          <w:sz w:val="20"/>
          <w:szCs w:val="20"/>
          <w:color w:val="auto"/>
        </w:rPr>
        <w:t xml:space="preserve"> and the financial covenants of </w:t>
      </w:r>
      <w:r>
        <w:rPr>
          <w:rFonts w:ascii="Arial" w:cs="Arial" w:eastAsia="Arial" w:hAnsi="Arial"/>
          <w:sz w:val="20"/>
          <w:szCs w:val="20"/>
          <w:i w:val="1"/>
          <w:iCs w:val="1"/>
          <w:color w:val="auto"/>
        </w:rPr>
        <w:t>Section 11</w:t>
      </w:r>
      <w:r>
        <w:rPr>
          <w:rFonts w:ascii="Arial" w:cs="Arial" w:eastAsia="Arial" w:hAnsi="Arial"/>
          <w:sz w:val="20"/>
          <w:szCs w:val="20"/>
          <w:color w:val="auto"/>
        </w:rPr>
        <w:t xml:space="preserve"> of the Credit Agreement as of the last day of the Subject Period, and (c) with the covenant of </w:t>
      </w:r>
      <w:r>
        <w:rPr>
          <w:rFonts w:ascii="Arial" w:cs="Arial" w:eastAsia="Arial" w:hAnsi="Arial"/>
          <w:sz w:val="20"/>
          <w:szCs w:val="20"/>
          <w:i w:val="1"/>
          <w:iCs w:val="1"/>
          <w:color w:val="auto"/>
        </w:rPr>
        <w:t>Section 10.9(d)</w:t>
      </w:r>
      <w:r>
        <w:rPr>
          <w:rFonts w:ascii="Arial" w:cs="Arial" w:eastAsia="Arial" w:hAnsi="Arial"/>
          <w:sz w:val="20"/>
          <w:szCs w:val="20"/>
          <w:color w:val="auto"/>
        </w:rPr>
        <w:t xml:space="preserve"> as of the time such Distributions were made, is set forth on the attached calculation worksheet.</w:t>
      </w:r>
    </w:p>
    <w:p>
      <w:pPr>
        <w:spacing w:after="0" w:line="17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567690</wp:posOffset>
            </wp:positionV>
            <wp:extent cx="9112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112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-14605</wp:posOffset>
            </wp:positionV>
            <wp:extent cx="6908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088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Chief Financial Officer</w:t>
      </w:r>
    </w:p>
    <w:p>
      <w:pPr>
        <w:sectPr>
          <w:pgSz w:w="11900" w:h="16838" w:orient="portrait"/>
          <w:cols w:equalWidth="0" w:num="1">
            <w:col w:w="11420"/>
          </w:cols>
          <w:pgMar w:left="240" w:top="576" w:right="239" w:bottom="1440" w:gutter="0" w:footer="0" w:header="0"/>
        </w:sectPr>
      </w:pPr>
    </w:p>
    <w:bookmarkStart w:id="219" w:name="page220"/>
    <w:bookmarkEnd w:id="219"/>
    <w:p>
      <w:pPr>
        <w:jc w:val="center"/>
        <w:spacing w:after="0"/>
        <w:rPr>
          <w:sz w:val="20"/>
          <w:szCs w:val="20"/>
          <w:color w:val="auto"/>
        </w:rPr>
      </w:pPr>
      <w:r>
        <w:rPr>
          <w:rFonts w:ascii="Arial" w:cs="Arial" w:eastAsia="Arial" w:hAnsi="Arial"/>
          <w:sz w:val="20"/>
          <w:szCs w:val="20"/>
          <w:b w:val="1"/>
          <w:bCs w:val="1"/>
          <w:u w:val="single" w:color="auto"/>
          <w:color w:val="auto"/>
        </w:rPr>
        <w:t>Annex A to Exhibit D</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CREDIT FACILITY COVENANTS CALCULATIONS</w:t>
      </w:r>
    </w:p>
    <w:p>
      <w:pPr>
        <w:spacing w:after="0" w:line="24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Subject Period: ___________________, 20__</w:t>
      </w:r>
    </w:p>
    <w:p>
      <w:pPr>
        <w:spacing w:after="0" w:line="200" w:lineRule="exact"/>
        <w:rPr>
          <w:sz w:val="20"/>
          <w:szCs w:val="20"/>
          <w:color w:val="auto"/>
        </w:rPr>
      </w:pPr>
    </w:p>
    <w:p>
      <w:pPr>
        <w:spacing w:after="0" w:line="293"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9.7(b) OWNERSHIP OF ADDITIONAL CRITICAL ASSETS BY UNRESTRICTED SUBSIDIARIES</w:t>
      </w:r>
    </w:p>
    <w:p>
      <w:pPr>
        <w:spacing w:after="0" w:line="87" w:lineRule="exact"/>
        <w:rPr>
          <w:sz w:val="20"/>
          <w:szCs w:val="20"/>
          <w:color w:val="auto"/>
        </w:rPr>
      </w:pPr>
    </w:p>
    <w:p>
      <w:pPr>
        <w:jc w:val="right"/>
        <w:ind w:left="1380" w:right="2360" w:hanging="643"/>
        <w:spacing w:after="0" w:line="275" w:lineRule="auto"/>
        <w:tabs>
          <w:tab w:leader="none" w:pos="103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Aggregate fair market value of Additional Critical Assets acquired by [_____________] on [________] (determined on the applicable acquisition date, without giving subsequent effect to</w:t>
      </w:r>
    </w:p>
    <w:p>
      <w:pPr>
        <w:spacing w:after="0" w:line="1" w:lineRule="exact"/>
        <w:rPr>
          <w:sz w:val="20"/>
          <w:szCs w:val="20"/>
          <w:color w:val="auto"/>
        </w:rPr>
      </w:pPr>
    </w:p>
    <w:p>
      <w:pPr>
        <w:ind w:left="1380"/>
        <w:spacing w:after="0"/>
        <w:tabs>
          <w:tab w:leader="none" w:pos="9140" w:val="left"/>
        </w:tabs>
        <w:rPr>
          <w:sz w:val="20"/>
          <w:szCs w:val="20"/>
          <w:color w:val="auto"/>
        </w:rPr>
      </w:pPr>
      <w:r>
        <w:rPr>
          <w:rFonts w:ascii="Arial" w:cs="Arial" w:eastAsia="Arial" w:hAnsi="Arial"/>
          <w:sz w:val="20"/>
          <w:szCs w:val="20"/>
          <w:color w:val="auto"/>
        </w:rPr>
        <w:t>increases or decreases in value):</w:t>
      </w:r>
      <w:r>
        <w:rPr>
          <w:sz w:val="20"/>
          <w:szCs w:val="20"/>
          <w:color w:val="auto"/>
        </w:rPr>
        <w:tab/>
      </w:r>
      <w:r>
        <w:rPr>
          <w:rFonts w:ascii="Arial" w:cs="Arial" w:eastAsia="Arial" w:hAnsi="Arial"/>
          <w:sz w:val="16"/>
          <w:szCs w:val="16"/>
          <w:color w:val="auto"/>
        </w:rPr>
        <w:t>$ _____________</w:t>
      </w:r>
    </w:p>
    <w:p>
      <w:pPr>
        <w:spacing w:after="0" w:line="92" w:lineRule="exact"/>
        <w:rPr>
          <w:sz w:val="20"/>
          <w:szCs w:val="20"/>
          <w:color w:val="auto"/>
        </w:rPr>
      </w:pPr>
    </w:p>
    <w:p>
      <w:pPr>
        <w:jc w:val="right"/>
        <w:ind w:left="1380" w:right="2360" w:hanging="643"/>
        <w:spacing w:after="0" w:line="278" w:lineRule="auto"/>
        <w:tabs>
          <w:tab w:leader="none" w:pos="109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Aggregate fair market value of all other Additional Critical Assets owned by Unrestricted Subsidiaries (determined on the applicable acquisition date, without giving subsequent effect to</w:t>
      </w:r>
    </w:p>
    <w:p>
      <w:pPr>
        <w:sectPr>
          <w:pgSz w:w="11900" w:h="16838" w:orient="portrait"/>
          <w:cols w:equalWidth="0" w:num="1">
            <w:col w:w="11420"/>
          </w:cols>
          <w:pgMar w:left="240" w:top="576" w:right="239" w:bottom="1440" w:gutter="0" w:footer="0" w:header="0"/>
        </w:sectPr>
      </w:pPr>
    </w:p>
    <w:p>
      <w:pPr>
        <w:ind w:left="1380"/>
        <w:spacing w:after="0"/>
        <w:rPr>
          <w:sz w:val="20"/>
          <w:szCs w:val="20"/>
          <w:color w:val="auto"/>
        </w:rPr>
      </w:pPr>
      <w:r>
        <w:rPr>
          <w:rFonts w:ascii="Arial" w:cs="Arial" w:eastAsia="Arial" w:hAnsi="Arial"/>
          <w:sz w:val="16"/>
          <w:szCs w:val="16"/>
          <w:color w:val="auto"/>
        </w:rPr>
        <w:t xml:space="preserve">increases or decreases in value) (the sum of </w:t>
      </w:r>
      <w:r>
        <w:rPr>
          <w:rFonts w:ascii="Arial" w:cs="Arial" w:eastAsia="Arial" w:hAnsi="Arial"/>
          <w:sz w:val="16"/>
          <w:szCs w:val="16"/>
          <w:b w:val="1"/>
          <w:bCs w:val="1"/>
          <w:i w:val="1"/>
          <w:iCs w:val="1"/>
          <w:color w:val="auto"/>
        </w:rPr>
        <w:t>Items 9.7(b)(ii)(A)</w:t>
      </w:r>
      <w:r>
        <w:rPr>
          <w:rFonts w:ascii="Arial" w:cs="Arial" w:eastAsia="Arial" w:hAnsi="Arial"/>
          <w:sz w:val="16"/>
          <w:szCs w:val="16"/>
          <w:color w:val="auto"/>
        </w:rPr>
        <w:t xml:space="preserve"> through </w:t>
      </w:r>
      <w:r>
        <w:rPr>
          <w:rFonts w:ascii="Arial" w:cs="Arial" w:eastAsia="Arial" w:hAnsi="Arial"/>
          <w:sz w:val="16"/>
          <w:szCs w:val="16"/>
          <w:b w:val="1"/>
          <w:bCs w:val="1"/>
          <w:i w:val="1"/>
          <w:iCs w:val="1"/>
          <w:color w:val="auto"/>
        </w:rPr>
        <w:t>9.7(b)(ii)(N)</w:t>
      </w:r>
      <w:r>
        <w:rPr>
          <w:rFonts w:ascii="Arial" w:cs="Arial" w:eastAsia="Arial" w:hAnsi="Arial"/>
          <w:sz w:val="16"/>
          <w:szCs w:val="16"/>
          <w:color w:val="auto"/>
        </w:rPr>
        <w:t xml:space="preserve"> below):</w:t>
      </w:r>
    </w:p>
    <w:p>
      <w:pPr>
        <w:spacing w:after="0" w:line="106"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(A) Gros Ventre Utility Company</w:t>
      </w:r>
    </w:p>
    <w:p>
      <w:pPr>
        <w:spacing w:after="0" w:line="81"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(B) Eagle Park Reservoir Company</w:t>
      </w:r>
    </w:p>
    <w:p>
      <w:pPr>
        <w:spacing w:after="0" w:line="81"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(C) First Chair Housing Trustee, LLC</w:t>
      </w:r>
    </w:p>
    <w:p>
      <w:pPr>
        <w:spacing w:after="0" w:line="81"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(D) Forest Ridge Holdings, Inc.</w:t>
      </w:r>
    </w:p>
    <w:p>
      <w:pPr>
        <w:spacing w:after="0" w:line="81"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(E) Gore Creek Place, LLC</w:t>
      </w:r>
    </w:p>
    <w:p>
      <w:pPr>
        <w:spacing w:after="0" w:line="81"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(F) Hunkidori Land Company, LLC</w:t>
      </w:r>
    </w:p>
    <w:p>
      <w:pPr>
        <w:spacing w:after="0" w:line="81"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(G) TCRM Company</w:t>
      </w:r>
    </w:p>
    <w:p>
      <w:pPr>
        <w:spacing w:after="0" w:line="81"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(H) Stagecoach Development, LLC</w:t>
      </w:r>
    </w:p>
    <w:p>
      <w:pPr>
        <w:spacing w:after="0" w:line="81"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(I) Black Diamond Insurance, Inc.</w:t>
      </w:r>
    </w:p>
    <w:p>
      <w:pPr>
        <w:spacing w:after="0" w:line="81"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(J) Ever Vail, LLC</w:t>
      </w:r>
    </w:p>
    <w:p>
      <w:pPr>
        <w:spacing w:after="0" w:line="81"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(K) Larkspur Restaurant &amp; Bar, LLC</w:t>
      </w:r>
    </w:p>
    <w:p>
      <w:pPr>
        <w:spacing w:after="0" w:line="81"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(L) Mountain Thunder,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1991360</wp:posOffset>
            </wp:positionV>
            <wp:extent cx="285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820"/>
        <w:spacing w:after="0" w:line="410" w:lineRule="auto"/>
        <w:rPr>
          <w:sz w:val="20"/>
          <w:szCs w:val="20"/>
          <w:color w:val="auto"/>
        </w:rPr>
      </w:pPr>
      <w:r>
        <w:rPr>
          <w:rFonts w:ascii="Arial" w:cs="Arial" w:eastAsia="Arial" w:hAnsi="Arial"/>
          <w:sz w:val="16"/>
          <w:szCs w:val="16"/>
          <w:color w:val="auto"/>
        </w:rPr>
        <w:t>$ _____________ $ _____________ $ _____________ $ _____________ $ _____________ $ _____________ $ _____________ $ _____________ $ _____________ $ _____________ $ _____________ $ _____________ $ _____________</w:t>
      </w:r>
    </w:p>
    <w:p>
      <w:pPr>
        <w:spacing w:after="0" w:line="200" w:lineRule="exact"/>
        <w:rPr>
          <w:sz w:val="20"/>
          <w:szCs w:val="20"/>
          <w:color w:val="auto"/>
        </w:rPr>
      </w:pPr>
    </w:p>
    <w:p>
      <w:pPr>
        <w:sectPr>
          <w:pgSz w:w="11900" w:h="16838" w:orient="portrait"/>
          <w:cols w:equalWidth="0" w:num="2">
            <w:col w:w="8720" w:space="440"/>
            <w:col w:w="2260"/>
          </w:cols>
          <w:pgMar w:left="240" w:top="57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firstLine="8"/>
        <w:spacing w:after="0" w:line="236" w:lineRule="auto"/>
        <w:tabs>
          <w:tab w:leader="none" w:pos="116" w:val="left"/>
        </w:tabs>
        <w:numPr>
          <w:ilvl w:val="0"/>
          <w:numId w:val="202"/>
        </w:numPr>
        <w:rPr>
          <w:rFonts w:ascii="Arial" w:cs="Arial" w:eastAsia="Arial" w:hAnsi="Arial"/>
          <w:sz w:val="25"/>
          <w:szCs w:val="25"/>
          <w:color w:val="auto"/>
          <w:vertAlign w:val="superscript"/>
        </w:rPr>
      </w:pPr>
      <w:r>
        <w:rPr>
          <w:rFonts w:ascii="Arial" w:cs="Arial" w:eastAsia="Arial" w:hAnsi="Arial"/>
          <w:sz w:val="18"/>
          <w:szCs w:val="18"/>
          <w:color w:val="auto"/>
        </w:rPr>
        <w:t>To be calculated for each acquisition of Additional Critical Assets at the time of such acquisition. Note: the assets of the Whistler Acquisition Subsidiaries are not to be deemed “Critical Assets” under the Credit Agreement.</w:t>
      </w:r>
    </w:p>
    <w:p>
      <w:pPr>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Insert the name of applicable Unrestricted Subsidiary and the date of the applicable acquisition.</w:t>
      </w:r>
    </w:p>
    <w:p>
      <w:pPr>
        <w:sectPr>
          <w:pgSz w:w="11900" w:h="16838" w:orient="portrait"/>
          <w:cols w:equalWidth="0" w:num="1">
            <w:col w:w="11420"/>
          </w:cols>
          <w:pgMar w:left="240" w:top="576" w:right="239" w:bottom="1440" w:gutter="0" w:footer="0" w:header="0"/>
          <w:type w:val="continuous"/>
        </w:sectPr>
      </w:pPr>
    </w:p>
    <w:bookmarkStart w:id="220" w:name="page221"/>
    <w:bookmarkEnd w:id="220"/>
    <w:p>
      <w:pPr>
        <w:ind w:left="997" w:hanging="348"/>
        <w:spacing w:after="0"/>
        <w:tabs>
          <w:tab w:leader="none" w:pos="997" w:val="left"/>
        </w:tabs>
        <w:numPr>
          <w:ilvl w:val="1"/>
          <w:numId w:val="203"/>
        </w:numPr>
        <w:rPr>
          <w:rFonts w:ascii="Arial" w:cs="Arial" w:eastAsia="Arial" w:hAnsi="Arial"/>
          <w:sz w:val="20"/>
          <w:szCs w:val="20"/>
          <w:color w:val="auto"/>
        </w:rPr>
      </w:pPr>
      <w:r>
        <w:rPr>
          <w:rFonts w:ascii="Arial" w:cs="Arial" w:eastAsia="Arial" w:hAnsi="Arial"/>
          <w:sz w:val="20"/>
          <w:szCs w:val="20"/>
          <w:color w:val="auto"/>
        </w:rPr>
        <w:t>One River Run, LLC</w:t>
      </w:r>
    </w:p>
    <w:p>
      <w:pPr>
        <w:spacing w:after="0" w:line="80" w:lineRule="exact"/>
        <w:rPr>
          <w:rFonts w:ascii="Arial" w:cs="Arial" w:eastAsia="Arial" w:hAnsi="Arial"/>
          <w:sz w:val="20"/>
          <w:szCs w:val="20"/>
          <w:color w:val="auto"/>
        </w:rPr>
      </w:pPr>
    </w:p>
    <w:p>
      <w:pPr>
        <w:ind w:left="977" w:hanging="328"/>
        <w:spacing w:after="0"/>
        <w:tabs>
          <w:tab w:leader="none" w:pos="977" w:val="left"/>
        </w:tabs>
        <w:numPr>
          <w:ilvl w:val="1"/>
          <w:numId w:val="203"/>
        </w:numPr>
        <w:rPr>
          <w:rFonts w:ascii="Arial" w:cs="Arial" w:eastAsia="Arial" w:hAnsi="Arial"/>
          <w:sz w:val="20"/>
          <w:szCs w:val="20"/>
          <w:color w:val="auto"/>
        </w:rPr>
      </w:pPr>
      <w:r>
        <w:rPr>
          <w:rFonts w:ascii="Arial" w:cs="Arial" w:eastAsia="Arial" w:hAnsi="Arial"/>
          <w:sz w:val="20"/>
          <w:szCs w:val="20"/>
          <w:color w:val="auto"/>
        </w:rPr>
        <w:t>Other Unrestricted Subsidiaries not listed above</w:t>
      </w:r>
    </w:p>
    <w:p>
      <w:pPr>
        <w:spacing w:after="0" w:line="107" w:lineRule="exact"/>
        <w:rPr>
          <w:rFonts w:ascii="Arial" w:cs="Arial" w:eastAsia="Arial" w:hAnsi="Arial"/>
          <w:sz w:val="20"/>
          <w:szCs w:val="20"/>
          <w:color w:val="auto"/>
        </w:rPr>
      </w:pPr>
    </w:p>
    <w:p>
      <w:pPr>
        <w:jc w:val="right"/>
        <w:ind w:left="657" w:hanging="657"/>
        <w:spacing w:after="0" w:line="272" w:lineRule="auto"/>
        <w:tabs>
          <w:tab w:leader="none" w:pos="39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Aggregate fair market value of the applicable acquired Additional Critical Assets and all other Additional Critical Assets owned by Unrestricted Subsidiaries (determined on the applicable acquisition date, without giving subsequent effect to increases or decreases in value) (</w:t>
      </w:r>
      <w:r>
        <w:rPr>
          <w:rFonts w:ascii="Arial" w:cs="Arial" w:eastAsia="Arial" w:hAnsi="Arial"/>
          <w:sz w:val="18"/>
          <w:szCs w:val="18"/>
          <w:b w:val="1"/>
          <w:bCs w:val="1"/>
          <w:i w:val="1"/>
          <w:iCs w:val="1"/>
          <w:color w:val="auto"/>
        </w:rPr>
        <w:t>Item 9.7(b)</w:t>
      </w:r>
    </w:p>
    <w:p>
      <w:pPr>
        <w:spacing w:after="0" w:line="1" w:lineRule="exact"/>
        <w:rPr>
          <w:rFonts w:ascii="Arial" w:cs="Arial" w:eastAsia="Arial" w:hAnsi="Arial"/>
          <w:sz w:val="18"/>
          <w:szCs w:val="18"/>
          <w:color w:val="auto"/>
        </w:rPr>
      </w:pPr>
    </w:p>
    <w:p>
      <w:pPr>
        <w:ind w:left="657"/>
        <w:spacing w:after="0"/>
        <w:rPr>
          <w:rFonts w:ascii="Arial" w:cs="Arial" w:eastAsia="Arial" w:hAnsi="Arial"/>
          <w:sz w:val="18"/>
          <w:szCs w:val="18"/>
          <w:color w:val="auto"/>
        </w:rPr>
      </w:pPr>
      <w:r>
        <w:rPr>
          <w:rFonts w:ascii="Arial" w:cs="Arial" w:eastAsia="Arial" w:hAnsi="Arial"/>
          <w:sz w:val="20"/>
          <w:szCs w:val="20"/>
          <w:b w:val="1"/>
          <w:bCs w:val="1"/>
          <w:i w:val="1"/>
          <w:iCs w:val="1"/>
          <w:color w:val="auto"/>
        </w:rPr>
        <w:t xml:space="preserve">(i) </w:t>
      </w:r>
      <w:r>
        <w:rPr>
          <w:rFonts w:ascii="Arial" w:cs="Arial" w:eastAsia="Arial" w:hAnsi="Arial"/>
          <w:sz w:val="20"/>
          <w:szCs w:val="20"/>
          <w:u w:val="single" w:color="auto"/>
          <w:color w:val="auto"/>
        </w:rPr>
        <w:t>plus</w:t>
      </w:r>
      <w:r>
        <w:rPr>
          <w:rFonts w:ascii="Arial" w:cs="Arial" w:eastAsia="Arial" w:hAnsi="Arial"/>
          <w:sz w:val="20"/>
          <w:szCs w:val="20"/>
          <w:b w:val="1"/>
          <w:bCs w:val="1"/>
          <w:i w:val="1"/>
          <w:iCs w:val="1"/>
          <w:color w:val="auto"/>
        </w:rPr>
        <w:t xml:space="preserve"> Item 9.7(b)(ii)</w:t>
      </w:r>
      <w:r>
        <w:rPr>
          <w:rFonts w:ascii="Arial" w:cs="Arial" w:eastAsia="Arial" w:hAnsi="Arial"/>
          <w:sz w:val="20"/>
          <w:szCs w:val="20"/>
          <w:color w:val="auto"/>
        </w:rPr>
        <w:t>):</w:t>
      </w:r>
    </w:p>
    <w:p>
      <w:pPr>
        <w:spacing w:after="0" w:line="64" w:lineRule="exact"/>
        <w:rPr>
          <w:rFonts w:ascii="Arial" w:cs="Arial" w:eastAsia="Arial" w:hAnsi="Arial"/>
          <w:sz w:val="18"/>
          <w:szCs w:val="18"/>
          <w:color w:val="auto"/>
        </w:rPr>
      </w:pPr>
    </w:p>
    <w:p>
      <w:pPr>
        <w:ind w:left="657" w:right="20" w:hanging="657"/>
        <w:spacing w:after="0" w:line="260" w:lineRule="auto"/>
        <w:tabs>
          <w:tab w:leader="none" w:pos="370" w:val="left"/>
        </w:tabs>
        <w:numPr>
          <w:ilvl w:val="0"/>
          <w:numId w:val="204"/>
        </w:numPr>
        <w:rPr>
          <w:rFonts w:ascii="Arial" w:cs="Arial" w:eastAsia="Arial" w:hAnsi="Arial"/>
          <w:sz w:val="20"/>
          <w:szCs w:val="20"/>
          <w:color w:val="auto"/>
        </w:rPr>
      </w:pPr>
      <w:r>
        <w:rPr>
          <w:rFonts w:ascii="Arial" w:cs="Arial" w:eastAsia="Arial" w:hAnsi="Arial"/>
          <w:sz w:val="20"/>
          <w:szCs w:val="20"/>
          <w:color w:val="auto"/>
        </w:rPr>
        <w:t>Total Assets, on a consolidated basis (determined as of the end of the most-recently-ended fiscal quarter):</w:t>
      </w:r>
    </w:p>
    <w:p>
      <w:pPr>
        <w:spacing w:after="0" w:line="68" w:lineRule="exact"/>
        <w:rPr>
          <w:rFonts w:ascii="Arial" w:cs="Arial" w:eastAsia="Arial" w:hAnsi="Arial"/>
          <w:sz w:val="20"/>
          <w:szCs w:val="20"/>
          <w:color w:val="auto"/>
        </w:rPr>
      </w:pPr>
    </w:p>
    <w:p>
      <w:pPr>
        <w:ind w:left="277" w:hanging="277"/>
        <w:spacing w:after="0"/>
        <w:tabs>
          <w:tab w:leader="none" w:pos="277" w:val="left"/>
        </w:tabs>
        <w:numPr>
          <w:ilvl w:val="0"/>
          <w:numId w:val="204"/>
        </w:numPr>
        <w:rPr>
          <w:rFonts w:ascii="Arial" w:cs="Arial" w:eastAsia="Arial" w:hAnsi="Arial"/>
          <w:sz w:val="20"/>
          <w:szCs w:val="20"/>
          <w:color w:val="auto"/>
        </w:rPr>
      </w:pPr>
      <w:r>
        <w:rPr>
          <w:rFonts w:ascii="Arial" w:cs="Arial" w:eastAsia="Arial" w:hAnsi="Arial"/>
          <w:sz w:val="20"/>
          <w:szCs w:val="20"/>
          <w:color w:val="auto"/>
        </w:rPr>
        <w:t>10% of Total Assets (</w:t>
      </w:r>
      <w:r>
        <w:rPr>
          <w:rFonts w:ascii="Arial" w:cs="Arial" w:eastAsia="Arial" w:hAnsi="Arial"/>
          <w:sz w:val="20"/>
          <w:szCs w:val="20"/>
          <w:b w:val="1"/>
          <w:bCs w:val="1"/>
          <w:i w:val="1"/>
          <w:iCs w:val="1"/>
          <w:color w:val="auto"/>
        </w:rPr>
        <w:t>Item 9.7(b)(iv)</w:t>
      </w: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jc w:val="right"/>
        <w:ind w:left="657" w:right="20" w:hanging="657"/>
        <w:spacing w:after="0" w:line="275" w:lineRule="auto"/>
        <w:tabs>
          <w:tab w:leader="none" w:pos="39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EBITDA of all Unrestricted Subsidiaries holding Additional Critical Assets on the applicable acquisition date, in each case for the most-recently-ended four fiscal quarters (the sum of </w:t>
      </w:r>
      <w:r>
        <w:rPr>
          <w:rFonts w:ascii="Arial" w:cs="Arial" w:eastAsia="Arial" w:hAnsi="Arial"/>
          <w:sz w:val="18"/>
          <w:szCs w:val="18"/>
          <w:b w:val="1"/>
          <w:bCs w:val="1"/>
          <w:i w:val="1"/>
          <w:iCs w:val="1"/>
          <w:color w:val="auto"/>
        </w:rPr>
        <w:t>Items</w:t>
      </w:r>
    </w:p>
    <w:p>
      <w:pPr>
        <w:ind w:left="657"/>
        <w:spacing w:after="0"/>
        <w:rPr>
          <w:rFonts w:ascii="Arial" w:cs="Arial" w:eastAsia="Arial" w:hAnsi="Arial"/>
          <w:sz w:val="18"/>
          <w:szCs w:val="18"/>
          <w:color w:val="auto"/>
        </w:rPr>
      </w:pPr>
      <w:r>
        <w:rPr>
          <w:rFonts w:ascii="Arial" w:cs="Arial" w:eastAsia="Arial" w:hAnsi="Arial"/>
          <w:sz w:val="20"/>
          <w:szCs w:val="20"/>
          <w:b w:val="1"/>
          <w:bCs w:val="1"/>
          <w:i w:val="1"/>
          <w:iCs w:val="1"/>
          <w:color w:val="auto"/>
        </w:rPr>
        <w:t xml:space="preserve">9.7(b)(vi)(A) </w:t>
      </w:r>
      <w:r>
        <w:rPr>
          <w:rFonts w:ascii="Arial" w:cs="Arial" w:eastAsia="Arial" w:hAnsi="Arial"/>
          <w:sz w:val="20"/>
          <w:szCs w:val="20"/>
          <w:color w:val="auto"/>
        </w:rPr>
        <w:t>through</w:t>
      </w:r>
      <w:r>
        <w:rPr>
          <w:rFonts w:ascii="Arial" w:cs="Arial" w:eastAsia="Arial" w:hAnsi="Arial"/>
          <w:sz w:val="20"/>
          <w:szCs w:val="20"/>
          <w:b w:val="1"/>
          <w:bCs w:val="1"/>
          <w:i w:val="1"/>
          <w:iCs w:val="1"/>
          <w:color w:val="auto"/>
        </w:rPr>
        <w:t xml:space="preserve"> 9.7(b)(vi)(__) </w:t>
      </w:r>
      <w:r>
        <w:rPr>
          <w:rFonts w:ascii="Arial" w:cs="Arial" w:eastAsia="Arial" w:hAnsi="Arial"/>
          <w:sz w:val="20"/>
          <w:szCs w:val="20"/>
          <w:color w:val="auto"/>
        </w:rPr>
        <w:t>below):</w:t>
      </w:r>
    </w:p>
    <w:p>
      <w:pPr>
        <w:spacing w:after="0" w:line="64" w:lineRule="exact"/>
        <w:rPr>
          <w:rFonts w:ascii="Arial" w:cs="Arial" w:eastAsia="Arial" w:hAnsi="Arial"/>
          <w:sz w:val="18"/>
          <w:szCs w:val="18"/>
          <w:color w:val="auto"/>
        </w:rPr>
      </w:pPr>
    </w:p>
    <w:p>
      <w:pPr>
        <w:ind w:left="977" w:hanging="328"/>
        <w:spacing w:after="0"/>
        <w:tabs>
          <w:tab w:leader="none" w:pos="977" w:val="left"/>
        </w:tabs>
        <w:numPr>
          <w:ilvl w:val="1"/>
          <w:numId w:val="204"/>
        </w:numPr>
        <w:rPr>
          <w:rFonts w:ascii="Arial" w:cs="Arial" w:eastAsia="Arial" w:hAnsi="Arial"/>
          <w:sz w:val="20"/>
          <w:szCs w:val="20"/>
          <w:color w:val="auto"/>
        </w:rPr>
      </w:pPr>
      <w:r>
        <w:rPr>
          <w:rFonts w:ascii="Arial" w:cs="Arial" w:eastAsia="Arial" w:hAnsi="Arial"/>
          <w:sz w:val="20"/>
          <w:szCs w:val="20"/>
          <w:color w:val="auto"/>
        </w:rPr>
        <w:t>[List applicable entities]</w:t>
      </w:r>
    </w:p>
    <w:p>
      <w:pPr>
        <w:spacing w:after="0" w:line="80" w:lineRule="exact"/>
        <w:rPr>
          <w:rFonts w:ascii="Arial" w:cs="Arial" w:eastAsia="Arial" w:hAnsi="Arial"/>
          <w:sz w:val="20"/>
          <w:szCs w:val="20"/>
          <w:color w:val="auto"/>
        </w:rPr>
      </w:pPr>
    </w:p>
    <w:p>
      <w:pPr>
        <w:ind w:left="397" w:hanging="397"/>
        <w:spacing w:after="0"/>
        <w:tabs>
          <w:tab w:leader="none" w:pos="397" w:val="left"/>
        </w:tabs>
        <w:numPr>
          <w:ilvl w:val="0"/>
          <w:numId w:val="204"/>
        </w:numPr>
        <w:rPr>
          <w:rFonts w:ascii="Arial" w:cs="Arial" w:eastAsia="Arial" w:hAnsi="Arial"/>
          <w:sz w:val="19"/>
          <w:szCs w:val="19"/>
          <w:color w:val="auto"/>
        </w:rPr>
      </w:pPr>
      <w:r>
        <w:rPr>
          <w:rFonts w:ascii="Arial" w:cs="Arial" w:eastAsia="Arial" w:hAnsi="Arial"/>
          <w:sz w:val="19"/>
          <w:szCs w:val="19"/>
          <w:color w:val="auto"/>
        </w:rPr>
        <w:t>Adjusted EBITDA, on a consolidated basis, for the most-recently-ended four fiscal quarters:</w:t>
      </w:r>
    </w:p>
    <w:p>
      <w:pPr>
        <w:spacing w:after="0" w:line="92" w:lineRule="exact"/>
        <w:rPr>
          <w:rFonts w:ascii="Arial" w:cs="Arial" w:eastAsia="Arial" w:hAnsi="Arial"/>
          <w:sz w:val="19"/>
          <w:szCs w:val="19"/>
          <w:color w:val="auto"/>
        </w:rPr>
      </w:pPr>
    </w:p>
    <w:p>
      <w:pPr>
        <w:ind w:left="437" w:hanging="437"/>
        <w:spacing w:after="0"/>
        <w:tabs>
          <w:tab w:leader="none" w:pos="43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10% of Adjusted EBITDA, on a consolidated basis, for the most-recently-ended four fiscal quarters:</w:t>
      </w:r>
    </w:p>
    <w:p>
      <w:pPr>
        <w:spacing w:after="0" w:line="130" w:lineRule="exact"/>
        <w:rPr>
          <w:rFonts w:ascii="Arial" w:cs="Arial" w:eastAsia="Arial" w:hAnsi="Arial"/>
          <w:sz w:val="18"/>
          <w:szCs w:val="18"/>
          <w:color w:val="auto"/>
        </w:rPr>
      </w:pPr>
    </w:p>
    <w:p>
      <w:pPr>
        <w:ind w:left="657" w:hanging="657"/>
        <w:spacing w:after="0" w:line="242" w:lineRule="auto"/>
        <w:tabs>
          <w:tab w:leader="none" w:pos="357" w:val="left"/>
        </w:tabs>
        <w:numPr>
          <w:ilvl w:val="0"/>
          <w:numId w:val="204"/>
        </w:numPr>
        <w:rPr>
          <w:rFonts w:ascii="Arial" w:cs="Arial" w:eastAsia="Arial" w:hAnsi="Arial"/>
          <w:sz w:val="20"/>
          <w:szCs w:val="20"/>
          <w:color w:val="auto"/>
        </w:rPr>
      </w:pPr>
      <w:r>
        <w:rPr>
          <w:rFonts w:ascii="Arial" w:cs="Arial" w:eastAsia="Arial" w:hAnsi="Arial"/>
          <w:sz w:val="20"/>
          <w:szCs w:val="20"/>
          <w:color w:val="auto"/>
        </w:rPr>
        <w:t>On the date of the applicable acquisition, (a) was the aggregate fair market value of the applicable acquired Additional Critical Assets and all other Additional Critical Assets owned by Unrestricted Subsidiaries (determined on the applicable acquisition date, without giving subsequent effect to increases or decreases in value) (</w:t>
      </w:r>
      <w:r>
        <w:rPr>
          <w:rFonts w:ascii="Arial" w:cs="Arial" w:eastAsia="Arial" w:hAnsi="Arial"/>
          <w:sz w:val="20"/>
          <w:szCs w:val="20"/>
          <w:b w:val="1"/>
          <w:bCs w:val="1"/>
          <w:i w:val="1"/>
          <w:iCs w:val="1"/>
          <w:color w:val="auto"/>
        </w:rPr>
        <w:t>Item 9.7(b)(iii)</w:t>
      </w:r>
      <w:r>
        <w:rPr>
          <w:rFonts w:ascii="Arial" w:cs="Arial" w:eastAsia="Arial" w:hAnsi="Arial"/>
          <w:sz w:val="20"/>
          <w:szCs w:val="20"/>
          <w:color w:val="auto"/>
        </w:rPr>
        <w:t>), equal to or less than 10% of Total Assets (</w:t>
      </w:r>
      <w:r>
        <w:rPr>
          <w:rFonts w:ascii="Arial" w:cs="Arial" w:eastAsia="Arial" w:hAnsi="Arial"/>
          <w:sz w:val="20"/>
          <w:szCs w:val="20"/>
          <w:b w:val="1"/>
          <w:bCs w:val="1"/>
          <w:i w:val="1"/>
          <w:iCs w:val="1"/>
          <w:color w:val="auto"/>
        </w:rPr>
        <w:t>Item 9.7(b)(v)</w:t>
      </w:r>
      <w:r>
        <w:rPr>
          <w:rFonts w:ascii="Arial" w:cs="Arial" w:eastAsia="Arial" w:hAnsi="Arial"/>
          <w:sz w:val="20"/>
          <w:szCs w:val="20"/>
          <w:color w:val="auto"/>
        </w:rPr>
        <w:t>), and (b) was the EBITDA of all Unrestricted Subsidiaries holding Additional Critical Assets on the applicable acquisition date (</w:t>
      </w:r>
      <w:r>
        <w:rPr>
          <w:rFonts w:ascii="Arial" w:cs="Arial" w:eastAsia="Arial" w:hAnsi="Arial"/>
          <w:sz w:val="20"/>
          <w:szCs w:val="20"/>
          <w:b w:val="1"/>
          <w:bCs w:val="1"/>
          <w:i w:val="1"/>
          <w:iCs w:val="1"/>
          <w:color w:val="auto"/>
        </w:rPr>
        <w:t>Item 9.7(b)(vi)</w:t>
      </w:r>
      <w:r>
        <w:rPr>
          <w:rFonts w:ascii="Arial" w:cs="Arial" w:eastAsia="Arial" w:hAnsi="Arial"/>
          <w:sz w:val="20"/>
          <w:szCs w:val="20"/>
          <w:color w:val="auto"/>
        </w:rPr>
        <w:t>), equal to or less than 10% of Adjusted EBITDA, on a consolidated basis, for the most-recently-ended four fiscal quarters (</w:t>
      </w:r>
      <w:r>
        <w:rPr>
          <w:rFonts w:ascii="Arial" w:cs="Arial" w:eastAsia="Arial" w:hAnsi="Arial"/>
          <w:sz w:val="20"/>
          <w:szCs w:val="20"/>
          <w:b w:val="1"/>
          <w:bCs w:val="1"/>
          <w:i w:val="1"/>
          <w:iCs w:val="1"/>
          <w:color w:val="auto"/>
        </w:rPr>
        <w:t>Item 9.7(b)(viii)</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ind w:left="141" w:hanging="141"/>
        <w:spacing w:after="0"/>
        <w:tabs>
          <w:tab w:leader="none" w:pos="141" w:val="left"/>
        </w:tabs>
        <w:numPr>
          <w:ilvl w:val="0"/>
          <w:numId w:val="205"/>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41" w:hanging="141"/>
        <w:spacing w:after="0"/>
        <w:tabs>
          <w:tab w:leader="none" w:pos="141" w:val="left"/>
        </w:tabs>
        <w:numPr>
          <w:ilvl w:val="0"/>
          <w:numId w:val="205"/>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
        <w:spacing w:after="0"/>
        <w:rPr>
          <w:sz w:val="20"/>
          <w:szCs w:val="20"/>
          <w:color w:val="auto"/>
        </w:rPr>
      </w:pPr>
      <w:r>
        <w:rPr>
          <w:rFonts w:ascii="Arial" w:cs="Arial" w:eastAsia="Arial" w:hAnsi="Arial"/>
          <w:sz w:val="16"/>
          <w:szCs w:val="16"/>
          <w:color w:val="auto"/>
        </w:rPr>
        <w:t>$ _____________</w:t>
      </w:r>
    </w:p>
    <w:p>
      <w:pPr>
        <w:spacing w:after="0" w:line="356" w:lineRule="exact"/>
        <w:rPr>
          <w:sz w:val="20"/>
          <w:szCs w:val="20"/>
          <w:color w:val="auto"/>
        </w:rPr>
      </w:pPr>
    </w:p>
    <w:p>
      <w:pPr>
        <w:ind w:left="141" w:hanging="141"/>
        <w:spacing w:after="0"/>
        <w:tabs>
          <w:tab w:leader="none" w:pos="141" w:val="left"/>
        </w:tabs>
        <w:numPr>
          <w:ilvl w:val="0"/>
          <w:numId w:val="206"/>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53" w:lineRule="exact"/>
        <w:rPr>
          <w:rFonts w:ascii="Arial" w:cs="Arial" w:eastAsia="Arial" w:hAnsi="Arial"/>
          <w:sz w:val="16"/>
          <w:szCs w:val="16"/>
          <w:color w:val="auto"/>
        </w:rPr>
      </w:pPr>
    </w:p>
    <w:p>
      <w:pPr>
        <w:ind w:left="141" w:hanging="141"/>
        <w:spacing w:after="0"/>
        <w:tabs>
          <w:tab w:leader="none" w:pos="141" w:val="left"/>
        </w:tabs>
        <w:numPr>
          <w:ilvl w:val="0"/>
          <w:numId w:val="206"/>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41" w:hanging="141"/>
        <w:spacing w:after="0"/>
        <w:tabs>
          <w:tab w:leader="none" w:pos="141" w:val="left"/>
        </w:tabs>
        <w:numPr>
          <w:ilvl w:val="0"/>
          <w:numId w:val="207"/>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41" w:hanging="141"/>
        <w:spacing w:after="0"/>
        <w:tabs>
          <w:tab w:leader="none" w:pos="141" w:val="left"/>
        </w:tabs>
        <w:numPr>
          <w:ilvl w:val="0"/>
          <w:numId w:val="207"/>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41" w:hanging="141"/>
        <w:spacing w:after="0"/>
        <w:tabs>
          <w:tab w:leader="none" w:pos="141" w:val="left"/>
        </w:tabs>
        <w:numPr>
          <w:ilvl w:val="0"/>
          <w:numId w:val="207"/>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41" w:hanging="141"/>
        <w:spacing w:after="0"/>
        <w:tabs>
          <w:tab w:leader="none" w:pos="141" w:val="left"/>
        </w:tabs>
        <w:numPr>
          <w:ilvl w:val="0"/>
          <w:numId w:val="207"/>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
        <w:spacing w:after="0"/>
        <w:rPr>
          <w:sz w:val="20"/>
          <w:szCs w:val="20"/>
          <w:color w:val="auto"/>
        </w:rPr>
      </w:pPr>
      <w:r>
        <w:rPr>
          <w:rFonts w:ascii="Arial" w:cs="Arial" w:eastAsia="Arial" w:hAnsi="Arial"/>
          <w:sz w:val="20"/>
          <w:szCs w:val="20"/>
          <w:color w:val="auto"/>
        </w:rPr>
        <w:t>Yes/No</w:t>
      </w:r>
    </w:p>
    <w:p>
      <w:pPr>
        <w:sectPr>
          <w:pgSz w:w="11900" w:h="16838" w:orient="portrait"/>
          <w:cols w:equalWidth="0" w:num="2">
            <w:col w:w="8437" w:space="99"/>
            <w:col w:w="1441"/>
          </w:cols>
          <w:pgMar w:left="923" w:top="744" w:right="999" w:bottom="1440" w:gutter="0" w:footer="0" w:header="0"/>
        </w:sectPr>
      </w:pPr>
    </w:p>
    <w:bookmarkStart w:id="221" w:name="page222"/>
    <w:bookmarkEnd w:id="221"/>
    <w:p>
      <w:pPr>
        <w:spacing w:after="0"/>
        <w:rPr>
          <w:sz w:val="20"/>
          <w:szCs w:val="20"/>
          <w:color w:val="auto"/>
        </w:rPr>
      </w:pPr>
      <w:r>
        <w:rPr>
          <w:rFonts w:ascii="Arial" w:cs="Arial" w:eastAsia="Arial" w:hAnsi="Arial"/>
          <w:sz w:val="20"/>
          <w:szCs w:val="20"/>
          <w:b w:val="1"/>
          <w:bCs w:val="1"/>
          <w:color w:val="auto"/>
        </w:rPr>
        <w:t>10.8(l) INVESTMENTS IN SIMILAR BUSINESSES</w:t>
      </w:r>
    </w:p>
    <w:p>
      <w:pPr>
        <w:spacing w:after="0" w:line="114" w:lineRule="exact"/>
        <w:rPr>
          <w:sz w:val="20"/>
          <w:szCs w:val="20"/>
          <w:color w:val="auto"/>
        </w:rPr>
      </w:pPr>
    </w:p>
    <w:p>
      <w:pPr>
        <w:ind w:left="1240" w:hanging="643"/>
        <w:spacing w:after="0" w:line="271" w:lineRule="auto"/>
        <w:tabs>
          <w:tab w:leader="none" w:pos="82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Loans, advances, and investments in Similar Businesses during the Subject Period (including, without limitation, any loans, advances, and investments made in any Unrestricted Subsidiaries in a Similar Business and the amount of any Permitted Recourse Obligations constituting Debt and other credit support and contingent obligations with respect to Debt of such Unrestricted Subsidiaries) (excluding, for the avoidance of doubt, such loans, advances and investments made pursuant to </w:t>
      </w:r>
      <w:r>
        <w:rPr>
          <w:rFonts w:ascii="Arial" w:cs="Arial" w:eastAsia="Arial" w:hAnsi="Arial"/>
          <w:sz w:val="18"/>
          <w:szCs w:val="18"/>
          <w:i w:val="1"/>
          <w:iCs w:val="1"/>
          <w:color w:val="auto"/>
        </w:rPr>
        <w:t>Section 10.8(t)</w:t>
      </w:r>
      <w:r>
        <w:rPr>
          <w:rFonts w:ascii="Arial" w:cs="Arial" w:eastAsia="Arial" w:hAnsi="Arial"/>
          <w:sz w:val="18"/>
          <w:szCs w:val="18"/>
          <w:color w:val="auto"/>
        </w:rPr>
        <w:t xml:space="preserve"> of the Credit Agreement) determined (x) with respect to each such loan and advance based on the value thereof on the date of determination, (y) with respect to each such investment based on the value thereof on the date made, and (z) with respect to each such Permitted Recourse Obligation constituting Debt and other credit support and contingent obligation based on the maximum potential financial exposure therefrom on the date of determination (the sum of </w:t>
      </w:r>
      <w:r>
        <w:rPr>
          <w:rFonts w:ascii="Arial" w:cs="Arial" w:eastAsia="Arial" w:hAnsi="Arial"/>
          <w:sz w:val="18"/>
          <w:szCs w:val="18"/>
          <w:b w:val="1"/>
          <w:bCs w:val="1"/>
          <w:i w:val="1"/>
          <w:iCs w:val="1"/>
          <w:color w:val="auto"/>
        </w:rPr>
        <w:t>Items 10.8(l)(i)(A)</w:t>
      </w:r>
      <w:r>
        <w:rPr>
          <w:rFonts w:ascii="Arial" w:cs="Arial" w:eastAsia="Arial" w:hAnsi="Arial"/>
          <w:sz w:val="18"/>
          <w:szCs w:val="18"/>
          <w:color w:val="auto"/>
        </w:rPr>
        <w:t xml:space="preserve"> through </w:t>
      </w:r>
      <w:r>
        <w:rPr>
          <w:rFonts w:ascii="Arial" w:cs="Arial" w:eastAsia="Arial" w:hAnsi="Arial"/>
          <w:sz w:val="18"/>
          <w:szCs w:val="18"/>
          <w:b w:val="1"/>
          <w:bCs w:val="1"/>
          <w:i w:val="1"/>
          <w:iCs w:val="1"/>
          <w:color w:val="auto"/>
        </w:rPr>
        <w:t>10.8(l)(i)(N)</w:t>
      </w:r>
      <w:r>
        <w:rPr>
          <w:rFonts w:ascii="Arial" w:cs="Arial" w:eastAsia="Arial" w:hAnsi="Arial"/>
          <w:sz w:val="18"/>
          <w:szCs w:val="18"/>
          <w:color w:val="auto"/>
        </w:rPr>
        <w:t xml:space="preserve"> below):</w:t>
      </w:r>
    </w:p>
    <w:p>
      <w:pPr>
        <w:spacing w:after="0" w:line="35" w:lineRule="exact"/>
        <w:rPr>
          <w:rFonts w:ascii="Arial" w:cs="Arial" w:eastAsia="Arial" w:hAnsi="Arial"/>
          <w:sz w:val="18"/>
          <w:szCs w:val="18"/>
          <w:color w:val="auto"/>
        </w:rPr>
      </w:pPr>
    </w:p>
    <w:p>
      <w:pPr>
        <w:ind w:left="1560" w:hanging="314"/>
        <w:spacing w:after="0"/>
        <w:tabs>
          <w:tab w:leader="none" w:pos="1560" w:val="left"/>
        </w:tabs>
        <w:numPr>
          <w:ilvl w:val="1"/>
          <w:numId w:val="208"/>
        </w:numPr>
        <w:rPr>
          <w:rFonts w:ascii="Arial" w:cs="Arial" w:eastAsia="Arial" w:hAnsi="Arial"/>
          <w:sz w:val="20"/>
          <w:szCs w:val="20"/>
          <w:color w:val="auto"/>
        </w:rPr>
      </w:pPr>
      <w:r>
        <w:rPr>
          <w:rFonts w:ascii="Arial" w:cs="Arial" w:eastAsia="Arial" w:hAnsi="Arial"/>
          <w:sz w:val="20"/>
          <w:szCs w:val="20"/>
          <w:color w:val="auto"/>
        </w:rPr>
        <w:t>Gros Ventre Utility Company</w:t>
      </w:r>
    </w:p>
    <w:p>
      <w:pPr>
        <w:spacing w:after="0" w:line="80" w:lineRule="exact"/>
        <w:rPr>
          <w:rFonts w:ascii="Arial" w:cs="Arial" w:eastAsia="Arial" w:hAnsi="Arial"/>
          <w:sz w:val="20"/>
          <w:szCs w:val="20"/>
          <w:color w:val="auto"/>
        </w:rPr>
      </w:pPr>
    </w:p>
    <w:p>
      <w:pPr>
        <w:ind w:left="1560" w:hanging="314"/>
        <w:spacing w:after="0"/>
        <w:tabs>
          <w:tab w:leader="none" w:pos="1560" w:val="left"/>
        </w:tabs>
        <w:numPr>
          <w:ilvl w:val="1"/>
          <w:numId w:val="208"/>
        </w:numPr>
        <w:rPr>
          <w:rFonts w:ascii="Arial" w:cs="Arial" w:eastAsia="Arial" w:hAnsi="Arial"/>
          <w:sz w:val="20"/>
          <w:szCs w:val="20"/>
          <w:color w:val="auto"/>
        </w:rPr>
      </w:pPr>
      <w:r>
        <w:rPr>
          <w:rFonts w:ascii="Arial" w:cs="Arial" w:eastAsia="Arial" w:hAnsi="Arial"/>
          <w:sz w:val="20"/>
          <w:szCs w:val="20"/>
          <w:color w:val="auto"/>
        </w:rPr>
        <w:t>Eagle Park Reservoir Company</w:t>
      </w:r>
    </w:p>
    <w:p>
      <w:pPr>
        <w:spacing w:after="0" w:line="80" w:lineRule="exact"/>
        <w:rPr>
          <w:rFonts w:ascii="Arial" w:cs="Arial" w:eastAsia="Arial" w:hAnsi="Arial"/>
          <w:sz w:val="20"/>
          <w:szCs w:val="20"/>
          <w:color w:val="auto"/>
        </w:rPr>
      </w:pPr>
    </w:p>
    <w:p>
      <w:pPr>
        <w:ind w:left="1560" w:hanging="314"/>
        <w:spacing w:after="0"/>
        <w:tabs>
          <w:tab w:leader="none" w:pos="1560" w:val="left"/>
        </w:tabs>
        <w:numPr>
          <w:ilvl w:val="1"/>
          <w:numId w:val="208"/>
        </w:numPr>
        <w:rPr>
          <w:rFonts w:ascii="Arial" w:cs="Arial" w:eastAsia="Arial" w:hAnsi="Arial"/>
          <w:sz w:val="20"/>
          <w:szCs w:val="20"/>
          <w:color w:val="auto"/>
        </w:rPr>
      </w:pPr>
      <w:r>
        <w:rPr>
          <w:rFonts w:ascii="Arial" w:cs="Arial" w:eastAsia="Arial" w:hAnsi="Arial"/>
          <w:sz w:val="20"/>
          <w:szCs w:val="20"/>
          <w:color w:val="auto"/>
        </w:rPr>
        <w:t>First Chair Housing Trustee, LLC</w:t>
      </w:r>
    </w:p>
    <w:p>
      <w:pPr>
        <w:spacing w:after="0" w:line="80" w:lineRule="exact"/>
        <w:rPr>
          <w:rFonts w:ascii="Arial" w:cs="Arial" w:eastAsia="Arial" w:hAnsi="Arial"/>
          <w:sz w:val="20"/>
          <w:szCs w:val="20"/>
          <w:color w:val="auto"/>
        </w:rPr>
      </w:pPr>
    </w:p>
    <w:p>
      <w:pPr>
        <w:ind w:left="1560" w:hanging="314"/>
        <w:spacing w:after="0"/>
        <w:tabs>
          <w:tab w:leader="none" w:pos="1560" w:val="left"/>
        </w:tabs>
        <w:numPr>
          <w:ilvl w:val="1"/>
          <w:numId w:val="208"/>
        </w:numPr>
        <w:rPr>
          <w:rFonts w:ascii="Arial" w:cs="Arial" w:eastAsia="Arial" w:hAnsi="Arial"/>
          <w:sz w:val="20"/>
          <w:szCs w:val="20"/>
          <w:color w:val="auto"/>
        </w:rPr>
      </w:pPr>
      <w:r>
        <w:rPr>
          <w:rFonts w:ascii="Arial" w:cs="Arial" w:eastAsia="Arial" w:hAnsi="Arial"/>
          <w:sz w:val="20"/>
          <w:szCs w:val="20"/>
          <w:color w:val="auto"/>
        </w:rPr>
        <w:t>Forest Ridge Holdings, Inc.</w:t>
      </w:r>
    </w:p>
    <w:p>
      <w:pPr>
        <w:spacing w:after="0" w:line="80" w:lineRule="exact"/>
        <w:rPr>
          <w:rFonts w:ascii="Arial" w:cs="Arial" w:eastAsia="Arial" w:hAnsi="Arial"/>
          <w:sz w:val="20"/>
          <w:szCs w:val="20"/>
          <w:color w:val="auto"/>
        </w:rPr>
      </w:pPr>
    </w:p>
    <w:p>
      <w:pPr>
        <w:ind w:left="1540" w:hanging="294"/>
        <w:spacing w:after="0"/>
        <w:tabs>
          <w:tab w:leader="none" w:pos="1540" w:val="left"/>
        </w:tabs>
        <w:numPr>
          <w:ilvl w:val="1"/>
          <w:numId w:val="208"/>
        </w:numPr>
        <w:rPr>
          <w:rFonts w:ascii="Arial" w:cs="Arial" w:eastAsia="Arial" w:hAnsi="Arial"/>
          <w:sz w:val="20"/>
          <w:szCs w:val="20"/>
          <w:color w:val="auto"/>
        </w:rPr>
      </w:pPr>
      <w:r>
        <w:rPr>
          <w:rFonts w:ascii="Arial" w:cs="Arial" w:eastAsia="Arial" w:hAnsi="Arial"/>
          <w:sz w:val="20"/>
          <w:szCs w:val="20"/>
          <w:color w:val="auto"/>
        </w:rPr>
        <w:t>Gore Creek Place, LLC</w:t>
      </w:r>
    </w:p>
    <w:p>
      <w:pPr>
        <w:spacing w:after="0" w:line="80" w:lineRule="exact"/>
        <w:rPr>
          <w:rFonts w:ascii="Arial" w:cs="Arial" w:eastAsia="Arial" w:hAnsi="Arial"/>
          <w:sz w:val="20"/>
          <w:szCs w:val="20"/>
          <w:color w:val="auto"/>
        </w:rPr>
      </w:pPr>
    </w:p>
    <w:p>
      <w:pPr>
        <w:ind w:left="1540" w:hanging="294"/>
        <w:spacing w:after="0"/>
        <w:tabs>
          <w:tab w:leader="none" w:pos="1540" w:val="left"/>
        </w:tabs>
        <w:numPr>
          <w:ilvl w:val="1"/>
          <w:numId w:val="208"/>
        </w:numPr>
        <w:rPr>
          <w:rFonts w:ascii="Arial" w:cs="Arial" w:eastAsia="Arial" w:hAnsi="Arial"/>
          <w:sz w:val="20"/>
          <w:szCs w:val="20"/>
          <w:color w:val="auto"/>
        </w:rPr>
      </w:pPr>
      <w:r>
        <w:rPr>
          <w:rFonts w:ascii="Arial" w:cs="Arial" w:eastAsia="Arial" w:hAnsi="Arial"/>
          <w:sz w:val="20"/>
          <w:szCs w:val="20"/>
          <w:color w:val="auto"/>
        </w:rPr>
        <w:t>Hunkidori Land Company, LLC</w:t>
      </w:r>
    </w:p>
    <w:p>
      <w:pPr>
        <w:spacing w:after="0" w:line="80" w:lineRule="exact"/>
        <w:rPr>
          <w:rFonts w:ascii="Arial" w:cs="Arial" w:eastAsia="Arial" w:hAnsi="Arial"/>
          <w:sz w:val="20"/>
          <w:szCs w:val="20"/>
          <w:color w:val="auto"/>
        </w:rPr>
      </w:pPr>
    </w:p>
    <w:p>
      <w:pPr>
        <w:ind w:left="1560" w:hanging="314"/>
        <w:spacing w:after="0"/>
        <w:tabs>
          <w:tab w:leader="none" w:pos="1560" w:val="left"/>
        </w:tabs>
        <w:numPr>
          <w:ilvl w:val="1"/>
          <w:numId w:val="208"/>
        </w:numPr>
        <w:rPr>
          <w:rFonts w:ascii="Arial" w:cs="Arial" w:eastAsia="Arial" w:hAnsi="Arial"/>
          <w:sz w:val="20"/>
          <w:szCs w:val="20"/>
          <w:color w:val="auto"/>
        </w:rPr>
      </w:pPr>
      <w:r>
        <w:rPr>
          <w:rFonts w:ascii="Arial" w:cs="Arial" w:eastAsia="Arial" w:hAnsi="Arial"/>
          <w:sz w:val="20"/>
          <w:szCs w:val="20"/>
          <w:color w:val="auto"/>
        </w:rPr>
        <w:t>TCRM Company</w:t>
      </w:r>
    </w:p>
    <w:p>
      <w:pPr>
        <w:spacing w:after="0" w:line="80" w:lineRule="exact"/>
        <w:rPr>
          <w:rFonts w:ascii="Arial" w:cs="Arial" w:eastAsia="Arial" w:hAnsi="Arial"/>
          <w:sz w:val="20"/>
          <w:szCs w:val="20"/>
          <w:color w:val="auto"/>
        </w:rPr>
      </w:pPr>
    </w:p>
    <w:p>
      <w:pPr>
        <w:ind w:left="1560" w:hanging="314"/>
        <w:spacing w:after="0"/>
        <w:tabs>
          <w:tab w:leader="none" w:pos="1560" w:val="left"/>
        </w:tabs>
        <w:numPr>
          <w:ilvl w:val="1"/>
          <w:numId w:val="208"/>
        </w:numPr>
        <w:rPr>
          <w:rFonts w:ascii="Arial" w:cs="Arial" w:eastAsia="Arial" w:hAnsi="Arial"/>
          <w:sz w:val="20"/>
          <w:szCs w:val="20"/>
          <w:color w:val="auto"/>
        </w:rPr>
      </w:pPr>
      <w:r>
        <w:rPr>
          <w:rFonts w:ascii="Arial" w:cs="Arial" w:eastAsia="Arial" w:hAnsi="Arial"/>
          <w:sz w:val="20"/>
          <w:szCs w:val="20"/>
          <w:color w:val="auto"/>
        </w:rPr>
        <w:t>Stagecoach Development, LLC</w:t>
      </w:r>
    </w:p>
    <w:p>
      <w:pPr>
        <w:spacing w:after="0" w:line="80" w:lineRule="exact"/>
        <w:rPr>
          <w:rFonts w:ascii="Arial" w:cs="Arial" w:eastAsia="Arial" w:hAnsi="Arial"/>
          <w:sz w:val="20"/>
          <w:szCs w:val="20"/>
          <w:color w:val="auto"/>
        </w:rPr>
      </w:pPr>
    </w:p>
    <w:p>
      <w:pPr>
        <w:ind w:left="1500" w:hanging="254"/>
        <w:spacing w:after="0"/>
        <w:tabs>
          <w:tab w:leader="none" w:pos="1500" w:val="left"/>
        </w:tabs>
        <w:numPr>
          <w:ilvl w:val="1"/>
          <w:numId w:val="208"/>
        </w:numPr>
        <w:rPr>
          <w:rFonts w:ascii="Arial" w:cs="Arial" w:eastAsia="Arial" w:hAnsi="Arial"/>
          <w:sz w:val="20"/>
          <w:szCs w:val="20"/>
          <w:color w:val="auto"/>
        </w:rPr>
      </w:pPr>
      <w:r>
        <w:rPr>
          <w:rFonts w:ascii="Arial" w:cs="Arial" w:eastAsia="Arial" w:hAnsi="Arial"/>
          <w:sz w:val="20"/>
          <w:szCs w:val="20"/>
          <w:color w:val="auto"/>
        </w:rPr>
        <w:t>Black Diamond Insurance, Inc.</w:t>
      </w:r>
    </w:p>
    <w:p>
      <w:pPr>
        <w:spacing w:after="0" w:line="80" w:lineRule="exact"/>
        <w:rPr>
          <w:rFonts w:ascii="Arial" w:cs="Arial" w:eastAsia="Arial" w:hAnsi="Arial"/>
          <w:sz w:val="20"/>
          <w:szCs w:val="20"/>
          <w:color w:val="auto"/>
        </w:rPr>
      </w:pPr>
    </w:p>
    <w:p>
      <w:pPr>
        <w:ind w:left="1500" w:hanging="254"/>
        <w:spacing w:after="0"/>
        <w:tabs>
          <w:tab w:leader="none" w:pos="1500" w:val="left"/>
        </w:tabs>
        <w:numPr>
          <w:ilvl w:val="1"/>
          <w:numId w:val="208"/>
        </w:numPr>
        <w:rPr>
          <w:rFonts w:ascii="Arial" w:cs="Arial" w:eastAsia="Arial" w:hAnsi="Arial"/>
          <w:sz w:val="20"/>
          <w:szCs w:val="20"/>
          <w:color w:val="auto"/>
        </w:rPr>
      </w:pPr>
      <w:r>
        <w:rPr>
          <w:rFonts w:ascii="Arial" w:cs="Arial" w:eastAsia="Arial" w:hAnsi="Arial"/>
          <w:sz w:val="20"/>
          <w:szCs w:val="20"/>
          <w:color w:val="auto"/>
        </w:rPr>
        <w:t>Ever Vail, LLC</w:t>
      </w:r>
    </w:p>
    <w:p>
      <w:pPr>
        <w:spacing w:after="0" w:line="80" w:lineRule="exact"/>
        <w:rPr>
          <w:rFonts w:ascii="Arial" w:cs="Arial" w:eastAsia="Arial" w:hAnsi="Arial"/>
          <w:sz w:val="20"/>
          <w:szCs w:val="20"/>
          <w:color w:val="auto"/>
        </w:rPr>
      </w:pPr>
    </w:p>
    <w:p>
      <w:pPr>
        <w:ind w:left="1560" w:hanging="314"/>
        <w:spacing w:after="0"/>
        <w:tabs>
          <w:tab w:leader="none" w:pos="1560" w:val="left"/>
        </w:tabs>
        <w:numPr>
          <w:ilvl w:val="1"/>
          <w:numId w:val="208"/>
        </w:numPr>
        <w:rPr>
          <w:rFonts w:ascii="Arial" w:cs="Arial" w:eastAsia="Arial" w:hAnsi="Arial"/>
          <w:sz w:val="20"/>
          <w:szCs w:val="20"/>
          <w:color w:val="auto"/>
        </w:rPr>
      </w:pPr>
      <w:r>
        <w:rPr>
          <w:rFonts w:ascii="Arial" w:cs="Arial" w:eastAsia="Arial" w:hAnsi="Arial"/>
          <w:sz w:val="20"/>
          <w:szCs w:val="20"/>
          <w:color w:val="auto"/>
        </w:rPr>
        <w:t>Larkspur Restaurant &amp; Bar, LLC</w:t>
      </w:r>
    </w:p>
    <w:p>
      <w:pPr>
        <w:spacing w:after="0" w:line="80" w:lineRule="exact"/>
        <w:rPr>
          <w:rFonts w:ascii="Arial" w:cs="Arial" w:eastAsia="Arial" w:hAnsi="Arial"/>
          <w:sz w:val="20"/>
          <w:szCs w:val="20"/>
          <w:color w:val="auto"/>
        </w:rPr>
      </w:pPr>
    </w:p>
    <w:p>
      <w:pPr>
        <w:ind w:left="1540" w:hanging="294"/>
        <w:spacing w:after="0"/>
        <w:tabs>
          <w:tab w:leader="none" w:pos="1540" w:val="left"/>
        </w:tabs>
        <w:numPr>
          <w:ilvl w:val="1"/>
          <w:numId w:val="208"/>
        </w:numPr>
        <w:rPr>
          <w:rFonts w:ascii="Arial" w:cs="Arial" w:eastAsia="Arial" w:hAnsi="Arial"/>
          <w:sz w:val="20"/>
          <w:szCs w:val="20"/>
          <w:color w:val="auto"/>
        </w:rPr>
      </w:pPr>
      <w:r>
        <w:rPr>
          <w:rFonts w:ascii="Arial" w:cs="Arial" w:eastAsia="Arial" w:hAnsi="Arial"/>
          <w:sz w:val="20"/>
          <w:szCs w:val="20"/>
          <w:color w:val="auto"/>
        </w:rPr>
        <w:t>Mountain Thunder, Inc.</w:t>
      </w:r>
    </w:p>
    <w:p>
      <w:pPr>
        <w:spacing w:after="0" w:line="80" w:lineRule="exact"/>
        <w:rPr>
          <w:rFonts w:ascii="Arial" w:cs="Arial" w:eastAsia="Arial" w:hAnsi="Arial"/>
          <w:sz w:val="20"/>
          <w:szCs w:val="20"/>
          <w:color w:val="auto"/>
        </w:rPr>
      </w:pPr>
    </w:p>
    <w:p>
      <w:pPr>
        <w:ind w:left="1600" w:hanging="354"/>
        <w:spacing w:after="0"/>
        <w:tabs>
          <w:tab w:leader="none" w:pos="1600" w:val="left"/>
        </w:tabs>
        <w:numPr>
          <w:ilvl w:val="1"/>
          <w:numId w:val="208"/>
        </w:numPr>
        <w:rPr>
          <w:rFonts w:ascii="Arial" w:cs="Arial" w:eastAsia="Arial" w:hAnsi="Arial"/>
          <w:sz w:val="20"/>
          <w:szCs w:val="20"/>
          <w:color w:val="auto"/>
        </w:rPr>
      </w:pPr>
      <w:r>
        <w:rPr>
          <w:rFonts w:ascii="Arial" w:cs="Arial" w:eastAsia="Arial" w:hAnsi="Arial"/>
          <w:sz w:val="20"/>
          <w:szCs w:val="20"/>
          <w:color w:val="auto"/>
        </w:rPr>
        <w:t>One River Run, LLC</w:t>
      </w:r>
    </w:p>
    <w:p>
      <w:pPr>
        <w:spacing w:after="0" w:line="80" w:lineRule="exact"/>
        <w:rPr>
          <w:rFonts w:ascii="Arial" w:cs="Arial" w:eastAsia="Arial" w:hAnsi="Arial"/>
          <w:sz w:val="20"/>
          <w:szCs w:val="20"/>
          <w:color w:val="auto"/>
        </w:rPr>
      </w:pPr>
    </w:p>
    <w:p>
      <w:pPr>
        <w:ind w:left="1560" w:hanging="314"/>
        <w:spacing w:after="0"/>
        <w:tabs>
          <w:tab w:leader="none" w:pos="1560" w:val="left"/>
        </w:tabs>
        <w:numPr>
          <w:ilvl w:val="1"/>
          <w:numId w:val="208"/>
        </w:numPr>
        <w:rPr>
          <w:rFonts w:ascii="Arial" w:cs="Arial" w:eastAsia="Arial" w:hAnsi="Arial"/>
          <w:sz w:val="20"/>
          <w:szCs w:val="20"/>
          <w:color w:val="auto"/>
        </w:rPr>
      </w:pPr>
      <w:r>
        <w:rPr>
          <w:rFonts w:ascii="Arial" w:cs="Arial" w:eastAsia="Arial" w:hAnsi="Arial"/>
          <w:sz w:val="20"/>
          <w:szCs w:val="20"/>
          <w:color w:val="auto"/>
        </w:rPr>
        <w:t>Other Similar Businesses not listed above</w:t>
      </w:r>
    </w:p>
    <w:p>
      <w:pPr>
        <w:spacing w:after="0" w:line="107" w:lineRule="exact"/>
        <w:rPr>
          <w:rFonts w:ascii="Arial" w:cs="Arial" w:eastAsia="Arial" w:hAnsi="Arial"/>
          <w:sz w:val="20"/>
          <w:szCs w:val="20"/>
          <w:color w:val="auto"/>
        </w:rPr>
      </w:pPr>
    </w:p>
    <w:p>
      <w:pPr>
        <w:jc w:val="right"/>
        <w:ind w:left="1240" w:hanging="643"/>
        <w:spacing w:after="0" w:line="267" w:lineRule="auto"/>
        <w:tabs>
          <w:tab w:leader="none" w:pos="89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Aggregate amount of all loans, advances, and investments in Similar Businesses since the Closing Date but prior to the Subject Period (including, without limitation, any loans, advances, and investments made in any Unrestricted Subsidiaries in a Similar Business and the amount of any Permitted Recourse Obligations constituting Debt and other credit support and contingent obligations with respect to Debt of such Unrestricted Subsidiaries) (excluding, for the avoidance of doubt, such loans, advances and investments made pursuant to </w:t>
      </w:r>
      <w:r>
        <w:rPr>
          <w:rFonts w:ascii="Arial" w:cs="Arial" w:eastAsia="Arial" w:hAnsi="Arial"/>
          <w:sz w:val="18"/>
          <w:szCs w:val="18"/>
          <w:i w:val="1"/>
          <w:iCs w:val="1"/>
          <w:color w:val="auto"/>
        </w:rPr>
        <w:t>Section 10.8(t)</w:t>
      </w:r>
      <w:r>
        <w:rPr>
          <w:rFonts w:ascii="Arial" w:cs="Arial" w:eastAsia="Arial" w:hAnsi="Arial"/>
          <w:sz w:val="18"/>
          <w:szCs w:val="18"/>
          <w:color w:val="auto"/>
        </w:rPr>
        <w:t xml:space="preserve"> of the Credit Agreement) determined (x) with respect to each such loan and advance based on the value thereof on the date of determination, (y) with respect to each such investment based on the value thereof on the date made, and (z) with respect to each such Permitted Recourse Obligation constituting Debt and other credit support and contingent obligation based on the maximum potential financial exposure therefrom on the date of determination (the sum of </w:t>
      </w:r>
      <w:r>
        <w:rPr>
          <w:rFonts w:ascii="Arial" w:cs="Arial" w:eastAsia="Arial" w:hAnsi="Arial"/>
          <w:sz w:val="18"/>
          <w:szCs w:val="18"/>
          <w:b w:val="1"/>
          <w:bCs w:val="1"/>
          <w:i w:val="1"/>
          <w:iCs w:val="1"/>
          <w:color w:val="auto"/>
        </w:rPr>
        <w:t>Items 10.8(l)(ii)</w:t>
      </w:r>
    </w:p>
    <w:p>
      <w:pPr>
        <w:spacing w:after="0" w:line="8" w:lineRule="exact"/>
        <w:rPr>
          <w:rFonts w:ascii="Arial" w:cs="Arial" w:eastAsia="Arial" w:hAnsi="Arial"/>
          <w:sz w:val="18"/>
          <w:szCs w:val="18"/>
          <w:color w:val="auto"/>
        </w:rPr>
      </w:pPr>
    </w:p>
    <w:p>
      <w:pPr>
        <w:ind w:left="1560" w:hanging="314"/>
        <w:spacing w:after="0"/>
        <w:tabs>
          <w:tab w:leader="none" w:pos="1560" w:val="left"/>
        </w:tabs>
        <w:numPr>
          <w:ilvl w:val="1"/>
          <w:numId w:val="208"/>
        </w:numPr>
        <w:rPr>
          <w:rFonts w:ascii="Arial" w:cs="Arial" w:eastAsia="Arial" w:hAnsi="Arial"/>
          <w:sz w:val="20"/>
          <w:szCs w:val="20"/>
          <w:b w:val="1"/>
          <w:bCs w:val="1"/>
          <w:i w:val="1"/>
          <w:iCs w:val="1"/>
          <w:color w:val="auto"/>
        </w:rPr>
      </w:pPr>
      <w:r>
        <w:rPr>
          <w:rFonts w:ascii="Arial" w:cs="Arial" w:eastAsia="Arial" w:hAnsi="Arial"/>
          <w:sz w:val="20"/>
          <w:szCs w:val="20"/>
          <w:color w:val="auto"/>
        </w:rPr>
        <w:t xml:space="preserve">through </w:t>
      </w:r>
      <w:r>
        <w:rPr>
          <w:rFonts w:ascii="Arial" w:cs="Arial" w:eastAsia="Arial" w:hAnsi="Arial"/>
          <w:sz w:val="20"/>
          <w:szCs w:val="20"/>
          <w:b w:val="1"/>
          <w:bCs w:val="1"/>
          <w:i w:val="1"/>
          <w:iCs w:val="1"/>
          <w:color w:val="auto"/>
        </w:rPr>
        <w:t>10.8(l)(ii)(N)</w:t>
      </w:r>
      <w:r>
        <w:rPr>
          <w:rFonts w:ascii="Arial" w:cs="Arial" w:eastAsia="Arial" w:hAnsi="Arial"/>
          <w:sz w:val="20"/>
          <w:szCs w:val="20"/>
          <w:color w:val="auto"/>
        </w:rPr>
        <w:t xml:space="preserve"> below):</w:t>
      </w:r>
    </w:p>
    <w:p>
      <w:pPr>
        <w:spacing w:after="0" w:line="65" w:lineRule="exact"/>
        <w:rPr>
          <w:sz w:val="20"/>
          <w:szCs w:val="20"/>
          <w:color w:val="auto"/>
        </w:rPr>
      </w:pPr>
    </w:p>
    <w:p>
      <w:pPr>
        <w:ind w:left="1560" w:hanging="314"/>
        <w:spacing w:after="0"/>
        <w:tabs>
          <w:tab w:leader="none" w:pos="1560" w:val="left"/>
        </w:tabs>
        <w:numPr>
          <w:ilvl w:val="0"/>
          <w:numId w:val="209"/>
        </w:numPr>
        <w:rPr>
          <w:rFonts w:ascii="Arial" w:cs="Arial" w:eastAsia="Arial" w:hAnsi="Arial"/>
          <w:sz w:val="20"/>
          <w:szCs w:val="20"/>
          <w:color w:val="auto"/>
        </w:rPr>
      </w:pPr>
      <w:r>
        <w:rPr>
          <w:rFonts w:ascii="Arial" w:cs="Arial" w:eastAsia="Arial" w:hAnsi="Arial"/>
          <w:sz w:val="20"/>
          <w:szCs w:val="20"/>
          <w:color w:val="auto"/>
        </w:rPr>
        <w:t>Gros Ventre Utility Company</w:t>
      </w:r>
    </w:p>
    <w:p>
      <w:pPr>
        <w:spacing w:after="0" w:line="80" w:lineRule="exact"/>
        <w:rPr>
          <w:rFonts w:ascii="Arial" w:cs="Arial" w:eastAsia="Arial" w:hAnsi="Arial"/>
          <w:sz w:val="20"/>
          <w:szCs w:val="20"/>
          <w:color w:val="auto"/>
        </w:rPr>
      </w:pPr>
    </w:p>
    <w:p>
      <w:pPr>
        <w:ind w:left="1560" w:hanging="314"/>
        <w:spacing w:after="0"/>
        <w:tabs>
          <w:tab w:leader="none" w:pos="1560" w:val="left"/>
        </w:tabs>
        <w:numPr>
          <w:ilvl w:val="0"/>
          <w:numId w:val="209"/>
        </w:numPr>
        <w:rPr>
          <w:rFonts w:ascii="Arial" w:cs="Arial" w:eastAsia="Arial" w:hAnsi="Arial"/>
          <w:sz w:val="20"/>
          <w:szCs w:val="20"/>
          <w:color w:val="auto"/>
        </w:rPr>
      </w:pPr>
      <w:r>
        <w:rPr>
          <w:rFonts w:ascii="Arial" w:cs="Arial" w:eastAsia="Arial" w:hAnsi="Arial"/>
          <w:sz w:val="20"/>
          <w:szCs w:val="20"/>
          <w:color w:val="auto"/>
        </w:rPr>
        <w:t>Eagle Park Reservoir Company</w:t>
      </w:r>
    </w:p>
    <w:p>
      <w:pPr>
        <w:spacing w:after="0" w:line="80" w:lineRule="exact"/>
        <w:rPr>
          <w:rFonts w:ascii="Arial" w:cs="Arial" w:eastAsia="Arial" w:hAnsi="Arial"/>
          <w:sz w:val="20"/>
          <w:szCs w:val="20"/>
          <w:color w:val="auto"/>
        </w:rPr>
      </w:pPr>
    </w:p>
    <w:p>
      <w:pPr>
        <w:ind w:left="1560" w:hanging="314"/>
        <w:spacing w:after="0"/>
        <w:tabs>
          <w:tab w:leader="none" w:pos="1560" w:val="left"/>
        </w:tabs>
        <w:numPr>
          <w:ilvl w:val="0"/>
          <w:numId w:val="209"/>
        </w:numPr>
        <w:rPr>
          <w:rFonts w:ascii="Arial" w:cs="Arial" w:eastAsia="Arial" w:hAnsi="Arial"/>
          <w:sz w:val="20"/>
          <w:szCs w:val="20"/>
          <w:color w:val="auto"/>
        </w:rPr>
      </w:pPr>
      <w:r>
        <w:rPr>
          <w:rFonts w:ascii="Arial" w:cs="Arial" w:eastAsia="Arial" w:hAnsi="Arial"/>
          <w:sz w:val="20"/>
          <w:szCs w:val="20"/>
          <w:color w:val="auto"/>
        </w:rPr>
        <w:t>First Chair Housing Trustee, LLC</w:t>
      </w:r>
    </w:p>
    <w:p>
      <w:pPr>
        <w:spacing w:after="0" w:line="80" w:lineRule="exact"/>
        <w:rPr>
          <w:rFonts w:ascii="Arial" w:cs="Arial" w:eastAsia="Arial" w:hAnsi="Arial"/>
          <w:sz w:val="20"/>
          <w:szCs w:val="20"/>
          <w:color w:val="auto"/>
        </w:rPr>
      </w:pPr>
    </w:p>
    <w:p>
      <w:pPr>
        <w:ind w:left="1560" w:hanging="314"/>
        <w:spacing w:after="0"/>
        <w:tabs>
          <w:tab w:leader="none" w:pos="1560" w:val="left"/>
        </w:tabs>
        <w:numPr>
          <w:ilvl w:val="0"/>
          <w:numId w:val="209"/>
        </w:numPr>
        <w:rPr>
          <w:rFonts w:ascii="Arial" w:cs="Arial" w:eastAsia="Arial" w:hAnsi="Arial"/>
          <w:sz w:val="20"/>
          <w:szCs w:val="20"/>
          <w:color w:val="auto"/>
        </w:rPr>
      </w:pPr>
      <w:r>
        <w:rPr>
          <w:rFonts w:ascii="Arial" w:cs="Arial" w:eastAsia="Arial" w:hAnsi="Arial"/>
          <w:sz w:val="20"/>
          <w:szCs w:val="20"/>
          <w:color w:val="auto"/>
        </w:rPr>
        <w:t>Forest Ridge Holdings, Inc.</w:t>
      </w:r>
    </w:p>
    <w:p>
      <w:pPr>
        <w:spacing w:after="0" w:line="80" w:lineRule="exact"/>
        <w:rPr>
          <w:rFonts w:ascii="Arial" w:cs="Arial" w:eastAsia="Arial" w:hAnsi="Arial"/>
          <w:sz w:val="20"/>
          <w:szCs w:val="20"/>
          <w:color w:val="auto"/>
        </w:rPr>
      </w:pPr>
    </w:p>
    <w:p>
      <w:pPr>
        <w:ind w:left="1540" w:hanging="294"/>
        <w:spacing w:after="0"/>
        <w:tabs>
          <w:tab w:leader="none" w:pos="1540" w:val="left"/>
        </w:tabs>
        <w:numPr>
          <w:ilvl w:val="0"/>
          <w:numId w:val="209"/>
        </w:numPr>
        <w:rPr>
          <w:rFonts w:ascii="Arial" w:cs="Arial" w:eastAsia="Arial" w:hAnsi="Arial"/>
          <w:sz w:val="20"/>
          <w:szCs w:val="20"/>
          <w:color w:val="auto"/>
        </w:rPr>
      </w:pPr>
      <w:r>
        <w:rPr>
          <w:rFonts w:ascii="Arial" w:cs="Arial" w:eastAsia="Arial" w:hAnsi="Arial"/>
          <w:sz w:val="20"/>
          <w:szCs w:val="20"/>
          <w:color w:val="auto"/>
        </w:rPr>
        <w:t>Gore Creek Place, LLC</w:t>
      </w:r>
    </w:p>
    <w:p>
      <w:pPr>
        <w:spacing w:after="0" w:line="80" w:lineRule="exact"/>
        <w:rPr>
          <w:rFonts w:ascii="Arial" w:cs="Arial" w:eastAsia="Arial" w:hAnsi="Arial"/>
          <w:sz w:val="20"/>
          <w:szCs w:val="20"/>
          <w:color w:val="auto"/>
        </w:rPr>
      </w:pPr>
    </w:p>
    <w:p>
      <w:pPr>
        <w:ind w:left="1540" w:hanging="294"/>
        <w:spacing w:after="0"/>
        <w:tabs>
          <w:tab w:leader="none" w:pos="1540" w:val="left"/>
        </w:tabs>
        <w:numPr>
          <w:ilvl w:val="0"/>
          <w:numId w:val="209"/>
        </w:numPr>
        <w:rPr>
          <w:rFonts w:ascii="Arial" w:cs="Arial" w:eastAsia="Arial" w:hAnsi="Arial"/>
          <w:sz w:val="20"/>
          <w:szCs w:val="20"/>
          <w:color w:val="auto"/>
        </w:rPr>
      </w:pPr>
      <w:r>
        <w:rPr>
          <w:rFonts w:ascii="Arial" w:cs="Arial" w:eastAsia="Arial" w:hAnsi="Arial"/>
          <w:sz w:val="20"/>
          <w:szCs w:val="20"/>
          <w:color w:val="auto"/>
        </w:rPr>
        <w:t>Hunkidori Land Company,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8" w:hanging="148"/>
        <w:spacing w:after="0"/>
        <w:tabs>
          <w:tab w:leader="none" w:pos="14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48" w:hanging="148"/>
        <w:spacing w:after="0"/>
        <w:tabs>
          <w:tab w:leader="none" w:pos="14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48" w:hanging="148"/>
        <w:spacing w:after="0"/>
        <w:tabs>
          <w:tab w:leader="none" w:pos="14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48" w:hanging="148"/>
        <w:spacing w:after="0"/>
        <w:tabs>
          <w:tab w:leader="none" w:pos="14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48" w:hanging="148"/>
        <w:spacing w:after="0"/>
        <w:tabs>
          <w:tab w:leader="none" w:pos="14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48" w:hanging="148"/>
        <w:spacing w:after="0"/>
        <w:tabs>
          <w:tab w:leader="none" w:pos="14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48" w:hanging="148"/>
        <w:spacing w:after="0"/>
        <w:tabs>
          <w:tab w:leader="none" w:pos="14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48" w:hanging="148"/>
        <w:spacing w:after="0"/>
        <w:tabs>
          <w:tab w:leader="none" w:pos="14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48" w:hanging="148"/>
        <w:spacing w:after="0"/>
        <w:tabs>
          <w:tab w:leader="none" w:pos="14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48" w:hanging="148"/>
        <w:spacing w:after="0"/>
        <w:tabs>
          <w:tab w:leader="none" w:pos="14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48" w:hanging="148"/>
        <w:spacing w:after="0"/>
        <w:tabs>
          <w:tab w:leader="none" w:pos="14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48" w:hanging="148"/>
        <w:spacing w:after="0"/>
        <w:tabs>
          <w:tab w:leader="none" w:pos="14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48" w:hanging="148"/>
        <w:spacing w:after="0"/>
        <w:tabs>
          <w:tab w:leader="none" w:pos="14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48" w:hanging="148"/>
        <w:spacing w:after="0"/>
        <w:tabs>
          <w:tab w:leader="none" w:pos="14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48" w:hanging="148"/>
        <w:spacing w:after="0"/>
        <w:tabs>
          <w:tab w:leader="none" w:pos="14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48" w:hanging="148"/>
        <w:spacing w:after="0"/>
        <w:tabs>
          <w:tab w:leader="none" w:pos="148" w:val="left"/>
        </w:tabs>
        <w:numPr>
          <w:ilvl w:val="0"/>
          <w:numId w:val="211"/>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48" w:hanging="148"/>
        <w:spacing w:after="0"/>
        <w:tabs>
          <w:tab w:leader="none" w:pos="148" w:val="left"/>
        </w:tabs>
        <w:numPr>
          <w:ilvl w:val="0"/>
          <w:numId w:val="211"/>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48" w:hanging="148"/>
        <w:spacing w:after="0"/>
        <w:tabs>
          <w:tab w:leader="none" w:pos="148" w:val="left"/>
        </w:tabs>
        <w:numPr>
          <w:ilvl w:val="0"/>
          <w:numId w:val="211"/>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48" w:hanging="148"/>
        <w:spacing w:after="0"/>
        <w:tabs>
          <w:tab w:leader="none" w:pos="148" w:val="left"/>
        </w:tabs>
        <w:numPr>
          <w:ilvl w:val="0"/>
          <w:numId w:val="211"/>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48" w:hanging="148"/>
        <w:spacing w:after="0"/>
        <w:tabs>
          <w:tab w:leader="none" w:pos="148" w:val="left"/>
        </w:tabs>
        <w:numPr>
          <w:ilvl w:val="0"/>
          <w:numId w:val="211"/>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48" w:hanging="148"/>
        <w:spacing w:after="0"/>
        <w:tabs>
          <w:tab w:leader="none" w:pos="148" w:val="left"/>
        </w:tabs>
        <w:numPr>
          <w:ilvl w:val="0"/>
          <w:numId w:val="211"/>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48" w:hanging="148"/>
        <w:spacing w:after="0"/>
        <w:tabs>
          <w:tab w:leader="none" w:pos="148" w:val="left"/>
        </w:tabs>
        <w:numPr>
          <w:ilvl w:val="0"/>
          <w:numId w:val="211"/>
        </w:numPr>
        <w:rPr>
          <w:rFonts w:ascii="Arial" w:cs="Arial" w:eastAsia="Arial" w:hAnsi="Arial"/>
          <w:sz w:val="16"/>
          <w:szCs w:val="16"/>
          <w:color w:val="auto"/>
        </w:rPr>
      </w:pPr>
      <w:r>
        <w:rPr>
          <w:rFonts w:ascii="Arial" w:cs="Arial" w:eastAsia="Arial" w:hAnsi="Arial"/>
          <w:sz w:val="16"/>
          <w:szCs w:val="16"/>
          <w:color w:val="auto"/>
        </w:rPr>
        <w:t>_____________</w:t>
      </w:r>
    </w:p>
    <w:p>
      <w:pPr>
        <w:sectPr>
          <w:pgSz w:w="11900" w:h="16838" w:orient="portrait"/>
          <w:cols w:equalWidth="0" w:num="2">
            <w:col w:w="8980" w:space="112"/>
            <w:col w:w="1428"/>
          </w:cols>
          <w:pgMar w:left="380" w:top="738" w:right="999" w:bottom="1440" w:gutter="0" w:footer="0" w:header="0"/>
        </w:sectPr>
      </w:pPr>
    </w:p>
    <w:bookmarkStart w:id="222" w:name="page223"/>
    <w:bookmarkEnd w:id="222"/>
    <w:tbl>
      <w:tblPr>
        <w:tblLayout w:type="fixed"/>
        <w:tblInd w:w="3" w:type="dxa"/>
        <w:tblCellMar>
          <w:top w:w="0" w:type="dxa"/>
          <w:left w:w="0" w:type="dxa"/>
          <w:bottom w:w="0" w:type="dxa"/>
          <w:right w:w="0" w:type="dxa"/>
        </w:tblCellMar>
      </w:tblPr>
      <w:tr>
        <w:trPr>
          <w:trHeight w:val="250"/>
        </w:trPr>
        <w:tc>
          <w:tcPr>
            <w:tcW w:w="8440" w:type="dxa"/>
            <w:vAlign w:val="bottom"/>
            <w:gridSpan w:val="3"/>
          </w:tcPr>
          <w:p>
            <w:pPr>
              <w:ind w:left="640"/>
              <w:spacing w:after="0"/>
              <w:rPr>
                <w:sz w:val="20"/>
                <w:szCs w:val="20"/>
                <w:color w:val="auto"/>
              </w:rPr>
            </w:pPr>
            <w:r>
              <w:rPr>
                <w:rFonts w:ascii="Arial" w:cs="Arial" w:eastAsia="Arial" w:hAnsi="Arial"/>
                <w:sz w:val="20"/>
                <w:szCs w:val="20"/>
                <w:color w:val="auto"/>
              </w:rPr>
              <w:t>(G) TCRM Company</w:t>
            </w:r>
          </w:p>
        </w:tc>
        <w:tc>
          <w:tcPr>
            <w:tcW w:w="1480" w:type="dxa"/>
            <w:vAlign w:val="bottom"/>
          </w:tcPr>
          <w:p>
            <w:pPr>
              <w:ind w:left="60"/>
              <w:spacing w:after="0"/>
              <w:rPr>
                <w:sz w:val="20"/>
                <w:szCs w:val="20"/>
                <w:color w:val="auto"/>
              </w:rPr>
            </w:pPr>
            <w:r>
              <w:rPr>
                <w:rFonts w:ascii="Arial" w:cs="Arial" w:eastAsia="Arial" w:hAnsi="Arial"/>
                <w:sz w:val="20"/>
                <w:szCs w:val="20"/>
                <w:color w:val="auto"/>
                <w:w w:val="86"/>
              </w:rPr>
              <w:t>$ _____________</w:t>
            </w:r>
          </w:p>
        </w:tc>
      </w:tr>
      <w:tr>
        <w:trPr>
          <w:trHeight w:val="311"/>
        </w:trPr>
        <w:tc>
          <w:tcPr>
            <w:tcW w:w="8440" w:type="dxa"/>
            <w:vAlign w:val="bottom"/>
            <w:gridSpan w:val="3"/>
          </w:tcPr>
          <w:p>
            <w:pPr>
              <w:ind w:left="640"/>
              <w:spacing w:after="0"/>
              <w:rPr>
                <w:sz w:val="20"/>
                <w:szCs w:val="20"/>
                <w:color w:val="auto"/>
              </w:rPr>
            </w:pPr>
            <w:r>
              <w:rPr>
                <w:rFonts w:ascii="Arial" w:cs="Arial" w:eastAsia="Arial" w:hAnsi="Arial"/>
                <w:sz w:val="20"/>
                <w:szCs w:val="20"/>
                <w:color w:val="auto"/>
              </w:rPr>
              <w:t>(H) Stagecoach Development, LLC</w:t>
            </w:r>
          </w:p>
        </w:tc>
        <w:tc>
          <w:tcPr>
            <w:tcW w:w="1480" w:type="dxa"/>
            <w:vAlign w:val="bottom"/>
          </w:tcPr>
          <w:p>
            <w:pPr>
              <w:ind w:left="60"/>
              <w:spacing w:after="0"/>
              <w:rPr>
                <w:sz w:val="20"/>
                <w:szCs w:val="20"/>
                <w:color w:val="auto"/>
              </w:rPr>
            </w:pPr>
            <w:r>
              <w:rPr>
                <w:rFonts w:ascii="Arial" w:cs="Arial" w:eastAsia="Arial" w:hAnsi="Arial"/>
                <w:sz w:val="20"/>
                <w:szCs w:val="20"/>
                <w:color w:val="auto"/>
                <w:w w:val="86"/>
              </w:rPr>
              <w:t>$ _____________</w:t>
            </w:r>
          </w:p>
        </w:tc>
      </w:tr>
      <w:tr>
        <w:trPr>
          <w:trHeight w:val="311"/>
        </w:trPr>
        <w:tc>
          <w:tcPr>
            <w:tcW w:w="8440" w:type="dxa"/>
            <w:vAlign w:val="bottom"/>
            <w:gridSpan w:val="3"/>
          </w:tcPr>
          <w:p>
            <w:pPr>
              <w:ind w:left="640"/>
              <w:spacing w:after="0"/>
              <w:rPr>
                <w:sz w:val="20"/>
                <w:szCs w:val="20"/>
                <w:color w:val="auto"/>
              </w:rPr>
            </w:pPr>
            <w:r>
              <w:rPr>
                <w:rFonts w:ascii="Arial" w:cs="Arial" w:eastAsia="Arial" w:hAnsi="Arial"/>
                <w:sz w:val="20"/>
                <w:szCs w:val="20"/>
                <w:color w:val="auto"/>
              </w:rPr>
              <w:t>(I) Black Diamond Insurance, Inc.</w:t>
            </w:r>
          </w:p>
        </w:tc>
        <w:tc>
          <w:tcPr>
            <w:tcW w:w="1480" w:type="dxa"/>
            <w:vAlign w:val="bottom"/>
          </w:tcPr>
          <w:p>
            <w:pPr>
              <w:ind w:left="60"/>
              <w:spacing w:after="0"/>
              <w:rPr>
                <w:sz w:val="20"/>
                <w:szCs w:val="20"/>
                <w:color w:val="auto"/>
              </w:rPr>
            </w:pPr>
            <w:r>
              <w:rPr>
                <w:rFonts w:ascii="Arial" w:cs="Arial" w:eastAsia="Arial" w:hAnsi="Arial"/>
                <w:sz w:val="20"/>
                <w:szCs w:val="20"/>
                <w:color w:val="auto"/>
                <w:w w:val="86"/>
              </w:rPr>
              <w:t>$ _____________</w:t>
            </w:r>
          </w:p>
        </w:tc>
      </w:tr>
      <w:tr>
        <w:trPr>
          <w:trHeight w:val="311"/>
        </w:trPr>
        <w:tc>
          <w:tcPr>
            <w:tcW w:w="8440" w:type="dxa"/>
            <w:vAlign w:val="bottom"/>
            <w:gridSpan w:val="3"/>
          </w:tcPr>
          <w:p>
            <w:pPr>
              <w:ind w:left="640"/>
              <w:spacing w:after="0"/>
              <w:rPr>
                <w:sz w:val="20"/>
                <w:szCs w:val="20"/>
                <w:color w:val="auto"/>
              </w:rPr>
            </w:pPr>
            <w:r>
              <w:rPr>
                <w:rFonts w:ascii="Arial" w:cs="Arial" w:eastAsia="Arial" w:hAnsi="Arial"/>
                <w:sz w:val="20"/>
                <w:szCs w:val="20"/>
                <w:color w:val="auto"/>
              </w:rPr>
              <w:t>(J) Ever Vail, LLC</w:t>
            </w:r>
          </w:p>
        </w:tc>
        <w:tc>
          <w:tcPr>
            <w:tcW w:w="1480" w:type="dxa"/>
            <w:vAlign w:val="bottom"/>
          </w:tcPr>
          <w:p>
            <w:pPr>
              <w:ind w:left="60"/>
              <w:spacing w:after="0"/>
              <w:rPr>
                <w:sz w:val="20"/>
                <w:szCs w:val="20"/>
                <w:color w:val="auto"/>
              </w:rPr>
            </w:pPr>
            <w:r>
              <w:rPr>
                <w:rFonts w:ascii="Arial" w:cs="Arial" w:eastAsia="Arial" w:hAnsi="Arial"/>
                <w:sz w:val="20"/>
                <w:szCs w:val="20"/>
                <w:color w:val="auto"/>
                <w:w w:val="86"/>
              </w:rPr>
              <w:t>$ _____________</w:t>
            </w:r>
          </w:p>
        </w:tc>
      </w:tr>
      <w:tr>
        <w:trPr>
          <w:trHeight w:val="311"/>
        </w:trPr>
        <w:tc>
          <w:tcPr>
            <w:tcW w:w="8440" w:type="dxa"/>
            <w:vAlign w:val="bottom"/>
            <w:gridSpan w:val="3"/>
          </w:tcPr>
          <w:p>
            <w:pPr>
              <w:ind w:left="640"/>
              <w:spacing w:after="0"/>
              <w:rPr>
                <w:sz w:val="20"/>
                <w:szCs w:val="20"/>
                <w:color w:val="auto"/>
              </w:rPr>
            </w:pPr>
            <w:r>
              <w:rPr>
                <w:rFonts w:ascii="Arial" w:cs="Arial" w:eastAsia="Arial" w:hAnsi="Arial"/>
                <w:sz w:val="20"/>
                <w:szCs w:val="20"/>
                <w:color w:val="auto"/>
              </w:rPr>
              <w:t>(K) Larkspur Restaurant &amp; Bar, LLC</w:t>
            </w:r>
          </w:p>
        </w:tc>
        <w:tc>
          <w:tcPr>
            <w:tcW w:w="1480" w:type="dxa"/>
            <w:vAlign w:val="bottom"/>
          </w:tcPr>
          <w:p>
            <w:pPr>
              <w:ind w:left="60"/>
              <w:spacing w:after="0"/>
              <w:rPr>
                <w:sz w:val="20"/>
                <w:szCs w:val="20"/>
                <w:color w:val="auto"/>
              </w:rPr>
            </w:pPr>
            <w:r>
              <w:rPr>
                <w:rFonts w:ascii="Arial" w:cs="Arial" w:eastAsia="Arial" w:hAnsi="Arial"/>
                <w:sz w:val="20"/>
                <w:szCs w:val="20"/>
                <w:color w:val="auto"/>
                <w:w w:val="86"/>
              </w:rPr>
              <w:t>$ _____________</w:t>
            </w:r>
          </w:p>
        </w:tc>
      </w:tr>
      <w:tr>
        <w:trPr>
          <w:trHeight w:val="311"/>
        </w:trPr>
        <w:tc>
          <w:tcPr>
            <w:tcW w:w="8440" w:type="dxa"/>
            <w:vAlign w:val="bottom"/>
            <w:gridSpan w:val="3"/>
          </w:tcPr>
          <w:p>
            <w:pPr>
              <w:ind w:left="640"/>
              <w:spacing w:after="0"/>
              <w:rPr>
                <w:sz w:val="20"/>
                <w:szCs w:val="20"/>
                <w:color w:val="auto"/>
              </w:rPr>
            </w:pPr>
            <w:r>
              <w:rPr>
                <w:rFonts w:ascii="Arial" w:cs="Arial" w:eastAsia="Arial" w:hAnsi="Arial"/>
                <w:sz w:val="20"/>
                <w:szCs w:val="20"/>
                <w:color w:val="auto"/>
              </w:rPr>
              <w:t>(L) Mountain Thunder, Inc.</w:t>
            </w:r>
          </w:p>
        </w:tc>
        <w:tc>
          <w:tcPr>
            <w:tcW w:w="1480" w:type="dxa"/>
            <w:vAlign w:val="bottom"/>
          </w:tcPr>
          <w:p>
            <w:pPr>
              <w:ind w:left="60"/>
              <w:spacing w:after="0"/>
              <w:rPr>
                <w:sz w:val="20"/>
                <w:szCs w:val="20"/>
                <w:color w:val="auto"/>
              </w:rPr>
            </w:pPr>
            <w:r>
              <w:rPr>
                <w:rFonts w:ascii="Arial" w:cs="Arial" w:eastAsia="Arial" w:hAnsi="Arial"/>
                <w:sz w:val="20"/>
                <w:szCs w:val="20"/>
                <w:color w:val="auto"/>
                <w:w w:val="86"/>
              </w:rPr>
              <w:t>$ _____________</w:t>
            </w:r>
          </w:p>
        </w:tc>
      </w:tr>
      <w:tr>
        <w:trPr>
          <w:trHeight w:val="311"/>
        </w:trPr>
        <w:tc>
          <w:tcPr>
            <w:tcW w:w="8440" w:type="dxa"/>
            <w:vAlign w:val="bottom"/>
            <w:gridSpan w:val="3"/>
          </w:tcPr>
          <w:p>
            <w:pPr>
              <w:ind w:left="640"/>
              <w:spacing w:after="0"/>
              <w:rPr>
                <w:sz w:val="20"/>
                <w:szCs w:val="20"/>
                <w:color w:val="auto"/>
              </w:rPr>
            </w:pPr>
            <w:r>
              <w:rPr>
                <w:rFonts w:ascii="Arial" w:cs="Arial" w:eastAsia="Arial" w:hAnsi="Arial"/>
                <w:sz w:val="20"/>
                <w:szCs w:val="20"/>
                <w:color w:val="auto"/>
              </w:rPr>
              <w:t>(M) One River Run, LLC</w:t>
            </w:r>
          </w:p>
        </w:tc>
        <w:tc>
          <w:tcPr>
            <w:tcW w:w="1480" w:type="dxa"/>
            <w:vAlign w:val="bottom"/>
          </w:tcPr>
          <w:p>
            <w:pPr>
              <w:ind w:left="60"/>
              <w:spacing w:after="0"/>
              <w:rPr>
                <w:sz w:val="20"/>
                <w:szCs w:val="20"/>
                <w:color w:val="auto"/>
              </w:rPr>
            </w:pPr>
            <w:r>
              <w:rPr>
                <w:rFonts w:ascii="Arial" w:cs="Arial" w:eastAsia="Arial" w:hAnsi="Arial"/>
                <w:sz w:val="20"/>
                <w:szCs w:val="20"/>
                <w:color w:val="auto"/>
                <w:w w:val="86"/>
              </w:rPr>
              <w:t>$ _____________</w:t>
            </w:r>
          </w:p>
        </w:tc>
      </w:tr>
      <w:tr>
        <w:trPr>
          <w:trHeight w:val="311"/>
        </w:trPr>
        <w:tc>
          <w:tcPr>
            <w:tcW w:w="8440" w:type="dxa"/>
            <w:vAlign w:val="bottom"/>
            <w:gridSpan w:val="3"/>
          </w:tcPr>
          <w:p>
            <w:pPr>
              <w:ind w:left="640"/>
              <w:spacing w:after="0"/>
              <w:rPr>
                <w:sz w:val="20"/>
                <w:szCs w:val="20"/>
                <w:color w:val="auto"/>
              </w:rPr>
            </w:pPr>
            <w:r>
              <w:rPr>
                <w:rFonts w:ascii="Arial" w:cs="Arial" w:eastAsia="Arial" w:hAnsi="Arial"/>
                <w:sz w:val="20"/>
                <w:szCs w:val="20"/>
                <w:color w:val="auto"/>
              </w:rPr>
              <w:t>(N) Other Similar Businesses not listed above</w:t>
            </w:r>
          </w:p>
        </w:tc>
        <w:tc>
          <w:tcPr>
            <w:tcW w:w="1480" w:type="dxa"/>
            <w:vAlign w:val="bottom"/>
          </w:tcPr>
          <w:p>
            <w:pPr>
              <w:ind w:left="60"/>
              <w:spacing w:after="0"/>
              <w:rPr>
                <w:sz w:val="20"/>
                <w:szCs w:val="20"/>
                <w:color w:val="auto"/>
              </w:rPr>
            </w:pPr>
            <w:r>
              <w:rPr>
                <w:rFonts w:ascii="Arial" w:cs="Arial" w:eastAsia="Arial" w:hAnsi="Arial"/>
                <w:sz w:val="20"/>
                <w:szCs w:val="20"/>
                <w:color w:val="auto"/>
                <w:w w:val="86"/>
              </w:rPr>
              <w:t>$ _____________</w:t>
            </w:r>
          </w:p>
        </w:tc>
      </w:tr>
      <w:tr>
        <w:trPr>
          <w:trHeight w:val="293"/>
        </w:trPr>
        <w:tc>
          <w:tcPr>
            <w:tcW w:w="8440" w:type="dxa"/>
            <w:vAlign w:val="bottom"/>
            <w:gridSpan w:val="3"/>
          </w:tcPr>
          <w:p>
            <w:pPr>
              <w:spacing w:after="0"/>
              <w:rPr>
                <w:sz w:val="20"/>
                <w:szCs w:val="20"/>
                <w:color w:val="auto"/>
              </w:rPr>
            </w:pPr>
            <w:r>
              <w:rPr>
                <w:rFonts w:ascii="Arial" w:cs="Arial" w:eastAsia="Arial" w:hAnsi="Arial"/>
                <w:sz w:val="20"/>
                <w:szCs w:val="20"/>
                <w:color w:val="auto"/>
                <w:w w:val="92"/>
              </w:rPr>
              <w:t>(iii) Aggregate loans, advances, and investments in Similar Businesses (</w:t>
            </w:r>
            <w:r>
              <w:rPr>
                <w:rFonts w:ascii="Arial" w:cs="Arial" w:eastAsia="Arial" w:hAnsi="Arial"/>
                <w:sz w:val="20"/>
                <w:szCs w:val="20"/>
                <w:b w:val="1"/>
                <w:bCs w:val="1"/>
                <w:i w:val="1"/>
                <w:iCs w:val="1"/>
                <w:color w:val="auto"/>
                <w:w w:val="92"/>
              </w:rPr>
              <w:t>Item 10.8(l)(i)</w:t>
            </w:r>
            <w:r>
              <w:rPr>
                <w:rFonts w:ascii="Arial" w:cs="Arial" w:eastAsia="Arial" w:hAnsi="Arial"/>
                <w:sz w:val="20"/>
                <w:szCs w:val="20"/>
                <w:color w:val="auto"/>
                <w:w w:val="92"/>
              </w:rPr>
              <w:t xml:space="preserve"> plus </w:t>
            </w:r>
            <w:r>
              <w:rPr>
                <w:rFonts w:ascii="Arial" w:cs="Arial" w:eastAsia="Arial" w:hAnsi="Arial"/>
                <w:sz w:val="20"/>
                <w:szCs w:val="20"/>
                <w:b w:val="1"/>
                <w:bCs w:val="1"/>
                <w:i w:val="1"/>
                <w:iCs w:val="1"/>
                <w:color w:val="auto"/>
                <w:w w:val="92"/>
              </w:rPr>
              <w:t>Item 10.8(l)</w:t>
            </w:r>
          </w:p>
        </w:tc>
        <w:tc>
          <w:tcPr>
            <w:tcW w:w="1480" w:type="dxa"/>
            <w:vAlign w:val="bottom"/>
          </w:tcPr>
          <w:p>
            <w:pPr>
              <w:spacing w:after="0"/>
              <w:rPr>
                <w:sz w:val="24"/>
                <w:szCs w:val="24"/>
                <w:color w:val="auto"/>
              </w:rPr>
            </w:pPr>
          </w:p>
        </w:tc>
      </w:tr>
      <w:tr>
        <w:trPr>
          <w:trHeight w:val="254"/>
        </w:trPr>
        <w:tc>
          <w:tcPr>
            <w:tcW w:w="7000" w:type="dxa"/>
            <w:vAlign w:val="bottom"/>
          </w:tcPr>
          <w:p>
            <w:pPr>
              <w:ind w:left="640"/>
              <w:spacing w:after="0"/>
              <w:rPr>
                <w:sz w:val="20"/>
                <w:szCs w:val="20"/>
                <w:color w:val="auto"/>
              </w:rPr>
            </w:pPr>
            <w:r>
              <w:rPr>
                <w:rFonts w:ascii="Arial" w:cs="Arial" w:eastAsia="Arial" w:hAnsi="Arial"/>
                <w:sz w:val="20"/>
                <w:szCs w:val="20"/>
                <w:b w:val="1"/>
                <w:bCs w:val="1"/>
                <w:i w:val="1"/>
                <w:iCs w:val="1"/>
                <w:color w:val="auto"/>
              </w:rPr>
              <w:t>(ii)</w:t>
            </w:r>
            <w:r>
              <w:rPr>
                <w:rFonts w:ascii="Arial" w:cs="Arial" w:eastAsia="Arial" w:hAnsi="Arial"/>
                <w:sz w:val="20"/>
                <w:szCs w:val="20"/>
                <w:color w:val="auto"/>
              </w:rPr>
              <w:t>):</w:t>
            </w:r>
          </w:p>
        </w:tc>
        <w:tc>
          <w:tcPr>
            <w:tcW w:w="340" w:type="dxa"/>
            <w:vAlign w:val="bottom"/>
            <w:tcBorders>
              <w:top w:val="single" w:sz="8" w:color="auto"/>
            </w:tcBorders>
          </w:tcPr>
          <w:p>
            <w:pPr>
              <w:spacing w:after="0"/>
              <w:rPr>
                <w:sz w:val="22"/>
                <w:szCs w:val="22"/>
                <w:color w:val="auto"/>
              </w:rPr>
            </w:pPr>
          </w:p>
        </w:tc>
        <w:tc>
          <w:tcPr>
            <w:tcW w:w="1100" w:type="dxa"/>
            <w:vAlign w:val="bottom"/>
          </w:tcPr>
          <w:p>
            <w:pPr>
              <w:spacing w:after="0"/>
              <w:rPr>
                <w:sz w:val="22"/>
                <w:szCs w:val="22"/>
                <w:color w:val="auto"/>
              </w:rPr>
            </w:pPr>
          </w:p>
        </w:tc>
        <w:tc>
          <w:tcPr>
            <w:tcW w:w="1480" w:type="dxa"/>
            <w:vAlign w:val="bottom"/>
          </w:tcPr>
          <w:p>
            <w:pPr>
              <w:ind w:left="60"/>
              <w:spacing w:after="0"/>
              <w:rPr>
                <w:sz w:val="20"/>
                <w:szCs w:val="20"/>
                <w:color w:val="auto"/>
              </w:rPr>
            </w:pPr>
            <w:r>
              <w:rPr>
                <w:rFonts w:ascii="Arial" w:cs="Arial" w:eastAsia="Arial" w:hAnsi="Arial"/>
                <w:sz w:val="20"/>
                <w:szCs w:val="20"/>
                <w:color w:val="auto"/>
                <w:w w:val="86"/>
              </w:rPr>
              <w:t>$ _____________</w:t>
            </w:r>
          </w:p>
        </w:tc>
      </w:tr>
      <w:tr>
        <w:trPr>
          <w:trHeight w:val="311"/>
        </w:trPr>
        <w:tc>
          <w:tcPr>
            <w:tcW w:w="8440" w:type="dxa"/>
            <w:vAlign w:val="bottom"/>
            <w:gridSpan w:val="3"/>
          </w:tcPr>
          <w:p>
            <w:pPr>
              <w:spacing w:after="0"/>
              <w:rPr>
                <w:sz w:val="20"/>
                <w:szCs w:val="20"/>
                <w:color w:val="auto"/>
              </w:rPr>
            </w:pPr>
            <w:r>
              <w:rPr>
                <w:rFonts w:ascii="Arial" w:cs="Arial" w:eastAsia="Arial" w:hAnsi="Arial"/>
                <w:sz w:val="20"/>
                <w:szCs w:val="20"/>
                <w:color w:val="auto"/>
              </w:rPr>
              <w:t>(iv) $100,000,000:</w:t>
            </w:r>
          </w:p>
        </w:tc>
        <w:tc>
          <w:tcPr>
            <w:tcW w:w="1480" w:type="dxa"/>
            <w:vAlign w:val="bottom"/>
          </w:tcPr>
          <w:p>
            <w:pPr>
              <w:ind w:left="60"/>
              <w:spacing w:after="0"/>
              <w:rPr>
                <w:sz w:val="20"/>
                <w:szCs w:val="20"/>
                <w:color w:val="auto"/>
              </w:rPr>
            </w:pPr>
            <w:r>
              <w:rPr>
                <w:rFonts w:ascii="Arial" w:cs="Arial" w:eastAsia="Arial" w:hAnsi="Arial"/>
                <w:sz w:val="20"/>
                <w:szCs w:val="20"/>
                <w:color w:val="auto"/>
              </w:rPr>
              <w:t>$100,000,000</w:t>
            </w:r>
          </w:p>
        </w:tc>
      </w:tr>
      <w:tr>
        <w:trPr>
          <w:trHeight w:val="635"/>
        </w:trPr>
        <w:tc>
          <w:tcPr>
            <w:tcW w:w="8440" w:type="dxa"/>
            <w:vAlign w:val="bottom"/>
            <w:gridSpan w:val="3"/>
          </w:tcPr>
          <w:p>
            <w:pPr>
              <w:spacing w:after="0"/>
              <w:rPr>
                <w:sz w:val="20"/>
                <w:szCs w:val="20"/>
                <w:color w:val="auto"/>
              </w:rPr>
            </w:pPr>
            <w:r>
              <w:rPr>
                <w:rFonts w:ascii="Arial" w:cs="Arial" w:eastAsia="Arial" w:hAnsi="Arial"/>
                <w:sz w:val="20"/>
                <w:szCs w:val="20"/>
                <w:color w:val="auto"/>
              </w:rPr>
              <w:t>(v) Total Assets:</w:t>
            </w:r>
          </w:p>
        </w:tc>
        <w:tc>
          <w:tcPr>
            <w:tcW w:w="1480" w:type="dxa"/>
            <w:vAlign w:val="bottom"/>
          </w:tcPr>
          <w:p>
            <w:pPr>
              <w:ind w:left="60"/>
              <w:spacing w:after="0"/>
              <w:rPr>
                <w:sz w:val="20"/>
                <w:szCs w:val="20"/>
                <w:color w:val="auto"/>
              </w:rPr>
            </w:pPr>
            <w:r>
              <w:rPr>
                <w:rFonts w:ascii="Arial" w:cs="Arial" w:eastAsia="Arial" w:hAnsi="Arial"/>
                <w:sz w:val="20"/>
                <w:szCs w:val="20"/>
                <w:color w:val="auto"/>
                <w:w w:val="86"/>
              </w:rPr>
              <w:t>$ _____________</w:t>
            </w:r>
          </w:p>
        </w:tc>
      </w:tr>
      <w:tr>
        <w:trPr>
          <w:trHeight w:val="338"/>
        </w:trPr>
        <w:tc>
          <w:tcPr>
            <w:tcW w:w="8440" w:type="dxa"/>
            <w:vAlign w:val="bottom"/>
            <w:gridSpan w:val="3"/>
          </w:tcPr>
          <w:p>
            <w:pPr>
              <w:spacing w:after="0"/>
              <w:rPr>
                <w:sz w:val="20"/>
                <w:szCs w:val="20"/>
                <w:color w:val="auto"/>
              </w:rPr>
            </w:pPr>
            <w:r>
              <w:rPr>
                <w:rFonts w:ascii="Arial" w:cs="Arial" w:eastAsia="Arial" w:hAnsi="Arial"/>
                <w:sz w:val="20"/>
                <w:szCs w:val="20"/>
                <w:color w:val="auto"/>
              </w:rPr>
              <w:t>(vi) 15% of Total Assets (</w:t>
            </w:r>
            <w:r>
              <w:rPr>
                <w:rFonts w:ascii="Arial" w:cs="Arial" w:eastAsia="Arial" w:hAnsi="Arial"/>
                <w:sz w:val="20"/>
                <w:szCs w:val="20"/>
                <w:b w:val="1"/>
                <w:bCs w:val="1"/>
                <w:i w:val="1"/>
                <w:iCs w:val="1"/>
                <w:color w:val="auto"/>
              </w:rPr>
              <w:t>Item 10.8(l)(v)</w:t>
            </w:r>
            <w:r>
              <w:rPr>
                <w:rFonts w:ascii="Arial" w:cs="Arial" w:eastAsia="Arial" w:hAnsi="Arial"/>
                <w:sz w:val="20"/>
                <w:szCs w:val="20"/>
                <w:color w:val="auto"/>
              </w:rPr>
              <w:t>):</w:t>
            </w:r>
          </w:p>
        </w:tc>
        <w:tc>
          <w:tcPr>
            <w:tcW w:w="1480" w:type="dxa"/>
            <w:vAlign w:val="bottom"/>
          </w:tcPr>
          <w:p>
            <w:pPr>
              <w:ind w:left="60"/>
              <w:spacing w:after="0"/>
              <w:rPr>
                <w:sz w:val="20"/>
                <w:szCs w:val="20"/>
                <w:color w:val="auto"/>
              </w:rPr>
            </w:pPr>
            <w:r>
              <w:rPr>
                <w:rFonts w:ascii="Arial" w:cs="Arial" w:eastAsia="Arial" w:hAnsi="Arial"/>
                <w:sz w:val="20"/>
                <w:szCs w:val="20"/>
                <w:color w:val="auto"/>
                <w:w w:val="86"/>
              </w:rPr>
              <w:t>$ _____________</w:t>
            </w:r>
          </w:p>
        </w:tc>
      </w:tr>
    </w:tbl>
    <w:p>
      <w:pPr>
        <w:spacing w:after="0" w:line="87" w:lineRule="exact"/>
        <w:rPr>
          <w:sz w:val="20"/>
          <w:szCs w:val="20"/>
          <w:color w:val="auto"/>
        </w:rPr>
      </w:pPr>
    </w:p>
    <w:p>
      <w:pPr>
        <w:jc w:val="right"/>
        <w:ind w:left="643" w:right="1540" w:hanging="643"/>
        <w:spacing w:after="0" w:line="274" w:lineRule="auto"/>
        <w:tabs>
          <w:tab w:leader="none" w:pos="39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Net reductions in investments since the Closing Date permitted under </w:t>
      </w:r>
      <w:r>
        <w:rPr>
          <w:rFonts w:ascii="Arial" w:cs="Arial" w:eastAsia="Arial" w:hAnsi="Arial"/>
          <w:sz w:val="18"/>
          <w:szCs w:val="18"/>
          <w:i w:val="1"/>
          <w:iCs w:val="1"/>
          <w:color w:val="auto"/>
        </w:rPr>
        <w:t>Section 10.8(l)</w:t>
      </w:r>
      <w:r>
        <w:rPr>
          <w:rFonts w:ascii="Arial" w:cs="Arial" w:eastAsia="Arial" w:hAnsi="Arial"/>
          <w:sz w:val="18"/>
          <w:szCs w:val="18"/>
          <w:color w:val="auto"/>
        </w:rPr>
        <w:t xml:space="preserve"> of the Credit Agreement as a result of dispositions of any such investments sold or otherwise liquidated or repaid to the extent of the net cash proceeds and the fair market value of any assets or property</w:t>
      </w:r>
    </w:p>
    <w:p>
      <w:pPr>
        <w:sectPr>
          <w:pgSz w:w="11900" w:h="16838" w:orient="portrait"/>
          <w:cols w:equalWidth="0" w:num="1">
            <w:col w:w="9923"/>
          </w:cols>
          <w:pgMar w:left="977" w:top="744" w:right="999" w:bottom="1440" w:gutter="0" w:footer="0" w:header="0"/>
        </w:sectPr>
      </w:pPr>
    </w:p>
    <w:p>
      <w:pPr>
        <w:spacing w:after="0" w:line="1" w:lineRule="exact"/>
        <w:rPr>
          <w:sz w:val="20"/>
          <w:szCs w:val="20"/>
          <w:color w:val="auto"/>
        </w:rPr>
      </w:pPr>
    </w:p>
    <w:p>
      <w:pPr>
        <w:jc w:val="both"/>
        <w:ind w:left="643"/>
        <w:spacing w:after="0" w:line="239" w:lineRule="auto"/>
        <w:rPr>
          <w:sz w:val="20"/>
          <w:szCs w:val="20"/>
          <w:color w:val="auto"/>
        </w:rPr>
      </w:pPr>
      <w:r>
        <w:rPr>
          <w:rFonts w:ascii="Arial" w:cs="Arial" w:eastAsia="Arial" w:hAnsi="Arial"/>
          <w:sz w:val="20"/>
          <w:szCs w:val="20"/>
          <w:color w:val="auto"/>
        </w:rPr>
        <w:t>(as determined in good faith by the Board of Directors of VRI) received by a Restricted Company:</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53" w:lineRule="exact"/>
        <w:rPr>
          <w:sz w:val="20"/>
          <w:szCs w:val="20"/>
          <w:color w:val="auto"/>
        </w:rPr>
      </w:pPr>
    </w:p>
    <w:p>
      <w:pPr>
        <w:sectPr>
          <w:pgSz w:w="11900" w:h="16838" w:orient="portrait"/>
          <w:cols w:equalWidth="0" w:num="2">
            <w:col w:w="8383" w:space="120"/>
            <w:col w:w="1420"/>
          </w:cols>
          <w:pgMar w:left="977" w:top="744" w:right="999" w:bottom="1440" w:gutter="0" w:footer="0" w:header="0"/>
          <w:type w:val="continuous"/>
        </w:sectPr>
      </w:pPr>
    </w:p>
    <w:p>
      <w:pPr>
        <w:jc w:val="right"/>
        <w:ind w:left="643" w:right="1540" w:hanging="643"/>
        <w:spacing w:after="0" w:line="274" w:lineRule="auto"/>
        <w:tabs>
          <w:tab w:leader="none" w:pos="4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Net reductions in investments since the Closing Date permitted under </w:t>
      </w:r>
      <w:r>
        <w:rPr>
          <w:rFonts w:ascii="Arial" w:cs="Arial" w:eastAsia="Arial" w:hAnsi="Arial"/>
          <w:sz w:val="18"/>
          <w:szCs w:val="18"/>
          <w:i w:val="1"/>
          <w:iCs w:val="1"/>
          <w:color w:val="auto"/>
        </w:rPr>
        <w:t>Section 10.8(l)</w:t>
      </w:r>
      <w:r>
        <w:rPr>
          <w:rFonts w:ascii="Arial" w:cs="Arial" w:eastAsia="Arial" w:hAnsi="Arial"/>
          <w:sz w:val="18"/>
          <w:szCs w:val="18"/>
          <w:color w:val="auto"/>
        </w:rPr>
        <w:t xml:space="preserve"> of the Credit Agreement as a result of dividends reducing any such investment, repayment of the outstanding principal amount of loans or advances, or other transfers of assets to VRI or any Restricted</w:t>
      </w:r>
    </w:p>
    <w:p>
      <w:pPr>
        <w:sectPr>
          <w:pgSz w:w="11900" w:h="16838" w:orient="portrait"/>
          <w:cols w:equalWidth="0" w:num="1">
            <w:col w:w="9923"/>
          </w:cols>
          <w:pgMar w:left="977" w:top="744" w:right="999" w:bottom="1440" w:gutter="0" w:footer="0" w:header="0"/>
          <w:type w:val="continuous"/>
        </w:sectPr>
      </w:pPr>
    </w:p>
    <w:p>
      <w:pPr>
        <w:spacing w:after="0" w:line="1" w:lineRule="exact"/>
        <w:rPr>
          <w:sz w:val="20"/>
          <w:szCs w:val="20"/>
          <w:color w:val="auto"/>
        </w:rPr>
      </w:pPr>
    </w:p>
    <w:p>
      <w:pPr>
        <w:ind w:left="643"/>
        <w:spacing w:after="0"/>
        <w:rPr>
          <w:sz w:val="20"/>
          <w:szCs w:val="20"/>
          <w:color w:val="auto"/>
        </w:rPr>
      </w:pPr>
      <w:r>
        <w:rPr>
          <w:rFonts w:ascii="Arial" w:cs="Arial" w:eastAsia="Arial" w:hAnsi="Arial"/>
          <w:sz w:val="18"/>
          <w:szCs w:val="18"/>
          <w:color w:val="auto"/>
        </w:rPr>
        <w:t>Subsidiary of VRI: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_____________</w:t>
      </w:r>
    </w:p>
    <w:p>
      <w:pPr>
        <w:spacing w:after="0" w:line="132" w:lineRule="exact"/>
        <w:rPr>
          <w:sz w:val="20"/>
          <w:szCs w:val="20"/>
          <w:color w:val="auto"/>
        </w:rPr>
      </w:pPr>
    </w:p>
    <w:p>
      <w:pPr>
        <w:sectPr>
          <w:pgSz w:w="11900" w:h="16838" w:orient="portrait"/>
          <w:cols w:equalWidth="0" w:num="2">
            <w:col w:w="7783" w:space="720"/>
            <w:col w:w="1420"/>
          </w:cols>
          <w:pgMar w:left="977" w:top="744" w:right="999" w:bottom="1440" w:gutter="0" w:footer="0" w:header="0"/>
          <w:type w:val="continuous"/>
        </w:sectPr>
      </w:pPr>
    </w:p>
    <w:p>
      <w:pPr>
        <w:jc w:val="both"/>
        <w:ind w:left="643" w:hanging="647"/>
        <w:spacing w:after="0" w:line="278" w:lineRule="auto"/>
        <w:rPr>
          <w:sz w:val="20"/>
          <w:szCs w:val="20"/>
          <w:color w:val="auto"/>
        </w:rPr>
      </w:pPr>
      <w:r>
        <w:rPr>
          <w:rFonts w:ascii="Arial" w:cs="Arial" w:eastAsia="Arial" w:hAnsi="Arial"/>
          <w:sz w:val="18"/>
          <w:szCs w:val="18"/>
          <w:color w:val="auto"/>
        </w:rPr>
        <w:t xml:space="preserve">(ix) Net reductions in investments since the Closing Date permitted under </w:t>
      </w:r>
      <w:r>
        <w:rPr>
          <w:rFonts w:ascii="Arial" w:cs="Arial" w:eastAsia="Arial" w:hAnsi="Arial"/>
          <w:sz w:val="18"/>
          <w:szCs w:val="18"/>
          <w:i w:val="1"/>
          <w:iCs w:val="1"/>
          <w:color w:val="auto"/>
        </w:rPr>
        <w:t>Section 10.8(l)</w:t>
      </w:r>
      <w:r>
        <w:rPr>
          <w:rFonts w:ascii="Arial" w:cs="Arial" w:eastAsia="Arial" w:hAnsi="Arial"/>
          <w:sz w:val="18"/>
          <w:szCs w:val="18"/>
          <w:color w:val="auto"/>
        </w:rPr>
        <w:t xml:space="preserve"> of the Credit Agreement as a result of the portion (proportionate to VRI’s direct or indirect interest in the equity of a Person) of the fair market value of the net assets of an Unrestricted Subsidiary immediately prior to the time such Unrestricted Subsidiary is designated or becomes a Restricted Subsidiary of VRI in accordance with </w:t>
      </w:r>
      <w:r>
        <w:rPr>
          <w:rFonts w:ascii="Arial" w:cs="Arial" w:eastAsia="Arial" w:hAnsi="Arial"/>
          <w:sz w:val="18"/>
          <w:szCs w:val="18"/>
          <w:i w:val="1"/>
          <w:iCs w:val="1"/>
          <w:color w:val="auto"/>
        </w:rPr>
        <w:t>Sections 9.10</w:t>
      </w:r>
      <w:r>
        <w:rPr>
          <w:rFonts w:ascii="Arial" w:cs="Arial" w:eastAsia="Arial" w:hAnsi="Arial"/>
          <w:sz w:val="18"/>
          <w:szCs w:val="18"/>
          <w:color w:val="auto"/>
        </w:rPr>
        <w:t xml:space="preserve"> or </w:t>
      </w:r>
      <w:r>
        <w:rPr>
          <w:rFonts w:ascii="Arial" w:cs="Arial" w:eastAsia="Arial" w:hAnsi="Arial"/>
          <w:sz w:val="18"/>
          <w:szCs w:val="18"/>
          <w:i w:val="1"/>
          <w:iCs w:val="1"/>
          <w:color w:val="auto"/>
        </w:rPr>
        <w:t>9.11(b)</w:t>
      </w:r>
      <w:r>
        <w:rPr>
          <w:rFonts w:ascii="Arial" w:cs="Arial" w:eastAsia="Arial" w:hAnsi="Arial"/>
          <w:sz w:val="18"/>
          <w:szCs w:val="18"/>
          <w:color w:val="auto"/>
        </w:rPr>
        <w:t xml:space="preserve"> of the Credit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53" w:lineRule="exact"/>
        <w:rPr>
          <w:sz w:val="20"/>
          <w:szCs w:val="20"/>
          <w:color w:val="auto"/>
        </w:rPr>
      </w:pPr>
    </w:p>
    <w:p>
      <w:pPr>
        <w:sectPr>
          <w:pgSz w:w="11900" w:h="16838" w:orient="portrait"/>
          <w:cols w:equalWidth="0" w:num="2">
            <w:col w:w="8383" w:space="120"/>
            <w:col w:w="1420"/>
          </w:cols>
          <w:pgMar w:left="977" w:top="744" w:right="999" w:bottom="1440" w:gutter="0" w:footer="0" w:header="0"/>
          <w:type w:val="continuous"/>
        </w:sectPr>
      </w:pPr>
    </w:p>
    <w:p>
      <w:pPr>
        <w:ind w:left="283" w:hanging="283"/>
        <w:spacing w:after="0"/>
        <w:tabs>
          <w:tab w:leader="none" w:pos="283" w:val="left"/>
        </w:tabs>
        <w:numPr>
          <w:ilvl w:val="0"/>
          <w:numId w:val="2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Item 10.8(l)(iv) </w:t>
      </w:r>
      <w:r>
        <w:rPr>
          <w:rFonts w:ascii="Arial" w:cs="Arial" w:eastAsia="Arial" w:hAnsi="Arial"/>
          <w:sz w:val="18"/>
          <w:szCs w:val="18"/>
          <w:u w:val="single" w:color="auto"/>
          <w:color w:val="auto"/>
        </w:rPr>
        <w:t>plus</w:t>
      </w:r>
      <w:r>
        <w:rPr>
          <w:rFonts w:ascii="Arial" w:cs="Arial" w:eastAsia="Arial" w:hAnsi="Arial"/>
          <w:sz w:val="18"/>
          <w:szCs w:val="18"/>
          <w:b w:val="1"/>
          <w:bCs w:val="1"/>
          <w:i w:val="1"/>
          <w:iCs w:val="1"/>
          <w:color w:val="auto"/>
        </w:rPr>
        <w:t xml:space="preserve"> Item 10.8(l)(vi) </w:t>
      </w:r>
      <w:r>
        <w:rPr>
          <w:rFonts w:ascii="Arial" w:cs="Arial" w:eastAsia="Arial" w:hAnsi="Arial"/>
          <w:sz w:val="18"/>
          <w:szCs w:val="18"/>
          <w:u w:val="single" w:color="auto"/>
          <w:color w:val="auto"/>
        </w:rPr>
        <w:t>plus</w:t>
      </w:r>
      <w:r>
        <w:rPr>
          <w:rFonts w:ascii="Arial" w:cs="Arial" w:eastAsia="Arial" w:hAnsi="Arial"/>
          <w:sz w:val="18"/>
          <w:szCs w:val="18"/>
          <w:b w:val="1"/>
          <w:bCs w:val="1"/>
          <w:i w:val="1"/>
          <w:iCs w:val="1"/>
          <w:color w:val="auto"/>
        </w:rPr>
        <w:t xml:space="preserve"> Item 10.8(l)(vii) </w:t>
      </w:r>
      <w:r>
        <w:rPr>
          <w:rFonts w:ascii="Arial" w:cs="Arial" w:eastAsia="Arial" w:hAnsi="Arial"/>
          <w:sz w:val="18"/>
          <w:szCs w:val="18"/>
          <w:u w:val="single" w:color="auto"/>
          <w:color w:val="auto"/>
        </w:rPr>
        <w:t>plus</w:t>
      </w:r>
      <w:r>
        <w:rPr>
          <w:rFonts w:ascii="Arial" w:cs="Arial" w:eastAsia="Arial" w:hAnsi="Arial"/>
          <w:sz w:val="18"/>
          <w:szCs w:val="18"/>
          <w:b w:val="1"/>
          <w:bCs w:val="1"/>
          <w:i w:val="1"/>
          <w:iCs w:val="1"/>
          <w:color w:val="auto"/>
        </w:rPr>
        <w:t xml:space="preserve"> Item 10.8(l)(viii) </w:t>
      </w:r>
      <w:r>
        <w:rPr>
          <w:rFonts w:ascii="Arial" w:cs="Arial" w:eastAsia="Arial" w:hAnsi="Arial"/>
          <w:sz w:val="18"/>
          <w:szCs w:val="18"/>
          <w:u w:val="single" w:color="auto"/>
          <w:color w:val="auto"/>
        </w:rPr>
        <w:t>plus</w:t>
      </w:r>
      <w:r>
        <w:rPr>
          <w:rFonts w:ascii="Arial" w:cs="Arial" w:eastAsia="Arial" w:hAnsi="Arial"/>
          <w:sz w:val="18"/>
          <w:szCs w:val="18"/>
          <w:b w:val="1"/>
          <w:bCs w:val="1"/>
          <w:i w:val="1"/>
          <w:iCs w:val="1"/>
          <w:color w:val="auto"/>
        </w:rPr>
        <w:t xml:space="preserve"> Item 10.8(l)(ix)</w:t>
      </w:r>
      <w:r>
        <w:rPr>
          <w:rFonts w:ascii="Arial" w:cs="Arial" w:eastAsia="Arial" w:hAnsi="Arial"/>
          <w:sz w:val="18"/>
          <w:szCs w:val="18"/>
          <w:color w:val="auto"/>
        </w:rPr>
        <w:t>: $ _____________</w:t>
      </w:r>
    </w:p>
    <w:p>
      <w:pPr>
        <w:spacing w:after="0" w:line="130" w:lineRule="exact"/>
        <w:rPr>
          <w:rFonts w:ascii="Arial" w:cs="Arial" w:eastAsia="Arial" w:hAnsi="Arial"/>
          <w:sz w:val="18"/>
          <w:szCs w:val="18"/>
          <w:color w:val="auto"/>
        </w:rPr>
      </w:pPr>
    </w:p>
    <w:p>
      <w:pPr>
        <w:ind w:left="343" w:hanging="343"/>
        <w:spacing w:after="0"/>
        <w:tabs>
          <w:tab w:leader="none" w:pos="343" w:val="left"/>
        </w:tabs>
        <w:numPr>
          <w:ilvl w:val="0"/>
          <w:numId w:val="214"/>
        </w:numPr>
        <w:rPr>
          <w:rFonts w:ascii="Arial" w:cs="Arial" w:eastAsia="Arial" w:hAnsi="Arial"/>
          <w:sz w:val="20"/>
          <w:szCs w:val="20"/>
          <w:color w:val="auto"/>
        </w:rPr>
      </w:pPr>
      <w:r>
        <w:rPr>
          <w:rFonts w:ascii="Arial" w:cs="Arial" w:eastAsia="Arial" w:hAnsi="Arial"/>
          <w:sz w:val="20"/>
          <w:szCs w:val="20"/>
          <w:color w:val="auto"/>
        </w:rPr>
        <w:t>Are loans, advances, and investments in Similar Businesses (</w:t>
      </w:r>
      <w:r>
        <w:rPr>
          <w:rFonts w:ascii="Arial" w:cs="Arial" w:eastAsia="Arial" w:hAnsi="Arial"/>
          <w:sz w:val="20"/>
          <w:szCs w:val="20"/>
          <w:b w:val="1"/>
          <w:bCs w:val="1"/>
          <w:i w:val="1"/>
          <w:iCs w:val="1"/>
          <w:color w:val="auto"/>
        </w:rPr>
        <w:t>Item 10.8(l)(iii)</w:t>
      </w:r>
      <w:r>
        <w:rPr>
          <w:rFonts w:ascii="Arial" w:cs="Arial" w:eastAsia="Arial" w:hAnsi="Arial"/>
          <w:sz w:val="20"/>
          <w:szCs w:val="20"/>
          <w:color w:val="auto"/>
        </w:rPr>
        <w:t>) less than or equal to</w:t>
      </w:r>
    </w:p>
    <w:p>
      <w:pPr>
        <w:spacing w:after="0" w:line="2" w:lineRule="exact"/>
        <w:rPr>
          <w:sz w:val="20"/>
          <w:szCs w:val="20"/>
          <w:color w:val="auto"/>
        </w:rPr>
      </w:pPr>
    </w:p>
    <w:p>
      <w:pPr>
        <w:ind w:left="643"/>
        <w:spacing w:after="0"/>
        <w:rPr>
          <w:sz w:val="20"/>
          <w:szCs w:val="20"/>
          <w:color w:val="auto"/>
        </w:rPr>
      </w:pPr>
      <w:r>
        <w:rPr>
          <w:rFonts w:ascii="Arial" w:cs="Arial" w:eastAsia="Arial" w:hAnsi="Arial"/>
          <w:sz w:val="20"/>
          <w:szCs w:val="20"/>
          <w:color w:val="auto"/>
        </w:rPr>
        <w:t xml:space="preserve">the amount set forth in </w:t>
      </w:r>
      <w:r>
        <w:rPr>
          <w:rFonts w:ascii="Arial" w:cs="Arial" w:eastAsia="Arial" w:hAnsi="Arial"/>
          <w:sz w:val="20"/>
          <w:szCs w:val="20"/>
          <w:b w:val="1"/>
          <w:bCs w:val="1"/>
          <w:i w:val="1"/>
          <w:iCs w:val="1"/>
          <w:color w:val="auto"/>
        </w:rPr>
        <w:t>Item 10.8(l)(x)</w:t>
      </w:r>
      <w:r>
        <w:rPr>
          <w:rFonts w:ascii="Arial" w:cs="Arial" w:eastAsia="Arial" w:hAnsi="Arial"/>
          <w:sz w:val="20"/>
          <w:szCs w:val="20"/>
          <w:color w:val="auto"/>
        </w:rPr>
        <w:t>?</w:t>
      </w:r>
    </w:p>
    <w:p>
      <w:pPr>
        <w:ind w:left="8503"/>
        <w:spacing w:after="0"/>
        <w:rPr>
          <w:sz w:val="20"/>
          <w:szCs w:val="20"/>
          <w:color w:val="auto"/>
        </w:rPr>
      </w:pPr>
      <w:r>
        <w:rPr>
          <w:rFonts w:ascii="Arial" w:cs="Arial" w:eastAsia="Arial" w:hAnsi="Arial"/>
          <w:sz w:val="20"/>
          <w:szCs w:val="20"/>
          <w:color w:val="auto"/>
        </w:rPr>
        <w:t>Yes/No</w:t>
      </w:r>
    </w:p>
    <w:p>
      <w:pPr>
        <w:sectPr>
          <w:pgSz w:w="11900" w:h="16838" w:orient="portrait"/>
          <w:cols w:equalWidth="0" w:num="1">
            <w:col w:w="9923"/>
          </w:cols>
          <w:pgMar w:left="977" w:top="744" w:right="999" w:bottom="1440" w:gutter="0" w:footer="0" w:header="0"/>
          <w:type w:val="continuous"/>
        </w:sectPr>
      </w:pPr>
    </w:p>
    <w:bookmarkStart w:id="223" w:name="page224"/>
    <w:bookmarkEnd w:id="223"/>
    <w:p>
      <w:pPr>
        <w:spacing w:after="0"/>
        <w:rPr>
          <w:sz w:val="20"/>
          <w:szCs w:val="20"/>
          <w:color w:val="auto"/>
        </w:rPr>
      </w:pPr>
      <w:r>
        <w:rPr>
          <w:rFonts w:ascii="Arial" w:cs="Arial" w:eastAsia="Arial" w:hAnsi="Arial"/>
          <w:sz w:val="20"/>
          <w:szCs w:val="20"/>
          <w:b w:val="1"/>
          <w:bCs w:val="1"/>
          <w:color w:val="auto"/>
        </w:rPr>
        <w:t>10.8(m) INVESTMENTS IN JOINT VENTURES</w:t>
      </w:r>
    </w:p>
    <w:p>
      <w:pPr>
        <w:spacing w:after="0" w:line="200" w:lineRule="exact"/>
        <w:rPr>
          <w:sz w:val="20"/>
          <w:szCs w:val="20"/>
          <w:color w:val="auto"/>
        </w:rPr>
      </w:pPr>
    </w:p>
    <w:p>
      <w:pPr>
        <w:spacing w:after="0" w:line="238" w:lineRule="exact"/>
        <w:rPr>
          <w:sz w:val="20"/>
          <w:szCs w:val="20"/>
          <w:color w:val="auto"/>
        </w:rPr>
      </w:pPr>
    </w:p>
    <w:p>
      <w:pPr>
        <w:ind w:left="1300" w:hanging="643"/>
        <w:spacing w:after="0" w:line="272" w:lineRule="auto"/>
        <w:tabs>
          <w:tab w:leader="none" w:pos="90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Loans, advances, and investments during the Subject Period in joint ventures in which a Restricted Company has an Equity Interest (including, without limitation, credit support and contingent obligations with respect to Debt of such joint ventures) (excluding, for the avoidance of doubt, such loans, advances and investments made pursuant to </w:t>
      </w:r>
      <w:r>
        <w:rPr>
          <w:rFonts w:ascii="Arial" w:cs="Arial" w:eastAsia="Arial" w:hAnsi="Arial"/>
          <w:sz w:val="18"/>
          <w:szCs w:val="18"/>
          <w:i w:val="1"/>
          <w:iCs w:val="1"/>
          <w:color w:val="auto"/>
        </w:rPr>
        <w:t>Section 10.8(t)</w:t>
      </w:r>
      <w:r>
        <w:rPr>
          <w:rFonts w:ascii="Arial" w:cs="Arial" w:eastAsia="Arial" w:hAnsi="Arial"/>
          <w:sz w:val="18"/>
          <w:szCs w:val="18"/>
          <w:color w:val="auto"/>
        </w:rPr>
        <w:t xml:space="preserve"> of the Credit Agreement) determined (x) with respect to each such loan and advance based on the value thereof on the date of determination, (y) with respect to each such investment based on the value thereof on the date made, and (z) with respect to each such credit support and contingent obligation based on the maximum potential financial exposure therefrom on the date of determination (the sum of </w:t>
      </w:r>
      <w:r>
        <w:rPr>
          <w:rFonts w:ascii="Arial" w:cs="Arial" w:eastAsia="Arial" w:hAnsi="Arial"/>
          <w:sz w:val="18"/>
          <w:szCs w:val="18"/>
          <w:b w:val="1"/>
          <w:bCs w:val="1"/>
          <w:i w:val="1"/>
          <w:iCs w:val="1"/>
          <w:color w:val="auto"/>
        </w:rPr>
        <w:t xml:space="preserve">Items 10.8(m)(i)(A) </w:t>
      </w:r>
      <w:r>
        <w:rPr>
          <w:rFonts w:ascii="Arial" w:cs="Arial" w:eastAsia="Arial" w:hAnsi="Arial"/>
          <w:sz w:val="18"/>
          <w:szCs w:val="18"/>
          <w:color w:val="auto"/>
        </w:rPr>
        <w:t>through</w:t>
      </w:r>
      <w:r>
        <w:rPr>
          <w:rFonts w:ascii="Arial" w:cs="Arial" w:eastAsia="Arial" w:hAnsi="Arial"/>
          <w:sz w:val="18"/>
          <w:szCs w:val="18"/>
          <w:b w:val="1"/>
          <w:bCs w:val="1"/>
          <w:i w:val="1"/>
          <w:iCs w:val="1"/>
          <w:color w:val="auto"/>
        </w:rPr>
        <w:t xml:space="preserve"> 10.8(m)(i)(_) </w:t>
      </w:r>
      <w:r>
        <w:rPr>
          <w:rFonts w:ascii="Arial" w:cs="Arial" w:eastAsia="Arial" w:hAnsi="Arial"/>
          <w:sz w:val="18"/>
          <w:szCs w:val="18"/>
          <w:color w:val="auto"/>
        </w:rPr>
        <w:t>below):</w:t>
      </w:r>
    </w:p>
    <w:p>
      <w:pPr>
        <w:spacing w:after="0" w:line="36" w:lineRule="exact"/>
        <w:rPr>
          <w:rFonts w:ascii="Arial" w:cs="Arial" w:eastAsia="Arial" w:hAnsi="Arial"/>
          <w:sz w:val="18"/>
          <w:szCs w:val="18"/>
          <w:color w:val="auto"/>
        </w:rPr>
      </w:pPr>
    </w:p>
    <w:p>
      <w:pPr>
        <w:ind w:left="1620" w:hanging="314"/>
        <w:spacing w:after="0"/>
        <w:tabs>
          <w:tab w:leader="none" w:pos="1620" w:val="left"/>
        </w:tabs>
        <w:numPr>
          <w:ilvl w:val="1"/>
          <w:numId w:val="215"/>
        </w:numPr>
        <w:rPr>
          <w:rFonts w:ascii="Arial" w:cs="Arial" w:eastAsia="Arial" w:hAnsi="Arial"/>
          <w:sz w:val="20"/>
          <w:szCs w:val="20"/>
          <w:color w:val="auto"/>
        </w:rPr>
      </w:pPr>
      <w:r>
        <w:rPr>
          <w:rFonts w:ascii="Arial" w:cs="Arial" w:eastAsia="Arial" w:hAnsi="Arial"/>
          <w:sz w:val="20"/>
          <w:szCs w:val="20"/>
          <w:color w:val="auto"/>
        </w:rPr>
        <w:t>[List applicable entities]</w:t>
      </w:r>
    </w:p>
    <w:p>
      <w:pPr>
        <w:spacing w:after="0" w:line="107" w:lineRule="exact"/>
        <w:rPr>
          <w:rFonts w:ascii="Arial" w:cs="Arial" w:eastAsia="Arial" w:hAnsi="Arial"/>
          <w:sz w:val="20"/>
          <w:szCs w:val="20"/>
          <w:color w:val="auto"/>
        </w:rPr>
      </w:pPr>
    </w:p>
    <w:p>
      <w:pPr>
        <w:jc w:val="right"/>
        <w:ind w:left="1300" w:hanging="643"/>
        <w:spacing w:after="0" w:line="269" w:lineRule="auto"/>
        <w:tabs>
          <w:tab w:leader="none" w:pos="95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Aggregate amount of all loans, advances, and investments since the Closing Date but prior to the Subject Period in joint ventures in which a Restricted Company has an Equity Interest (including, without limitation, credit support and contingent obligations with respect to Debt of such  joint  ventures)  (excluding,  for  the  avoidance  of  doubt,  such  loans,  advances  and investments made pursuant to </w:t>
      </w:r>
      <w:r>
        <w:rPr>
          <w:rFonts w:ascii="Arial" w:cs="Arial" w:eastAsia="Arial" w:hAnsi="Arial"/>
          <w:sz w:val="18"/>
          <w:szCs w:val="18"/>
          <w:i w:val="1"/>
          <w:iCs w:val="1"/>
          <w:color w:val="auto"/>
        </w:rPr>
        <w:t>Section 10.8(t)</w:t>
      </w:r>
      <w:r>
        <w:rPr>
          <w:rFonts w:ascii="Arial" w:cs="Arial" w:eastAsia="Arial" w:hAnsi="Arial"/>
          <w:sz w:val="18"/>
          <w:szCs w:val="18"/>
          <w:color w:val="auto"/>
        </w:rPr>
        <w:t xml:space="preserve"> of the Credit Agreement) determined (x) with respect to each such loan and advance based on the value thereof on the date of determination,</w:t>
      </w:r>
    </w:p>
    <w:p>
      <w:pPr>
        <w:spacing w:after="0" w:line="1" w:lineRule="exact"/>
        <w:rPr>
          <w:rFonts w:ascii="Arial" w:cs="Arial" w:eastAsia="Arial" w:hAnsi="Arial"/>
          <w:sz w:val="18"/>
          <w:szCs w:val="18"/>
          <w:color w:val="auto"/>
        </w:rPr>
      </w:pPr>
    </w:p>
    <w:p>
      <w:pPr>
        <w:jc w:val="both"/>
        <w:ind w:left="1300" w:right="20"/>
        <w:spacing w:after="0" w:line="241" w:lineRule="auto"/>
        <w:rPr>
          <w:rFonts w:ascii="Arial" w:cs="Arial" w:eastAsia="Arial" w:hAnsi="Arial"/>
          <w:sz w:val="18"/>
          <w:szCs w:val="18"/>
          <w:color w:val="auto"/>
        </w:rPr>
      </w:pPr>
      <w:r>
        <w:rPr>
          <w:rFonts w:ascii="Arial" w:cs="Arial" w:eastAsia="Arial" w:hAnsi="Arial"/>
          <w:sz w:val="20"/>
          <w:szCs w:val="20"/>
          <w:color w:val="auto"/>
        </w:rPr>
        <w:t xml:space="preserve">(y) with respect to each such investment based on the value thereof on the date made, and (z) with respect to each such credit support and contingent obligation based on the maximum potential financial exposure therefrom on the date of determination (the sum of </w:t>
      </w:r>
      <w:r>
        <w:rPr>
          <w:rFonts w:ascii="Arial" w:cs="Arial" w:eastAsia="Arial" w:hAnsi="Arial"/>
          <w:sz w:val="20"/>
          <w:szCs w:val="20"/>
          <w:b w:val="1"/>
          <w:bCs w:val="1"/>
          <w:i w:val="1"/>
          <w:iCs w:val="1"/>
          <w:color w:val="auto"/>
        </w:rPr>
        <w:t>Items 10.8(m)</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(ii)(A) </w:t>
      </w:r>
      <w:r>
        <w:rPr>
          <w:rFonts w:ascii="Arial" w:cs="Arial" w:eastAsia="Arial" w:hAnsi="Arial"/>
          <w:sz w:val="20"/>
          <w:szCs w:val="20"/>
          <w:color w:val="auto"/>
        </w:rPr>
        <w:t>through</w:t>
      </w:r>
      <w:r>
        <w:rPr>
          <w:rFonts w:ascii="Arial" w:cs="Arial" w:eastAsia="Arial" w:hAnsi="Arial"/>
          <w:sz w:val="20"/>
          <w:szCs w:val="20"/>
          <w:b w:val="1"/>
          <w:bCs w:val="1"/>
          <w:i w:val="1"/>
          <w:iCs w:val="1"/>
          <w:color w:val="auto"/>
        </w:rPr>
        <w:t xml:space="preserve"> 10.8(m)(ii)(_) </w:t>
      </w:r>
      <w:r>
        <w:rPr>
          <w:rFonts w:ascii="Arial" w:cs="Arial" w:eastAsia="Arial" w:hAnsi="Arial"/>
          <w:sz w:val="20"/>
          <w:szCs w:val="20"/>
          <w:color w:val="auto"/>
        </w:rPr>
        <w:t>below):</w:t>
      </w:r>
    </w:p>
    <w:p>
      <w:pPr>
        <w:spacing w:after="0" w:line="59" w:lineRule="exact"/>
        <w:rPr>
          <w:rFonts w:ascii="Arial" w:cs="Arial" w:eastAsia="Arial" w:hAnsi="Arial"/>
          <w:sz w:val="18"/>
          <w:szCs w:val="18"/>
          <w:color w:val="auto"/>
        </w:rPr>
      </w:pPr>
    </w:p>
    <w:p>
      <w:pPr>
        <w:ind w:left="1620" w:hanging="314"/>
        <w:spacing w:after="0"/>
        <w:tabs>
          <w:tab w:leader="none" w:pos="1620" w:val="left"/>
        </w:tabs>
        <w:numPr>
          <w:ilvl w:val="1"/>
          <w:numId w:val="215"/>
        </w:numPr>
        <w:rPr>
          <w:rFonts w:ascii="Arial" w:cs="Arial" w:eastAsia="Arial" w:hAnsi="Arial"/>
          <w:sz w:val="20"/>
          <w:szCs w:val="20"/>
          <w:color w:val="auto"/>
        </w:rPr>
      </w:pPr>
      <w:r>
        <w:rPr>
          <w:rFonts w:ascii="Arial" w:cs="Arial" w:eastAsia="Arial" w:hAnsi="Arial"/>
          <w:sz w:val="20"/>
          <w:szCs w:val="20"/>
          <w:color w:val="auto"/>
        </w:rPr>
        <w:t>[List applicable entities]</w:t>
      </w:r>
    </w:p>
    <w:p>
      <w:pPr>
        <w:spacing w:after="0" w:line="107" w:lineRule="exact"/>
        <w:rPr>
          <w:rFonts w:ascii="Arial" w:cs="Arial" w:eastAsia="Arial" w:hAnsi="Arial"/>
          <w:sz w:val="20"/>
          <w:szCs w:val="20"/>
          <w:color w:val="auto"/>
        </w:rPr>
      </w:pPr>
    </w:p>
    <w:p>
      <w:pPr>
        <w:ind w:left="1300" w:hanging="643"/>
        <w:spacing w:after="0" w:line="260" w:lineRule="auto"/>
        <w:tabs>
          <w:tab w:leader="none" w:pos="998" w:val="left"/>
        </w:tabs>
        <w:numPr>
          <w:ilvl w:val="0"/>
          <w:numId w:val="215"/>
        </w:numPr>
        <w:rPr>
          <w:rFonts w:ascii="Arial" w:cs="Arial" w:eastAsia="Arial" w:hAnsi="Arial"/>
          <w:sz w:val="20"/>
          <w:szCs w:val="20"/>
          <w:color w:val="auto"/>
        </w:rPr>
      </w:pPr>
      <w:r>
        <w:rPr>
          <w:rFonts w:ascii="Arial" w:cs="Arial" w:eastAsia="Arial" w:hAnsi="Arial"/>
          <w:sz w:val="20"/>
          <w:szCs w:val="20"/>
          <w:color w:val="auto"/>
        </w:rPr>
        <w:t>Aggregate loans, advances, and investments in joint ventures in which a Restricted Company has an Equity Interest (</w:t>
      </w:r>
      <w:r>
        <w:rPr>
          <w:rFonts w:ascii="Arial" w:cs="Arial" w:eastAsia="Arial" w:hAnsi="Arial"/>
          <w:sz w:val="20"/>
          <w:szCs w:val="20"/>
          <w:b w:val="1"/>
          <w:bCs w:val="1"/>
          <w:i w:val="1"/>
          <w:iCs w:val="1"/>
          <w:color w:val="auto"/>
        </w:rPr>
        <w:t>Item 10.8(m)(i)</w:t>
      </w:r>
      <w:r>
        <w:rPr>
          <w:rFonts w:ascii="Arial" w:cs="Arial" w:eastAsia="Arial" w:hAnsi="Arial"/>
          <w:sz w:val="20"/>
          <w:szCs w:val="20"/>
          <w:color w:val="auto"/>
        </w:rPr>
        <w:t xml:space="preserv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Item 10.8(m)(ii)</w:t>
      </w:r>
      <w:r>
        <w:rPr>
          <w:rFonts w:ascii="Arial" w:cs="Arial" w:eastAsia="Arial" w:hAnsi="Arial"/>
          <w:sz w:val="20"/>
          <w:szCs w:val="20"/>
          <w:color w:val="auto"/>
        </w:rPr>
        <w:t>):</w:t>
      </w:r>
    </w:p>
    <w:p>
      <w:pPr>
        <w:spacing w:after="0" w:line="325" w:lineRule="exact"/>
        <w:rPr>
          <w:rFonts w:ascii="Arial" w:cs="Arial" w:eastAsia="Arial" w:hAnsi="Arial"/>
          <w:sz w:val="20"/>
          <w:szCs w:val="20"/>
          <w:color w:val="auto"/>
        </w:rPr>
      </w:pPr>
    </w:p>
    <w:p>
      <w:pPr>
        <w:ind w:left="1000" w:hanging="343"/>
        <w:spacing w:after="0"/>
        <w:tabs>
          <w:tab w:leader="none" w:pos="100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$75,000,000:</w:t>
      </w:r>
    </w:p>
    <w:p>
      <w:pPr>
        <w:spacing w:after="0" w:line="323" w:lineRule="exact"/>
        <w:rPr>
          <w:rFonts w:ascii="Arial" w:cs="Arial" w:eastAsia="Arial" w:hAnsi="Arial"/>
          <w:sz w:val="20"/>
          <w:szCs w:val="20"/>
          <w:color w:val="auto"/>
        </w:rPr>
      </w:pPr>
    </w:p>
    <w:p>
      <w:pPr>
        <w:ind w:left="940" w:hanging="283"/>
        <w:spacing w:after="0"/>
        <w:tabs>
          <w:tab w:leader="none" w:pos="94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Total Assets:</w:t>
      </w:r>
    </w:p>
    <w:p>
      <w:pPr>
        <w:spacing w:after="0" w:line="107" w:lineRule="exact"/>
        <w:rPr>
          <w:rFonts w:ascii="Arial" w:cs="Arial" w:eastAsia="Arial" w:hAnsi="Arial"/>
          <w:sz w:val="20"/>
          <w:szCs w:val="20"/>
          <w:color w:val="auto"/>
        </w:rPr>
      </w:pPr>
    </w:p>
    <w:p>
      <w:pPr>
        <w:ind w:left="1000" w:hanging="343"/>
        <w:spacing w:after="0"/>
        <w:tabs>
          <w:tab w:leader="none" w:pos="100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10% of Total Assets (</w:t>
      </w:r>
      <w:r>
        <w:rPr>
          <w:rFonts w:ascii="Arial" w:cs="Arial" w:eastAsia="Arial" w:hAnsi="Arial"/>
          <w:sz w:val="20"/>
          <w:szCs w:val="20"/>
          <w:b w:val="1"/>
          <w:bCs w:val="1"/>
          <w:i w:val="1"/>
          <w:iCs w:val="1"/>
          <w:color w:val="auto"/>
        </w:rPr>
        <w:t>Item 10.8(m)(v)</w:t>
      </w: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ind w:left="1300" w:hanging="643"/>
        <w:spacing w:after="0" w:line="244" w:lineRule="auto"/>
        <w:tabs>
          <w:tab w:leader="none" w:pos="1042" w:val="left"/>
        </w:tabs>
        <w:numPr>
          <w:ilvl w:val="0"/>
          <w:numId w:val="215"/>
        </w:numPr>
        <w:rPr>
          <w:rFonts w:ascii="Arial" w:cs="Arial" w:eastAsia="Arial" w:hAnsi="Arial"/>
          <w:sz w:val="20"/>
          <w:szCs w:val="20"/>
          <w:color w:val="auto"/>
        </w:rPr>
      </w:pPr>
      <w:r>
        <w:rPr>
          <w:rFonts w:ascii="Arial" w:cs="Arial" w:eastAsia="Arial" w:hAnsi="Arial"/>
          <w:sz w:val="20"/>
          <w:szCs w:val="20"/>
          <w:color w:val="auto"/>
        </w:rPr>
        <w:t xml:space="preserve">Net reductions in investments since the Closing Date permitted under </w:t>
      </w:r>
      <w:r>
        <w:rPr>
          <w:rFonts w:ascii="Arial" w:cs="Arial" w:eastAsia="Arial" w:hAnsi="Arial"/>
          <w:sz w:val="20"/>
          <w:szCs w:val="20"/>
          <w:i w:val="1"/>
          <w:iCs w:val="1"/>
          <w:color w:val="auto"/>
        </w:rPr>
        <w:t>Section 10.8(m)</w:t>
      </w:r>
      <w:r>
        <w:rPr>
          <w:rFonts w:ascii="Arial" w:cs="Arial" w:eastAsia="Arial" w:hAnsi="Arial"/>
          <w:sz w:val="20"/>
          <w:szCs w:val="20"/>
          <w:color w:val="auto"/>
        </w:rPr>
        <w:t xml:space="preserve"> of the Credit Agreement as a result of dispositions of any such investments sold or otherwise liquidated or repaid to the extent of the net cash proceeds and the fair market value of any assets or property (as determined in good faith by the Board of Directors of VRI) received by a Restricted Company:</w:t>
      </w:r>
    </w:p>
    <w:p>
      <w:pPr>
        <w:spacing w:after="0" w:line="86" w:lineRule="exact"/>
        <w:rPr>
          <w:rFonts w:ascii="Arial" w:cs="Arial" w:eastAsia="Arial" w:hAnsi="Arial"/>
          <w:sz w:val="20"/>
          <w:szCs w:val="20"/>
          <w:color w:val="auto"/>
        </w:rPr>
      </w:pPr>
    </w:p>
    <w:p>
      <w:pPr>
        <w:ind w:left="1300" w:hanging="643"/>
        <w:spacing w:after="0" w:line="246" w:lineRule="auto"/>
        <w:tabs>
          <w:tab w:leader="none" w:pos="1097" w:val="left"/>
        </w:tabs>
        <w:numPr>
          <w:ilvl w:val="0"/>
          <w:numId w:val="215"/>
        </w:numPr>
        <w:rPr>
          <w:rFonts w:ascii="Arial" w:cs="Arial" w:eastAsia="Arial" w:hAnsi="Arial"/>
          <w:sz w:val="20"/>
          <w:szCs w:val="20"/>
          <w:color w:val="auto"/>
        </w:rPr>
      </w:pPr>
      <w:r>
        <w:rPr>
          <w:rFonts w:ascii="Arial" w:cs="Arial" w:eastAsia="Arial" w:hAnsi="Arial"/>
          <w:sz w:val="20"/>
          <w:szCs w:val="20"/>
          <w:color w:val="auto"/>
        </w:rPr>
        <w:t xml:space="preserve">Net reductions in investments since the Closing Date permitted under </w:t>
      </w:r>
      <w:r>
        <w:rPr>
          <w:rFonts w:ascii="Arial" w:cs="Arial" w:eastAsia="Arial" w:hAnsi="Arial"/>
          <w:sz w:val="20"/>
          <w:szCs w:val="20"/>
          <w:i w:val="1"/>
          <w:iCs w:val="1"/>
          <w:color w:val="auto"/>
        </w:rPr>
        <w:t>Section 10.8(m)</w:t>
      </w:r>
      <w:r>
        <w:rPr>
          <w:rFonts w:ascii="Arial" w:cs="Arial" w:eastAsia="Arial" w:hAnsi="Arial"/>
          <w:sz w:val="20"/>
          <w:szCs w:val="20"/>
          <w:color w:val="auto"/>
        </w:rPr>
        <w:t xml:space="preserve"> of the Credit Agreement as a result of dividends reducing any such investment, repayment of the outstanding principal amount of loans or advances, or other transfers of assets to VRI or any Restricted Subsidiary of VRI: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60" w:hanging="155"/>
        <w:spacing w:after="0"/>
        <w:tabs>
          <w:tab w:leader="none" w:pos="1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60" w:hanging="155"/>
        <w:spacing w:after="0"/>
        <w:tabs>
          <w:tab w:leader="none" w:pos="1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60" w:hanging="155"/>
        <w:spacing w:after="0"/>
        <w:tabs>
          <w:tab w:leader="none" w:pos="16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60" w:hanging="155"/>
        <w:spacing w:after="0"/>
        <w:tabs>
          <w:tab w:leader="none" w:pos="16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color w:val="auto"/>
        </w:rPr>
        <w:t>$75,000,000</w:t>
      </w:r>
    </w:p>
    <w:p>
      <w:pPr>
        <w:spacing w:after="0" w:line="243" w:lineRule="exact"/>
        <w:rPr>
          <w:sz w:val="20"/>
          <w:szCs w:val="20"/>
          <w:color w:val="auto"/>
        </w:rPr>
      </w:pPr>
    </w:p>
    <w:p>
      <w:pPr>
        <w:ind w:left="160" w:hanging="155"/>
        <w:spacing w:after="0"/>
        <w:tabs>
          <w:tab w:leader="none" w:pos="16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53" w:lineRule="exact"/>
        <w:rPr>
          <w:rFonts w:ascii="Arial" w:cs="Arial" w:eastAsia="Arial" w:hAnsi="Arial"/>
          <w:sz w:val="16"/>
          <w:szCs w:val="16"/>
          <w:color w:val="auto"/>
        </w:rPr>
      </w:pPr>
    </w:p>
    <w:p>
      <w:pPr>
        <w:ind w:left="160" w:hanging="155"/>
        <w:spacing w:after="0"/>
        <w:tabs>
          <w:tab w:leader="none" w:pos="16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0" w:hanging="155"/>
        <w:spacing w:after="0"/>
        <w:tabs>
          <w:tab w:leader="none" w:pos="16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2" w:lineRule="exact"/>
        <w:rPr>
          <w:rFonts w:ascii="Arial" w:cs="Arial" w:eastAsia="Arial" w:hAnsi="Arial"/>
          <w:sz w:val="16"/>
          <w:szCs w:val="16"/>
          <w:color w:val="auto"/>
        </w:rPr>
      </w:pPr>
    </w:p>
    <w:p>
      <w:pPr>
        <w:ind w:left="160" w:hanging="155"/>
        <w:spacing w:after="0"/>
        <w:tabs>
          <w:tab w:leader="none" w:pos="16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_____________</w:t>
      </w:r>
    </w:p>
    <w:p>
      <w:pPr>
        <w:sectPr>
          <w:pgSz w:w="11900" w:h="16838" w:orient="portrait"/>
          <w:cols w:equalWidth="0" w:num="2">
            <w:col w:w="8980" w:space="100"/>
            <w:col w:w="1440"/>
          </w:cols>
          <w:pgMar w:left="320" w:top="738" w:right="1059" w:bottom="1440" w:gutter="0" w:footer="0" w:header="0"/>
        </w:sectPr>
      </w:pPr>
    </w:p>
    <w:bookmarkStart w:id="224" w:name="page225"/>
    <w:bookmarkEnd w:id="224"/>
    <w:p>
      <w:pPr>
        <w:ind w:left="643" w:hanging="643"/>
        <w:spacing w:after="0" w:line="276" w:lineRule="auto"/>
        <w:tabs>
          <w:tab w:leader="none" w:pos="329"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Net reductions in investments since the Closing Date permitted under </w:t>
      </w:r>
      <w:r>
        <w:rPr>
          <w:rFonts w:ascii="Arial" w:cs="Arial" w:eastAsia="Arial" w:hAnsi="Arial"/>
          <w:sz w:val="18"/>
          <w:szCs w:val="18"/>
          <w:i w:val="1"/>
          <w:iCs w:val="1"/>
          <w:color w:val="auto"/>
        </w:rPr>
        <w:t>Section 10.8(m)</w:t>
      </w:r>
      <w:r>
        <w:rPr>
          <w:rFonts w:ascii="Arial" w:cs="Arial" w:eastAsia="Arial" w:hAnsi="Arial"/>
          <w:sz w:val="18"/>
          <w:szCs w:val="18"/>
          <w:color w:val="auto"/>
        </w:rPr>
        <w:t xml:space="preserve"> of the Credit Agreement as a result of the portion (proportionate to VRI’s direct or indirect interest in the equity therein) of the fair market value of the net assets of joint ventures in which a Restricted Company has made an investment permitted by </w:t>
      </w:r>
      <w:r>
        <w:rPr>
          <w:rFonts w:ascii="Arial" w:cs="Arial" w:eastAsia="Arial" w:hAnsi="Arial"/>
          <w:sz w:val="18"/>
          <w:szCs w:val="18"/>
          <w:i w:val="1"/>
          <w:iCs w:val="1"/>
          <w:color w:val="auto"/>
        </w:rPr>
        <w:t>Section 10.8(m)</w:t>
      </w:r>
      <w:r>
        <w:rPr>
          <w:rFonts w:ascii="Arial" w:cs="Arial" w:eastAsia="Arial" w:hAnsi="Arial"/>
          <w:sz w:val="18"/>
          <w:szCs w:val="18"/>
          <w:color w:val="auto"/>
        </w:rPr>
        <w:t xml:space="preserve"> of the Credit Agreement immediately prior to the time such Persons are designated or become a Restricted Subsidiary of VRI in accordance with </w:t>
      </w:r>
      <w:r>
        <w:rPr>
          <w:rFonts w:ascii="Arial" w:cs="Arial" w:eastAsia="Arial" w:hAnsi="Arial"/>
          <w:sz w:val="18"/>
          <w:szCs w:val="18"/>
          <w:i w:val="1"/>
          <w:iCs w:val="1"/>
          <w:color w:val="auto"/>
        </w:rPr>
        <w:t>Sections 9.10</w:t>
      </w:r>
      <w:r>
        <w:rPr>
          <w:rFonts w:ascii="Arial" w:cs="Arial" w:eastAsia="Arial" w:hAnsi="Arial"/>
          <w:sz w:val="18"/>
          <w:szCs w:val="18"/>
          <w:color w:val="auto"/>
        </w:rPr>
        <w:t xml:space="preserve"> or </w:t>
      </w:r>
      <w:r>
        <w:rPr>
          <w:rFonts w:ascii="Arial" w:cs="Arial" w:eastAsia="Arial" w:hAnsi="Arial"/>
          <w:sz w:val="18"/>
          <w:szCs w:val="18"/>
          <w:i w:val="1"/>
          <w:iCs w:val="1"/>
          <w:color w:val="auto"/>
        </w:rPr>
        <w:t>9.11(b)</w:t>
      </w:r>
      <w:r>
        <w:rPr>
          <w:rFonts w:ascii="Arial" w:cs="Arial" w:eastAsia="Arial" w:hAnsi="Arial"/>
          <w:sz w:val="18"/>
          <w:szCs w:val="18"/>
          <w:color w:val="auto"/>
        </w:rPr>
        <w:t xml:space="preserve"> of the Credit Agreement:</w:t>
      </w:r>
    </w:p>
    <w:p>
      <w:pPr>
        <w:spacing w:after="0" w:line="259" w:lineRule="exact"/>
        <w:rPr>
          <w:rFonts w:ascii="Arial" w:cs="Arial" w:eastAsia="Arial" w:hAnsi="Arial"/>
          <w:sz w:val="18"/>
          <w:szCs w:val="18"/>
          <w:color w:val="auto"/>
        </w:rPr>
      </w:pPr>
    </w:p>
    <w:p>
      <w:pPr>
        <w:ind w:left="283" w:hanging="283"/>
        <w:spacing w:after="0"/>
        <w:tabs>
          <w:tab w:leader="none" w:pos="283" w:val="left"/>
        </w:tabs>
        <w:numPr>
          <w:ilvl w:val="0"/>
          <w:numId w:val="220"/>
        </w:numPr>
        <w:rPr>
          <w:rFonts w:ascii="Arial" w:cs="Arial" w:eastAsia="Arial" w:hAnsi="Arial"/>
          <w:sz w:val="20"/>
          <w:szCs w:val="20"/>
          <w:color w:val="auto"/>
        </w:rPr>
      </w:pPr>
      <w:r>
        <w:rPr>
          <w:rFonts w:ascii="Arial" w:cs="Arial" w:eastAsia="Arial" w:hAnsi="Arial"/>
          <w:sz w:val="20"/>
          <w:szCs w:val="20"/>
          <w:color w:val="auto"/>
        </w:rPr>
        <w:t>[Reserved]</w:t>
      </w:r>
    </w:p>
    <w:p>
      <w:pPr>
        <w:spacing w:after="0" w:line="107" w:lineRule="exact"/>
        <w:rPr>
          <w:rFonts w:ascii="Arial" w:cs="Arial" w:eastAsia="Arial" w:hAnsi="Arial"/>
          <w:sz w:val="20"/>
          <w:szCs w:val="20"/>
          <w:color w:val="auto"/>
        </w:rPr>
      </w:pPr>
    </w:p>
    <w:p>
      <w:pPr>
        <w:ind w:left="643" w:hanging="643"/>
        <w:spacing w:after="0" w:line="250" w:lineRule="auto"/>
        <w:tabs>
          <w:tab w:leader="none" w:pos="356" w:val="left"/>
        </w:tabs>
        <w:numPr>
          <w:ilvl w:val="0"/>
          <w:numId w:val="220"/>
        </w:numPr>
        <w:rPr>
          <w:rFonts w:ascii="Arial" w:cs="Arial" w:eastAsia="Arial" w:hAnsi="Arial"/>
          <w:sz w:val="20"/>
          <w:szCs w:val="20"/>
          <w:color w:val="auto"/>
        </w:rPr>
      </w:pPr>
      <w:r>
        <w:rPr>
          <w:rFonts w:ascii="Arial" w:cs="Arial" w:eastAsia="Arial" w:hAnsi="Arial"/>
          <w:sz w:val="20"/>
          <w:szCs w:val="20"/>
          <w:color w:val="auto"/>
        </w:rPr>
        <w:t xml:space="preserve">The aggregate amount of any loans (determined based on the value thereof as of the end of the Subject Period) made to Persons in which a Restricted Company does not have an Equity Interest pursuant to </w:t>
      </w:r>
      <w:r>
        <w:rPr>
          <w:rFonts w:ascii="Arial" w:cs="Arial" w:eastAsia="Arial" w:hAnsi="Arial"/>
          <w:sz w:val="20"/>
          <w:szCs w:val="20"/>
          <w:i w:val="1"/>
          <w:iCs w:val="1"/>
          <w:color w:val="auto"/>
        </w:rPr>
        <w:t>Section 10.8(r)</w:t>
      </w:r>
      <w:r>
        <w:rPr>
          <w:rFonts w:ascii="Arial" w:cs="Arial" w:eastAsia="Arial" w:hAnsi="Arial"/>
          <w:sz w:val="20"/>
          <w:szCs w:val="20"/>
          <w:color w:val="auto"/>
        </w:rPr>
        <w:t xml:space="preserve"> of the Credit Agreement.</w:t>
      </w:r>
    </w:p>
    <w:p>
      <w:pPr>
        <w:spacing w:after="0" w:line="78" w:lineRule="exact"/>
        <w:rPr>
          <w:rFonts w:ascii="Arial" w:cs="Arial" w:eastAsia="Arial" w:hAnsi="Arial"/>
          <w:sz w:val="20"/>
          <w:szCs w:val="20"/>
          <w:color w:val="auto"/>
        </w:rPr>
      </w:pPr>
    </w:p>
    <w:p>
      <w:pPr>
        <w:ind w:left="423" w:hanging="423"/>
        <w:spacing w:after="0"/>
        <w:tabs>
          <w:tab w:leader="none" w:pos="423" w:val="left"/>
        </w:tabs>
        <w:numPr>
          <w:ilvl w:val="0"/>
          <w:numId w:val="2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Item 10.8(m)(iv) </w:t>
      </w:r>
      <w:r>
        <w:rPr>
          <w:rFonts w:ascii="Arial" w:cs="Arial" w:eastAsia="Arial" w:hAnsi="Arial"/>
          <w:sz w:val="18"/>
          <w:szCs w:val="18"/>
          <w:u w:val="single" w:color="auto"/>
          <w:color w:val="auto"/>
        </w:rPr>
        <w:t>plus</w:t>
      </w:r>
      <w:r>
        <w:rPr>
          <w:rFonts w:ascii="Arial" w:cs="Arial" w:eastAsia="Arial" w:hAnsi="Arial"/>
          <w:sz w:val="18"/>
          <w:szCs w:val="18"/>
          <w:b w:val="1"/>
          <w:bCs w:val="1"/>
          <w:i w:val="1"/>
          <w:iCs w:val="1"/>
          <w:color w:val="auto"/>
        </w:rPr>
        <w:t xml:space="preserve"> Item 10.8(m)(vi) </w:t>
      </w:r>
      <w:r>
        <w:rPr>
          <w:rFonts w:ascii="Arial" w:cs="Arial" w:eastAsia="Arial" w:hAnsi="Arial"/>
          <w:sz w:val="18"/>
          <w:szCs w:val="18"/>
          <w:u w:val="single" w:color="auto"/>
          <w:color w:val="auto"/>
        </w:rPr>
        <w:t>plus</w:t>
      </w:r>
      <w:r>
        <w:rPr>
          <w:rFonts w:ascii="Arial" w:cs="Arial" w:eastAsia="Arial" w:hAnsi="Arial"/>
          <w:sz w:val="18"/>
          <w:szCs w:val="18"/>
          <w:b w:val="1"/>
          <w:bCs w:val="1"/>
          <w:i w:val="1"/>
          <w:iCs w:val="1"/>
          <w:color w:val="auto"/>
        </w:rPr>
        <w:t xml:space="preserve"> Item 10.8(m)(vii) </w:t>
      </w:r>
      <w:r>
        <w:rPr>
          <w:rFonts w:ascii="Arial" w:cs="Arial" w:eastAsia="Arial" w:hAnsi="Arial"/>
          <w:sz w:val="18"/>
          <w:szCs w:val="18"/>
          <w:u w:val="single" w:color="auto"/>
          <w:color w:val="auto"/>
        </w:rPr>
        <w:t>plus</w:t>
      </w:r>
      <w:r>
        <w:rPr>
          <w:rFonts w:ascii="Arial" w:cs="Arial" w:eastAsia="Arial" w:hAnsi="Arial"/>
          <w:sz w:val="18"/>
          <w:szCs w:val="18"/>
          <w:b w:val="1"/>
          <w:bCs w:val="1"/>
          <w:i w:val="1"/>
          <w:iCs w:val="1"/>
          <w:color w:val="auto"/>
        </w:rPr>
        <w:t xml:space="preserve"> Item 10.8(m)(viii) </w:t>
      </w:r>
      <w:r>
        <w:rPr>
          <w:rFonts w:ascii="Arial" w:cs="Arial" w:eastAsia="Arial" w:hAnsi="Arial"/>
          <w:sz w:val="18"/>
          <w:szCs w:val="18"/>
          <w:u w:val="single" w:color="auto"/>
          <w:color w:val="auto"/>
        </w:rPr>
        <w:t>plus</w:t>
      </w:r>
      <w:r>
        <w:rPr>
          <w:rFonts w:ascii="Arial" w:cs="Arial" w:eastAsia="Arial" w:hAnsi="Arial"/>
          <w:sz w:val="18"/>
          <w:szCs w:val="18"/>
          <w:b w:val="1"/>
          <w:bCs w:val="1"/>
          <w:i w:val="1"/>
          <w:iCs w:val="1"/>
          <w:color w:val="auto"/>
        </w:rPr>
        <w:t xml:space="preserve"> Item</w:t>
      </w:r>
    </w:p>
    <w:p>
      <w:pPr>
        <w:spacing w:after="0" w:line="38" w:lineRule="exact"/>
        <w:rPr>
          <w:rFonts w:ascii="Arial" w:cs="Arial" w:eastAsia="Arial" w:hAnsi="Arial"/>
          <w:sz w:val="18"/>
          <w:szCs w:val="18"/>
          <w:color w:val="auto"/>
        </w:rPr>
      </w:pPr>
    </w:p>
    <w:p>
      <w:pPr>
        <w:ind w:left="643"/>
        <w:spacing w:after="0"/>
        <w:rPr>
          <w:rFonts w:ascii="Arial" w:cs="Arial" w:eastAsia="Arial" w:hAnsi="Arial"/>
          <w:sz w:val="18"/>
          <w:szCs w:val="18"/>
          <w:color w:val="auto"/>
        </w:rPr>
      </w:pPr>
      <w:r>
        <w:rPr>
          <w:rFonts w:ascii="Arial" w:cs="Arial" w:eastAsia="Arial" w:hAnsi="Arial"/>
          <w:sz w:val="20"/>
          <w:szCs w:val="20"/>
          <w:b w:val="1"/>
          <w:bCs w:val="1"/>
          <w:i w:val="1"/>
          <w:iCs w:val="1"/>
          <w:color w:val="auto"/>
        </w:rPr>
        <w:t xml:space="preserve">10.8(m)(ix) </w:t>
      </w:r>
      <w:r>
        <w:rPr>
          <w:rFonts w:ascii="Arial" w:cs="Arial" w:eastAsia="Arial" w:hAnsi="Arial"/>
          <w:sz w:val="20"/>
          <w:szCs w:val="20"/>
          <w:u w:val="single" w:color="auto"/>
          <w:color w:val="auto"/>
        </w:rPr>
        <w:t>minus</w:t>
      </w:r>
      <w:r>
        <w:rPr>
          <w:rFonts w:ascii="Arial" w:cs="Arial" w:eastAsia="Arial" w:hAnsi="Arial"/>
          <w:sz w:val="20"/>
          <w:szCs w:val="20"/>
          <w:b w:val="1"/>
          <w:bCs w:val="1"/>
          <w:i w:val="1"/>
          <w:iCs w:val="1"/>
          <w:color w:val="auto"/>
        </w:rPr>
        <w:t xml:space="preserve"> Item 10.8(m)(xi)</w:t>
      </w:r>
      <w:r>
        <w:rPr>
          <w:rFonts w:ascii="Arial" w:cs="Arial" w:eastAsia="Arial" w:hAnsi="Arial"/>
          <w:sz w:val="20"/>
          <w:szCs w:val="20"/>
          <w:color w:val="auto"/>
        </w:rPr>
        <w:t>:</w:t>
      </w:r>
    </w:p>
    <w:p>
      <w:pPr>
        <w:spacing w:after="0" w:line="91" w:lineRule="exact"/>
        <w:rPr>
          <w:rFonts w:ascii="Arial" w:cs="Arial" w:eastAsia="Arial" w:hAnsi="Arial"/>
          <w:sz w:val="18"/>
          <w:szCs w:val="18"/>
          <w:color w:val="auto"/>
        </w:rPr>
      </w:pPr>
    </w:p>
    <w:p>
      <w:pPr>
        <w:ind w:left="643" w:hanging="643"/>
        <w:spacing w:after="0" w:line="250" w:lineRule="auto"/>
        <w:tabs>
          <w:tab w:leader="none" w:pos="467" w:val="left"/>
        </w:tabs>
        <w:numPr>
          <w:ilvl w:val="0"/>
          <w:numId w:val="220"/>
        </w:numPr>
        <w:rPr>
          <w:rFonts w:ascii="Arial" w:cs="Arial" w:eastAsia="Arial" w:hAnsi="Arial"/>
          <w:sz w:val="20"/>
          <w:szCs w:val="20"/>
          <w:color w:val="auto"/>
        </w:rPr>
      </w:pPr>
      <w:r>
        <w:rPr>
          <w:rFonts w:ascii="Arial" w:cs="Arial" w:eastAsia="Arial" w:hAnsi="Arial"/>
          <w:sz w:val="20"/>
          <w:szCs w:val="20"/>
          <w:color w:val="auto"/>
        </w:rPr>
        <w:t>Are loans, advances, and investments in joint ventures in which a Restricted Company has an Equity Interest (</w:t>
      </w:r>
      <w:r>
        <w:rPr>
          <w:rFonts w:ascii="Arial" w:cs="Arial" w:eastAsia="Arial" w:hAnsi="Arial"/>
          <w:sz w:val="20"/>
          <w:szCs w:val="20"/>
          <w:b w:val="1"/>
          <w:bCs w:val="1"/>
          <w:i w:val="1"/>
          <w:iCs w:val="1"/>
          <w:color w:val="auto"/>
        </w:rPr>
        <w:t>Item 10.8(m)(iii)</w:t>
      </w:r>
      <w:r>
        <w:rPr>
          <w:rFonts w:ascii="Arial" w:cs="Arial" w:eastAsia="Arial" w:hAnsi="Arial"/>
          <w:sz w:val="20"/>
          <w:szCs w:val="20"/>
          <w:color w:val="auto"/>
        </w:rPr>
        <w:t>) less than or equal to the maximum amount permitted under the Investment Limit (Joint Ventures) (</w:t>
      </w:r>
      <w:r>
        <w:rPr>
          <w:rFonts w:ascii="Arial" w:cs="Arial" w:eastAsia="Arial" w:hAnsi="Arial"/>
          <w:sz w:val="20"/>
          <w:szCs w:val="20"/>
          <w:b w:val="1"/>
          <w:bCs w:val="1"/>
          <w:i w:val="1"/>
          <w:iCs w:val="1"/>
          <w:color w:val="auto"/>
        </w:rPr>
        <w:t>Item 10.8(m)(xii)</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60" w:hanging="155"/>
        <w:spacing w:after="0"/>
        <w:tabs>
          <w:tab w:leader="none" w:pos="16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383" w:lineRule="exact"/>
        <w:rPr>
          <w:rFonts w:ascii="Arial" w:cs="Arial" w:eastAsia="Arial" w:hAnsi="Arial"/>
          <w:sz w:val="16"/>
          <w:szCs w:val="16"/>
          <w:color w:val="auto"/>
        </w:rPr>
      </w:pPr>
    </w:p>
    <w:p>
      <w:pPr>
        <w:ind w:left="160" w:hanging="155"/>
        <w:spacing w:after="0"/>
        <w:tabs>
          <w:tab w:leader="none" w:pos="16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Yes/No</w:t>
      </w:r>
    </w:p>
    <w:p>
      <w:pPr>
        <w:sectPr>
          <w:pgSz w:w="11900" w:h="16838" w:orient="portrait"/>
          <w:cols w:equalWidth="0" w:num="2">
            <w:col w:w="8323" w:space="100"/>
            <w:col w:w="1440"/>
          </w:cols>
          <w:pgMar w:left="977" w:top="771" w:right="1059" w:bottom="1440" w:gutter="0" w:footer="0" w:header="0"/>
        </w:sectPr>
      </w:pPr>
    </w:p>
    <w:bookmarkStart w:id="225" w:name="page226"/>
    <w:bookmarkEnd w:id="225"/>
    <w:p>
      <w:pPr>
        <w:spacing w:after="0"/>
        <w:rPr>
          <w:sz w:val="20"/>
          <w:szCs w:val="20"/>
          <w:color w:val="auto"/>
        </w:rPr>
      </w:pPr>
      <w:r>
        <w:rPr>
          <w:rFonts w:ascii="Arial" w:cs="Arial" w:eastAsia="Arial" w:hAnsi="Arial"/>
          <w:sz w:val="19"/>
          <w:szCs w:val="19"/>
          <w:b w:val="1"/>
          <w:bCs w:val="1"/>
          <w:color w:val="auto"/>
        </w:rPr>
        <w:t>10.8(s) PERMITTED RECOURSE OBLIGATIONS NOT CONSTITUTING DEBT</w:t>
      </w:r>
    </w:p>
    <w:p>
      <w:pPr>
        <w:sectPr>
          <w:pgSz w:w="11900" w:h="16838" w:orient="portrait"/>
          <w:cols w:equalWidth="0" w:num="1">
            <w:col w:w="10520"/>
          </w:cols>
          <w:pgMar w:left="320" w:top="1305" w:right="105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both"/>
        <w:ind w:left="660"/>
        <w:spacing w:after="0" w:line="278" w:lineRule="auto"/>
        <w:rPr>
          <w:sz w:val="20"/>
          <w:szCs w:val="20"/>
          <w:color w:val="auto"/>
        </w:rPr>
      </w:pPr>
      <w:r>
        <w:rPr>
          <w:rFonts w:ascii="Arial" w:cs="Arial" w:eastAsia="Arial" w:hAnsi="Arial"/>
          <w:sz w:val="18"/>
          <w:szCs w:val="18"/>
          <w:color w:val="auto"/>
        </w:rPr>
        <w:t xml:space="preserve">As of the date hereof, the Restricted Companies have aggregate liabilities and obligations with respect to Permitted Recourse Obligations not constituting Debt in the amount set forth in </w:t>
      </w:r>
      <w:r>
        <w:rPr>
          <w:rFonts w:ascii="Arial" w:cs="Arial" w:eastAsia="Arial" w:hAnsi="Arial"/>
          <w:sz w:val="18"/>
          <w:szCs w:val="18"/>
          <w:b w:val="1"/>
          <w:bCs w:val="1"/>
          <w:i w:val="1"/>
          <w:iCs w:val="1"/>
          <w:color w:val="auto"/>
        </w:rPr>
        <w:t>Item 10.8(s)(xv)</w:t>
      </w:r>
      <w:r>
        <w:rPr>
          <w:rFonts w:ascii="Arial" w:cs="Arial" w:eastAsia="Arial" w:hAnsi="Arial"/>
          <w:sz w:val="18"/>
          <w:szCs w:val="18"/>
          <w:color w:val="auto"/>
        </w:rPr>
        <w:t xml:space="preserve"> below. No event or circumstance has occurred that has triggered a direct payment liability or reimbursement obligation (as opposed to a contingent or performance obligation) of any Restricted Company to a lender or other party to whom such Permitted Recourse Obligation is owed.</w:t>
      </w:r>
    </w:p>
    <w:p>
      <w:pPr>
        <w:spacing w:after="0" w:line="30" w:lineRule="exact"/>
        <w:rPr>
          <w:sz w:val="20"/>
          <w:szCs w:val="20"/>
          <w:color w:val="auto"/>
        </w:rPr>
      </w:pPr>
    </w:p>
    <w:p>
      <w:pPr>
        <w:ind w:left="900" w:hanging="243"/>
        <w:spacing w:after="0"/>
        <w:tabs>
          <w:tab w:leader="none" w:pos="900" w:val="left"/>
        </w:tabs>
        <w:numPr>
          <w:ilvl w:val="1"/>
          <w:numId w:val="222"/>
        </w:numPr>
        <w:rPr>
          <w:rFonts w:ascii="Arial" w:cs="Arial" w:eastAsia="Arial" w:hAnsi="Arial"/>
          <w:sz w:val="20"/>
          <w:szCs w:val="20"/>
          <w:color w:val="auto"/>
        </w:rPr>
      </w:pPr>
      <w:r>
        <w:rPr>
          <w:rFonts w:ascii="Arial" w:cs="Arial" w:eastAsia="Arial" w:hAnsi="Arial"/>
          <w:sz w:val="20"/>
          <w:szCs w:val="20"/>
          <w:color w:val="auto"/>
        </w:rPr>
        <w:t>Gros Ventre Utility Company</w:t>
      </w:r>
    </w:p>
    <w:p>
      <w:pPr>
        <w:spacing w:after="0" w:line="80" w:lineRule="exact"/>
        <w:rPr>
          <w:rFonts w:ascii="Arial" w:cs="Arial" w:eastAsia="Arial" w:hAnsi="Arial"/>
          <w:sz w:val="20"/>
          <w:szCs w:val="20"/>
          <w:color w:val="auto"/>
        </w:rPr>
      </w:pPr>
    </w:p>
    <w:p>
      <w:pPr>
        <w:ind w:left="940" w:hanging="283"/>
        <w:spacing w:after="0"/>
        <w:tabs>
          <w:tab w:leader="none" w:pos="940" w:val="left"/>
        </w:tabs>
        <w:numPr>
          <w:ilvl w:val="1"/>
          <w:numId w:val="222"/>
        </w:numPr>
        <w:rPr>
          <w:rFonts w:ascii="Arial" w:cs="Arial" w:eastAsia="Arial" w:hAnsi="Arial"/>
          <w:sz w:val="20"/>
          <w:szCs w:val="20"/>
          <w:color w:val="auto"/>
        </w:rPr>
      </w:pPr>
      <w:r>
        <w:rPr>
          <w:rFonts w:ascii="Arial" w:cs="Arial" w:eastAsia="Arial" w:hAnsi="Arial"/>
          <w:sz w:val="20"/>
          <w:szCs w:val="20"/>
          <w:color w:val="auto"/>
        </w:rPr>
        <w:t>Eagle Park Reservoir Company</w:t>
      </w:r>
    </w:p>
    <w:p>
      <w:pPr>
        <w:spacing w:after="0" w:line="80" w:lineRule="exact"/>
        <w:rPr>
          <w:rFonts w:ascii="Arial" w:cs="Arial" w:eastAsia="Arial" w:hAnsi="Arial"/>
          <w:sz w:val="20"/>
          <w:szCs w:val="20"/>
          <w:color w:val="auto"/>
        </w:rPr>
      </w:pPr>
    </w:p>
    <w:p>
      <w:pPr>
        <w:ind w:left="1000" w:hanging="343"/>
        <w:spacing w:after="0"/>
        <w:tabs>
          <w:tab w:leader="none" w:pos="1000" w:val="left"/>
        </w:tabs>
        <w:numPr>
          <w:ilvl w:val="1"/>
          <w:numId w:val="222"/>
        </w:numPr>
        <w:rPr>
          <w:rFonts w:ascii="Arial" w:cs="Arial" w:eastAsia="Arial" w:hAnsi="Arial"/>
          <w:sz w:val="20"/>
          <w:szCs w:val="20"/>
          <w:color w:val="auto"/>
        </w:rPr>
      </w:pPr>
      <w:r>
        <w:rPr>
          <w:rFonts w:ascii="Arial" w:cs="Arial" w:eastAsia="Arial" w:hAnsi="Arial"/>
          <w:sz w:val="20"/>
          <w:szCs w:val="20"/>
          <w:color w:val="auto"/>
        </w:rPr>
        <w:t>First Chair Housing Trustee, LLC</w:t>
      </w:r>
    </w:p>
    <w:p>
      <w:pPr>
        <w:spacing w:after="0" w:line="80" w:lineRule="exact"/>
        <w:rPr>
          <w:rFonts w:ascii="Arial" w:cs="Arial" w:eastAsia="Arial" w:hAnsi="Arial"/>
          <w:sz w:val="20"/>
          <w:szCs w:val="20"/>
          <w:color w:val="auto"/>
        </w:rPr>
      </w:pPr>
    </w:p>
    <w:p>
      <w:pPr>
        <w:ind w:left="1000" w:hanging="343"/>
        <w:spacing w:after="0"/>
        <w:tabs>
          <w:tab w:leader="none" w:pos="1000" w:val="left"/>
        </w:tabs>
        <w:numPr>
          <w:ilvl w:val="1"/>
          <w:numId w:val="222"/>
        </w:numPr>
        <w:rPr>
          <w:rFonts w:ascii="Arial" w:cs="Arial" w:eastAsia="Arial" w:hAnsi="Arial"/>
          <w:sz w:val="20"/>
          <w:szCs w:val="20"/>
          <w:color w:val="auto"/>
        </w:rPr>
      </w:pPr>
      <w:r>
        <w:rPr>
          <w:rFonts w:ascii="Arial" w:cs="Arial" w:eastAsia="Arial" w:hAnsi="Arial"/>
          <w:sz w:val="20"/>
          <w:szCs w:val="20"/>
          <w:color w:val="auto"/>
        </w:rPr>
        <w:t>Forest Ridge Holdings, Inc.</w:t>
      </w:r>
    </w:p>
    <w:p>
      <w:pPr>
        <w:spacing w:after="0" w:line="80" w:lineRule="exact"/>
        <w:rPr>
          <w:rFonts w:ascii="Arial" w:cs="Arial" w:eastAsia="Arial" w:hAnsi="Arial"/>
          <w:sz w:val="20"/>
          <w:szCs w:val="20"/>
          <w:color w:val="auto"/>
        </w:rPr>
      </w:pPr>
    </w:p>
    <w:p>
      <w:pPr>
        <w:ind w:left="940" w:hanging="283"/>
        <w:spacing w:after="0"/>
        <w:tabs>
          <w:tab w:leader="none" w:pos="940" w:val="left"/>
        </w:tabs>
        <w:numPr>
          <w:ilvl w:val="1"/>
          <w:numId w:val="222"/>
        </w:numPr>
        <w:rPr>
          <w:rFonts w:ascii="Arial" w:cs="Arial" w:eastAsia="Arial" w:hAnsi="Arial"/>
          <w:sz w:val="20"/>
          <w:szCs w:val="20"/>
          <w:color w:val="auto"/>
        </w:rPr>
      </w:pPr>
      <w:r>
        <w:rPr>
          <w:rFonts w:ascii="Arial" w:cs="Arial" w:eastAsia="Arial" w:hAnsi="Arial"/>
          <w:sz w:val="20"/>
          <w:szCs w:val="20"/>
          <w:color w:val="auto"/>
        </w:rPr>
        <w:t>Gore Creek Place, LLC</w:t>
      </w:r>
    </w:p>
    <w:p>
      <w:pPr>
        <w:spacing w:after="0" w:line="80" w:lineRule="exact"/>
        <w:rPr>
          <w:rFonts w:ascii="Arial" w:cs="Arial" w:eastAsia="Arial" w:hAnsi="Arial"/>
          <w:sz w:val="20"/>
          <w:szCs w:val="20"/>
          <w:color w:val="auto"/>
        </w:rPr>
      </w:pPr>
    </w:p>
    <w:p>
      <w:pPr>
        <w:ind w:left="1000" w:hanging="343"/>
        <w:spacing w:after="0"/>
        <w:tabs>
          <w:tab w:leader="none" w:pos="1000" w:val="left"/>
        </w:tabs>
        <w:numPr>
          <w:ilvl w:val="1"/>
          <w:numId w:val="222"/>
        </w:numPr>
        <w:rPr>
          <w:rFonts w:ascii="Arial" w:cs="Arial" w:eastAsia="Arial" w:hAnsi="Arial"/>
          <w:sz w:val="20"/>
          <w:szCs w:val="20"/>
          <w:color w:val="auto"/>
        </w:rPr>
      </w:pPr>
      <w:r>
        <w:rPr>
          <w:rFonts w:ascii="Arial" w:cs="Arial" w:eastAsia="Arial" w:hAnsi="Arial"/>
          <w:sz w:val="20"/>
          <w:szCs w:val="20"/>
          <w:color w:val="auto"/>
        </w:rPr>
        <w:t>Hunkidori Land Company, LLC</w:t>
      </w:r>
    </w:p>
    <w:p>
      <w:pPr>
        <w:spacing w:after="0" w:line="80" w:lineRule="exact"/>
        <w:rPr>
          <w:rFonts w:ascii="Arial" w:cs="Arial" w:eastAsia="Arial" w:hAnsi="Arial"/>
          <w:sz w:val="20"/>
          <w:szCs w:val="20"/>
          <w:color w:val="auto"/>
        </w:rPr>
      </w:pPr>
    </w:p>
    <w:p>
      <w:pPr>
        <w:ind w:left="1040" w:hanging="383"/>
        <w:spacing w:after="0"/>
        <w:tabs>
          <w:tab w:leader="none" w:pos="1040" w:val="left"/>
        </w:tabs>
        <w:numPr>
          <w:ilvl w:val="1"/>
          <w:numId w:val="222"/>
        </w:numPr>
        <w:rPr>
          <w:rFonts w:ascii="Arial" w:cs="Arial" w:eastAsia="Arial" w:hAnsi="Arial"/>
          <w:sz w:val="20"/>
          <w:szCs w:val="20"/>
          <w:color w:val="auto"/>
        </w:rPr>
      </w:pPr>
      <w:r>
        <w:rPr>
          <w:rFonts w:ascii="Arial" w:cs="Arial" w:eastAsia="Arial" w:hAnsi="Arial"/>
          <w:sz w:val="20"/>
          <w:szCs w:val="20"/>
          <w:color w:val="auto"/>
        </w:rPr>
        <w:t>TCRM Company</w:t>
      </w:r>
    </w:p>
    <w:p>
      <w:pPr>
        <w:spacing w:after="0" w:line="80" w:lineRule="exact"/>
        <w:rPr>
          <w:rFonts w:ascii="Arial" w:cs="Arial" w:eastAsia="Arial" w:hAnsi="Arial"/>
          <w:sz w:val="20"/>
          <w:szCs w:val="20"/>
          <w:color w:val="auto"/>
        </w:rPr>
      </w:pPr>
    </w:p>
    <w:p>
      <w:pPr>
        <w:ind w:left="1100" w:hanging="443"/>
        <w:spacing w:after="0"/>
        <w:tabs>
          <w:tab w:leader="none" w:pos="1100" w:val="left"/>
        </w:tabs>
        <w:numPr>
          <w:ilvl w:val="1"/>
          <w:numId w:val="222"/>
        </w:numPr>
        <w:rPr>
          <w:rFonts w:ascii="Arial" w:cs="Arial" w:eastAsia="Arial" w:hAnsi="Arial"/>
          <w:sz w:val="20"/>
          <w:szCs w:val="20"/>
          <w:color w:val="auto"/>
        </w:rPr>
      </w:pPr>
      <w:r>
        <w:rPr>
          <w:rFonts w:ascii="Arial" w:cs="Arial" w:eastAsia="Arial" w:hAnsi="Arial"/>
          <w:sz w:val="20"/>
          <w:szCs w:val="20"/>
          <w:color w:val="auto"/>
        </w:rPr>
        <w:t>Stagecoach Development, LLC</w:t>
      </w:r>
    </w:p>
    <w:p>
      <w:pPr>
        <w:spacing w:after="0" w:line="80" w:lineRule="exact"/>
        <w:rPr>
          <w:rFonts w:ascii="Arial" w:cs="Arial" w:eastAsia="Arial" w:hAnsi="Arial"/>
          <w:sz w:val="20"/>
          <w:szCs w:val="20"/>
          <w:color w:val="auto"/>
        </w:rPr>
      </w:pPr>
    </w:p>
    <w:p>
      <w:pPr>
        <w:ind w:left="1000" w:hanging="343"/>
        <w:spacing w:after="0"/>
        <w:tabs>
          <w:tab w:leader="none" w:pos="1000" w:val="left"/>
        </w:tabs>
        <w:numPr>
          <w:ilvl w:val="1"/>
          <w:numId w:val="222"/>
        </w:numPr>
        <w:rPr>
          <w:rFonts w:ascii="Arial" w:cs="Arial" w:eastAsia="Arial" w:hAnsi="Arial"/>
          <w:sz w:val="20"/>
          <w:szCs w:val="20"/>
          <w:color w:val="auto"/>
        </w:rPr>
      </w:pPr>
      <w:r>
        <w:rPr>
          <w:rFonts w:ascii="Arial" w:cs="Arial" w:eastAsia="Arial" w:hAnsi="Arial"/>
          <w:sz w:val="20"/>
          <w:szCs w:val="20"/>
          <w:color w:val="auto"/>
        </w:rPr>
        <w:t>Black Diamond Insurance, Inc.</w:t>
      </w:r>
    </w:p>
    <w:p>
      <w:pPr>
        <w:spacing w:after="0" w:line="80" w:lineRule="exact"/>
        <w:rPr>
          <w:rFonts w:ascii="Arial" w:cs="Arial" w:eastAsia="Arial" w:hAnsi="Arial"/>
          <w:sz w:val="20"/>
          <w:szCs w:val="20"/>
          <w:color w:val="auto"/>
        </w:rPr>
      </w:pPr>
    </w:p>
    <w:p>
      <w:pPr>
        <w:ind w:left="940" w:hanging="283"/>
        <w:spacing w:after="0"/>
        <w:tabs>
          <w:tab w:leader="none" w:pos="940" w:val="left"/>
        </w:tabs>
        <w:numPr>
          <w:ilvl w:val="1"/>
          <w:numId w:val="222"/>
        </w:numPr>
        <w:rPr>
          <w:rFonts w:ascii="Arial" w:cs="Arial" w:eastAsia="Arial" w:hAnsi="Arial"/>
          <w:sz w:val="20"/>
          <w:szCs w:val="20"/>
          <w:color w:val="auto"/>
        </w:rPr>
      </w:pPr>
      <w:r>
        <w:rPr>
          <w:rFonts w:ascii="Arial" w:cs="Arial" w:eastAsia="Arial" w:hAnsi="Arial"/>
          <w:sz w:val="20"/>
          <w:szCs w:val="20"/>
          <w:color w:val="auto"/>
        </w:rPr>
        <w:t>Ever Vail, LLC</w:t>
      </w:r>
    </w:p>
    <w:p>
      <w:pPr>
        <w:spacing w:after="0" w:line="80" w:lineRule="exact"/>
        <w:rPr>
          <w:rFonts w:ascii="Arial" w:cs="Arial" w:eastAsia="Arial" w:hAnsi="Arial"/>
          <w:sz w:val="20"/>
          <w:szCs w:val="20"/>
          <w:color w:val="auto"/>
        </w:rPr>
      </w:pPr>
    </w:p>
    <w:p>
      <w:pPr>
        <w:ind w:left="1000" w:hanging="343"/>
        <w:spacing w:after="0"/>
        <w:tabs>
          <w:tab w:leader="none" w:pos="1000" w:val="left"/>
        </w:tabs>
        <w:numPr>
          <w:ilvl w:val="1"/>
          <w:numId w:val="222"/>
        </w:numPr>
        <w:rPr>
          <w:rFonts w:ascii="Arial" w:cs="Arial" w:eastAsia="Arial" w:hAnsi="Arial"/>
          <w:sz w:val="20"/>
          <w:szCs w:val="20"/>
          <w:color w:val="auto"/>
        </w:rPr>
      </w:pPr>
      <w:r>
        <w:rPr>
          <w:rFonts w:ascii="Arial" w:cs="Arial" w:eastAsia="Arial" w:hAnsi="Arial"/>
          <w:sz w:val="20"/>
          <w:szCs w:val="20"/>
          <w:color w:val="auto"/>
        </w:rPr>
        <w:t>Larkspur Restaurant &amp; Bar, LLC</w:t>
      </w:r>
    </w:p>
    <w:p>
      <w:pPr>
        <w:spacing w:after="0" w:line="80" w:lineRule="exact"/>
        <w:rPr>
          <w:rFonts w:ascii="Arial" w:cs="Arial" w:eastAsia="Arial" w:hAnsi="Arial"/>
          <w:sz w:val="20"/>
          <w:szCs w:val="20"/>
          <w:color w:val="auto"/>
        </w:rPr>
      </w:pPr>
    </w:p>
    <w:p>
      <w:pPr>
        <w:ind w:left="1040" w:hanging="383"/>
        <w:spacing w:after="0"/>
        <w:tabs>
          <w:tab w:leader="none" w:pos="1040" w:val="left"/>
        </w:tabs>
        <w:numPr>
          <w:ilvl w:val="1"/>
          <w:numId w:val="222"/>
        </w:numPr>
        <w:rPr>
          <w:rFonts w:ascii="Arial" w:cs="Arial" w:eastAsia="Arial" w:hAnsi="Arial"/>
          <w:sz w:val="20"/>
          <w:szCs w:val="20"/>
          <w:color w:val="auto"/>
        </w:rPr>
      </w:pPr>
      <w:r>
        <w:rPr>
          <w:rFonts w:ascii="Arial" w:cs="Arial" w:eastAsia="Arial" w:hAnsi="Arial"/>
          <w:sz w:val="20"/>
          <w:szCs w:val="20"/>
          <w:color w:val="auto"/>
        </w:rPr>
        <w:t>Mountain Thunder, Inc.</w:t>
      </w:r>
    </w:p>
    <w:p>
      <w:pPr>
        <w:spacing w:after="0" w:line="80" w:lineRule="exact"/>
        <w:rPr>
          <w:rFonts w:ascii="Arial" w:cs="Arial" w:eastAsia="Arial" w:hAnsi="Arial"/>
          <w:sz w:val="20"/>
          <w:szCs w:val="20"/>
          <w:color w:val="auto"/>
        </w:rPr>
      </w:pPr>
    </w:p>
    <w:p>
      <w:pPr>
        <w:ind w:left="1100" w:hanging="443"/>
        <w:spacing w:after="0"/>
        <w:tabs>
          <w:tab w:leader="none" w:pos="1100" w:val="left"/>
        </w:tabs>
        <w:numPr>
          <w:ilvl w:val="1"/>
          <w:numId w:val="222"/>
        </w:numPr>
        <w:rPr>
          <w:rFonts w:ascii="Arial" w:cs="Arial" w:eastAsia="Arial" w:hAnsi="Arial"/>
          <w:sz w:val="20"/>
          <w:szCs w:val="20"/>
          <w:color w:val="auto"/>
        </w:rPr>
      </w:pPr>
      <w:r>
        <w:rPr>
          <w:rFonts w:ascii="Arial" w:cs="Arial" w:eastAsia="Arial" w:hAnsi="Arial"/>
          <w:sz w:val="20"/>
          <w:szCs w:val="20"/>
          <w:color w:val="auto"/>
        </w:rPr>
        <w:t>One River Run, LLC</w:t>
      </w:r>
    </w:p>
    <w:p>
      <w:pPr>
        <w:spacing w:after="0" w:line="80" w:lineRule="exact"/>
        <w:rPr>
          <w:rFonts w:ascii="Arial" w:cs="Arial" w:eastAsia="Arial" w:hAnsi="Arial"/>
          <w:sz w:val="20"/>
          <w:szCs w:val="20"/>
          <w:color w:val="auto"/>
        </w:rPr>
      </w:pPr>
    </w:p>
    <w:p>
      <w:pPr>
        <w:ind w:left="1100" w:hanging="443"/>
        <w:spacing w:after="0"/>
        <w:tabs>
          <w:tab w:leader="none" w:pos="1100" w:val="left"/>
        </w:tabs>
        <w:numPr>
          <w:ilvl w:val="1"/>
          <w:numId w:val="222"/>
        </w:numPr>
        <w:rPr>
          <w:rFonts w:ascii="Arial" w:cs="Arial" w:eastAsia="Arial" w:hAnsi="Arial"/>
          <w:sz w:val="20"/>
          <w:szCs w:val="20"/>
          <w:color w:val="auto"/>
        </w:rPr>
      </w:pPr>
      <w:r>
        <w:rPr>
          <w:rFonts w:ascii="Arial" w:cs="Arial" w:eastAsia="Arial" w:hAnsi="Arial"/>
          <w:sz w:val="20"/>
          <w:szCs w:val="20"/>
          <w:color w:val="auto"/>
        </w:rPr>
        <w:t>Other Unrestricted Subsidiaries not listed above</w:t>
      </w:r>
    </w:p>
    <w:p>
      <w:pPr>
        <w:spacing w:after="0" w:line="107" w:lineRule="exact"/>
        <w:rPr>
          <w:rFonts w:ascii="Arial" w:cs="Arial" w:eastAsia="Arial" w:hAnsi="Arial"/>
          <w:sz w:val="20"/>
          <w:szCs w:val="20"/>
          <w:color w:val="auto"/>
        </w:rPr>
      </w:pPr>
    </w:p>
    <w:p>
      <w:pPr>
        <w:ind w:left="1220" w:right="20" w:hanging="576"/>
        <w:spacing w:after="0" w:line="260" w:lineRule="auto"/>
        <w:tabs>
          <w:tab w:leader="none" w:pos="1045" w:val="left"/>
        </w:tabs>
        <w:numPr>
          <w:ilvl w:val="0"/>
          <w:numId w:val="223"/>
        </w:numPr>
        <w:rPr>
          <w:rFonts w:ascii="Arial" w:cs="Arial" w:eastAsia="Arial" w:hAnsi="Arial"/>
          <w:sz w:val="20"/>
          <w:szCs w:val="20"/>
          <w:color w:val="auto"/>
        </w:rPr>
      </w:pPr>
      <w:r>
        <w:rPr>
          <w:rFonts w:ascii="Arial" w:cs="Arial" w:eastAsia="Arial" w:hAnsi="Arial"/>
          <w:sz w:val="20"/>
          <w:szCs w:val="20"/>
          <w:color w:val="auto"/>
        </w:rPr>
        <w:t xml:space="preserve">Aggregate Amount of Permitted Recourse Obligations not constituting Debt (the sum of </w:t>
      </w:r>
      <w:r>
        <w:rPr>
          <w:rFonts w:ascii="Arial" w:cs="Arial" w:eastAsia="Arial" w:hAnsi="Arial"/>
          <w:sz w:val="20"/>
          <w:szCs w:val="20"/>
          <w:b w:val="1"/>
          <w:bCs w:val="1"/>
          <w:i w:val="1"/>
          <w:iCs w:val="1"/>
          <w:color w:val="auto"/>
        </w:rPr>
        <w:t>Items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10.8(s)(i) </w:t>
      </w:r>
      <w:r>
        <w:rPr>
          <w:rFonts w:ascii="Arial" w:cs="Arial" w:eastAsia="Arial" w:hAnsi="Arial"/>
          <w:sz w:val="20"/>
          <w:szCs w:val="20"/>
          <w:color w:val="auto"/>
        </w:rPr>
        <w:t>through</w:t>
      </w:r>
      <w:r>
        <w:rPr>
          <w:rFonts w:ascii="Arial" w:cs="Arial" w:eastAsia="Arial" w:hAnsi="Arial"/>
          <w:sz w:val="20"/>
          <w:szCs w:val="20"/>
          <w:b w:val="1"/>
          <w:bCs w:val="1"/>
          <w:i w:val="1"/>
          <w:iCs w:val="1"/>
          <w:color w:val="auto"/>
        </w:rPr>
        <w:t xml:space="preserve"> 10.8(s)(xiv) </w:t>
      </w:r>
      <w:r>
        <w:rPr>
          <w:rFonts w:ascii="Arial" w:cs="Arial" w:eastAsia="Arial" w:hAnsi="Arial"/>
          <w:sz w:val="20"/>
          <w:szCs w:val="20"/>
          <w:color w:val="auto"/>
        </w:rPr>
        <w:t>above)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60" w:hanging="155"/>
        <w:spacing w:after="0"/>
        <w:tabs>
          <w:tab w:leader="none" w:pos="16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60" w:hanging="155"/>
        <w:spacing w:after="0"/>
        <w:tabs>
          <w:tab w:leader="none" w:pos="16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60" w:hanging="155"/>
        <w:spacing w:after="0"/>
        <w:tabs>
          <w:tab w:leader="none" w:pos="16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60" w:hanging="155"/>
        <w:spacing w:after="0"/>
        <w:tabs>
          <w:tab w:leader="none" w:pos="16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60" w:hanging="155"/>
        <w:spacing w:after="0"/>
        <w:tabs>
          <w:tab w:leader="none" w:pos="16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60" w:hanging="155"/>
        <w:spacing w:after="0"/>
        <w:tabs>
          <w:tab w:leader="none" w:pos="16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60" w:hanging="155"/>
        <w:spacing w:after="0"/>
        <w:tabs>
          <w:tab w:leader="none" w:pos="16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60" w:hanging="155"/>
        <w:spacing w:after="0"/>
        <w:tabs>
          <w:tab w:leader="none" w:pos="16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60" w:hanging="155"/>
        <w:spacing w:after="0"/>
        <w:tabs>
          <w:tab w:leader="none" w:pos="16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60" w:hanging="155"/>
        <w:spacing w:after="0"/>
        <w:tabs>
          <w:tab w:leader="none" w:pos="16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60" w:hanging="155"/>
        <w:spacing w:after="0"/>
        <w:tabs>
          <w:tab w:leader="none" w:pos="16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60" w:hanging="155"/>
        <w:spacing w:after="0"/>
        <w:tabs>
          <w:tab w:leader="none" w:pos="16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60" w:hanging="155"/>
        <w:spacing w:after="0"/>
        <w:tabs>
          <w:tab w:leader="none" w:pos="16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60" w:hanging="155"/>
        <w:spacing w:after="0"/>
        <w:tabs>
          <w:tab w:leader="none" w:pos="16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ectPr>
          <w:pgSz w:w="11900" w:h="16838" w:orient="portrait"/>
          <w:cols w:equalWidth="0" w:num="2">
            <w:col w:w="8980" w:space="100"/>
            <w:col w:w="1440"/>
          </w:cols>
          <w:pgMar w:left="320" w:top="1305" w:right="1059" w:bottom="1440" w:gutter="0" w:footer="0" w:header="0"/>
          <w:type w:val="continuous"/>
        </w:sectPr>
      </w:pPr>
    </w:p>
    <w:bookmarkStart w:id="226" w:name="page227"/>
    <w:bookmarkEnd w:id="226"/>
    <w:p>
      <w:pPr>
        <w:ind w:right="1540"/>
        <w:spacing w:after="0" w:line="293" w:lineRule="auto"/>
        <w:rPr>
          <w:sz w:val="20"/>
          <w:szCs w:val="20"/>
          <w:color w:val="auto"/>
        </w:rPr>
      </w:pPr>
      <w:r>
        <w:rPr>
          <w:rFonts w:ascii="Arial" w:cs="Arial" w:eastAsia="Arial" w:hAnsi="Arial"/>
          <w:sz w:val="19"/>
          <w:szCs w:val="19"/>
          <w:b w:val="1"/>
          <w:bCs w:val="1"/>
          <w:color w:val="auto"/>
        </w:rPr>
        <w:t>10.8(t) INVESTMENTS MADE WHEN AVAILABILITY AND UNRESTRICTED CASH IS EQUAL TO OR GREATER THAN $150,000,000 AND TOTAL LEVERAGE RATIO IS LESS THAN 3.75 TO 1.00</w:t>
      </w:r>
    </w:p>
    <w:p>
      <w:pPr>
        <w:sectPr>
          <w:pgSz w:w="11900" w:h="16838" w:orient="portrait"/>
          <w:cols w:equalWidth="0" w:num="1">
            <w:col w:w="10460"/>
          </w:cols>
          <w:pgMar w:left="380" w:top="738" w:right="1059" w:bottom="1440" w:gutter="0" w:footer="0" w:header="0"/>
        </w:sectPr>
      </w:pPr>
    </w:p>
    <w:p>
      <w:pPr>
        <w:spacing w:after="0" w:line="40" w:lineRule="exact"/>
        <w:rPr>
          <w:sz w:val="20"/>
          <w:szCs w:val="20"/>
          <w:color w:val="auto"/>
        </w:rPr>
      </w:pPr>
    </w:p>
    <w:p>
      <w:pPr>
        <w:ind w:left="1160" w:hanging="580"/>
        <w:spacing w:after="0" w:line="260" w:lineRule="auto"/>
        <w:rPr>
          <w:sz w:val="20"/>
          <w:szCs w:val="20"/>
          <w:color w:val="auto"/>
        </w:rPr>
      </w:pPr>
      <w:r>
        <w:rPr>
          <w:rFonts w:ascii="Arial" w:cs="Arial" w:eastAsia="Arial" w:hAnsi="Arial"/>
          <w:sz w:val="20"/>
          <w:szCs w:val="20"/>
          <w:color w:val="auto"/>
        </w:rPr>
        <w:t xml:space="preserve">(i) Loan/Advance/Investment #[1] under </w:t>
      </w:r>
      <w:r>
        <w:rPr>
          <w:rFonts w:ascii="Arial" w:cs="Arial" w:eastAsia="Arial" w:hAnsi="Arial"/>
          <w:sz w:val="20"/>
          <w:szCs w:val="20"/>
          <w:i w:val="1"/>
          <w:iCs w:val="1"/>
          <w:color w:val="auto"/>
        </w:rPr>
        <w:t>Section 10.8(t)</w:t>
      </w:r>
      <w:r>
        <w:rPr>
          <w:rFonts w:ascii="Arial" w:cs="Arial" w:eastAsia="Arial" w:hAnsi="Arial"/>
          <w:sz w:val="20"/>
          <w:szCs w:val="20"/>
          <w:color w:val="auto"/>
        </w:rPr>
        <w:t xml:space="preserve"> of the Credit Agreement during the Subject Period:</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6" w:lineRule="exact"/>
        <w:rPr>
          <w:sz w:val="20"/>
          <w:szCs w:val="20"/>
          <w:color w:val="auto"/>
        </w:rPr>
      </w:pPr>
    </w:p>
    <w:p>
      <w:pPr>
        <w:sectPr>
          <w:pgSz w:w="11900" w:h="16838" w:orient="portrait"/>
          <w:cols w:equalWidth="0" w:num="2">
            <w:col w:w="8920" w:space="100"/>
            <w:col w:w="1440"/>
          </w:cols>
          <w:pgMar w:left="380" w:top="738" w:right="1059" w:bottom="1440" w:gutter="0" w:footer="0" w:header="0"/>
          <w:type w:val="continuous"/>
        </w:sectPr>
      </w:pPr>
    </w:p>
    <w:p>
      <w:pPr>
        <w:ind w:left="580"/>
        <w:spacing w:after="0"/>
        <w:rPr>
          <w:sz w:val="20"/>
          <w:szCs w:val="20"/>
          <w:color w:val="auto"/>
        </w:rPr>
      </w:pPr>
      <w:r>
        <w:rPr>
          <w:rFonts w:ascii="Arial" w:cs="Arial" w:eastAsia="Arial" w:hAnsi="Arial"/>
          <w:sz w:val="18"/>
          <w:szCs w:val="18"/>
          <w:color w:val="auto"/>
        </w:rPr>
        <w:t>(ii) Revolver Commitment calculated immediately following Loan/Advance/Investment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_____________</w:t>
      </w:r>
    </w:p>
    <w:p>
      <w:pPr>
        <w:spacing w:after="0" w:line="126" w:lineRule="exact"/>
        <w:rPr>
          <w:sz w:val="20"/>
          <w:szCs w:val="20"/>
          <w:color w:val="auto"/>
        </w:rPr>
      </w:pPr>
    </w:p>
    <w:p>
      <w:pPr>
        <w:sectPr>
          <w:pgSz w:w="11900" w:h="16838" w:orient="portrait"/>
          <w:cols w:equalWidth="0" w:num="2">
            <w:col w:w="8300" w:space="720"/>
            <w:col w:w="1440"/>
          </w:cols>
          <w:pgMar w:left="380" w:top="738" w:right="1059" w:bottom="1440" w:gutter="0" w:footer="0" w:header="0"/>
          <w:type w:val="continuous"/>
        </w:sectPr>
      </w:pPr>
    </w:p>
    <w:p>
      <w:pPr>
        <w:ind w:left="1140" w:hanging="556"/>
        <w:spacing w:after="0"/>
        <w:tabs>
          <w:tab w:leader="none" w:pos="114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Outstanding   Amount   of   all   Revolver   Loans   calculated   immediately   following</w:t>
      </w:r>
    </w:p>
    <w:p>
      <w:pPr>
        <w:spacing w:after="0" w:line="16" w:lineRule="exact"/>
        <w:rPr>
          <w:sz w:val="20"/>
          <w:szCs w:val="20"/>
          <w:color w:val="auto"/>
        </w:rPr>
      </w:pPr>
    </w:p>
    <w:tbl>
      <w:tblPr>
        <w:tblLayout w:type="fixed"/>
        <w:tblInd w:w="580" w:type="dxa"/>
        <w:tblCellMar>
          <w:top w:w="0" w:type="dxa"/>
          <w:left w:w="0" w:type="dxa"/>
          <w:bottom w:w="0" w:type="dxa"/>
          <w:right w:w="0" w:type="dxa"/>
        </w:tblCellMar>
      </w:tblPr>
      <w:tr>
        <w:trPr>
          <w:trHeight w:val="250"/>
        </w:trPr>
        <w:tc>
          <w:tcPr>
            <w:tcW w:w="8380" w:type="dxa"/>
            <w:vAlign w:val="bottom"/>
            <w:gridSpan w:val="7"/>
          </w:tcPr>
          <w:p>
            <w:pPr>
              <w:ind w:left="580"/>
              <w:spacing w:after="0"/>
              <w:rPr>
                <w:sz w:val="20"/>
                <w:szCs w:val="20"/>
                <w:color w:val="auto"/>
              </w:rPr>
            </w:pPr>
            <w:r>
              <w:rPr>
                <w:rFonts w:ascii="Arial" w:cs="Arial" w:eastAsia="Arial" w:hAnsi="Arial"/>
                <w:sz w:val="20"/>
                <w:szCs w:val="20"/>
                <w:color w:val="auto"/>
              </w:rPr>
              <w:t>Loan/Advance/Investment #[1]:</w:t>
            </w:r>
          </w:p>
        </w:tc>
        <w:tc>
          <w:tcPr>
            <w:tcW w:w="1500" w:type="dxa"/>
            <w:vAlign w:val="bottom"/>
          </w:tcPr>
          <w:p>
            <w:pPr>
              <w:jc w:val="right"/>
              <w:spacing w:after="0"/>
              <w:rPr>
                <w:sz w:val="20"/>
                <w:szCs w:val="20"/>
                <w:color w:val="auto"/>
              </w:rPr>
            </w:pPr>
            <w:r>
              <w:rPr>
                <w:rFonts w:ascii="Arial" w:cs="Arial" w:eastAsia="Arial" w:hAnsi="Arial"/>
                <w:sz w:val="20"/>
                <w:szCs w:val="20"/>
                <w:color w:val="auto"/>
                <w:w w:val="91"/>
              </w:rPr>
              <w:t>$ _____________</w:t>
            </w:r>
          </w:p>
        </w:tc>
      </w:tr>
      <w:tr>
        <w:trPr>
          <w:trHeight w:val="274"/>
        </w:trPr>
        <w:tc>
          <w:tcPr>
            <w:tcW w:w="8380" w:type="dxa"/>
            <w:vAlign w:val="bottom"/>
            <w:gridSpan w:val="7"/>
          </w:tcPr>
          <w:p>
            <w:pPr>
              <w:spacing w:after="0"/>
              <w:rPr>
                <w:sz w:val="20"/>
                <w:szCs w:val="20"/>
                <w:color w:val="auto"/>
              </w:rPr>
            </w:pPr>
            <w:r>
              <w:rPr>
                <w:rFonts w:ascii="Arial" w:cs="Arial" w:eastAsia="Arial" w:hAnsi="Arial"/>
                <w:sz w:val="20"/>
                <w:szCs w:val="20"/>
                <w:color w:val="auto"/>
              </w:rPr>
              <w:t>(iv) L/C Exposure calculated immediately following Loan/Advance/ Investment #[1] and without</w:t>
            </w:r>
          </w:p>
        </w:tc>
        <w:tc>
          <w:tcPr>
            <w:tcW w:w="1500" w:type="dxa"/>
            <w:vAlign w:val="bottom"/>
          </w:tcPr>
          <w:p>
            <w:pPr>
              <w:spacing w:after="0"/>
              <w:rPr>
                <w:sz w:val="23"/>
                <w:szCs w:val="23"/>
                <w:color w:val="auto"/>
              </w:rPr>
            </w:pPr>
          </w:p>
        </w:tc>
      </w:tr>
      <w:tr>
        <w:trPr>
          <w:trHeight w:val="250"/>
        </w:trPr>
        <w:tc>
          <w:tcPr>
            <w:tcW w:w="8380" w:type="dxa"/>
            <w:vAlign w:val="bottom"/>
            <w:gridSpan w:val="7"/>
          </w:tcPr>
          <w:p>
            <w:pPr>
              <w:ind w:left="580"/>
              <w:spacing w:after="0"/>
              <w:rPr>
                <w:sz w:val="20"/>
                <w:szCs w:val="20"/>
                <w:color w:val="auto"/>
              </w:rPr>
            </w:pPr>
            <w:r>
              <w:rPr>
                <w:rFonts w:ascii="Arial" w:cs="Arial" w:eastAsia="Arial" w:hAnsi="Arial"/>
                <w:sz w:val="20"/>
                <w:szCs w:val="20"/>
                <w:color w:val="auto"/>
              </w:rPr>
              <w:t>duplication of the above:</w:t>
            </w:r>
          </w:p>
        </w:tc>
        <w:tc>
          <w:tcPr>
            <w:tcW w:w="1500" w:type="dxa"/>
            <w:vAlign w:val="bottom"/>
          </w:tcPr>
          <w:p>
            <w:pPr>
              <w:jc w:val="right"/>
              <w:spacing w:after="0"/>
              <w:rPr>
                <w:sz w:val="20"/>
                <w:szCs w:val="20"/>
                <w:color w:val="auto"/>
              </w:rPr>
            </w:pPr>
            <w:r>
              <w:rPr>
                <w:rFonts w:ascii="Arial" w:cs="Arial" w:eastAsia="Arial" w:hAnsi="Arial"/>
                <w:sz w:val="20"/>
                <w:szCs w:val="20"/>
                <w:color w:val="auto"/>
                <w:w w:val="91"/>
              </w:rPr>
              <w:t>$ _____________</w:t>
            </w:r>
          </w:p>
        </w:tc>
      </w:tr>
      <w:tr>
        <w:trPr>
          <w:trHeight w:val="293"/>
        </w:trPr>
        <w:tc>
          <w:tcPr>
            <w:tcW w:w="8380" w:type="dxa"/>
            <w:vAlign w:val="bottom"/>
            <w:gridSpan w:val="7"/>
          </w:tcPr>
          <w:p>
            <w:pPr>
              <w:spacing w:after="0"/>
              <w:rPr>
                <w:sz w:val="20"/>
                <w:szCs w:val="20"/>
                <w:color w:val="auto"/>
              </w:rPr>
            </w:pPr>
            <w:r>
              <w:rPr>
                <w:rFonts w:ascii="Arial" w:cs="Arial" w:eastAsia="Arial" w:hAnsi="Arial"/>
                <w:sz w:val="20"/>
                <w:szCs w:val="20"/>
                <w:color w:val="auto"/>
                <w:w w:val="98"/>
              </w:rPr>
              <w:t>(v) Revolver Commitment Usage (</w:t>
            </w:r>
            <w:r>
              <w:rPr>
                <w:rFonts w:ascii="Arial" w:cs="Arial" w:eastAsia="Arial" w:hAnsi="Arial"/>
                <w:sz w:val="20"/>
                <w:szCs w:val="20"/>
                <w:b w:val="1"/>
                <w:bCs w:val="1"/>
                <w:i w:val="1"/>
                <w:iCs w:val="1"/>
                <w:color w:val="auto"/>
                <w:w w:val="98"/>
              </w:rPr>
              <w:t>Item 10.8(t)(iii)</w:t>
            </w:r>
            <w:r>
              <w:rPr>
                <w:rFonts w:ascii="Arial" w:cs="Arial" w:eastAsia="Arial" w:hAnsi="Arial"/>
                <w:sz w:val="20"/>
                <w:szCs w:val="20"/>
                <w:color w:val="auto"/>
                <w:w w:val="98"/>
              </w:rPr>
              <w:t xml:space="preserve"> plus </w:t>
            </w:r>
            <w:r>
              <w:rPr>
                <w:rFonts w:ascii="Arial" w:cs="Arial" w:eastAsia="Arial" w:hAnsi="Arial"/>
                <w:sz w:val="20"/>
                <w:szCs w:val="20"/>
                <w:b w:val="1"/>
                <w:bCs w:val="1"/>
                <w:i w:val="1"/>
                <w:iCs w:val="1"/>
                <w:color w:val="auto"/>
                <w:w w:val="98"/>
              </w:rPr>
              <w:t>Item 10.8(t)(iv)</w:t>
            </w:r>
            <w:r>
              <w:rPr>
                <w:rFonts w:ascii="Arial" w:cs="Arial" w:eastAsia="Arial" w:hAnsi="Arial"/>
                <w:sz w:val="20"/>
                <w:szCs w:val="20"/>
                <w:color w:val="auto"/>
                <w:w w:val="98"/>
              </w:rPr>
              <w:t>)  calculated  immediately</w:t>
            </w:r>
          </w:p>
        </w:tc>
        <w:tc>
          <w:tcPr>
            <w:tcW w:w="1500" w:type="dxa"/>
            <w:vAlign w:val="bottom"/>
          </w:tcPr>
          <w:p>
            <w:pPr>
              <w:spacing w:after="0"/>
              <w:rPr>
                <w:sz w:val="24"/>
                <w:szCs w:val="24"/>
                <w:color w:val="auto"/>
              </w:rPr>
            </w:pPr>
          </w:p>
        </w:tc>
      </w:tr>
      <w:tr>
        <w:trPr>
          <w:trHeight w:val="254"/>
        </w:trPr>
        <w:tc>
          <w:tcPr>
            <w:tcW w:w="4480" w:type="dxa"/>
            <w:vAlign w:val="bottom"/>
            <w:gridSpan w:val="3"/>
          </w:tcPr>
          <w:p>
            <w:pPr>
              <w:ind w:left="580"/>
              <w:spacing w:after="0"/>
              <w:rPr>
                <w:sz w:val="20"/>
                <w:szCs w:val="20"/>
                <w:color w:val="auto"/>
              </w:rPr>
            </w:pPr>
            <w:r>
              <w:rPr>
                <w:rFonts w:ascii="Arial" w:cs="Arial" w:eastAsia="Arial" w:hAnsi="Arial"/>
                <w:sz w:val="20"/>
                <w:szCs w:val="20"/>
                <w:color w:val="auto"/>
              </w:rPr>
              <w:t>following Loan/Advance/Investment #[1]:</w:t>
            </w:r>
          </w:p>
        </w:tc>
        <w:tc>
          <w:tcPr>
            <w:tcW w:w="320" w:type="dxa"/>
            <w:vAlign w:val="bottom"/>
            <w:tcBorders>
              <w:top w:val="single" w:sz="8" w:color="auto"/>
            </w:tcBorders>
          </w:tcPr>
          <w:p>
            <w:pPr>
              <w:spacing w:after="0"/>
              <w:rPr>
                <w:sz w:val="22"/>
                <w:szCs w:val="22"/>
                <w:color w:val="auto"/>
              </w:rPr>
            </w:pPr>
          </w:p>
        </w:tc>
        <w:tc>
          <w:tcPr>
            <w:tcW w:w="3580" w:type="dxa"/>
            <w:vAlign w:val="bottom"/>
            <w:gridSpan w:val="3"/>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w w:val="91"/>
              </w:rPr>
              <w:t>$ _____________</w:t>
            </w:r>
          </w:p>
        </w:tc>
      </w:tr>
      <w:tr>
        <w:trPr>
          <w:trHeight w:val="293"/>
        </w:trPr>
        <w:tc>
          <w:tcPr>
            <w:tcW w:w="8380" w:type="dxa"/>
            <w:vAlign w:val="bottom"/>
            <w:gridSpan w:val="7"/>
          </w:tcPr>
          <w:p>
            <w:pPr>
              <w:spacing w:after="0"/>
              <w:rPr>
                <w:sz w:val="20"/>
                <w:szCs w:val="20"/>
                <w:color w:val="auto"/>
              </w:rPr>
            </w:pPr>
            <w:r>
              <w:rPr>
                <w:rFonts w:ascii="Arial" w:cs="Arial" w:eastAsia="Arial" w:hAnsi="Arial"/>
                <w:sz w:val="20"/>
                <w:szCs w:val="20"/>
                <w:color w:val="auto"/>
              </w:rPr>
              <w:t>(vi)  Availability  (</w:t>
            </w:r>
            <w:r>
              <w:rPr>
                <w:rFonts w:ascii="Arial" w:cs="Arial" w:eastAsia="Arial" w:hAnsi="Arial"/>
                <w:sz w:val="20"/>
                <w:szCs w:val="20"/>
                <w:b w:val="1"/>
                <w:bCs w:val="1"/>
                <w:i w:val="1"/>
                <w:iCs w:val="1"/>
                <w:color w:val="auto"/>
              </w:rPr>
              <w:t>Item  10.8(t)(ii)</w:t>
            </w:r>
            <w:r>
              <w:rPr>
                <w:rFonts w:ascii="Arial" w:cs="Arial" w:eastAsia="Arial" w:hAnsi="Arial"/>
                <w:sz w:val="20"/>
                <w:szCs w:val="20"/>
                <w:color w:val="auto"/>
              </w:rPr>
              <w:t xml:space="preserve">  minus  </w:t>
            </w:r>
            <w:r>
              <w:rPr>
                <w:rFonts w:ascii="Arial" w:cs="Arial" w:eastAsia="Arial" w:hAnsi="Arial"/>
                <w:sz w:val="20"/>
                <w:szCs w:val="20"/>
                <w:b w:val="1"/>
                <w:bCs w:val="1"/>
                <w:i w:val="1"/>
                <w:iCs w:val="1"/>
                <w:color w:val="auto"/>
              </w:rPr>
              <w:t>Item  10.8(t)(v)</w:t>
            </w:r>
            <w:r>
              <w:rPr>
                <w:rFonts w:ascii="Arial" w:cs="Arial" w:eastAsia="Arial" w:hAnsi="Arial"/>
                <w:sz w:val="20"/>
                <w:szCs w:val="20"/>
                <w:color w:val="auto"/>
              </w:rPr>
              <w:t>)  calculated  immediately  following</w:t>
            </w:r>
          </w:p>
        </w:tc>
        <w:tc>
          <w:tcPr>
            <w:tcW w:w="1500" w:type="dxa"/>
            <w:vAlign w:val="bottom"/>
          </w:tcPr>
          <w:p>
            <w:pPr>
              <w:spacing w:after="0"/>
              <w:rPr>
                <w:sz w:val="24"/>
                <w:szCs w:val="24"/>
                <w:color w:val="auto"/>
              </w:rPr>
            </w:pPr>
          </w:p>
        </w:tc>
      </w:tr>
      <w:tr>
        <w:trPr>
          <w:trHeight w:val="254"/>
        </w:trPr>
        <w:tc>
          <w:tcPr>
            <w:tcW w:w="3180" w:type="dxa"/>
            <w:vAlign w:val="bottom"/>
          </w:tcPr>
          <w:p>
            <w:pPr>
              <w:ind w:left="580"/>
              <w:spacing w:after="0"/>
              <w:rPr>
                <w:sz w:val="20"/>
                <w:szCs w:val="20"/>
                <w:color w:val="auto"/>
              </w:rPr>
            </w:pPr>
            <w:r>
              <w:rPr>
                <w:rFonts w:ascii="Arial" w:cs="Arial" w:eastAsia="Arial" w:hAnsi="Arial"/>
                <w:sz w:val="20"/>
                <w:szCs w:val="20"/>
                <w:color w:val="auto"/>
                <w:w w:val="91"/>
              </w:rPr>
              <w:t>Loan/Advance/ Investment #[1]:</w:t>
            </w:r>
          </w:p>
        </w:tc>
        <w:tc>
          <w:tcPr>
            <w:tcW w:w="480" w:type="dxa"/>
            <w:vAlign w:val="bottom"/>
            <w:tcBorders>
              <w:top w:val="single" w:sz="8" w:color="auto"/>
            </w:tcBorders>
          </w:tcPr>
          <w:p>
            <w:pPr>
              <w:spacing w:after="0"/>
              <w:rPr>
                <w:sz w:val="22"/>
                <w:szCs w:val="22"/>
                <w:color w:val="auto"/>
              </w:rPr>
            </w:pPr>
          </w:p>
        </w:tc>
        <w:tc>
          <w:tcPr>
            <w:tcW w:w="4720" w:type="dxa"/>
            <w:vAlign w:val="bottom"/>
            <w:gridSpan w:val="5"/>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w w:val="91"/>
              </w:rPr>
              <w:t>$ _____________</w:t>
            </w:r>
          </w:p>
        </w:tc>
      </w:tr>
      <w:tr>
        <w:trPr>
          <w:trHeight w:val="317"/>
        </w:trPr>
        <w:tc>
          <w:tcPr>
            <w:tcW w:w="8380" w:type="dxa"/>
            <w:vAlign w:val="bottom"/>
            <w:gridSpan w:val="7"/>
          </w:tcPr>
          <w:p>
            <w:pPr>
              <w:ind w:left="20"/>
              <w:spacing w:after="0"/>
              <w:rPr>
                <w:sz w:val="20"/>
                <w:szCs w:val="20"/>
                <w:color w:val="auto"/>
              </w:rPr>
            </w:pPr>
            <w:r>
              <w:rPr>
                <w:rFonts w:ascii="Arial" w:cs="Arial" w:eastAsia="Arial" w:hAnsi="Arial"/>
                <w:sz w:val="20"/>
                <w:szCs w:val="20"/>
                <w:color w:val="auto"/>
                <w:w w:val="94"/>
              </w:rPr>
              <w:t>(vii) Unrestricted Cash of Restricted Subsidiaries (</w:t>
            </w:r>
            <w:r>
              <w:rPr>
                <w:rFonts w:ascii="Arial" w:cs="Arial" w:eastAsia="Arial" w:hAnsi="Arial"/>
                <w:sz w:val="20"/>
                <w:szCs w:val="20"/>
                <w:b w:val="1"/>
                <w:bCs w:val="1"/>
                <w:i w:val="1"/>
                <w:iCs w:val="1"/>
                <w:color w:val="auto"/>
                <w:w w:val="94"/>
              </w:rPr>
              <w:t>Item 11.1(xxvi)</w:t>
            </w:r>
            <w:r>
              <w:rPr>
                <w:rFonts w:ascii="Arial" w:cs="Arial" w:eastAsia="Arial" w:hAnsi="Arial"/>
                <w:sz w:val="20"/>
                <w:szCs w:val="20"/>
                <w:color w:val="auto"/>
                <w:w w:val="94"/>
              </w:rPr>
              <w:t>) calculated immediately following</w:t>
            </w:r>
          </w:p>
        </w:tc>
        <w:tc>
          <w:tcPr>
            <w:tcW w:w="1500" w:type="dxa"/>
            <w:vAlign w:val="bottom"/>
          </w:tcPr>
          <w:p>
            <w:pPr>
              <w:spacing w:after="0"/>
              <w:rPr>
                <w:sz w:val="24"/>
                <w:szCs w:val="24"/>
                <w:color w:val="auto"/>
              </w:rPr>
            </w:pPr>
          </w:p>
        </w:tc>
      </w:tr>
      <w:tr>
        <w:trPr>
          <w:trHeight w:val="250"/>
        </w:trPr>
        <w:tc>
          <w:tcPr>
            <w:tcW w:w="8380" w:type="dxa"/>
            <w:vAlign w:val="bottom"/>
            <w:gridSpan w:val="7"/>
          </w:tcPr>
          <w:p>
            <w:pPr>
              <w:ind w:left="20"/>
              <w:spacing w:after="0"/>
              <w:rPr>
                <w:sz w:val="20"/>
                <w:szCs w:val="20"/>
                <w:color w:val="auto"/>
              </w:rPr>
            </w:pPr>
            <w:r>
              <w:rPr>
                <w:rFonts w:ascii="Arial" w:cs="Arial" w:eastAsia="Arial" w:hAnsi="Arial"/>
                <w:sz w:val="20"/>
                <w:szCs w:val="20"/>
                <w:color w:val="auto"/>
              </w:rPr>
              <w:t>Loan/Advance/Investment #[1]:</w:t>
            </w:r>
          </w:p>
        </w:tc>
        <w:tc>
          <w:tcPr>
            <w:tcW w:w="1500" w:type="dxa"/>
            <w:vAlign w:val="bottom"/>
          </w:tcPr>
          <w:p>
            <w:pPr>
              <w:jc w:val="right"/>
              <w:spacing w:after="0"/>
              <w:rPr>
                <w:sz w:val="20"/>
                <w:szCs w:val="20"/>
                <w:color w:val="auto"/>
              </w:rPr>
            </w:pPr>
            <w:r>
              <w:rPr>
                <w:rFonts w:ascii="Arial" w:cs="Arial" w:eastAsia="Arial" w:hAnsi="Arial"/>
                <w:sz w:val="20"/>
                <w:szCs w:val="20"/>
                <w:color w:val="auto"/>
                <w:w w:val="91"/>
              </w:rPr>
              <w:t>$ _____________</w:t>
            </w:r>
          </w:p>
        </w:tc>
      </w:tr>
      <w:tr>
        <w:trPr>
          <w:trHeight w:val="293"/>
        </w:trPr>
        <w:tc>
          <w:tcPr>
            <w:tcW w:w="8380" w:type="dxa"/>
            <w:vAlign w:val="bottom"/>
            <w:gridSpan w:val="7"/>
          </w:tcPr>
          <w:p>
            <w:pPr>
              <w:ind w:left="20"/>
              <w:spacing w:after="0"/>
              <w:rPr>
                <w:sz w:val="20"/>
                <w:szCs w:val="20"/>
                <w:color w:val="auto"/>
              </w:rPr>
            </w:pPr>
            <w:r>
              <w:rPr>
                <w:rFonts w:ascii="Arial" w:cs="Arial" w:eastAsia="Arial" w:hAnsi="Arial"/>
                <w:sz w:val="20"/>
                <w:szCs w:val="20"/>
                <w:color w:val="auto"/>
              </w:rPr>
              <w:t>(viii) Aggregate Availability and Unrestricted Cash (</w:t>
            </w:r>
            <w:r>
              <w:rPr>
                <w:rFonts w:ascii="Arial" w:cs="Arial" w:eastAsia="Arial" w:hAnsi="Arial"/>
                <w:sz w:val="20"/>
                <w:szCs w:val="20"/>
                <w:b w:val="1"/>
                <w:bCs w:val="1"/>
                <w:i w:val="1"/>
                <w:iCs w:val="1"/>
                <w:color w:val="auto"/>
              </w:rPr>
              <w:t>Item 10.8(t)(vi)</w:t>
            </w:r>
            <w:r>
              <w:rPr>
                <w:rFonts w:ascii="Arial" w:cs="Arial" w:eastAsia="Arial" w:hAnsi="Arial"/>
                <w:sz w:val="20"/>
                <w:szCs w:val="20"/>
                <w:color w:val="auto"/>
              </w:rPr>
              <w:t xml:space="preserve"> plus </w:t>
            </w:r>
            <w:r>
              <w:rPr>
                <w:rFonts w:ascii="Arial" w:cs="Arial" w:eastAsia="Arial" w:hAnsi="Arial"/>
                <w:sz w:val="20"/>
                <w:szCs w:val="20"/>
                <w:b w:val="1"/>
                <w:bCs w:val="1"/>
                <w:i w:val="1"/>
                <w:iCs w:val="1"/>
                <w:color w:val="auto"/>
              </w:rPr>
              <w:t>Item 10.8(t)(vii)</w:t>
            </w: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w w:val="91"/>
              </w:rPr>
              <w:t>$ _____________</w:t>
            </w:r>
          </w:p>
        </w:tc>
      </w:tr>
      <w:tr>
        <w:trPr>
          <w:trHeight w:val="20"/>
        </w:trPr>
        <w:tc>
          <w:tcPr>
            <w:tcW w:w="3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118" w:lineRule="exact"/>
        <w:rPr>
          <w:sz w:val="20"/>
          <w:szCs w:val="20"/>
          <w:color w:val="auto"/>
        </w:rPr>
      </w:pPr>
    </w:p>
    <w:p>
      <w:pPr>
        <w:ind w:left="1240" w:right="1560" w:hanging="643"/>
        <w:spacing w:after="0" w:line="275" w:lineRule="auto"/>
        <w:tabs>
          <w:tab w:leader="none" w:pos="9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Total Leverage Ratio as of the last day of the previous quarter end (ratio of </w:t>
      </w:r>
      <w:r>
        <w:rPr>
          <w:rFonts w:ascii="Arial" w:cs="Arial" w:eastAsia="Arial" w:hAnsi="Arial"/>
          <w:sz w:val="18"/>
          <w:szCs w:val="18"/>
          <w:b w:val="1"/>
          <w:bCs w:val="1"/>
          <w:i w:val="1"/>
          <w:iCs w:val="1"/>
          <w:color w:val="auto"/>
        </w:rPr>
        <w:t>Item 11.1(x) of the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previous Compliance Certificate </w:t>
      </w:r>
      <w:r>
        <w:rPr>
          <w:rFonts w:ascii="Arial" w:cs="Arial" w:eastAsia="Arial" w:hAnsi="Arial"/>
          <w:sz w:val="18"/>
          <w:szCs w:val="18"/>
          <w:color w:val="auto"/>
        </w:rPr>
        <w:t>to</w:t>
      </w:r>
      <w:r>
        <w:rPr>
          <w:rFonts w:ascii="Arial" w:cs="Arial" w:eastAsia="Arial" w:hAnsi="Arial"/>
          <w:sz w:val="18"/>
          <w:szCs w:val="18"/>
          <w:b w:val="1"/>
          <w:bCs w:val="1"/>
          <w:i w:val="1"/>
          <w:iCs w:val="1"/>
          <w:color w:val="auto"/>
        </w:rPr>
        <w:t xml:space="preserve"> Item 11.1(xli) of the previous Compliance Certificate</w:t>
      </w:r>
      <w:r>
        <w:rPr>
          <w:rFonts w:ascii="Arial" w:cs="Arial" w:eastAsia="Arial" w:hAnsi="Arial"/>
          <w:sz w:val="18"/>
          <w:szCs w:val="18"/>
          <w:color w:val="auto"/>
        </w:rPr>
        <w:t>):</w:t>
      </w:r>
    </w:p>
    <w:p>
      <w:pPr>
        <w:spacing w:after="0" w:line="1" w:lineRule="exact"/>
        <w:rPr>
          <w:sz w:val="20"/>
          <w:szCs w:val="20"/>
          <w:color w:val="auto"/>
        </w:rPr>
      </w:pPr>
    </w:p>
    <w:p>
      <w:pPr>
        <w:ind w:left="9020"/>
        <w:spacing w:after="0"/>
        <w:rPr>
          <w:sz w:val="20"/>
          <w:szCs w:val="20"/>
          <w:color w:val="auto"/>
        </w:rPr>
      </w:pPr>
      <w:r>
        <w:rPr>
          <w:rFonts w:ascii="Arial" w:cs="Arial" w:eastAsia="Arial" w:hAnsi="Arial"/>
          <w:sz w:val="16"/>
          <w:szCs w:val="16"/>
          <w:color w:val="auto"/>
        </w:rPr>
        <w:t>$ _____________</w:t>
      </w:r>
    </w:p>
    <w:p>
      <w:pPr>
        <w:spacing w:after="0" w:line="138" w:lineRule="exact"/>
        <w:rPr>
          <w:sz w:val="20"/>
          <w:szCs w:val="20"/>
          <w:color w:val="auto"/>
        </w:rPr>
      </w:pPr>
    </w:p>
    <w:p>
      <w:pPr>
        <w:ind w:left="1160" w:right="860" w:hanging="563"/>
        <w:spacing w:after="0" w:line="260" w:lineRule="auto"/>
        <w:tabs>
          <w:tab w:leader="none" w:pos="954" w:val="left"/>
        </w:tabs>
        <w:numPr>
          <w:ilvl w:val="0"/>
          <w:numId w:val="227"/>
        </w:numPr>
        <w:rPr>
          <w:rFonts w:ascii="Arial" w:cs="Arial" w:eastAsia="Arial" w:hAnsi="Arial"/>
          <w:sz w:val="19"/>
          <w:szCs w:val="19"/>
          <w:color w:val="auto"/>
        </w:rPr>
      </w:pPr>
      <w:r>
        <w:rPr>
          <w:rFonts w:ascii="Arial" w:cs="Arial" w:eastAsia="Arial" w:hAnsi="Arial"/>
          <w:sz w:val="19"/>
          <w:szCs w:val="19"/>
          <w:color w:val="auto"/>
        </w:rPr>
        <w:t>Is aggregate Availability and Unrestricted Cash (</w:t>
      </w:r>
      <w:r>
        <w:rPr>
          <w:rFonts w:ascii="Arial" w:cs="Arial" w:eastAsia="Arial" w:hAnsi="Arial"/>
          <w:sz w:val="19"/>
          <w:szCs w:val="19"/>
          <w:b w:val="1"/>
          <w:bCs w:val="1"/>
          <w:i w:val="1"/>
          <w:iCs w:val="1"/>
          <w:color w:val="auto"/>
        </w:rPr>
        <w:t>Item 10.8(t)(viii)</w:t>
      </w:r>
      <w:r>
        <w:rPr>
          <w:rFonts w:ascii="Arial" w:cs="Arial" w:eastAsia="Arial" w:hAnsi="Arial"/>
          <w:sz w:val="19"/>
          <w:szCs w:val="19"/>
          <w:color w:val="auto"/>
        </w:rPr>
        <w:t>) at least $150,000,000 Yes/No immediately after giving effect to Loan/Advance/Investment #[1] and is the Total Leverage Ratio</w:t>
      </w:r>
    </w:p>
    <w:p>
      <w:pPr>
        <w:spacing w:after="0" w:line="1" w:lineRule="exact"/>
        <w:rPr>
          <w:rFonts w:ascii="Arial" w:cs="Arial" w:eastAsia="Arial" w:hAnsi="Arial"/>
          <w:sz w:val="19"/>
          <w:szCs w:val="19"/>
          <w:color w:val="auto"/>
        </w:rPr>
      </w:pPr>
    </w:p>
    <w:p>
      <w:pPr>
        <w:ind w:left="1160" w:right="1560"/>
        <w:spacing w:after="0" w:line="244" w:lineRule="auto"/>
        <w:rPr>
          <w:rFonts w:ascii="Arial" w:cs="Arial" w:eastAsia="Arial" w:hAnsi="Arial"/>
          <w:sz w:val="19"/>
          <w:szCs w:val="19"/>
          <w:color w:val="auto"/>
        </w:rPr>
      </w:pPr>
      <w:r>
        <w:rPr>
          <w:rFonts w:ascii="Arial" w:cs="Arial" w:eastAsia="Arial" w:hAnsi="Arial"/>
          <w:sz w:val="20"/>
          <w:szCs w:val="20"/>
          <w:color w:val="auto"/>
        </w:rPr>
        <w:t>less than 3.75 to 1.00 (</w:t>
      </w:r>
      <w:r>
        <w:rPr>
          <w:rFonts w:ascii="Arial" w:cs="Arial" w:eastAsia="Arial" w:hAnsi="Arial"/>
          <w:sz w:val="20"/>
          <w:szCs w:val="20"/>
          <w:b w:val="1"/>
          <w:bCs w:val="1"/>
          <w:i w:val="1"/>
          <w:iCs w:val="1"/>
          <w:color w:val="auto"/>
        </w:rPr>
        <w:t>Item 10.8(t)(ix)</w:t>
      </w:r>
      <w:r>
        <w:rPr>
          <w:rFonts w:ascii="Arial" w:cs="Arial" w:eastAsia="Arial" w:hAnsi="Arial"/>
          <w:sz w:val="20"/>
          <w:szCs w:val="20"/>
          <w:color w:val="auto"/>
        </w:rPr>
        <w:t>)? (If yes, then the Restricted Companies may make Loans/Advances/Investments in an unlimited amount.)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1160" w:right="1560"/>
        <w:spacing w:after="0" w:line="250" w:lineRule="auto"/>
        <w:rPr>
          <w:sz w:val="20"/>
          <w:szCs w:val="20"/>
          <w:color w:val="auto"/>
        </w:rPr>
      </w:pPr>
      <w:r>
        <w:rPr>
          <w:rFonts w:ascii="Arial" w:cs="Arial" w:eastAsia="Arial" w:hAnsi="Arial"/>
          <w:sz w:val="20"/>
          <w:szCs w:val="20"/>
          <w:color w:val="auto"/>
        </w:rPr>
        <w:t xml:space="preserve">(If aggregate Availability and Unrestricted Cash is less than $150,000,000, Restricted Companies may still be permitted to make under </w:t>
      </w:r>
      <w:r>
        <w:rPr>
          <w:rFonts w:ascii="Arial" w:cs="Arial" w:eastAsia="Arial" w:hAnsi="Arial"/>
          <w:sz w:val="20"/>
          <w:szCs w:val="20"/>
          <w:i w:val="1"/>
          <w:iCs w:val="1"/>
          <w:color w:val="auto"/>
        </w:rPr>
        <w:t>Section 10.8(l)</w:t>
      </w:r>
      <w:r>
        <w:rPr>
          <w:rFonts w:ascii="Arial" w:cs="Arial" w:eastAsia="Arial" w:hAnsi="Arial"/>
          <w:sz w:val="20"/>
          <w:szCs w:val="20"/>
          <w:color w:val="auto"/>
        </w:rPr>
        <w:t xml:space="preserve"> or </w:t>
      </w:r>
      <w:r>
        <w:rPr>
          <w:rFonts w:ascii="Arial" w:cs="Arial" w:eastAsia="Arial" w:hAnsi="Arial"/>
          <w:sz w:val="20"/>
          <w:szCs w:val="20"/>
          <w:i w:val="1"/>
          <w:iCs w:val="1"/>
          <w:color w:val="auto"/>
        </w:rPr>
        <w:t>Section 10.8(m)</w:t>
      </w:r>
      <w:r>
        <w:rPr>
          <w:rFonts w:ascii="Arial" w:cs="Arial" w:eastAsia="Arial" w:hAnsi="Arial"/>
          <w:sz w:val="20"/>
          <w:szCs w:val="20"/>
          <w:color w:val="auto"/>
        </w:rPr>
        <w:t xml:space="preserve"> of the Credit Agreement. See </w:t>
      </w:r>
      <w:r>
        <w:rPr>
          <w:rFonts w:ascii="Arial" w:cs="Arial" w:eastAsia="Arial" w:hAnsi="Arial"/>
          <w:sz w:val="20"/>
          <w:szCs w:val="20"/>
          <w:b w:val="1"/>
          <w:bCs w:val="1"/>
          <w:i w:val="1"/>
          <w:iCs w:val="1"/>
          <w:color w:val="auto"/>
        </w:rPr>
        <w:t>Items 10.8(l)</w:t>
      </w:r>
      <w:r>
        <w:rPr>
          <w:rFonts w:ascii="Arial" w:cs="Arial" w:eastAsia="Arial" w:hAnsi="Arial"/>
          <w:sz w:val="20"/>
          <w:szCs w:val="20"/>
          <w:color w:val="auto"/>
        </w:rPr>
        <w:t xml:space="preserve"> and </w:t>
      </w:r>
      <w:r>
        <w:rPr>
          <w:rFonts w:ascii="Arial" w:cs="Arial" w:eastAsia="Arial" w:hAnsi="Arial"/>
          <w:sz w:val="20"/>
          <w:szCs w:val="20"/>
          <w:b w:val="1"/>
          <w:bCs w:val="1"/>
          <w:i w:val="1"/>
          <w:iCs w:val="1"/>
          <w:color w:val="auto"/>
        </w:rPr>
        <w:t>10.8(m)</w:t>
      </w:r>
      <w:r>
        <w:rPr>
          <w:rFonts w:ascii="Arial" w:cs="Arial" w:eastAsia="Arial" w:hAnsi="Arial"/>
          <w:sz w:val="20"/>
          <w:szCs w:val="20"/>
          <w:color w:val="auto"/>
        </w:rPr>
        <w:t xml:space="preserve"> above.)</w:t>
      </w:r>
    </w:p>
    <w:p>
      <w:pPr>
        <w:sectPr>
          <w:pgSz w:w="11900" w:h="16838" w:orient="portrait"/>
          <w:cols w:equalWidth="0" w:num="1">
            <w:col w:w="10460"/>
          </w:cols>
          <w:pgMar w:left="380" w:top="738" w:right="1059" w:bottom="1440" w:gutter="0" w:footer="0" w:header="0"/>
          <w:type w:val="continuous"/>
        </w:sectPr>
      </w:pPr>
    </w:p>
    <w:bookmarkStart w:id="227" w:name="page228"/>
    <w:bookmarkEnd w:id="227"/>
    <w:p>
      <w:pPr>
        <w:spacing w:after="0"/>
        <w:rPr>
          <w:sz w:val="20"/>
          <w:szCs w:val="20"/>
          <w:color w:val="auto"/>
        </w:rPr>
      </w:pPr>
      <w:r>
        <w:rPr>
          <w:rFonts w:ascii="Arial" w:cs="Arial" w:eastAsia="Arial" w:hAnsi="Arial"/>
          <w:sz w:val="20"/>
          <w:szCs w:val="20"/>
          <w:b w:val="1"/>
          <w:bCs w:val="1"/>
          <w:color w:val="auto"/>
        </w:rPr>
        <w:t>10.9(d) DISTRIBUTIONS</w:t>
      </w:r>
    </w:p>
    <w:p>
      <w:pPr>
        <w:spacing w:after="0" w:line="114" w:lineRule="exact"/>
        <w:rPr>
          <w:sz w:val="20"/>
          <w:szCs w:val="20"/>
          <w:color w:val="auto"/>
        </w:rPr>
      </w:pPr>
    </w:p>
    <w:p>
      <w:pPr>
        <w:ind w:left="600"/>
        <w:spacing w:after="0"/>
        <w:tabs>
          <w:tab w:leader="none" w:pos="9080" w:val="left"/>
        </w:tabs>
        <w:rPr>
          <w:sz w:val="20"/>
          <w:szCs w:val="20"/>
          <w:color w:val="auto"/>
        </w:rPr>
      </w:pPr>
      <w:r>
        <w:rPr>
          <w:rFonts w:ascii="Arial" w:cs="Arial" w:eastAsia="Arial" w:hAnsi="Arial"/>
          <w:sz w:val="20"/>
          <w:szCs w:val="20"/>
          <w:color w:val="auto"/>
        </w:rPr>
        <w:t xml:space="preserve">(i) Distribution #[1] under </w:t>
      </w:r>
      <w:r>
        <w:rPr>
          <w:rFonts w:ascii="Arial" w:cs="Arial" w:eastAsia="Arial" w:hAnsi="Arial"/>
          <w:sz w:val="20"/>
          <w:szCs w:val="20"/>
          <w:i w:val="1"/>
          <w:iCs w:val="1"/>
          <w:color w:val="auto"/>
        </w:rPr>
        <w:t>Section 10.9(d)</w:t>
      </w:r>
      <w:r>
        <w:rPr>
          <w:rFonts w:ascii="Arial" w:cs="Arial" w:eastAsia="Arial" w:hAnsi="Arial"/>
          <w:sz w:val="20"/>
          <w:szCs w:val="20"/>
          <w:color w:val="auto"/>
        </w:rPr>
        <w:t xml:space="preserve"> of the Credit Agreement during the Subject Period:</w:t>
      </w:r>
      <w:r>
        <w:rPr>
          <w:sz w:val="20"/>
          <w:szCs w:val="20"/>
          <w:color w:val="auto"/>
        </w:rPr>
        <w:tab/>
      </w:r>
      <w:r>
        <w:rPr>
          <w:rFonts w:ascii="Arial" w:cs="Arial" w:eastAsia="Arial" w:hAnsi="Arial"/>
          <w:sz w:val="16"/>
          <w:szCs w:val="16"/>
          <w:color w:val="auto"/>
        </w:rPr>
        <w:t>$ _____________</w:t>
      </w:r>
    </w:p>
    <w:p>
      <w:pPr>
        <w:spacing w:after="0" w:line="94" w:lineRule="exact"/>
        <w:rPr>
          <w:sz w:val="20"/>
          <w:szCs w:val="20"/>
          <w:color w:val="auto"/>
        </w:rPr>
      </w:pPr>
    </w:p>
    <w:p>
      <w:pPr>
        <w:ind w:left="1240" w:right="1880" w:hanging="643"/>
        <w:spacing w:after="0"/>
        <w:tabs>
          <w:tab w:leader="none" w:pos="968" w:val="left"/>
        </w:tabs>
        <w:numPr>
          <w:ilvl w:val="0"/>
          <w:numId w:val="228"/>
        </w:numPr>
        <w:rPr>
          <w:rFonts w:ascii="Arial" w:cs="Arial" w:eastAsia="Arial" w:hAnsi="Arial"/>
          <w:sz w:val="20"/>
          <w:szCs w:val="20"/>
          <w:color w:val="auto"/>
        </w:rPr>
      </w:pPr>
      <w:r>
        <w:rPr>
          <w:rFonts w:ascii="Arial" w:cs="Arial" w:eastAsia="Arial" w:hAnsi="Arial"/>
          <w:sz w:val="20"/>
          <w:szCs w:val="20"/>
          <w:color w:val="auto"/>
        </w:rPr>
        <w:t xml:space="preserve">All other Distributions by VRI from and after the Closing Date (including, without limitation, all other Distributions made pursuant to </w:t>
      </w:r>
      <w:r>
        <w:rPr>
          <w:rFonts w:ascii="Arial" w:cs="Arial" w:eastAsia="Arial" w:hAnsi="Arial"/>
          <w:sz w:val="20"/>
          <w:szCs w:val="20"/>
          <w:i w:val="1"/>
          <w:iCs w:val="1"/>
          <w:color w:val="auto"/>
        </w:rPr>
        <w:t>Section 10.9(d)</w:t>
      </w:r>
      <w:r>
        <w:rPr>
          <w:rFonts w:ascii="Arial" w:cs="Arial" w:eastAsia="Arial" w:hAnsi="Arial"/>
          <w:sz w:val="20"/>
          <w:szCs w:val="20"/>
          <w:color w:val="auto"/>
        </w:rPr>
        <w:t xml:space="preserve"> of the Credit Agreement but excluding Distributions make pursuant to </w:t>
      </w:r>
      <w:r>
        <w:rPr>
          <w:rFonts w:ascii="Arial" w:cs="Arial" w:eastAsia="Arial" w:hAnsi="Arial"/>
          <w:sz w:val="20"/>
          <w:szCs w:val="20"/>
          <w:i w:val="1"/>
          <w:iCs w:val="1"/>
          <w:color w:val="auto"/>
        </w:rPr>
        <w:t>Sections 10.9(d)(ii), (d)(iii),</w:t>
      </w:r>
      <w:r>
        <w:rPr>
          <w:rFonts w:ascii="Arial" w:cs="Arial" w:eastAsia="Arial" w:hAnsi="Arial"/>
          <w:sz w:val="20"/>
          <w:szCs w:val="20"/>
          <w:color w:val="auto"/>
        </w:rPr>
        <w:t xml:space="preserve"> and </w:t>
      </w:r>
      <w:r>
        <w:rPr>
          <w:rFonts w:ascii="Arial" w:cs="Arial" w:eastAsia="Arial" w:hAnsi="Arial"/>
          <w:sz w:val="20"/>
          <w:szCs w:val="20"/>
          <w:i w:val="1"/>
          <w:iCs w:val="1"/>
          <w:color w:val="auto"/>
        </w:rPr>
        <w:t>(e)</w:t>
      </w:r>
      <w:r>
        <w:rPr>
          <w:rFonts w:ascii="Arial" w:cs="Arial" w:eastAsia="Arial" w:hAnsi="Arial"/>
          <w:sz w:val="20"/>
          <w:szCs w:val="20"/>
          <w:color w:val="auto"/>
        </w:rPr>
        <w:t xml:space="preserve"> through </w:t>
      </w:r>
      <w:r>
        <w:rPr>
          <w:rFonts w:ascii="Arial" w:cs="Arial" w:eastAsia="Arial" w:hAnsi="Arial"/>
          <w:sz w:val="20"/>
          <w:szCs w:val="20"/>
          <w:i w:val="1"/>
          <w:iCs w:val="1"/>
          <w:color w:val="auto"/>
        </w:rPr>
        <w:t>(h)</w:t>
      </w:r>
      <w:r>
        <w:rPr>
          <w:rFonts w:ascii="Arial" w:cs="Arial" w:eastAsia="Arial" w:hAnsi="Arial"/>
          <w:sz w:val="20"/>
          <w:szCs w:val="20"/>
          <w:color w:val="auto"/>
        </w:rPr>
        <w:t xml:space="preserve"> of the Credit Agreement) and prior to this Distribution:</w:t>
      </w:r>
    </w:p>
    <w:p>
      <w:pPr>
        <w:spacing w:after="0" w:line="1" w:lineRule="exact"/>
        <w:rPr>
          <w:sz w:val="20"/>
          <w:szCs w:val="20"/>
          <w:color w:val="auto"/>
        </w:rPr>
      </w:pPr>
    </w:p>
    <w:tbl>
      <w:tblPr>
        <w:tblLayout w:type="fixed"/>
        <w:tblInd w:w="600" w:type="dxa"/>
        <w:tblCellMar>
          <w:top w:w="0" w:type="dxa"/>
          <w:left w:w="0" w:type="dxa"/>
          <w:bottom w:w="0" w:type="dxa"/>
          <w:right w:w="0" w:type="dxa"/>
        </w:tblCellMar>
      </w:tblPr>
      <w:tr>
        <w:trPr>
          <w:trHeight w:val="250"/>
        </w:trPr>
        <w:tc>
          <w:tcPr>
            <w:tcW w:w="3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w w:val="90"/>
              </w:rPr>
              <w:t>$ _____________</w:t>
            </w:r>
          </w:p>
        </w:tc>
        <w:tc>
          <w:tcPr>
            <w:tcW w:w="0" w:type="dxa"/>
            <w:vAlign w:val="bottom"/>
          </w:tcPr>
          <w:p>
            <w:pPr>
              <w:spacing w:after="0"/>
              <w:rPr>
                <w:sz w:val="1"/>
                <w:szCs w:val="1"/>
                <w:color w:val="auto"/>
              </w:rPr>
            </w:pPr>
          </w:p>
        </w:tc>
      </w:tr>
      <w:tr>
        <w:trPr>
          <w:trHeight w:val="277"/>
        </w:trPr>
        <w:tc>
          <w:tcPr>
            <w:tcW w:w="8440" w:type="dxa"/>
            <w:vAlign w:val="bottom"/>
            <w:gridSpan w:val="9"/>
          </w:tcPr>
          <w:p>
            <w:pPr>
              <w:spacing w:after="0"/>
              <w:rPr>
                <w:sz w:val="20"/>
                <w:szCs w:val="20"/>
                <w:color w:val="auto"/>
              </w:rPr>
            </w:pPr>
            <w:r>
              <w:rPr>
                <w:rFonts w:ascii="Arial" w:cs="Arial" w:eastAsia="Arial" w:hAnsi="Arial"/>
                <w:sz w:val="20"/>
                <w:szCs w:val="20"/>
                <w:color w:val="auto"/>
              </w:rPr>
              <w:t>(iii)  Aggregate Distributions (</w:t>
            </w:r>
            <w:r>
              <w:rPr>
                <w:rFonts w:ascii="Arial" w:cs="Arial" w:eastAsia="Arial" w:hAnsi="Arial"/>
                <w:sz w:val="20"/>
                <w:szCs w:val="20"/>
                <w:b w:val="1"/>
                <w:bCs w:val="1"/>
                <w:i w:val="1"/>
                <w:iCs w:val="1"/>
                <w:color w:val="auto"/>
              </w:rPr>
              <w:t>Item 10.9(d)(i)</w:t>
            </w:r>
            <w:r>
              <w:rPr>
                <w:rFonts w:ascii="Arial" w:cs="Arial" w:eastAsia="Arial" w:hAnsi="Arial"/>
                <w:sz w:val="20"/>
                <w:szCs w:val="20"/>
                <w:color w:val="auto"/>
              </w:rPr>
              <w:t xml:space="preserve"> plus </w:t>
            </w:r>
            <w:r>
              <w:rPr>
                <w:rFonts w:ascii="Arial" w:cs="Arial" w:eastAsia="Arial" w:hAnsi="Arial"/>
                <w:sz w:val="20"/>
                <w:szCs w:val="20"/>
                <w:b w:val="1"/>
                <w:bCs w:val="1"/>
                <w:i w:val="1"/>
                <w:iCs w:val="1"/>
                <w:color w:val="auto"/>
              </w:rPr>
              <w:t>Item 10.9(d)(ii)</w:t>
            </w:r>
            <w:r>
              <w:rPr>
                <w:rFonts w:ascii="Arial" w:cs="Arial" w:eastAsia="Arial" w:hAnsi="Arial"/>
                <w:sz w:val="20"/>
                <w:szCs w:val="20"/>
                <w:color w:val="auto"/>
              </w:rPr>
              <w:t>):</w:t>
            </w:r>
          </w:p>
        </w:tc>
        <w:tc>
          <w:tcPr>
            <w:tcW w:w="1480" w:type="dxa"/>
            <w:vAlign w:val="bottom"/>
            <w:vMerge w:val="restart"/>
          </w:tcPr>
          <w:p>
            <w:pPr>
              <w:jc w:val="right"/>
              <w:spacing w:after="0"/>
              <w:rPr>
                <w:sz w:val="20"/>
                <w:szCs w:val="20"/>
                <w:color w:val="auto"/>
              </w:rPr>
            </w:pPr>
            <w:r>
              <w:rPr>
                <w:rFonts w:ascii="Arial" w:cs="Arial" w:eastAsia="Arial" w:hAnsi="Arial"/>
                <w:sz w:val="20"/>
                <w:szCs w:val="20"/>
                <w:color w:val="auto"/>
                <w:w w:val="90"/>
              </w:rPr>
              <w:t>$ _____________</w:t>
            </w:r>
          </w:p>
        </w:tc>
        <w:tc>
          <w:tcPr>
            <w:tcW w:w="0" w:type="dxa"/>
            <w:vAlign w:val="bottom"/>
          </w:tcPr>
          <w:p>
            <w:pPr>
              <w:spacing w:after="0"/>
              <w:rPr>
                <w:sz w:val="1"/>
                <w:szCs w:val="1"/>
                <w:color w:val="auto"/>
              </w:rPr>
            </w:pPr>
          </w:p>
        </w:tc>
      </w:tr>
      <w:tr>
        <w:trPr>
          <w:trHeight w:val="254"/>
        </w:trPr>
        <w:tc>
          <w:tcPr>
            <w:tcW w:w="3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1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11"/>
        </w:trPr>
        <w:tc>
          <w:tcPr>
            <w:tcW w:w="8440" w:type="dxa"/>
            <w:vAlign w:val="bottom"/>
            <w:gridSpan w:val="9"/>
          </w:tcPr>
          <w:p>
            <w:pPr>
              <w:spacing w:after="0"/>
              <w:rPr>
                <w:sz w:val="20"/>
                <w:szCs w:val="20"/>
                <w:color w:val="auto"/>
              </w:rPr>
            </w:pPr>
            <w:r>
              <w:rPr>
                <w:rFonts w:ascii="Arial" w:cs="Arial" w:eastAsia="Arial" w:hAnsi="Arial"/>
                <w:sz w:val="20"/>
                <w:szCs w:val="20"/>
                <w:color w:val="auto"/>
              </w:rPr>
              <w:t>(iv) Revolver Commitment calculated immediately following Distribution #[1]:</w:t>
            </w:r>
          </w:p>
        </w:tc>
        <w:tc>
          <w:tcPr>
            <w:tcW w:w="1480" w:type="dxa"/>
            <w:vAlign w:val="bottom"/>
          </w:tcPr>
          <w:p>
            <w:pPr>
              <w:jc w:val="right"/>
              <w:spacing w:after="0"/>
              <w:rPr>
                <w:sz w:val="20"/>
                <w:szCs w:val="20"/>
                <w:color w:val="auto"/>
              </w:rPr>
            </w:pPr>
            <w:r>
              <w:rPr>
                <w:rFonts w:ascii="Arial" w:cs="Arial" w:eastAsia="Arial" w:hAnsi="Arial"/>
                <w:sz w:val="20"/>
                <w:szCs w:val="20"/>
                <w:color w:val="auto"/>
                <w:w w:val="90"/>
              </w:rPr>
              <w:t>$ _____________</w:t>
            </w:r>
          </w:p>
        </w:tc>
        <w:tc>
          <w:tcPr>
            <w:tcW w:w="0" w:type="dxa"/>
            <w:vAlign w:val="bottom"/>
          </w:tcPr>
          <w:p>
            <w:pPr>
              <w:spacing w:after="0"/>
              <w:rPr>
                <w:sz w:val="1"/>
                <w:szCs w:val="1"/>
                <w:color w:val="auto"/>
              </w:rPr>
            </w:pPr>
          </w:p>
        </w:tc>
      </w:tr>
      <w:tr>
        <w:trPr>
          <w:trHeight w:val="311"/>
        </w:trPr>
        <w:tc>
          <w:tcPr>
            <w:tcW w:w="8440" w:type="dxa"/>
            <w:vAlign w:val="bottom"/>
            <w:gridSpan w:val="9"/>
          </w:tcPr>
          <w:p>
            <w:pPr>
              <w:spacing w:after="0"/>
              <w:rPr>
                <w:sz w:val="20"/>
                <w:szCs w:val="20"/>
                <w:color w:val="auto"/>
              </w:rPr>
            </w:pPr>
            <w:r>
              <w:rPr>
                <w:rFonts w:ascii="Arial" w:cs="Arial" w:eastAsia="Arial" w:hAnsi="Arial"/>
                <w:sz w:val="20"/>
                <w:szCs w:val="20"/>
                <w:color w:val="auto"/>
                <w:w w:val="99"/>
              </w:rPr>
              <w:t>(v) Outstanding Amount of all Revolver Loans calculated immediately following Distribution #[1]:</w:t>
            </w:r>
          </w:p>
        </w:tc>
        <w:tc>
          <w:tcPr>
            <w:tcW w:w="1480" w:type="dxa"/>
            <w:vAlign w:val="bottom"/>
          </w:tcPr>
          <w:p>
            <w:pPr>
              <w:jc w:val="right"/>
              <w:spacing w:after="0"/>
              <w:rPr>
                <w:sz w:val="20"/>
                <w:szCs w:val="20"/>
                <w:color w:val="auto"/>
              </w:rPr>
            </w:pPr>
            <w:r>
              <w:rPr>
                <w:rFonts w:ascii="Arial" w:cs="Arial" w:eastAsia="Arial" w:hAnsi="Arial"/>
                <w:sz w:val="20"/>
                <w:szCs w:val="20"/>
                <w:color w:val="auto"/>
                <w:w w:val="90"/>
              </w:rPr>
              <w:t>$ _____________</w:t>
            </w:r>
          </w:p>
        </w:tc>
        <w:tc>
          <w:tcPr>
            <w:tcW w:w="0" w:type="dxa"/>
            <w:vAlign w:val="bottom"/>
          </w:tcPr>
          <w:p>
            <w:pPr>
              <w:spacing w:after="0"/>
              <w:rPr>
                <w:sz w:val="1"/>
                <w:szCs w:val="1"/>
                <w:color w:val="auto"/>
              </w:rPr>
            </w:pPr>
          </w:p>
        </w:tc>
      </w:tr>
      <w:tr>
        <w:trPr>
          <w:trHeight w:val="290"/>
        </w:trPr>
        <w:tc>
          <w:tcPr>
            <w:tcW w:w="8440" w:type="dxa"/>
            <w:vAlign w:val="bottom"/>
            <w:gridSpan w:val="9"/>
          </w:tcPr>
          <w:p>
            <w:pPr>
              <w:spacing w:after="0"/>
              <w:rPr>
                <w:sz w:val="20"/>
                <w:szCs w:val="20"/>
                <w:color w:val="auto"/>
              </w:rPr>
            </w:pPr>
            <w:r>
              <w:rPr>
                <w:rFonts w:ascii="Arial" w:cs="Arial" w:eastAsia="Arial" w:hAnsi="Arial"/>
                <w:sz w:val="20"/>
                <w:szCs w:val="20"/>
                <w:color w:val="auto"/>
                <w:w w:val="98"/>
              </w:rPr>
              <w:t>(vi) L/C Exposure calculated immediately following Distribution #[1] and without duplication of the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440" w:type="dxa"/>
            <w:vAlign w:val="bottom"/>
            <w:gridSpan w:val="9"/>
          </w:tcPr>
          <w:p>
            <w:pPr>
              <w:ind w:left="640"/>
              <w:spacing w:after="0"/>
              <w:rPr>
                <w:sz w:val="20"/>
                <w:szCs w:val="20"/>
                <w:color w:val="auto"/>
              </w:rPr>
            </w:pPr>
            <w:r>
              <w:rPr>
                <w:rFonts w:ascii="Arial" w:cs="Arial" w:eastAsia="Arial" w:hAnsi="Arial"/>
                <w:sz w:val="20"/>
                <w:szCs w:val="20"/>
                <w:color w:val="auto"/>
              </w:rPr>
              <w:t>above:</w:t>
            </w:r>
          </w:p>
        </w:tc>
        <w:tc>
          <w:tcPr>
            <w:tcW w:w="1480" w:type="dxa"/>
            <w:vAlign w:val="bottom"/>
          </w:tcPr>
          <w:p>
            <w:pPr>
              <w:jc w:val="right"/>
              <w:spacing w:after="0"/>
              <w:rPr>
                <w:sz w:val="20"/>
                <w:szCs w:val="20"/>
                <w:color w:val="auto"/>
              </w:rPr>
            </w:pPr>
            <w:r>
              <w:rPr>
                <w:rFonts w:ascii="Arial" w:cs="Arial" w:eastAsia="Arial" w:hAnsi="Arial"/>
                <w:sz w:val="20"/>
                <w:szCs w:val="20"/>
                <w:color w:val="auto"/>
                <w:w w:val="90"/>
              </w:rPr>
              <w:t>$ _____________</w:t>
            </w:r>
          </w:p>
        </w:tc>
        <w:tc>
          <w:tcPr>
            <w:tcW w:w="0" w:type="dxa"/>
            <w:vAlign w:val="bottom"/>
          </w:tcPr>
          <w:p>
            <w:pPr>
              <w:spacing w:after="0"/>
              <w:rPr>
                <w:sz w:val="1"/>
                <w:szCs w:val="1"/>
                <w:color w:val="auto"/>
              </w:rPr>
            </w:pPr>
          </w:p>
        </w:tc>
      </w:tr>
      <w:tr>
        <w:trPr>
          <w:trHeight w:val="293"/>
        </w:trPr>
        <w:tc>
          <w:tcPr>
            <w:tcW w:w="8440" w:type="dxa"/>
            <w:vAlign w:val="bottom"/>
            <w:gridSpan w:val="9"/>
          </w:tcPr>
          <w:p>
            <w:pPr>
              <w:spacing w:after="0"/>
              <w:rPr>
                <w:sz w:val="20"/>
                <w:szCs w:val="20"/>
                <w:color w:val="auto"/>
              </w:rPr>
            </w:pPr>
            <w:r>
              <w:rPr>
                <w:rFonts w:ascii="Arial" w:cs="Arial" w:eastAsia="Arial" w:hAnsi="Arial"/>
                <w:sz w:val="20"/>
                <w:szCs w:val="20"/>
                <w:color w:val="auto"/>
                <w:w w:val="99"/>
              </w:rPr>
              <w:t>(vii) Revolver Commitment Usage (</w:t>
            </w:r>
            <w:r>
              <w:rPr>
                <w:rFonts w:ascii="Arial" w:cs="Arial" w:eastAsia="Arial" w:hAnsi="Arial"/>
                <w:sz w:val="20"/>
                <w:szCs w:val="20"/>
                <w:b w:val="1"/>
                <w:bCs w:val="1"/>
                <w:i w:val="1"/>
                <w:iCs w:val="1"/>
                <w:color w:val="auto"/>
                <w:w w:val="99"/>
              </w:rPr>
              <w:t>Item 10.9(d)(v)</w:t>
            </w:r>
            <w:r>
              <w:rPr>
                <w:rFonts w:ascii="Arial" w:cs="Arial" w:eastAsia="Arial" w:hAnsi="Arial"/>
                <w:sz w:val="20"/>
                <w:szCs w:val="20"/>
                <w:color w:val="auto"/>
                <w:w w:val="99"/>
              </w:rPr>
              <w:t xml:space="preserve"> plus </w:t>
            </w:r>
            <w:r>
              <w:rPr>
                <w:rFonts w:ascii="Arial" w:cs="Arial" w:eastAsia="Arial" w:hAnsi="Arial"/>
                <w:sz w:val="20"/>
                <w:szCs w:val="20"/>
                <w:b w:val="1"/>
                <w:bCs w:val="1"/>
                <w:i w:val="1"/>
                <w:iCs w:val="1"/>
                <w:color w:val="auto"/>
                <w:w w:val="99"/>
              </w:rPr>
              <w:t>Item 10.9(d)(vi)</w:t>
            </w:r>
            <w:r>
              <w:rPr>
                <w:rFonts w:ascii="Arial" w:cs="Arial" w:eastAsia="Arial" w:hAnsi="Arial"/>
                <w:sz w:val="20"/>
                <w:szCs w:val="20"/>
                <w:color w:val="auto"/>
                <w:w w:val="99"/>
              </w:rPr>
              <w:t>) calculated immediately</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500" w:type="dxa"/>
            <w:vAlign w:val="bottom"/>
            <w:gridSpan w:val="5"/>
          </w:tcPr>
          <w:p>
            <w:pPr>
              <w:ind w:left="640"/>
              <w:spacing w:after="0"/>
              <w:rPr>
                <w:sz w:val="20"/>
                <w:szCs w:val="20"/>
                <w:color w:val="auto"/>
              </w:rPr>
            </w:pPr>
            <w:r>
              <w:rPr>
                <w:rFonts w:ascii="Arial" w:cs="Arial" w:eastAsia="Arial" w:hAnsi="Arial"/>
                <w:sz w:val="20"/>
                <w:szCs w:val="20"/>
                <w:color w:val="auto"/>
              </w:rPr>
              <w:t>following Distribution #[1]:</w:t>
            </w:r>
          </w:p>
        </w:tc>
        <w:tc>
          <w:tcPr>
            <w:tcW w:w="340" w:type="dxa"/>
            <w:vAlign w:val="bottom"/>
            <w:tcBorders>
              <w:top w:val="single" w:sz="8" w:color="auto"/>
            </w:tcBorders>
          </w:tcPr>
          <w:p>
            <w:pPr>
              <w:spacing w:after="0"/>
              <w:rPr>
                <w:sz w:val="22"/>
                <w:szCs w:val="22"/>
                <w:color w:val="auto"/>
              </w:rPr>
            </w:pPr>
          </w:p>
        </w:tc>
        <w:tc>
          <w:tcPr>
            <w:tcW w:w="3600" w:type="dxa"/>
            <w:vAlign w:val="bottom"/>
            <w:gridSpan w:val="3"/>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w w:val="90"/>
              </w:rPr>
              <w:t>$ _____________</w:t>
            </w:r>
          </w:p>
        </w:tc>
        <w:tc>
          <w:tcPr>
            <w:tcW w:w="0" w:type="dxa"/>
            <w:vAlign w:val="bottom"/>
          </w:tcPr>
          <w:p>
            <w:pPr>
              <w:spacing w:after="0"/>
              <w:rPr>
                <w:sz w:val="1"/>
                <w:szCs w:val="1"/>
                <w:color w:val="auto"/>
              </w:rPr>
            </w:pPr>
          </w:p>
        </w:tc>
      </w:tr>
      <w:tr>
        <w:trPr>
          <w:trHeight w:val="293"/>
        </w:trPr>
        <w:tc>
          <w:tcPr>
            <w:tcW w:w="8440" w:type="dxa"/>
            <w:vAlign w:val="bottom"/>
            <w:gridSpan w:val="9"/>
          </w:tcPr>
          <w:p>
            <w:pPr>
              <w:spacing w:after="0"/>
              <w:rPr>
                <w:sz w:val="20"/>
                <w:szCs w:val="20"/>
                <w:color w:val="auto"/>
              </w:rPr>
            </w:pPr>
            <w:r>
              <w:rPr>
                <w:rFonts w:ascii="Arial" w:cs="Arial" w:eastAsia="Arial" w:hAnsi="Arial"/>
                <w:sz w:val="20"/>
                <w:szCs w:val="20"/>
                <w:color w:val="auto"/>
                <w:w w:val="99"/>
              </w:rPr>
              <w:t>(viii)  Availability  (</w:t>
            </w:r>
            <w:r>
              <w:rPr>
                <w:rFonts w:ascii="Arial" w:cs="Arial" w:eastAsia="Arial" w:hAnsi="Arial"/>
                <w:sz w:val="20"/>
                <w:szCs w:val="20"/>
                <w:b w:val="1"/>
                <w:bCs w:val="1"/>
                <w:i w:val="1"/>
                <w:iCs w:val="1"/>
                <w:color w:val="auto"/>
                <w:w w:val="99"/>
              </w:rPr>
              <w:t>Item  10.9(d)(iv)</w:t>
            </w:r>
            <w:r>
              <w:rPr>
                <w:rFonts w:ascii="Arial" w:cs="Arial" w:eastAsia="Arial" w:hAnsi="Arial"/>
                <w:sz w:val="20"/>
                <w:szCs w:val="20"/>
                <w:color w:val="auto"/>
                <w:w w:val="99"/>
              </w:rPr>
              <w:t xml:space="preserve">  minus  </w:t>
            </w:r>
            <w:r>
              <w:rPr>
                <w:rFonts w:ascii="Arial" w:cs="Arial" w:eastAsia="Arial" w:hAnsi="Arial"/>
                <w:sz w:val="20"/>
                <w:szCs w:val="20"/>
                <w:b w:val="1"/>
                <w:bCs w:val="1"/>
                <w:i w:val="1"/>
                <w:iCs w:val="1"/>
                <w:color w:val="auto"/>
                <w:w w:val="99"/>
              </w:rPr>
              <w:t>Item  10.9(d)(vii)</w:t>
            </w:r>
            <w:r>
              <w:rPr>
                <w:rFonts w:ascii="Arial" w:cs="Arial" w:eastAsia="Arial" w:hAnsi="Arial"/>
                <w:sz w:val="20"/>
                <w:szCs w:val="20"/>
                <w:color w:val="auto"/>
                <w:w w:val="99"/>
              </w:rPr>
              <w:t>)  calculated  immediately  following</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3200" w:type="dxa"/>
            <w:vAlign w:val="bottom"/>
          </w:tcPr>
          <w:p>
            <w:pPr>
              <w:ind w:left="640"/>
              <w:spacing w:after="0"/>
              <w:rPr>
                <w:sz w:val="20"/>
                <w:szCs w:val="20"/>
                <w:color w:val="auto"/>
              </w:rPr>
            </w:pPr>
            <w:r>
              <w:rPr>
                <w:rFonts w:ascii="Arial" w:cs="Arial" w:eastAsia="Arial" w:hAnsi="Arial"/>
                <w:sz w:val="20"/>
                <w:szCs w:val="20"/>
                <w:color w:val="auto"/>
              </w:rPr>
              <w:t>Distribution #[1]:</w:t>
            </w:r>
          </w:p>
        </w:tc>
        <w:tc>
          <w:tcPr>
            <w:tcW w:w="500" w:type="dxa"/>
            <w:vAlign w:val="bottom"/>
            <w:tcBorders>
              <w:top w:val="single" w:sz="8" w:color="auto"/>
            </w:tcBorders>
            <w:gridSpan w:val="2"/>
          </w:tcPr>
          <w:p>
            <w:pPr>
              <w:spacing w:after="0"/>
              <w:rPr>
                <w:sz w:val="22"/>
                <w:szCs w:val="22"/>
                <w:color w:val="auto"/>
              </w:rPr>
            </w:pPr>
          </w:p>
        </w:tc>
        <w:tc>
          <w:tcPr>
            <w:tcW w:w="4740" w:type="dxa"/>
            <w:vAlign w:val="bottom"/>
            <w:gridSpan w:val="6"/>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w w:val="90"/>
              </w:rPr>
              <w:t>$ _____________</w:t>
            </w:r>
          </w:p>
        </w:tc>
        <w:tc>
          <w:tcPr>
            <w:tcW w:w="0" w:type="dxa"/>
            <w:vAlign w:val="bottom"/>
          </w:tcPr>
          <w:p>
            <w:pPr>
              <w:spacing w:after="0"/>
              <w:rPr>
                <w:sz w:val="1"/>
                <w:szCs w:val="1"/>
                <w:color w:val="auto"/>
              </w:rPr>
            </w:pPr>
          </w:p>
        </w:tc>
      </w:tr>
      <w:tr>
        <w:trPr>
          <w:trHeight w:val="317"/>
        </w:trPr>
        <w:tc>
          <w:tcPr>
            <w:tcW w:w="8440" w:type="dxa"/>
            <w:vAlign w:val="bottom"/>
            <w:gridSpan w:val="9"/>
          </w:tcPr>
          <w:p>
            <w:pPr>
              <w:spacing w:after="0"/>
              <w:rPr>
                <w:sz w:val="20"/>
                <w:szCs w:val="20"/>
                <w:color w:val="auto"/>
              </w:rPr>
            </w:pPr>
            <w:r>
              <w:rPr>
                <w:rFonts w:ascii="Arial" w:cs="Arial" w:eastAsia="Arial" w:hAnsi="Arial"/>
                <w:sz w:val="20"/>
                <w:szCs w:val="20"/>
                <w:color w:val="auto"/>
                <w:w w:val="96"/>
              </w:rPr>
              <w:t>(ix) Unrestricted Cash of Restricted Subsidiaries (</w:t>
            </w:r>
            <w:r>
              <w:rPr>
                <w:rFonts w:ascii="Arial" w:cs="Arial" w:eastAsia="Arial" w:hAnsi="Arial"/>
                <w:sz w:val="20"/>
                <w:szCs w:val="20"/>
                <w:b w:val="1"/>
                <w:bCs w:val="1"/>
                <w:i w:val="1"/>
                <w:iCs w:val="1"/>
                <w:color w:val="auto"/>
                <w:w w:val="96"/>
              </w:rPr>
              <w:t>Item 11.1(xxvi)</w:t>
            </w:r>
            <w:r>
              <w:rPr>
                <w:rFonts w:ascii="Arial" w:cs="Arial" w:eastAsia="Arial" w:hAnsi="Arial"/>
                <w:sz w:val="20"/>
                <w:szCs w:val="20"/>
                <w:color w:val="auto"/>
                <w:w w:val="96"/>
              </w:rPr>
              <w:t>) calculated immediately following</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440" w:type="dxa"/>
            <w:vAlign w:val="bottom"/>
            <w:gridSpan w:val="9"/>
          </w:tcPr>
          <w:p>
            <w:pPr>
              <w:ind w:left="640"/>
              <w:spacing w:after="0"/>
              <w:rPr>
                <w:sz w:val="20"/>
                <w:szCs w:val="20"/>
                <w:color w:val="auto"/>
              </w:rPr>
            </w:pPr>
            <w:r>
              <w:rPr>
                <w:rFonts w:ascii="Arial" w:cs="Arial" w:eastAsia="Arial" w:hAnsi="Arial"/>
                <w:sz w:val="20"/>
                <w:szCs w:val="20"/>
                <w:color w:val="auto"/>
              </w:rPr>
              <w:t>Distribution #[1]:</w:t>
            </w:r>
          </w:p>
        </w:tc>
        <w:tc>
          <w:tcPr>
            <w:tcW w:w="1480" w:type="dxa"/>
            <w:vAlign w:val="bottom"/>
          </w:tcPr>
          <w:p>
            <w:pPr>
              <w:jc w:val="right"/>
              <w:spacing w:after="0"/>
              <w:rPr>
                <w:sz w:val="20"/>
                <w:szCs w:val="20"/>
                <w:color w:val="auto"/>
              </w:rPr>
            </w:pPr>
            <w:r>
              <w:rPr>
                <w:rFonts w:ascii="Arial" w:cs="Arial" w:eastAsia="Arial" w:hAnsi="Arial"/>
                <w:sz w:val="20"/>
                <w:szCs w:val="20"/>
                <w:color w:val="auto"/>
                <w:w w:val="90"/>
              </w:rPr>
              <w:t>$ _____________</w:t>
            </w:r>
          </w:p>
        </w:tc>
        <w:tc>
          <w:tcPr>
            <w:tcW w:w="0" w:type="dxa"/>
            <w:vAlign w:val="bottom"/>
          </w:tcPr>
          <w:p>
            <w:pPr>
              <w:spacing w:after="0"/>
              <w:rPr>
                <w:sz w:val="1"/>
                <w:szCs w:val="1"/>
                <w:color w:val="auto"/>
              </w:rPr>
            </w:pPr>
          </w:p>
        </w:tc>
      </w:tr>
      <w:tr>
        <w:trPr>
          <w:trHeight w:val="293"/>
        </w:trPr>
        <w:tc>
          <w:tcPr>
            <w:tcW w:w="8440" w:type="dxa"/>
            <w:vAlign w:val="bottom"/>
            <w:gridSpan w:val="9"/>
          </w:tcPr>
          <w:p>
            <w:pPr>
              <w:spacing w:after="0"/>
              <w:rPr>
                <w:sz w:val="20"/>
                <w:szCs w:val="20"/>
                <w:color w:val="auto"/>
              </w:rPr>
            </w:pPr>
            <w:r>
              <w:rPr>
                <w:rFonts w:ascii="Arial" w:cs="Arial" w:eastAsia="Arial" w:hAnsi="Arial"/>
                <w:sz w:val="20"/>
                <w:szCs w:val="20"/>
                <w:color w:val="auto"/>
              </w:rPr>
              <w:t>(x) Aggregate Availability and Unrestricted Cash (</w:t>
            </w:r>
            <w:r>
              <w:rPr>
                <w:rFonts w:ascii="Arial" w:cs="Arial" w:eastAsia="Arial" w:hAnsi="Arial"/>
                <w:sz w:val="20"/>
                <w:szCs w:val="20"/>
                <w:b w:val="1"/>
                <w:bCs w:val="1"/>
                <w:i w:val="1"/>
                <w:iCs w:val="1"/>
                <w:color w:val="auto"/>
              </w:rPr>
              <w:t>Item 10.9(d)(viii)</w:t>
            </w:r>
            <w:r>
              <w:rPr>
                <w:rFonts w:ascii="Arial" w:cs="Arial" w:eastAsia="Arial" w:hAnsi="Arial"/>
                <w:sz w:val="20"/>
                <w:szCs w:val="20"/>
                <w:color w:val="auto"/>
              </w:rPr>
              <w:t xml:space="preserve"> plus </w:t>
            </w:r>
            <w:r>
              <w:rPr>
                <w:rFonts w:ascii="Arial" w:cs="Arial" w:eastAsia="Arial" w:hAnsi="Arial"/>
                <w:sz w:val="20"/>
                <w:szCs w:val="20"/>
                <w:b w:val="1"/>
                <w:bCs w:val="1"/>
                <w:i w:val="1"/>
                <w:iCs w:val="1"/>
                <w:color w:val="auto"/>
              </w:rPr>
              <w:t>Item 10.9(d)(ix)</w:t>
            </w: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w w:val="90"/>
              </w:rPr>
              <w:t>$ _____________</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1240" w:right="1540" w:hanging="643"/>
        <w:spacing w:after="0" w:line="275" w:lineRule="auto"/>
        <w:tabs>
          <w:tab w:leader="none" w:pos="95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Total Leverage Ratio as of the last day of the previous quarter end (ratio of </w:t>
      </w:r>
      <w:r>
        <w:rPr>
          <w:rFonts w:ascii="Arial" w:cs="Arial" w:eastAsia="Arial" w:hAnsi="Arial"/>
          <w:sz w:val="18"/>
          <w:szCs w:val="18"/>
          <w:b w:val="1"/>
          <w:bCs w:val="1"/>
          <w:i w:val="1"/>
          <w:iCs w:val="1"/>
          <w:color w:val="auto"/>
        </w:rPr>
        <w:t>Item 11.1(x) of the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previous Compliance Certificate </w:t>
      </w:r>
      <w:r>
        <w:rPr>
          <w:rFonts w:ascii="Arial" w:cs="Arial" w:eastAsia="Arial" w:hAnsi="Arial"/>
          <w:sz w:val="18"/>
          <w:szCs w:val="18"/>
          <w:color w:val="auto"/>
        </w:rPr>
        <w:t>to</w:t>
      </w:r>
      <w:r>
        <w:rPr>
          <w:rFonts w:ascii="Arial" w:cs="Arial" w:eastAsia="Arial" w:hAnsi="Arial"/>
          <w:sz w:val="18"/>
          <w:szCs w:val="18"/>
          <w:b w:val="1"/>
          <w:bCs w:val="1"/>
          <w:i w:val="1"/>
          <w:iCs w:val="1"/>
          <w:color w:val="auto"/>
        </w:rPr>
        <w:t xml:space="preserve"> Item 11.1(xli) of the previous Compliance Certificate</w:t>
      </w:r>
      <w:r>
        <w:rPr>
          <w:rFonts w:ascii="Arial" w:cs="Arial" w:eastAsia="Arial" w:hAnsi="Arial"/>
          <w:sz w:val="18"/>
          <w:szCs w:val="18"/>
          <w:color w:val="auto"/>
        </w:rPr>
        <w:t>):</w:t>
      </w:r>
    </w:p>
    <w:p>
      <w:pPr>
        <w:spacing w:after="0" w:line="1" w:lineRule="exact"/>
        <w:rPr>
          <w:sz w:val="20"/>
          <w:szCs w:val="20"/>
          <w:color w:val="auto"/>
        </w:rPr>
      </w:pPr>
    </w:p>
    <w:p>
      <w:pPr>
        <w:ind w:left="9100"/>
        <w:spacing w:after="0"/>
        <w:rPr>
          <w:sz w:val="20"/>
          <w:szCs w:val="20"/>
          <w:color w:val="auto"/>
        </w:rPr>
      </w:pPr>
      <w:r>
        <w:rPr>
          <w:rFonts w:ascii="Arial" w:cs="Arial" w:eastAsia="Arial" w:hAnsi="Arial"/>
          <w:sz w:val="16"/>
          <w:szCs w:val="16"/>
          <w:color w:val="auto"/>
        </w:rPr>
        <w:t>$ 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40" w:hanging="637"/>
        <w:spacing w:after="0"/>
        <w:tabs>
          <w:tab w:leader="none" w:pos="640" w:val="left"/>
        </w:tabs>
        <w:numPr>
          <w:ilvl w:val="0"/>
          <w:numId w:val="230"/>
        </w:numPr>
        <w:rPr>
          <w:rFonts w:ascii="Arial" w:cs="Arial" w:eastAsia="Arial" w:hAnsi="Arial"/>
          <w:sz w:val="25"/>
          <w:szCs w:val="25"/>
          <w:color w:val="auto"/>
          <w:vertAlign w:val="superscript"/>
        </w:rPr>
      </w:pPr>
      <w:r>
        <w:rPr>
          <w:rFonts w:ascii="Arial" w:cs="Arial" w:eastAsia="Arial" w:hAnsi="Arial"/>
          <w:sz w:val="18"/>
          <w:szCs w:val="18"/>
          <w:color w:val="auto"/>
        </w:rPr>
        <w:t>To be calculated for each Distribution at the time of such Distribution.</w:t>
      </w:r>
    </w:p>
    <w:p>
      <w:pPr>
        <w:sectPr>
          <w:pgSz w:w="11900" w:h="16838" w:orient="portrait"/>
          <w:cols w:equalWidth="0" w:num="1">
            <w:col w:w="10520"/>
          </w:cols>
          <w:pgMar w:left="380" w:top="738" w:right="999" w:bottom="1440" w:gutter="0" w:footer="0" w:header="0"/>
        </w:sectPr>
      </w:pPr>
    </w:p>
    <w:p>
      <w:pPr>
        <w:spacing w:after="0" w:line="98" w:lineRule="exact"/>
        <w:rPr>
          <w:sz w:val="20"/>
          <w:szCs w:val="20"/>
          <w:color w:val="auto"/>
        </w:rPr>
      </w:pPr>
    </w:p>
    <w:p>
      <w:pPr>
        <w:ind w:left="1240" w:hanging="643"/>
        <w:spacing w:after="0" w:line="287" w:lineRule="auto"/>
        <w:tabs>
          <w:tab w:leader="none" w:pos="98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Is aggregate Availability and Unrestricted Cash (</w:t>
      </w:r>
      <w:r>
        <w:rPr>
          <w:rFonts w:ascii="Arial" w:cs="Arial" w:eastAsia="Arial" w:hAnsi="Arial"/>
          <w:sz w:val="18"/>
          <w:szCs w:val="18"/>
          <w:b w:val="1"/>
          <w:bCs w:val="1"/>
          <w:i w:val="1"/>
          <w:iCs w:val="1"/>
          <w:color w:val="auto"/>
        </w:rPr>
        <w:t>Item 10.9(d)(x)</w:t>
      </w:r>
      <w:r>
        <w:rPr>
          <w:rFonts w:ascii="Arial" w:cs="Arial" w:eastAsia="Arial" w:hAnsi="Arial"/>
          <w:sz w:val="18"/>
          <w:szCs w:val="18"/>
          <w:color w:val="auto"/>
        </w:rPr>
        <w:t>) at least $150,000,000 immediately after giving effect to Distribution #[1] and is the Total Leverage Ratio less than 3.75 to 1.00 (</w:t>
      </w:r>
      <w:r>
        <w:rPr>
          <w:rFonts w:ascii="Arial" w:cs="Arial" w:eastAsia="Arial" w:hAnsi="Arial"/>
          <w:sz w:val="18"/>
          <w:szCs w:val="18"/>
          <w:b w:val="1"/>
          <w:bCs w:val="1"/>
          <w:i w:val="1"/>
          <w:iCs w:val="1"/>
          <w:color w:val="auto"/>
        </w:rPr>
        <w:t>Item 10.9(d)(xi)</w:t>
      </w:r>
      <w:r>
        <w:rPr>
          <w:rFonts w:ascii="Arial" w:cs="Arial" w:eastAsia="Arial" w:hAnsi="Arial"/>
          <w:sz w:val="18"/>
          <w:szCs w:val="18"/>
          <w:color w:val="auto"/>
        </w:rPr>
        <w:t>)? (If yes, then VRI may make Distributions in an unlimited amount.)</w:t>
      </w:r>
    </w:p>
    <w:p>
      <w:pPr>
        <w:spacing w:after="0" w:line="155" w:lineRule="exact"/>
        <w:rPr>
          <w:sz w:val="20"/>
          <w:szCs w:val="20"/>
          <w:color w:val="auto"/>
        </w:rPr>
      </w:pPr>
    </w:p>
    <w:p>
      <w:pPr>
        <w:jc w:val="both"/>
        <w:ind w:left="1240"/>
        <w:spacing w:after="0" w:line="275" w:lineRule="auto"/>
        <w:rPr>
          <w:sz w:val="20"/>
          <w:szCs w:val="20"/>
          <w:color w:val="auto"/>
        </w:rPr>
      </w:pPr>
      <w:r>
        <w:rPr>
          <w:rFonts w:ascii="Arial" w:cs="Arial" w:eastAsia="Arial" w:hAnsi="Arial"/>
          <w:sz w:val="18"/>
          <w:szCs w:val="18"/>
          <w:color w:val="auto"/>
        </w:rPr>
        <w:t xml:space="preserve">(If aggregate Availability and Unrestricted Cash is less than $150,000,000, VRI may still be permitted to pay dividends under </w:t>
      </w:r>
      <w:r>
        <w:rPr>
          <w:rFonts w:ascii="Arial" w:cs="Arial" w:eastAsia="Arial" w:hAnsi="Arial"/>
          <w:sz w:val="18"/>
          <w:szCs w:val="18"/>
          <w:i w:val="1"/>
          <w:iCs w:val="1"/>
          <w:color w:val="auto"/>
        </w:rPr>
        <w:t>Section 10.9(d)(iii)</w:t>
      </w:r>
      <w:r>
        <w:rPr>
          <w:rFonts w:ascii="Arial" w:cs="Arial" w:eastAsia="Arial" w:hAnsi="Arial"/>
          <w:sz w:val="18"/>
          <w:szCs w:val="18"/>
          <w:color w:val="auto"/>
        </w:rPr>
        <w:t xml:space="preserve"> of the Credit Agreement. See </w:t>
      </w:r>
      <w:r>
        <w:rPr>
          <w:rFonts w:ascii="Arial" w:cs="Arial" w:eastAsia="Arial" w:hAnsi="Arial"/>
          <w:sz w:val="18"/>
          <w:szCs w:val="18"/>
          <w:b w:val="1"/>
          <w:bCs w:val="1"/>
          <w:i w:val="1"/>
          <w:iCs w:val="1"/>
          <w:color w:val="auto"/>
        </w:rPr>
        <w:t>Item 10.9(d)</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20"/>
          <w:szCs w:val="20"/>
          <w:b w:val="1"/>
          <w:bCs w:val="1"/>
          <w:i w:val="1"/>
          <w:iCs w:val="1"/>
          <w:color w:val="auto"/>
        </w:rPr>
        <w:t xml:space="preserve">(xiv) </w:t>
      </w:r>
      <w:r>
        <w:rPr>
          <w:rFonts w:ascii="Arial" w:cs="Arial" w:eastAsia="Arial" w:hAnsi="Arial"/>
          <w:sz w:val="20"/>
          <w:szCs w:val="20"/>
          <w:color w:val="auto"/>
        </w:rPr>
        <w:t>below.)</w:t>
      </w:r>
    </w:p>
    <w:p>
      <w:pPr>
        <w:spacing w:after="0" w:line="91" w:lineRule="exact"/>
        <w:rPr>
          <w:sz w:val="20"/>
          <w:szCs w:val="20"/>
          <w:color w:val="auto"/>
        </w:rPr>
      </w:pPr>
    </w:p>
    <w:p>
      <w:pPr>
        <w:ind w:left="1240" w:hanging="643"/>
        <w:spacing w:after="0" w:line="291" w:lineRule="auto"/>
        <w:tabs>
          <w:tab w:leader="none" w:pos="103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Is aggregate Availability and Unrestricted Cash of Restricted Subsidiaries (</w:t>
      </w:r>
      <w:r>
        <w:rPr>
          <w:rFonts w:ascii="Arial" w:cs="Arial" w:eastAsia="Arial" w:hAnsi="Arial"/>
          <w:sz w:val="18"/>
          <w:szCs w:val="18"/>
          <w:b w:val="1"/>
          <w:bCs w:val="1"/>
          <w:i w:val="1"/>
          <w:iCs w:val="1"/>
          <w:color w:val="auto"/>
        </w:rPr>
        <w:t>Item 10.9(d)(x)</w:t>
      </w:r>
      <w:r>
        <w:rPr>
          <w:rFonts w:ascii="Arial" w:cs="Arial" w:eastAsia="Arial" w:hAnsi="Arial"/>
          <w:sz w:val="18"/>
          <w:szCs w:val="18"/>
          <w:color w:val="auto"/>
        </w:rPr>
        <w:t>) at least $150,000,000 immediately after giving effect to Distribution #[1] and does the Total Leverage Ratio (</w:t>
      </w:r>
      <w:r>
        <w:rPr>
          <w:rFonts w:ascii="Arial" w:cs="Arial" w:eastAsia="Arial" w:hAnsi="Arial"/>
          <w:sz w:val="18"/>
          <w:szCs w:val="18"/>
          <w:b w:val="1"/>
          <w:bCs w:val="1"/>
          <w:i w:val="1"/>
          <w:iCs w:val="1"/>
          <w:color w:val="auto"/>
        </w:rPr>
        <w:t>Item 10.9(d)(xi)</w:t>
      </w:r>
      <w:r>
        <w:rPr>
          <w:rFonts w:ascii="Arial" w:cs="Arial" w:eastAsia="Arial" w:hAnsi="Arial"/>
          <w:sz w:val="18"/>
          <w:szCs w:val="18"/>
          <w:color w:val="auto"/>
        </w:rPr>
        <w:t>) equal or exceed 3.75 to 1.00? (If yes, then calculate the following)</w:t>
      </w:r>
    </w:p>
    <w:p>
      <w:pPr>
        <w:spacing w:after="0" w:line="1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 Consolidated Net Income from and after February 1, 2014 as of the most recent quarter end: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color w:val="auto"/>
        </w:rPr>
        <w:t>Yes/No</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Yes/No</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ectPr>
          <w:pgSz w:w="11900" w:h="16838" w:orient="portrait"/>
          <w:cols w:equalWidth="0" w:num="2">
            <w:col w:w="8980" w:space="120"/>
            <w:col w:w="1420"/>
          </w:cols>
          <w:pgMar w:left="380" w:top="738" w:right="999" w:bottom="1440" w:gutter="0" w:footer="0" w:header="0"/>
          <w:type w:val="continuous"/>
        </w:sectPr>
      </w:pPr>
    </w:p>
    <w:bookmarkStart w:id="228" w:name="page229"/>
    <w:bookmarkEnd w:id="228"/>
    <w:p>
      <w:pPr>
        <w:ind w:left="643"/>
        <w:spacing w:after="0"/>
        <w:rPr>
          <w:sz w:val="20"/>
          <w:szCs w:val="20"/>
          <w:color w:val="auto"/>
        </w:rPr>
      </w:pPr>
      <w:r>
        <w:rPr>
          <w:rFonts w:ascii="Arial" w:cs="Arial" w:eastAsia="Arial" w:hAnsi="Arial"/>
          <w:sz w:val="18"/>
          <w:szCs w:val="18"/>
          <w:color w:val="auto"/>
        </w:rPr>
        <w:t xml:space="preserve">(B) 50% of </w:t>
      </w:r>
      <w:r>
        <w:rPr>
          <w:rFonts w:ascii="Arial" w:cs="Arial" w:eastAsia="Arial" w:hAnsi="Arial"/>
          <w:sz w:val="18"/>
          <w:szCs w:val="18"/>
          <w:b w:val="1"/>
          <w:bCs w:val="1"/>
          <w:i w:val="1"/>
          <w:iCs w:val="1"/>
          <w:color w:val="auto"/>
        </w:rPr>
        <w:t>Item 10.9(d)(xiii)(A)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_____________</w:t>
      </w:r>
    </w:p>
    <w:p>
      <w:pPr>
        <w:spacing w:after="0" w:line="153" w:lineRule="exact"/>
        <w:rPr>
          <w:sz w:val="20"/>
          <w:szCs w:val="20"/>
          <w:color w:val="auto"/>
        </w:rPr>
      </w:pPr>
    </w:p>
    <w:p>
      <w:pPr>
        <w:sectPr>
          <w:pgSz w:w="11900" w:h="16838" w:orient="portrait"/>
          <w:cols w:equalWidth="0" w:num="2">
            <w:col w:w="7783" w:space="720"/>
            <w:col w:w="1420"/>
          </w:cols>
          <w:pgMar w:left="977" w:top="771" w:right="999" w:bottom="1440" w:gutter="0" w:footer="0" w:header="0"/>
        </w:sectPr>
      </w:pPr>
    </w:p>
    <w:p>
      <w:pPr>
        <w:ind w:left="643"/>
        <w:spacing w:after="0"/>
        <w:rPr>
          <w:sz w:val="20"/>
          <w:szCs w:val="20"/>
          <w:color w:val="auto"/>
        </w:rPr>
      </w:pPr>
      <w:r>
        <w:rPr>
          <w:rFonts w:ascii="Arial" w:cs="Arial" w:eastAsia="Arial" w:hAnsi="Arial"/>
          <w:sz w:val="18"/>
          <w:szCs w:val="18"/>
          <w:color w:val="auto"/>
        </w:rPr>
        <w:t xml:space="preserve">(C) Amount of </w:t>
      </w:r>
      <w:r>
        <w:rPr>
          <w:rFonts w:ascii="Arial" w:cs="Arial" w:eastAsia="Arial" w:hAnsi="Arial"/>
          <w:sz w:val="18"/>
          <w:szCs w:val="18"/>
          <w:b w:val="1"/>
          <w:bCs w:val="1"/>
          <w:i w:val="1"/>
          <w:iCs w:val="1"/>
          <w:color w:val="auto"/>
        </w:rPr>
        <w:t>Item 10.9(d)(xiii) (A)</w:t>
      </w:r>
      <w:r>
        <w:rPr>
          <w:rFonts w:ascii="Arial" w:cs="Arial" w:eastAsia="Arial" w:hAnsi="Arial"/>
          <w:sz w:val="18"/>
          <w:szCs w:val="18"/>
          <w:color w:val="auto"/>
        </w:rPr>
        <w:t xml:space="preserve"> if </w:t>
      </w:r>
      <w:r>
        <w:rPr>
          <w:rFonts w:ascii="Arial" w:cs="Arial" w:eastAsia="Arial" w:hAnsi="Arial"/>
          <w:sz w:val="18"/>
          <w:szCs w:val="18"/>
          <w:b w:val="1"/>
          <w:bCs w:val="1"/>
          <w:i w:val="1"/>
          <w:iCs w:val="1"/>
          <w:color w:val="auto"/>
        </w:rPr>
        <w:t>Item10.9(d)(xiii)(A)</w:t>
      </w:r>
      <w:r>
        <w:rPr>
          <w:rFonts w:ascii="Arial" w:cs="Arial" w:eastAsia="Arial" w:hAnsi="Arial"/>
          <w:sz w:val="18"/>
          <w:szCs w:val="18"/>
          <w:color w:val="auto"/>
        </w:rPr>
        <w:t xml:space="preserve"> is a deficit: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_____________</w:t>
      </w:r>
    </w:p>
    <w:p>
      <w:pPr>
        <w:spacing w:after="0" w:line="126" w:lineRule="exact"/>
        <w:rPr>
          <w:sz w:val="20"/>
          <w:szCs w:val="20"/>
          <w:color w:val="auto"/>
        </w:rPr>
      </w:pPr>
    </w:p>
    <w:p>
      <w:pPr>
        <w:sectPr>
          <w:pgSz w:w="11900" w:h="16838" w:orient="portrait"/>
          <w:cols w:equalWidth="0" w:num="2">
            <w:col w:w="7783" w:space="720"/>
            <w:col w:w="1420"/>
          </w:cols>
          <w:pgMar w:left="977" w:top="771" w:right="999" w:bottom="1440" w:gutter="0" w:footer="0" w:header="0"/>
          <w:type w:val="continuous"/>
        </w:sectPr>
      </w:pPr>
    </w:p>
    <w:p>
      <w:pPr>
        <w:ind w:left="643"/>
        <w:spacing w:after="0"/>
        <w:rPr>
          <w:sz w:val="20"/>
          <w:szCs w:val="20"/>
          <w:color w:val="auto"/>
        </w:rPr>
      </w:pPr>
      <w:r>
        <w:rPr>
          <w:rFonts w:ascii="Arial" w:cs="Arial" w:eastAsia="Arial" w:hAnsi="Arial"/>
          <w:sz w:val="19"/>
          <w:szCs w:val="19"/>
          <w:color w:val="auto"/>
        </w:rPr>
        <w:t>(D) Restricted Companies’ net cash proceeds from the issuance of Equity Interests by any</w:t>
      </w:r>
    </w:p>
    <w:p>
      <w:pPr>
        <w:spacing w:after="0" w:line="27" w:lineRule="exact"/>
        <w:rPr>
          <w:sz w:val="20"/>
          <w:szCs w:val="20"/>
          <w:color w:val="auto"/>
        </w:rPr>
      </w:pPr>
    </w:p>
    <w:p>
      <w:pPr>
        <w:ind w:left="1303"/>
        <w:spacing w:after="0"/>
        <w:rPr>
          <w:sz w:val="20"/>
          <w:szCs w:val="20"/>
          <w:color w:val="auto"/>
        </w:rPr>
      </w:pPr>
      <w:r>
        <w:rPr>
          <w:rFonts w:ascii="Arial" w:cs="Arial" w:eastAsia="Arial" w:hAnsi="Arial"/>
          <w:sz w:val="19"/>
          <w:szCs w:val="19"/>
          <w:color w:val="auto"/>
        </w:rPr>
        <w:t>Restricted Company from and after the Closing Date and prior to Distribution #[1]:</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53" w:lineRule="exact"/>
        <w:rPr>
          <w:sz w:val="20"/>
          <w:szCs w:val="20"/>
          <w:color w:val="auto"/>
        </w:rPr>
      </w:pPr>
    </w:p>
    <w:p>
      <w:pPr>
        <w:sectPr>
          <w:pgSz w:w="11900" w:h="16838" w:orient="portrait"/>
          <w:cols w:equalWidth="0" w:num="2">
            <w:col w:w="8383" w:space="120"/>
            <w:col w:w="1420"/>
          </w:cols>
          <w:pgMar w:left="977" w:top="771" w:right="999" w:bottom="1440" w:gutter="0" w:footer="0" w:header="0"/>
          <w:type w:val="continuous"/>
        </w:sectPr>
      </w:pPr>
    </w:p>
    <w:p>
      <w:pPr>
        <w:jc w:val="right"/>
        <w:ind w:left="1303" w:right="1540" w:hanging="654"/>
        <w:spacing w:after="0" w:line="272" w:lineRule="auto"/>
        <w:tabs>
          <w:tab w:leader="none" w:pos="95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Sum of repayments of Subordinated Debt or High-Yield Debt pursuant to </w:t>
      </w:r>
      <w:r>
        <w:rPr>
          <w:rFonts w:ascii="Arial" w:cs="Arial" w:eastAsia="Arial" w:hAnsi="Arial"/>
          <w:sz w:val="18"/>
          <w:szCs w:val="18"/>
          <w:i w:val="1"/>
          <w:iCs w:val="1"/>
          <w:color w:val="auto"/>
        </w:rPr>
        <w:t>Section 10.2(a)</w:t>
      </w:r>
      <w:r>
        <w:rPr>
          <w:rFonts w:ascii="Arial" w:cs="Arial" w:eastAsia="Arial" w:hAnsi="Arial"/>
          <w:sz w:val="18"/>
          <w:szCs w:val="18"/>
          <w:color w:val="auto"/>
        </w:rPr>
        <w:t xml:space="preserve"> of the Credit Agreement (other than any such repayment in connection with a refinancing of Subordinated Debt or High-Yield Debt permitted under the Credit Agreement) from and</w:t>
      </w:r>
    </w:p>
    <w:p>
      <w:pPr>
        <w:spacing w:after="0" w:line="1" w:lineRule="exact"/>
        <w:rPr>
          <w:sz w:val="20"/>
          <w:szCs w:val="20"/>
          <w:color w:val="auto"/>
        </w:rPr>
      </w:pPr>
    </w:p>
    <w:p>
      <w:pPr>
        <w:ind w:left="1303"/>
        <w:spacing w:after="0"/>
        <w:tabs>
          <w:tab w:leader="none" w:pos="8482" w:val="left"/>
        </w:tabs>
        <w:rPr>
          <w:sz w:val="20"/>
          <w:szCs w:val="20"/>
          <w:color w:val="auto"/>
        </w:rPr>
      </w:pPr>
      <w:r>
        <w:rPr>
          <w:rFonts w:ascii="Arial" w:cs="Arial" w:eastAsia="Arial" w:hAnsi="Arial"/>
          <w:sz w:val="20"/>
          <w:szCs w:val="20"/>
          <w:color w:val="auto"/>
        </w:rPr>
        <w:t>after the Closing Date and prior to Distribution #[1]:</w:t>
      </w:r>
      <w:r>
        <w:rPr>
          <w:sz w:val="20"/>
          <w:szCs w:val="20"/>
          <w:color w:val="auto"/>
        </w:rPr>
        <w:tab/>
      </w:r>
      <w:r>
        <w:rPr>
          <w:rFonts w:ascii="Arial" w:cs="Arial" w:eastAsia="Arial" w:hAnsi="Arial"/>
          <w:sz w:val="16"/>
          <w:szCs w:val="16"/>
          <w:color w:val="auto"/>
        </w:rPr>
        <w:t>$ _____________</w:t>
      </w:r>
    </w:p>
    <w:p>
      <w:pPr>
        <w:spacing w:after="0" w:line="92" w:lineRule="exact"/>
        <w:rPr>
          <w:sz w:val="20"/>
          <w:szCs w:val="20"/>
          <w:color w:val="auto"/>
        </w:rPr>
      </w:pPr>
    </w:p>
    <w:p>
      <w:pPr>
        <w:ind w:left="963" w:hanging="314"/>
        <w:spacing w:after="0"/>
        <w:tabs>
          <w:tab w:leader="none" w:pos="963" w:val="left"/>
        </w:tabs>
        <w:numPr>
          <w:ilvl w:val="0"/>
          <w:numId w:val="234"/>
        </w:numPr>
        <w:rPr>
          <w:rFonts w:ascii="Arial" w:cs="Arial" w:eastAsia="Arial" w:hAnsi="Arial"/>
          <w:sz w:val="20"/>
          <w:szCs w:val="20"/>
          <w:color w:val="auto"/>
        </w:rPr>
      </w:pPr>
      <w:r>
        <w:rPr>
          <w:rFonts w:ascii="Arial" w:cs="Arial" w:eastAsia="Arial" w:hAnsi="Arial"/>
          <w:sz w:val="20"/>
          <w:szCs w:val="20"/>
          <w:color w:val="auto"/>
        </w:rPr>
        <w:t xml:space="preserve">($200,000,000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Item 10.9(d)(xiii)(B)</w:t>
      </w:r>
      <w:r>
        <w:rPr>
          <w:rFonts w:ascii="Arial" w:cs="Arial" w:eastAsia="Arial" w:hAnsi="Arial"/>
          <w:sz w:val="20"/>
          <w:szCs w:val="20"/>
          <w:color w:val="auto"/>
        </w:rPr>
        <w:t xml:space="preserv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Item 10.9(d)(xiii)(C)</w:t>
      </w:r>
      <w:r>
        <w:rPr>
          <w:rFonts w:ascii="Arial" w:cs="Arial" w:eastAsia="Arial" w:hAnsi="Arial"/>
          <w:sz w:val="20"/>
          <w:szCs w:val="20"/>
          <w:color w:val="auto"/>
        </w:rPr>
        <w:t xml:space="preserv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Item 10.9(d)(xiii)</w:t>
      </w:r>
    </w:p>
    <w:p>
      <w:pPr>
        <w:spacing w:after="0" w:line="16" w:lineRule="exact"/>
        <w:rPr>
          <w:sz w:val="20"/>
          <w:szCs w:val="20"/>
          <w:color w:val="auto"/>
        </w:rPr>
      </w:pPr>
    </w:p>
    <w:p>
      <w:pPr>
        <w:ind w:left="1303"/>
        <w:spacing w:after="0"/>
        <w:tabs>
          <w:tab w:leader="none" w:pos="8482" w:val="left"/>
        </w:tabs>
        <w:rPr>
          <w:sz w:val="20"/>
          <w:szCs w:val="20"/>
          <w:color w:val="auto"/>
        </w:rPr>
      </w:pPr>
      <w:r>
        <w:rPr>
          <w:rFonts w:ascii="Arial" w:cs="Arial" w:eastAsia="Arial" w:hAnsi="Arial"/>
          <w:sz w:val="20"/>
          <w:szCs w:val="20"/>
          <w:b w:val="1"/>
          <w:bCs w:val="1"/>
          <w:i w:val="1"/>
          <w:iCs w:val="1"/>
          <w:color w:val="auto"/>
        </w:rPr>
        <w:t xml:space="preserve">(D) </w:t>
      </w:r>
      <w:r>
        <w:rPr>
          <w:rFonts w:ascii="Arial" w:cs="Arial" w:eastAsia="Arial" w:hAnsi="Arial"/>
          <w:sz w:val="20"/>
          <w:szCs w:val="20"/>
          <w:u w:val="single" w:color="auto"/>
          <w:color w:val="auto"/>
        </w:rPr>
        <w:t>minus</w:t>
      </w:r>
      <w:r>
        <w:rPr>
          <w:rFonts w:ascii="Arial" w:cs="Arial" w:eastAsia="Arial" w:hAnsi="Arial"/>
          <w:sz w:val="20"/>
          <w:szCs w:val="20"/>
          <w:b w:val="1"/>
          <w:bCs w:val="1"/>
          <w:i w:val="1"/>
          <w:iCs w:val="1"/>
          <w:color w:val="auto"/>
        </w:rPr>
        <w:t xml:space="preserve"> Item 10.9(d)(xiii)(E)</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 _____________</w:t>
      </w:r>
    </w:p>
    <w:p>
      <w:pPr>
        <w:spacing w:after="0" w:line="65" w:lineRule="exact"/>
        <w:rPr>
          <w:sz w:val="20"/>
          <w:szCs w:val="20"/>
          <w:color w:val="auto"/>
        </w:rPr>
      </w:pPr>
    </w:p>
    <w:p>
      <w:pPr>
        <w:ind w:left="1303" w:right="840" w:hanging="654"/>
        <w:spacing w:after="0" w:line="289" w:lineRule="auto"/>
        <w:tabs>
          <w:tab w:leader="none" w:pos="1006" w:val="left"/>
        </w:tabs>
        <w:numPr>
          <w:ilvl w:val="0"/>
          <w:numId w:val="235"/>
        </w:numPr>
        <w:rPr>
          <w:rFonts w:ascii="Arial" w:cs="Arial" w:eastAsia="Arial" w:hAnsi="Arial"/>
          <w:sz w:val="20"/>
          <w:szCs w:val="20"/>
          <w:color w:val="auto"/>
        </w:rPr>
      </w:pPr>
      <w:r>
        <w:rPr>
          <w:rFonts w:ascii="Arial" w:cs="Arial" w:eastAsia="Arial" w:hAnsi="Arial"/>
          <w:sz w:val="20"/>
          <w:szCs w:val="20"/>
          <w:color w:val="auto"/>
        </w:rPr>
        <w:t>Are aggregate Distributions (</w:t>
      </w:r>
      <w:r>
        <w:rPr>
          <w:rFonts w:ascii="Arial" w:cs="Arial" w:eastAsia="Arial" w:hAnsi="Arial"/>
          <w:sz w:val="20"/>
          <w:szCs w:val="20"/>
          <w:b w:val="1"/>
          <w:bCs w:val="1"/>
          <w:i w:val="1"/>
          <w:iCs w:val="1"/>
          <w:color w:val="auto"/>
        </w:rPr>
        <w:t>Item 10.9 (d) (iii)</w:t>
      </w:r>
      <w:r>
        <w:rPr>
          <w:rFonts w:ascii="Arial" w:cs="Arial" w:eastAsia="Arial" w:hAnsi="Arial"/>
          <w:sz w:val="20"/>
          <w:szCs w:val="20"/>
          <w:color w:val="auto"/>
        </w:rPr>
        <w:t>) greater than the amount of Distributions Yes/No permitted (</w:t>
      </w:r>
      <w:r>
        <w:rPr>
          <w:rFonts w:ascii="Arial" w:cs="Arial" w:eastAsia="Arial" w:hAnsi="Arial"/>
          <w:sz w:val="20"/>
          <w:szCs w:val="20"/>
          <w:b w:val="1"/>
          <w:bCs w:val="1"/>
          <w:i w:val="1"/>
          <w:iCs w:val="1"/>
          <w:color w:val="auto"/>
        </w:rPr>
        <w:t>Item 10.9(d)(xiii)(F)</w:t>
      </w:r>
      <w:r>
        <w:rPr>
          <w:rFonts w:ascii="Arial" w:cs="Arial" w:eastAsia="Arial" w:hAnsi="Arial"/>
          <w:sz w:val="20"/>
          <w:szCs w:val="20"/>
          <w:color w:val="auto"/>
        </w:rPr>
        <w:t>)?</w:t>
      </w:r>
    </w:p>
    <w:p>
      <w:pPr>
        <w:spacing w:after="0" w:line="108" w:lineRule="exact"/>
        <w:rPr>
          <w:sz w:val="20"/>
          <w:szCs w:val="20"/>
          <w:color w:val="auto"/>
        </w:rPr>
      </w:pPr>
    </w:p>
    <w:p>
      <w:pPr>
        <w:ind w:left="1303" w:right="1540"/>
        <w:spacing w:after="0" w:line="260" w:lineRule="auto"/>
        <w:rPr>
          <w:sz w:val="20"/>
          <w:szCs w:val="20"/>
          <w:color w:val="auto"/>
        </w:rPr>
      </w:pPr>
      <w:r>
        <w:rPr>
          <w:rFonts w:ascii="Arial" w:cs="Arial" w:eastAsia="Arial" w:hAnsi="Arial"/>
          <w:sz w:val="20"/>
          <w:szCs w:val="20"/>
          <w:color w:val="auto"/>
        </w:rPr>
        <w:t xml:space="preserve">(If yes, the excess may still be permitted under </w:t>
      </w:r>
      <w:r>
        <w:rPr>
          <w:rFonts w:ascii="Arial" w:cs="Arial" w:eastAsia="Arial" w:hAnsi="Arial"/>
          <w:sz w:val="20"/>
          <w:szCs w:val="20"/>
          <w:i w:val="1"/>
          <w:iCs w:val="1"/>
          <w:color w:val="auto"/>
        </w:rPr>
        <w:t>Section 10.9(d)(iii)</w:t>
      </w:r>
      <w:r>
        <w:rPr>
          <w:rFonts w:ascii="Arial" w:cs="Arial" w:eastAsia="Arial" w:hAnsi="Arial"/>
          <w:sz w:val="20"/>
          <w:szCs w:val="20"/>
          <w:color w:val="auto"/>
        </w:rPr>
        <w:t xml:space="preserve"> of the Credit Agreement. See </w:t>
      </w:r>
      <w:r>
        <w:rPr>
          <w:rFonts w:ascii="Arial" w:cs="Arial" w:eastAsia="Arial" w:hAnsi="Arial"/>
          <w:sz w:val="20"/>
          <w:szCs w:val="20"/>
          <w:b w:val="1"/>
          <w:bCs w:val="1"/>
          <w:i w:val="1"/>
          <w:iCs w:val="1"/>
          <w:color w:val="auto"/>
        </w:rPr>
        <w:t>Item 10.9(d)(xiv)</w:t>
      </w:r>
      <w:r>
        <w:rPr>
          <w:rFonts w:ascii="Arial" w:cs="Arial" w:eastAsia="Arial" w:hAnsi="Arial"/>
          <w:sz w:val="20"/>
          <w:szCs w:val="20"/>
          <w:color w:val="auto"/>
        </w:rPr>
        <w:t xml:space="preserve"> below.)</w:t>
      </w:r>
    </w:p>
    <w:p>
      <w:pPr>
        <w:spacing w:after="0" w:line="42" w:lineRule="exact"/>
        <w:rPr>
          <w:sz w:val="20"/>
          <w:szCs w:val="20"/>
          <w:color w:val="auto"/>
        </w:rPr>
      </w:pPr>
    </w:p>
    <w:p>
      <w:pPr>
        <w:ind w:left="643" w:right="840" w:hanging="643"/>
        <w:spacing w:after="0" w:line="287" w:lineRule="auto"/>
        <w:tabs>
          <w:tab w:leader="none" w:pos="469" w:val="left"/>
        </w:tabs>
        <w:numPr>
          <w:ilvl w:val="0"/>
          <w:numId w:val="236"/>
        </w:numPr>
        <w:rPr>
          <w:rFonts w:ascii="Arial" w:cs="Arial" w:eastAsia="Arial" w:hAnsi="Arial"/>
          <w:sz w:val="19"/>
          <w:szCs w:val="19"/>
          <w:color w:val="auto"/>
        </w:rPr>
      </w:pPr>
      <w:r>
        <w:rPr>
          <w:rFonts w:ascii="Arial" w:cs="Arial" w:eastAsia="Arial" w:hAnsi="Arial"/>
          <w:sz w:val="19"/>
          <w:szCs w:val="19"/>
          <w:color w:val="auto"/>
        </w:rPr>
        <w:t>If Distribution #1 is a dividend, does any Default or Potential Default exist under the Credit Yes/No Agreement or would any Default or Potential Default arise after giving effect to Distribution #1?</w:t>
      </w:r>
    </w:p>
    <w:p>
      <w:pPr>
        <w:spacing w:after="0" w:line="112" w:lineRule="exact"/>
        <w:rPr>
          <w:sz w:val="20"/>
          <w:szCs w:val="20"/>
          <w:color w:val="auto"/>
        </w:rPr>
      </w:pPr>
    </w:p>
    <w:p>
      <w:pPr>
        <w:jc w:val="both"/>
        <w:ind w:left="643" w:right="1540" w:hanging="647"/>
        <w:spacing w:after="0" w:line="250" w:lineRule="auto"/>
        <w:rPr>
          <w:sz w:val="20"/>
          <w:szCs w:val="20"/>
          <w:color w:val="auto"/>
        </w:rPr>
      </w:pPr>
      <w:r>
        <w:rPr>
          <w:rFonts w:ascii="Arial" w:cs="Arial" w:eastAsia="Arial" w:hAnsi="Arial"/>
          <w:sz w:val="20"/>
          <w:szCs w:val="20"/>
          <w:color w:val="auto"/>
        </w:rPr>
        <w:t>(If No, then VRI may pay dividends in an amount not to exceed the greater of (a) $75,000,000, or (b) an amount equal to twenty percent (20%) of Adjusted EBITDA for the trailing twelve month period ended on the last day of the most-recently ended fiscal quarter)</w:t>
      </w:r>
    </w:p>
    <w:p>
      <w:pPr>
        <w:spacing w:after="0" w:line="78" w:lineRule="exact"/>
        <w:rPr>
          <w:sz w:val="20"/>
          <w:szCs w:val="20"/>
          <w:color w:val="auto"/>
        </w:rPr>
      </w:pPr>
    </w:p>
    <w:p>
      <w:pPr>
        <w:jc w:val="right"/>
        <w:ind w:left="643" w:right="1540"/>
        <w:spacing w:after="0" w:line="209" w:lineRule="auto"/>
        <w:rPr>
          <w:sz w:val="20"/>
          <w:szCs w:val="20"/>
          <w:color w:val="auto"/>
        </w:rPr>
      </w:pPr>
      <w:r>
        <w:rPr>
          <w:rFonts w:ascii="Arial" w:cs="Arial" w:eastAsia="Arial" w:hAnsi="Arial"/>
          <w:sz w:val="19"/>
          <w:szCs w:val="19"/>
          <w:color w:val="auto"/>
        </w:rPr>
        <w:t xml:space="preserve">(A) Are the dividends paid during the Subject Period under </w:t>
      </w:r>
      <w:r>
        <w:rPr>
          <w:rFonts w:ascii="Arial" w:cs="Arial" w:eastAsia="Arial" w:hAnsi="Arial"/>
          <w:sz w:val="19"/>
          <w:szCs w:val="19"/>
          <w:i w:val="1"/>
          <w:iCs w:val="1"/>
          <w:color w:val="auto"/>
        </w:rPr>
        <w:t>Section 10.9(d)(iii)</w:t>
      </w:r>
      <w:r>
        <w:rPr>
          <w:rFonts w:ascii="Arial" w:cs="Arial" w:eastAsia="Arial" w:hAnsi="Arial"/>
          <w:sz w:val="19"/>
          <w:szCs w:val="19"/>
          <w:color w:val="auto"/>
        </w:rPr>
        <w:t xml:space="preserve"> of the Credit Agreement greater than the greater of (a) $75,000,000, or (b) an amount equal to twenty</w:t>
      </w:r>
    </w:p>
    <w:p>
      <w:pPr>
        <w:ind w:left="1303" w:right="840"/>
        <w:spacing w:after="0" w:line="197" w:lineRule="auto"/>
        <w:rPr>
          <w:sz w:val="20"/>
          <w:szCs w:val="20"/>
          <w:color w:val="auto"/>
        </w:rPr>
      </w:pPr>
      <w:r>
        <w:rPr>
          <w:rFonts w:ascii="Arial" w:cs="Arial" w:eastAsia="Arial" w:hAnsi="Arial"/>
          <w:sz w:val="20"/>
          <w:szCs w:val="20"/>
          <w:color w:val="auto"/>
        </w:rPr>
        <w:t xml:space="preserve">percent (20%) of Adjusted EBITDA for the trailing twelve month period ended on the </w:t>
      </w:r>
      <w:r>
        <w:rPr>
          <w:rFonts w:ascii="Arial" w:cs="Arial" w:eastAsia="Arial" w:hAnsi="Arial"/>
          <w:sz w:val="39"/>
          <w:szCs w:val="39"/>
          <w:color w:val="auto"/>
          <w:vertAlign w:val="superscript"/>
        </w:rPr>
        <w:t>Yes/No</w:t>
      </w:r>
      <w:r>
        <w:rPr>
          <w:rFonts w:ascii="Arial" w:cs="Arial" w:eastAsia="Arial" w:hAnsi="Arial"/>
          <w:sz w:val="20"/>
          <w:szCs w:val="20"/>
          <w:color w:val="auto"/>
        </w:rPr>
        <w:t xml:space="preserve"> last day of the most-recently ended fiscal quarter?</w:t>
      </w:r>
    </w:p>
    <w:p>
      <w:pPr>
        <w:sectPr>
          <w:pgSz w:w="11900" w:h="16838" w:orient="portrait"/>
          <w:cols w:equalWidth="0" w:num="1">
            <w:col w:w="9923"/>
          </w:cols>
          <w:pgMar w:left="977" w:top="771" w:right="999" w:bottom="1440" w:gutter="0" w:footer="0" w:header="0"/>
          <w:type w:val="continuous"/>
        </w:sectPr>
      </w:pPr>
    </w:p>
    <w:bookmarkStart w:id="229" w:name="page230"/>
    <w:bookmarkEnd w:id="229"/>
    <w:p>
      <w:pPr>
        <w:spacing w:after="0"/>
        <w:rPr>
          <w:sz w:val="20"/>
          <w:szCs w:val="20"/>
          <w:color w:val="auto"/>
        </w:rPr>
      </w:pPr>
      <w:r>
        <w:rPr>
          <w:rFonts w:ascii="Arial" w:cs="Arial" w:eastAsia="Arial" w:hAnsi="Arial"/>
          <w:sz w:val="20"/>
          <w:szCs w:val="20"/>
          <w:b w:val="1"/>
          <w:bCs w:val="1"/>
          <w:color w:val="auto"/>
        </w:rPr>
        <w:t>10.18 CAPITAL EXPENDITURES</w:t>
      </w:r>
    </w:p>
    <w:p>
      <w:pPr>
        <w:sectPr>
          <w:pgSz w:w="11900" w:h="16838" w:orient="portrait"/>
          <w:cols w:equalWidth="0" w:num="1">
            <w:col w:w="10580"/>
          </w:cols>
          <w:pgMar w:left="320" w:top="995" w:right="999" w:bottom="1440" w:gutter="0" w:footer="0" w:header="0"/>
        </w:sectPr>
      </w:pPr>
    </w:p>
    <w:p>
      <w:pPr>
        <w:spacing w:after="0" w:line="343" w:lineRule="exact"/>
        <w:rPr>
          <w:sz w:val="20"/>
          <w:szCs w:val="20"/>
          <w:color w:val="auto"/>
        </w:rPr>
      </w:pPr>
    </w:p>
    <w:p>
      <w:pPr>
        <w:jc w:val="both"/>
        <w:ind w:left="980" w:hanging="323"/>
        <w:spacing w:after="0" w:line="242" w:lineRule="auto"/>
        <w:tabs>
          <w:tab w:leader="none" w:pos="1051" w:val="left"/>
        </w:tabs>
        <w:numPr>
          <w:ilvl w:val="0"/>
          <w:numId w:val="237"/>
        </w:numPr>
        <w:rPr>
          <w:rFonts w:ascii="Arial" w:cs="Arial" w:eastAsia="Arial" w:hAnsi="Arial"/>
          <w:sz w:val="20"/>
          <w:szCs w:val="20"/>
          <w:color w:val="auto"/>
        </w:rPr>
      </w:pPr>
      <w:r>
        <w:rPr>
          <w:rFonts w:ascii="Arial" w:cs="Arial" w:eastAsia="Arial" w:hAnsi="Arial"/>
          <w:sz w:val="20"/>
          <w:szCs w:val="20"/>
          <w:color w:val="auto"/>
        </w:rPr>
        <w:t xml:space="preserve">Aggregate capital expenditures of the Restricted Companies in the ordinary course of the business (excluding (a) normal replacements and maintenance which are properly charged to current operations, (b) such expenditures relating to real estate held for resale and (c) such expenditures which are included as part of an acquisition of all or any substantial portion of the capital stock (or other equity or voting interests) of any other Person or all or any substantial portion of the assets of any other Person, in each case as permitted by, and made in accordance with, </w:t>
      </w:r>
      <w:r>
        <w:rPr>
          <w:rFonts w:ascii="Arial" w:cs="Arial" w:eastAsia="Arial" w:hAnsi="Arial"/>
          <w:sz w:val="20"/>
          <w:szCs w:val="20"/>
          <w:i w:val="1"/>
          <w:iCs w:val="1"/>
          <w:color w:val="auto"/>
        </w:rPr>
        <w:t>Section 10.11(b)</w:t>
      </w:r>
      <w:r>
        <w:rPr>
          <w:rFonts w:ascii="Arial" w:cs="Arial" w:eastAsia="Arial" w:hAnsi="Arial"/>
          <w:sz w:val="20"/>
          <w:szCs w:val="20"/>
          <w:color w:val="auto"/>
        </w:rPr>
        <w:t xml:space="preserve"> of the Credit Agreement (including the transactions contemplated by the Canyons-Park City Lease)) during each fiscal year:</w:t>
      </w:r>
    </w:p>
    <w:p>
      <w:pPr>
        <w:spacing w:after="0" w:line="292" w:lineRule="exact"/>
        <w:rPr>
          <w:rFonts w:ascii="Arial" w:cs="Arial" w:eastAsia="Arial" w:hAnsi="Arial"/>
          <w:sz w:val="20"/>
          <w:szCs w:val="20"/>
          <w:color w:val="auto"/>
        </w:rPr>
      </w:pPr>
    </w:p>
    <w:p>
      <w:pPr>
        <w:ind w:left="940" w:hanging="283"/>
        <w:spacing w:after="0"/>
        <w:tabs>
          <w:tab w:leader="none" w:pos="94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Total Assets of the Restricted Companies as of the last day of the fiscal year:</w:t>
      </w:r>
    </w:p>
    <w:p>
      <w:pPr>
        <w:spacing w:after="0" w:line="80" w:lineRule="exact"/>
        <w:rPr>
          <w:rFonts w:ascii="Arial" w:cs="Arial" w:eastAsia="Arial" w:hAnsi="Arial"/>
          <w:sz w:val="20"/>
          <w:szCs w:val="20"/>
          <w:color w:val="auto"/>
        </w:rPr>
      </w:pPr>
    </w:p>
    <w:p>
      <w:pPr>
        <w:ind w:left="920" w:hanging="263"/>
        <w:spacing w:after="0"/>
        <w:tabs>
          <w:tab w:leader="none" w:pos="92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 xml:space="preserve">15% of Total Assets of the Restricted Companies set forth in </w:t>
      </w:r>
      <w:r>
        <w:rPr>
          <w:rFonts w:ascii="Arial" w:cs="Arial" w:eastAsia="Arial" w:hAnsi="Arial"/>
          <w:sz w:val="20"/>
          <w:szCs w:val="20"/>
          <w:b w:val="1"/>
          <w:bCs w:val="1"/>
          <w:i w:val="1"/>
          <w:iCs w:val="1"/>
          <w:color w:val="auto"/>
        </w:rPr>
        <w:t>Item 10.18(b)</w:t>
      </w:r>
      <w:r>
        <w:rPr>
          <w:rFonts w:ascii="Arial" w:cs="Arial" w:eastAsia="Arial" w:hAnsi="Arial"/>
          <w:sz w:val="20"/>
          <w:szCs w:val="20"/>
          <w:color w:val="auto"/>
        </w:rPr>
        <w:t>:</w:t>
      </w:r>
    </w:p>
    <w:p>
      <w:pPr>
        <w:spacing w:after="0" w:line="310" w:lineRule="exact"/>
        <w:rPr>
          <w:rFonts w:ascii="Arial" w:cs="Arial" w:eastAsia="Arial" w:hAnsi="Arial"/>
          <w:sz w:val="20"/>
          <w:szCs w:val="20"/>
          <w:color w:val="auto"/>
        </w:rPr>
      </w:pPr>
    </w:p>
    <w:p>
      <w:pPr>
        <w:ind w:left="940" w:hanging="283"/>
        <w:spacing w:after="0"/>
        <w:tabs>
          <w:tab w:leader="none" w:pos="94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 xml:space="preserve">Are aggregate capital expenditures less than the amount set forth in </w:t>
      </w:r>
      <w:r>
        <w:rPr>
          <w:rFonts w:ascii="Arial" w:cs="Arial" w:eastAsia="Arial" w:hAnsi="Arial"/>
          <w:sz w:val="20"/>
          <w:szCs w:val="20"/>
          <w:b w:val="1"/>
          <w:bCs w:val="1"/>
          <w:i w:val="1"/>
          <w:iCs w:val="1"/>
          <w:color w:val="auto"/>
        </w:rPr>
        <w:t>Item 10.18(c)</w:t>
      </w:r>
      <w:r>
        <w:rPr>
          <w:rFonts w:ascii="Arial" w:cs="Arial" w:eastAsia="Arial" w:hAnsi="Arial"/>
          <w:sz w:val="20"/>
          <w:szCs w:val="20"/>
          <w:color w:val="auto"/>
        </w:rPr>
        <w:t>?</w:t>
      </w:r>
    </w:p>
    <w:p>
      <w:pPr>
        <w:spacing w:after="0" w:line="337" w:lineRule="exact"/>
        <w:rPr>
          <w:rFonts w:ascii="Arial" w:cs="Arial" w:eastAsia="Arial" w:hAnsi="Arial"/>
          <w:sz w:val="20"/>
          <w:szCs w:val="20"/>
          <w:color w:val="auto"/>
        </w:rPr>
      </w:pPr>
    </w:p>
    <w:p>
      <w:pPr>
        <w:ind w:left="980" w:hanging="323"/>
        <w:spacing w:after="0" w:line="260" w:lineRule="auto"/>
        <w:tabs>
          <w:tab w:leader="none" w:pos="925" w:val="left"/>
        </w:tabs>
        <w:numPr>
          <w:ilvl w:val="0"/>
          <w:numId w:val="237"/>
        </w:numPr>
        <w:rPr>
          <w:rFonts w:ascii="Arial" w:cs="Arial" w:eastAsia="Arial" w:hAnsi="Arial"/>
          <w:sz w:val="20"/>
          <w:szCs w:val="20"/>
          <w:color w:val="auto"/>
        </w:rPr>
      </w:pPr>
      <w:r>
        <w:rPr>
          <w:rFonts w:ascii="Arial" w:cs="Arial" w:eastAsia="Arial" w:hAnsi="Arial"/>
          <w:sz w:val="20"/>
          <w:szCs w:val="20"/>
          <w:color w:val="auto"/>
        </w:rPr>
        <w:t xml:space="preserve">If answer to </w:t>
      </w:r>
      <w:r>
        <w:rPr>
          <w:rFonts w:ascii="Arial" w:cs="Arial" w:eastAsia="Arial" w:hAnsi="Arial"/>
          <w:sz w:val="20"/>
          <w:szCs w:val="20"/>
          <w:b w:val="1"/>
          <w:bCs w:val="1"/>
          <w:i w:val="1"/>
          <w:iCs w:val="1"/>
          <w:color w:val="auto"/>
        </w:rPr>
        <w:t>Item 10.18(d)</w:t>
      </w:r>
      <w:r>
        <w:rPr>
          <w:rFonts w:ascii="Arial" w:cs="Arial" w:eastAsia="Arial" w:hAnsi="Arial"/>
          <w:sz w:val="20"/>
          <w:szCs w:val="20"/>
          <w:color w:val="auto"/>
        </w:rPr>
        <w:t xml:space="preserve"> is No, the amount by which the aggregate capital expenditures is in excess of the amount set forth in </w:t>
      </w:r>
      <w:r>
        <w:rPr>
          <w:rFonts w:ascii="Arial" w:cs="Arial" w:eastAsia="Arial" w:hAnsi="Arial"/>
          <w:sz w:val="20"/>
          <w:szCs w:val="20"/>
          <w:b w:val="1"/>
          <w:bCs w:val="1"/>
          <w:i w:val="1"/>
          <w:iCs w:val="1"/>
          <w:color w:val="auto"/>
        </w:rPr>
        <w:t>Item 10.18(c)</w:t>
      </w:r>
      <w:r>
        <w:rPr>
          <w:rFonts w:ascii="Arial" w:cs="Arial" w:eastAsia="Arial" w:hAnsi="Arial"/>
          <w:sz w:val="20"/>
          <w:szCs w:val="20"/>
          <w:color w:val="auto"/>
        </w:rPr>
        <w:t>:</w:t>
      </w:r>
    </w:p>
    <w:p>
      <w:pPr>
        <w:spacing w:after="0" w:line="298" w:lineRule="exact"/>
        <w:rPr>
          <w:rFonts w:ascii="Arial" w:cs="Arial" w:eastAsia="Arial" w:hAnsi="Arial"/>
          <w:sz w:val="20"/>
          <w:szCs w:val="20"/>
          <w:color w:val="auto"/>
        </w:rPr>
      </w:pPr>
    </w:p>
    <w:p>
      <w:pPr>
        <w:ind w:left="980" w:hanging="323"/>
        <w:spacing w:after="0" w:line="260" w:lineRule="auto"/>
        <w:tabs>
          <w:tab w:leader="none" w:pos="903" w:val="left"/>
        </w:tabs>
        <w:numPr>
          <w:ilvl w:val="0"/>
          <w:numId w:val="237"/>
        </w:numPr>
        <w:rPr>
          <w:rFonts w:ascii="Arial" w:cs="Arial" w:eastAsia="Arial" w:hAnsi="Arial"/>
          <w:sz w:val="20"/>
          <w:szCs w:val="20"/>
          <w:color w:val="auto"/>
        </w:rPr>
      </w:pPr>
      <w:r>
        <w:rPr>
          <w:rFonts w:ascii="Arial" w:cs="Arial" w:eastAsia="Arial" w:hAnsi="Arial"/>
          <w:sz w:val="20"/>
          <w:szCs w:val="20"/>
          <w:color w:val="auto"/>
        </w:rPr>
        <w:t xml:space="preserve">If answer to </w:t>
      </w:r>
      <w:r>
        <w:rPr>
          <w:rFonts w:ascii="Arial" w:cs="Arial" w:eastAsia="Arial" w:hAnsi="Arial"/>
          <w:sz w:val="20"/>
          <w:szCs w:val="20"/>
          <w:b w:val="1"/>
          <w:bCs w:val="1"/>
          <w:i w:val="1"/>
          <w:iCs w:val="1"/>
          <w:color w:val="auto"/>
        </w:rPr>
        <w:t>Item 10.18(d)</w:t>
      </w:r>
      <w:r>
        <w:rPr>
          <w:rFonts w:ascii="Arial" w:cs="Arial" w:eastAsia="Arial" w:hAnsi="Arial"/>
          <w:sz w:val="20"/>
          <w:szCs w:val="20"/>
          <w:color w:val="auto"/>
        </w:rPr>
        <w:t xml:space="preserve"> is No, the amount, if any, of the unused portion of the Capital Expenditure Basket for the prior fiscal year:</w:t>
      </w:r>
    </w:p>
    <w:p>
      <w:pPr>
        <w:spacing w:after="0" w:line="298" w:lineRule="exact"/>
        <w:rPr>
          <w:rFonts w:ascii="Arial" w:cs="Arial" w:eastAsia="Arial" w:hAnsi="Arial"/>
          <w:sz w:val="20"/>
          <w:szCs w:val="20"/>
          <w:color w:val="auto"/>
        </w:rPr>
      </w:pPr>
    </w:p>
    <w:p>
      <w:pPr>
        <w:ind w:left="940" w:hanging="283"/>
        <w:spacing w:after="0"/>
        <w:tabs>
          <w:tab w:leader="none" w:pos="94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 xml:space="preserve">Is the amount set forth in </w:t>
      </w:r>
      <w:r>
        <w:rPr>
          <w:rFonts w:ascii="Arial" w:cs="Arial" w:eastAsia="Arial" w:hAnsi="Arial"/>
          <w:sz w:val="20"/>
          <w:szCs w:val="20"/>
          <w:b w:val="1"/>
          <w:bCs w:val="1"/>
          <w:i w:val="1"/>
          <w:iCs w:val="1"/>
          <w:color w:val="auto"/>
        </w:rPr>
        <w:t>Item 10.18(e)</w:t>
      </w:r>
      <w:r>
        <w:rPr>
          <w:rFonts w:ascii="Arial" w:cs="Arial" w:eastAsia="Arial" w:hAnsi="Arial"/>
          <w:sz w:val="20"/>
          <w:szCs w:val="20"/>
          <w:color w:val="auto"/>
        </w:rPr>
        <w:t xml:space="preserve"> less than the amount set in </w:t>
      </w:r>
      <w:r>
        <w:rPr>
          <w:rFonts w:ascii="Arial" w:cs="Arial" w:eastAsia="Arial" w:hAnsi="Arial"/>
          <w:sz w:val="20"/>
          <w:szCs w:val="20"/>
          <w:b w:val="1"/>
          <w:bCs w:val="1"/>
          <w:i w:val="1"/>
          <w:iCs w:val="1"/>
          <w:color w:val="auto"/>
        </w:rPr>
        <w:t>Item 10.18(f)</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48" w:hanging="148"/>
        <w:spacing w:after="0"/>
        <w:tabs>
          <w:tab w:leader="none" w:pos="148" w:val="left"/>
        </w:tabs>
        <w:numPr>
          <w:ilvl w:val="0"/>
          <w:numId w:val="238"/>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48" w:hanging="148"/>
        <w:spacing w:after="0"/>
        <w:tabs>
          <w:tab w:leader="none" w:pos="148" w:val="left"/>
        </w:tabs>
        <w:numPr>
          <w:ilvl w:val="0"/>
          <w:numId w:val="238"/>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329" w:lineRule="exact"/>
        <w:rPr>
          <w:sz w:val="20"/>
          <w:szCs w:val="20"/>
          <w:color w:val="auto"/>
        </w:rPr>
      </w:pPr>
    </w:p>
    <w:p>
      <w:pPr>
        <w:ind w:left="148" w:hanging="148"/>
        <w:spacing w:after="0"/>
        <w:tabs>
          <w:tab w:leader="none" w:pos="148" w:val="left"/>
        </w:tabs>
        <w:numPr>
          <w:ilvl w:val="0"/>
          <w:numId w:val="239"/>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383" w:lineRule="exact"/>
        <w:rPr>
          <w:rFonts w:ascii="Arial" w:cs="Arial" w:eastAsia="Arial" w:hAnsi="Arial"/>
          <w:sz w:val="16"/>
          <w:szCs w:val="16"/>
          <w:color w:val="auto"/>
        </w:rPr>
      </w:pPr>
    </w:p>
    <w:p>
      <w:pPr>
        <w:ind w:left="8"/>
        <w:spacing w:after="0"/>
        <w:rPr>
          <w:rFonts w:ascii="Arial" w:cs="Arial" w:eastAsia="Arial" w:hAnsi="Arial"/>
          <w:sz w:val="16"/>
          <w:szCs w:val="16"/>
          <w:color w:val="auto"/>
        </w:rPr>
      </w:pPr>
      <w:r>
        <w:rPr>
          <w:rFonts w:ascii="Arial" w:cs="Arial" w:eastAsia="Arial" w:hAnsi="Arial"/>
          <w:sz w:val="20"/>
          <w:szCs w:val="20"/>
          <w:color w:val="auto"/>
        </w:rPr>
        <w:t>Yes/No</w:t>
      </w:r>
    </w:p>
    <w:p>
      <w:pPr>
        <w:spacing w:after="0" w:line="200" w:lineRule="exact"/>
        <w:rPr>
          <w:sz w:val="20"/>
          <w:szCs w:val="20"/>
          <w:color w:val="auto"/>
        </w:rPr>
      </w:pPr>
    </w:p>
    <w:p>
      <w:pPr>
        <w:spacing w:after="0" w:line="367" w:lineRule="exact"/>
        <w:rPr>
          <w:sz w:val="20"/>
          <w:szCs w:val="20"/>
          <w:color w:val="auto"/>
        </w:rPr>
      </w:pPr>
    </w:p>
    <w:p>
      <w:pPr>
        <w:ind w:left="8"/>
        <w:spacing w:after="0"/>
        <w:rPr>
          <w:sz w:val="20"/>
          <w:szCs w:val="20"/>
          <w:color w:val="auto"/>
        </w:rPr>
      </w:pPr>
      <w:r>
        <w:rPr>
          <w:rFonts w:ascii="Arial" w:cs="Arial" w:eastAsia="Arial" w:hAnsi="Arial"/>
          <w:sz w:val="16"/>
          <w:szCs w:val="16"/>
          <w:color w:val="auto"/>
        </w:rPr>
        <w:t>$ _____________</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48" w:hanging="148"/>
        <w:spacing w:after="0"/>
        <w:tabs>
          <w:tab w:leader="none" w:pos="148" w:val="left"/>
        </w:tabs>
        <w:numPr>
          <w:ilvl w:val="0"/>
          <w:numId w:val="240"/>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383" w:lineRule="exact"/>
        <w:rPr>
          <w:rFonts w:ascii="Arial" w:cs="Arial" w:eastAsia="Arial" w:hAnsi="Arial"/>
          <w:sz w:val="16"/>
          <w:szCs w:val="16"/>
          <w:color w:val="auto"/>
        </w:rPr>
      </w:pPr>
    </w:p>
    <w:p>
      <w:pPr>
        <w:ind w:left="8"/>
        <w:spacing w:after="0"/>
        <w:rPr>
          <w:rFonts w:ascii="Arial" w:cs="Arial" w:eastAsia="Arial" w:hAnsi="Arial"/>
          <w:sz w:val="16"/>
          <w:szCs w:val="16"/>
          <w:color w:val="auto"/>
        </w:rPr>
      </w:pPr>
      <w:r>
        <w:rPr>
          <w:rFonts w:ascii="Arial" w:cs="Arial" w:eastAsia="Arial" w:hAnsi="Arial"/>
          <w:sz w:val="20"/>
          <w:szCs w:val="20"/>
          <w:color w:val="auto"/>
        </w:rPr>
        <w:t>Yes/No</w:t>
      </w:r>
    </w:p>
    <w:p>
      <w:pPr>
        <w:sectPr>
          <w:pgSz w:w="11900" w:h="16838" w:orient="portrait"/>
          <w:cols w:equalWidth="0" w:num="2">
            <w:col w:w="9040" w:space="112"/>
            <w:col w:w="1428"/>
          </w:cols>
          <w:pgMar w:left="320" w:top="995" w:right="999" w:bottom="1440" w:gutter="0" w:footer="0" w:header="0"/>
          <w:type w:val="continuous"/>
        </w:sectPr>
      </w:pPr>
    </w:p>
    <w:bookmarkStart w:id="230" w:name="page231"/>
    <w:bookmarkEnd w:id="230"/>
    <w:p>
      <w:pPr>
        <w:spacing w:after="0"/>
        <w:rPr>
          <w:sz w:val="20"/>
          <w:szCs w:val="20"/>
          <w:color w:val="auto"/>
        </w:rPr>
      </w:pPr>
      <w:r>
        <w:rPr>
          <w:rFonts w:ascii="Arial" w:cs="Arial" w:eastAsia="Arial" w:hAnsi="Arial"/>
          <w:sz w:val="20"/>
          <w:szCs w:val="20"/>
          <w:b w:val="1"/>
          <w:bCs w:val="1"/>
          <w:color w:val="auto"/>
        </w:rPr>
        <w:t>11.1 RATIO OF NET FUNDED DEBT TO ADJUSTED EBITDA</w:t>
      </w:r>
    </w:p>
    <w:p>
      <w:pPr>
        <w:spacing w:after="0" w:line="34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(i) All obligations of the Companies for borrowed money:</w:t>
      </w:r>
    </w:p>
    <w:p>
      <w:pPr>
        <w:spacing w:after="0" w:line="16" w:lineRule="exact"/>
        <w:rPr>
          <w:sz w:val="20"/>
          <w:szCs w:val="20"/>
          <w:color w:val="auto"/>
        </w:rPr>
      </w:pPr>
    </w:p>
    <w:p>
      <w:pPr>
        <w:ind w:left="9100"/>
        <w:spacing w:after="0"/>
        <w:rPr>
          <w:sz w:val="20"/>
          <w:szCs w:val="20"/>
          <w:color w:val="auto"/>
        </w:rPr>
      </w:pPr>
      <w:r>
        <w:rPr>
          <w:rFonts w:ascii="Arial" w:cs="Arial" w:eastAsia="Arial" w:hAnsi="Arial"/>
          <w:sz w:val="16"/>
          <w:szCs w:val="16"/>
          <w:color w:val="auto"/>
        </w:rPr>
        <w:t>$ _____________</w:t>
      </w:r>
    </w:p>
    <w:p>
      <w:pPr>
        <w:spacing w:after="0" w:line="138" w:lineRule="exact"/>
        <w:rPr>
          <w:sz w:val="20"/>
          <w:szCs w:val="20"/>
          <w:color w:val="auto"/>
        </w:rPr>
      </w:pPr>
    </w:p>
    <w:p>
      <w:pPr>
        <w:ind w:left="920" w:hanging="323"/>
        <w:spacing w:after="0"/>
        <w:tabs>
          <w:tab w:leader="none" w:pos="920" w:val="left"/>
        </w:tabs>
        <w:numPr>
          <w:ilvl w:val="0"/>
          <w:numId w:val="241"/>
        </w:numPr>
        <w:rPr>
          <w:rFonts w:ascii="Arial" w:cs="Arial" w:eastAsia="Arial" w:hAnsi="Arial"/>
          <w:sz w:val="20"/>
          <w:szCs w:val="20"/>
          <w:color w:val="auto"/>
        </w:rPr>
      </w:pPr>
      <w:r>
        <w:rPr>
          <w:rFonts w:ascii="Arial" w:cs="Arial" w:eastAsia="Arial" w:hAnsi="Arial"/>
          <w:sz w:val="20"/>
          <w:szCs w:val="20"/>
          <w:color w:val="auto"/>
        </w:rPr>
        <w:t xml:space="preserve">All obligations of the Unrestricted Subsidiaries for borrowed money (the sum of </w:t>
      </w:r>
      <w:r>
        <w:rPr>
          <w:rFonts w:ascii="Arial" w:cs="Arial" w:eastAsia="Arial" w:hAnsi="Arial"/>
          <w:sz w:val="20"/>
          <w:szCs w:val="20"/>
          <w:b w:val="1"/>
          <w:bCs w:val="1"/>
          <w:i w:val="1"/>
          <w:iCs w:val="1"/>
          <w:color w:val="auto"/>
        </w:rPr>
        <w:t>Items 11.1(ii)</w:t>
      </w:r>
    </w:p>
    <w:p>
      <w:pPr>
        <w:spacing w:after="0" w:line="15" w:lineRule="exact"/>
        <w:rPr>
          <w:rFonts w:ascii="Arial" w:cs="Arial" w:eastAsia="Arial" w:hAnsi="Arial"/>
          <w:sz w:val="20"/>
          <w:szCs w:val="20"/>
          <w:color w:val="auto"/>
        </w:rPr>
      </w:pPr>
    </w:p>
    <w:p>
      <w:pPr>
        <w:ind w:left="1560" w:hanging="314"/>
        <w:spacing w:after="0"/>
        <w:tabs>
          <w:tab w:leader="none" w:pos="1560" w:val="left"/>
        </w:tabs>
        <w:numPr>
          <w:ilvl w:val="1"/>
          <w:numId w:val="241"/>
        </w:numPr>
        <w:rPr>
          <w:rFonts w:ascii="Arial" w:cs="Arial" w:eastAsia="Arial" w:hAnsi="Arial"/>
          <w:sz w:val="20"/>
          <w:szCs w:val="20"/>
          <w:b w:val="1"/>
          <w:bCs w:val="1"/>
          <w:i w:val="1"/>
          <w:iCs w:val="1"/>
          <w:color w:val="auto"/>
        </w:rPr>
      </w:pPr>
      <w:r>
        <w:rPr>
          <w:rFonts w:ascii="Arial" w:cs="Arial" w:eastAsia="Arial" w:hAnsi="Arial"/>
          <w:sz w:val="20"/>
          <w:szCs w:val="20"/>
          <w:color w:val="auto"/>
        </w:rPr>
        <w:t xml:space="preserve">through </w:t>
      </w:r>
      <w:r>
        <w:rPr>
          <w:rFonts w:ascii="Arial" w:cs="Arial" w:eastAsia="Arial" w:hAnsi="Arial"/>
          <w:sz w:val="20"/>
          <w:szCs w:val="20"/>
          <w:b w:val="1"/>
          <w:bCs w:val="1"/>
          <w:i w:val="1"/>
          <w:iCs w:val="1"/>
          <w:color w:val="auto"/>
        </w:rPr>
        <w:t>11.1(ii)(O)</w:t>
      </w:r>
      <w:r>
        <w:rPr>
          <w:rFonts w:ascii="Arial" w:cs="Arial" w:eastAsia="Arial" w:hAnsi="Arial"/>
          <w:sz w:val="20"/>
          <w:szCs w:val="20"/>
          <w:color w:val="auto"/>
        </w:rPr>
        <w:t xml:space="preserve"> below):</w:t>
      </w:r>
    </w:p>
    <w:p>
      <w:pPr>
        <w:sectPr>
          <w:pgSz w:w="11900" w:h="16838" w:orient="portrait"/>
          <w:cols w:equalWidth="0" w:num="1">
            <w:col w:w="10520"/>
          </w:cols>
          <w:pgMar w:left="380" w:top="765" w:right="999" w:bottom="1440" w:gutter="0" w:footer="0" w:header="0"/>
        </w:sectPr>
      </w:pPr>
    </w:p>
    <w:p>
      <w:pPr>
        <w:spacing w:after="0" w:line="294"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(A) Gros Ventre Utility Company</w:t>
      </w:r>
    </w:p>
    <w:p>
      <w:pPr>
        <w:spacing w:after="0" w:line="81"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(B) Eagle Park Reservoir Company</w:t>
      </w:r>
    </w:p>
    <w:p>
      <w:pPr>
        <w:spacing w:after="0" w:line="81"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(C) First Chair Housing Trustee, LLC</w:t>
      </w:r>
    </w:p>
    <w:p>
      <w:pPr>
        <w:spacing w:after="0" w:line="81"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(D) Forest Ridge Holdings, Inc.</w:t>
      </w:r>
    </w:p>
    <w:p>
      <w:pPr>
        <w:spacing w:after="0" w:line="81"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(E) Gore Creek Place, LLC</w:t>
      </w:r>
    </w:p>
    <w:p>
      <w:pPr>
        <w:spacing w:after="0" w:line="81"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(F) Hunkidori Land Company, LLC</w:t>
      </w:r>
    </w:p>
    <w:p>
      <w:pPr>
        <w:spacing w:after="0" w:line="81"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(G) TCRM Company</w:t>
      </w:r>
    </w:p>
    <w:p>
      <w:pPr>
        <w:spacing w:after="0" w:line="81"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(H) Stagecoach Development, LLC</w:t>
      </w:r>
    </w:p>
    <w:p>
      <w:pPr>
        <w:spacing w:after="0" w:line="81"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(I) Black Diamond Insurance, Inc.</w:t>
      </w:r>
    </w:p>
    <w:p>
      <w:pPr>
        <w:spacing w:after="0" w:line="81"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(J) Ever Vail, LLC</w:t>
      </w:r>
    </w:p>
    <w:p>
      <w:pPr>
        <w:spacing w:after="0" w:line="81"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(K) Larkspur Restaurant &amp; Bar, LLC</w:t>
      </w:r>
    </w:p>
    <w:p>
      <w:pPr>
        <w:spacing w:after="0" w:line="81"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(L) Mountain Thunder, Inc.</w:t>
      </w:r>
    </w:p>
    <w:p>
      <w:pPr>
        <w:spacing w:after="0" w:line="81"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(M) One River Run, LLC</w:t>
      </w:r>
    </w:p>
    <w:p>
      <w:pPr>
        <w:spacing w:after="0" w:line="8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(N) Other Unrestricted Subsidiaries not listed above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_____________</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6" w:lineRule="exact"/>
        <w:rPr>
          <w:sz w:val="20"/>
          <w:szCs w:val="20"/>
          <w:color w:val="auto"/>
        </w:rPr>
      </w:pPr>
    </w:p>
    <w:p>
      <w:pPr>
        <w:sectPr>
          <w:pgSz w:w="11900" w:h="16838" w:orient="portrait"/>
          <w:cols w:equalWidth="0" w:num="2">
            <w:col w:w="8380" w:space="720"/>
            <w:col w:w="1420"/>
          </w:cols>
          <w:pgMar w:left="380" w:top="765" w:right="999" w:bottom="1440" w:gutter="0" w:footer="0" w:header="0"/>
          <w:type w:val="continuous"/>
        </w:sectPr>
      </w:pPr>
    </w:p>
    <w:p>
      <w:pPr>
        <w:jc w:val="right"/>
        <w:ind w:left="1740" w:right="1540" w:hanging="494"/>
        <w:spacing w:after="0" w:line="275" w:lineRule="auto"/>
        <w:tabs>
          <w:tab w:leader="none" w:pos="159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Whistler Acquisition Subsidiaries Minority Interest (add 25% (or if minority equity interest is not 25%, then the percentage of minority equity interest in the Whistler Acquisition</w:t>
      </w:r>
    </w:p>
    <w:p>
      <w:pPr>
        <w:spacing w:after="0" w:line="1" w:lineRule="exact"/>
        <w:rPr>
          <w:sz w:val="20"/>
          <w:szCs w:val="20"/>
          <w:color w:val="auto"/>
        </w:rPr>
      </w:pPr>
    </w:p>
    <w:p>
      <w:pPr>
        <w:ind w:left="1740"/>
        <w:spacing w:after="0"/>
        <w:tabs>
          <w:tab w:leader="none" w:pos="9080" w:val="left"/>
        </w:tabs>
        <w:rPr>
          <w:sz w:val="20"/>
          <w:szCs w:val="20"/>
          <w:color w:val="auto"/>
        </w:rPr>
      </w:pPr>
      <w:r>
        <w:rPr>
          <w:rFonts w:ascii="Arial" w:cs="Arial" w:eastAsia="Arial" w:hAnsi="Arial"/>
          <w:sz w:val="20"/>
          <w:szCs w:val="20"/>
          <w:color w:val="auto"/>
        </w:rPr>
        <w:t>Subsidiaries) of this line item attributable to the Whistler Acquisition Subsidiaries)</w:t>
      </w:r>
      <w:r>
        <w:rPr>
          <w:sz w:val="20"/>
          <w:szCs w:val="20"/>
          <w:color w:val="auto"/>
        </w:rPr>
        <w:tab/>
      </w:r>
      <w:r>
        <w:rPr>
          <w:rFonts w:ascii="Arial" w:cs="Arial" w:eastAsia="Arial" w:hAnsi="Arial"/>
          <w:sz w:val="16"/>
          <w:szCs w:val="16"/>
          <w:color w:val="auto"/>
        </w:rPr>
        <w:t>$ 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760" w:firstLine="3"/>
        <w:spacing w:after="0" w:line="216" w:lineRule="auto"/>
        <w:tabs>
          <w:tab w:leader="none" w:pos="105" w:val="left"/>
        </w:tabs>
        <w:numPr>
          <w:ilvl w:val="0"/>
          <w:numId w:val="243"/>
        </w:numPr>
        <w:rPr>
          <w:rFonts w:ascii="Arial" w:cs="Arial" w:eastAsia="Arial" w:hAnsi="Arial"/>
          <w:sz w:val="25"/>
          <w:szCs w:val="25"/>
          <w:color w:val="auto"/>
          <w:vertAlign w:val="superscript"/>
        </w:rPr>
      </w:pPr>
      <w:r>
        <w:rPr>
          <w:rFonts w:ascii="Arial" w:cs="Arial" w:eastAsia="Arial" w:hAnsi="Arial"/>
          <w:sz w:val="18"/>
          <w:szCs w:val="18"/>
          <w:color w:val="auto"/>
        </w:rPr>
        <w:t>To the extent a subsidiary listed below is no longer an Unrestricted Subsidiary, such subsidiary shall be deleted from the list and no longer reflected in the Compliance Certificate.</w:t>
      </w:r>
    </w:p>
    <w:p>
      <w:pPr>
        <w:spacing w:after="0" w:line="95" w:lineRule="exact"/>
        <w:rPr>
          <w:sz w:val="20"/>
          <w:szCs w:val="20"/>
          <w:color w:val="auto"/>
        </w:rPr>
      </w:pPr>
    </w:p>
    <w:p>
      <w:pPr>
        <w:ind w:right="1620" w:firstLine="3"/>
        <w:spacing w:after="0" w:line="232" w:lineRule="auto"/>
        <w:tabs>
          <w:tab w:leader="none" w:pos="108" w:val="left"/>
        </w:tabs>
        <w:numPr>
          <w:ilvl w:val="0"/>
          <w:numId w:val="244"/>
        </w:numPr>
        <w:rPr>
          <w:rFonts w:ascii="Arial" w:cs="Arial" w:eastAsia="Arial" w:hAnsi="Arial"/>
          <w:sz w:val="25"/>
          <w:szCs w:val="25"/>
          <w:color w:val="auto"/>
          <w:vertAlign w:val="superscript"/>
        </w:rPr>
      </w:pPr>
      <w:r>
        <w:rPr>
          <w:rFonts w:ascii="Arial" w:cs="Arial" w:eastAsia="Arial" w:hAnsi="Arial"/>
          <w:sz w:val="18"/>
          <w:szCs w:val="18"/>
          <w:color w:val="auto"/>
        </w:rPr>
        <w:t>Note that the Whistler Acquisition Subsidiaries are Unrestricted Subsidiaries, but are treated as Restricted Subsidiaries for the purposes of Items 11.1 and 11.2 (provided, in each case, only Borrower’s equity ownership percentage of Adjusted EBITDA, Net Funded Debt and interest on Funded Debt attributable to the Whistler Acquisition Subsidiaries shall be included in such calculation).</w:t>
      </w:r>
    </w:p>
    <w:p>
      <w:pPr>
        <w:spacing w:after="0" w:line="91" w:lineRule="exact"/>
        <w:rPr>
          <w:rFonts w:ascii="Arial" w:cs="Arial" w:eastAsia="Arial" w:hAnsi="Arial"/>
          <w:sz w:val="25"/>
          <w:szCs w:val="25"/>
          <w:color w:val="auto"/>
          <w:vertAlign w:val="superscript"/>
        </w:rPr>
      </w:pPr>
    </w:p>
    <w:p>
      <w:pPr>
        <w:jc w:val="right"/>
        <w:ind w:left="1240" w:right="1540" w:hanging="643"/>
        <w:spacing w:after="0" w:line="272" w:lineRule="auto"/>
        <w:tabs>
          <w:tab w:leader="none" w:pos="938"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All obligations of the Restricted Subsidiaries for borrowed money (whether as a direct obligation on a promissory note, bond, zero coupon bond, debenture, or other similar instrument, as a direct (as opposed to contingent) payment obligation arising under a guaranty, or as an unfulfilled</w:t>
      </w:r>
    </w:p>
    <w:tbl>
      <w:tblPr>
        <w:tblLayout w:type="fixed"/>
        <w:tblInd w:w="600" w:type="dxa"/>
        <w:tblCellMar>
          <w:top w:w="0" w:type="dxa"/>
          <w:left w:w="0" w:type="dxa"/>
          <w:bottom w:w="0" w:type="dxa"/>
          <w:right w:w="0" w:type="dxa"/>
        </w:tblCellMar>
      </w:tblPr>
      <w:tr>
        <w:trPr>
          <w:trHeight w:val="215"/>
        </w:trPr>
        <w:tc>
          <w:tcPr>
            <w:tcW w:w="8440" w:type="dxa"/>
            <w:vAlign w:val="bottom"/>
            <w:gridSpan w:val="3"/>
          </w:tcPr>
          <w:p>
            <w:pPr>
              <w:ind w:left="640"/>
              <w:spacing w:after="0" w:line="214" w:lineRule="exact"/>
              <w:rPr>
                <w:sz w:val="20"/>
                <w:szCs w:val="20"/>
                <w:color w:val="auto"/>
              </w:rPr>
            </w:pPr>
            <w:r>
              <w:rPr>
                <w:rFonts w:ascii="Arial" w:cs="Arial" w:eastAsia="Arial" w:hAnsi="Arial"/>
                <w:sz w:val="20"/>
                <w:szCs w:val="20"/>
                <w:color w:val="auto"/>
                <w:w w:val="94"/>
              </w:rPr>
              <w:t>reimbursement obligation on a drawn letter of credit or similar instrument, or otherwise) (</w:t>
            </w:r>
            <w:r>
              <w:rPr>
                <w:rFonts w:ascii="Arial" w:cs="Arial" w:eastAsia="Arial" w:hAnsi="Arial"/>
                <w:sz w:val="20"/>
                <w:szCs w:val="20"/>
                <w:b w:val="1"/>
                <w:bCs w:val="1"/>
                <w:i w:val="1"/>
                <w:iCs w:val="1"/>
                <w:color w:val="auto"/>
                <w:w w:val="94"/>
              </w:rPr>
              <w:t>Item</w:t>
            </w:r>
          </w:p>
        </w:tc>
        <w:tc>
          <w:tcPr>
            <w:tcW w:w="1480" w:type="dxa"/>
            <w:vAlign w:val="bottom"/>
          </w:tcPr>
          <w:p>
            <w:pPr>
              <w:spacing w:after="0"/>
              <w:rPr>
                <w:sz w:val="18"/>
                <w:szCs w:val="18"/>
                <w:color w:val="auto"/>
              </w:rPr>
            </w:pPr>
          </w:p>
        </w:tc>
      </w:tr>
      <w:tr>
        <w:trPr>
          <w:trHeight w:val="206"/>
        </w:trPr>
        <w:tc>
          <w:tcPr>
            <w:tcW w:w="8440" w:type="dxa"/>
            <w:vAlign w:val="bottom"/>
            <w:gridSpan w:val="3"/>
          </w:tcPr>
          <w:p>
            <w:pPr>
              <w:ind w:left="640"/>
              <w:spacing w:after="0" w:line="206" w:lineRule="exact"/>
              <w:rPr>
                <w:sz w:val="20"/>
                <w:szCs w:val="20"/>
                <w:color w:val="auto"/>
              </w:rPr>
            </w:pPr>
            <w:r>
              <w:rPr>
                <w:rFonts w:ascii="Arial" w:cs="Arial" w:eastAsia="Arial" w:hAnsi="Arial"/>
                <w:sz w:val="20"/>
                <w:szCs w:val="20"/>
                <w:b w:val="1"/>
                <w:bCs w:val="1"/>
                <w:i w:val="1"/>
                <w:iCs w:val="1"/>
                <w:color w:val="auto"/>
              </w:rPr>
              <w:t xml:space="preserve">11.1(i) </w:t>
            </w:r>
            <w:r>
              <w:rPr>
                <w:rFonts w:ascii="Arial" w:cs="Arial" w:eastAsia="Arial" w:hAnsi="Arial"/>
                <w:sz w:val="20"/>
                <w:szCs w:val="20"/>
                <w:color w:val="auto"/>
              </w:rPr>
              <w:t>minus</w:t>
            </w:r>
            <w:r>
              <w:rPr>
                <w:rFonts w:ascii="Arial" w:cs="Arial" w:eastAsia="Arial" w:hAnsi="Arial"/>
                <w:sz w:val="20"/>
                <w:szCs w:val="20"/>
                <w:b w:val="1"/>
                <w:bCs w:val="1"/>
                <w:i w:val="1"/>
                <w:iCs w:val="1"/>
                <w:color w:val="auto"/>
              </w:rPr>
              <w:t xml:space="preserve"> Item 11.1(ii)</w:t>
            </w:r>
            <w:r>
              <w:rPr>
                <w:rFonts w:ascii="Arial" w:cs="Arial" w:eastAsia="Arial" w:hAnsi="Arial"/>
                <w:sz w:val="20"/>
                <w:szCs w:val="20"/>
                <w:color w:val="auto"/>
              </w:rPr>
              <w:t>):</w:t>
            </w:r>
          </w:p>
        </w:tc>
        <w:tc>
          <w:tcPr>
            <w:tcW w:w="1480" w:type="dxa"/>
            <w:vAlign w:val="bottom"/>
          </w:tcPr>
          <w:p>
            <w:pPr>
              <w:jc w:val="right"/>
              <w:spacing w:after="0" w:line="206" w:lineRule="exact"/>
              <w:rPr>
                <w:sz w:val="20"/>
                <w:szCs w:val="20"/>
                <w:color w:val="auto"/>
              </w:rPr>
            </w:pPr>
            <w:r>
              <w:rPr>
                <w:rFonts w:ascii="Arial" w:cs="Arial" w:eastAsia="Arial" w:hAnsi="Arial"/>
                <w:sz w:val="20"/>
                <w:szCs w:val="20"/>
                <w:color w:val="auto"/>
                <w:w w:val="90"/>
              </w:rPr>
              <w:t>$ _____________</w:t>
            </w:r>
          </w:p>
        </w:tc>
      </w:tr>
      <w:tr>
        <w:trPr>
          <w:trHeight w:val="20"/>
        </w:trPr>
        <w:tc>
          <w:tcPr>
            <w:tcW w:w="1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35"/>
        </w:trPr>
        <w:tc>
          <w:tcPr>
            <w:tcW w:w="8440" w:type="dxa"/>
            <w:vAlign w:val="bottom"/>
            <w:gridSpan w:val="3"/>
          </w:tcPr>
          <w:p>
            <w:pPr>
              <w:spacing w:after="0"/>
              <w:rPr>
                <w:sz w:val="20"/>
                <w:szCs w:val="20"/>
                <w:color w:val="auto"/>
              </w:rPr>
            </w:pPr>
            <w:r>
              <w:rPr>
                <w:rFonts w:ascii="Arial" w:cs="Arial" w:eastAsia="Arial" w:hAnsi="Arial"/>
                <w:sz w:val="20"/>
                <w:szCs w:val="20"/>
                <w:color w:val="auto"/>
              </w:rPr>
              <w:t>(iv) The principal portion of all Capital Lease obligations of the Companies:</w:t>
            </w:r>
          </w:p>
        </w:tc>
        <w:tc>
          <w:tcPr>
            <w:tcW w:w="1480" w:type="dxa"/>
            <w:vAlign w:val="bottom"/>
          </w:tcPr>
          <w:p>
            <w:pPr>
              <w:jc w:val="right"/>
              <w:spacing w:after="0"/>
              <w:rPr>
                <w:sz w:val="20"/>
                <w:szCs w:val="20"/>
                <w:color w:val="auto"/>
              </w:rPr>
            </w:pPr>
            <w:r>
              <w:rPr>
                <w:rFonts w:ascii="Arial" w:cs="Arial" w:eastAsia="Arial" w:hAnsi="Arial"/>
                <w:sz w:val="20"/>
                <w:szCs w:val="20"/>
                <w:color w:val="auto"/>
                <w:w w:val="90"/>
              </w:rPr>
              <w:t>$ _____________</w:t>
            </w:r>
          </w:p>
        </w:tc>
      </w:tr>
      <w:tr>
        <w:trPr>
          <w:trHeight w:val="317"/>
        </w:trPr>
        <w:tc>
          <w:tcPr>
            <w:tcW w:w="8440" w:type="dxa"/>
            <w:vAlign w:val="bottom"/>
            <w:gridSpan w:val="3"/>
          </w:tcPr>
          <w:p>
            <w:pPr>
              <w:spacing w:after="0"/>
              <w:rPr>
                <w:sz w:val="20"/>
                <w:szCs w:val="20"/>
                <w:color w:val="auto"/>
              </w:rPr>
            </w:pPr>
            <w:r>
              <w:rPr>
                <w:rFonts w:ascii="Arial" w:cs="Arial" w:eastAsia="Arial" w:hAnsi="Arial"/>
                <w:sz w:val="20"/>
                <w:szCs w:val="20"/>
                <w:color w:val="auto"/>
                <w:w w:val="99"/>
              </w:rPr>
              <w:t>(v) The principal portion of all Capital Lease obligations of the Unrestricted Subsidiaries and the</w:t>
            </w:r>
          </w:p>
        </w:tc>
        <w:tc>
          <w:tcPr>
            <w:tcW w:w="1480" w:type="dxa"/>
            <w:vAlign w:val="bottom"/>
          </w:tcPr>
          <w:p>
            <w:pPr>
              <w:spacing w:after="0"/>
              <w:rPr>
                <w:sz w:val="24"/>
                <w:szCs w:val="24"/>
                <w:color w:val="auto"/>
              </w:rPr>
            </w:pPr>
          </w:p>
        </w:tc>
      </w:tr>
      <w:tr>
        <w:trPr>
          <w:trHeight w:val="230"/>
        </w:trPr>
        <w:tc>
          <w:tcPr>
            <w:tcW w:w="8440" w:type="dxa"/>
            <w:vAlign w:val="bottom"/>
            <w:gridSpan w:val="3"/>
          </w:tcPr>
          <w:p>
            <w:pPr>
              <w:ind w:left="640"/>
              <w:spacing w:after="0"/>
              <w:rPr>
                <w:sz w:val="20"/>
                <w:szCs w:val="20"/>
                <w:color w:val="auto"/>
              </w:rPr>
            </w:pPr>
            <w:r>
              <w:rPr>
                <w:rFonts w:ascii="Arial" w:cs="Arial" w:eastAsia="Arial" w:hAnsi="Arial"/>
                <w:sz w:val="20"/>
                <w:szCs w:val="20"/>
                <w:color w:val="auto"/>
                <w:w w:val="91"/>
              </w:rPr>
              <w:t>obligations under the Northstar Leases (to the extent such leases constitute Capital Leases) (the</w:t>
            </w:r>
          </w:p>
        </w:tc>
        <w:tc>
          <w:tcPr>
            <w:tcW w:w="1480" w:type="dxa"/>
            <w:vAlign w:val="bottom"/>
          </w:tcPr>
          <w:p>
            <w:pPr>
              <w:spacing w:after="0"/>
              <w:rPr>
                <w:sz w:val="19"/>
                <w:szCs w:val="19"/>
                <w:color w:val="auto"/>
              </w:rPr>
            </w:pPr>
          </w:p>
        </w:tc>
      </w:tr>
      <w:tr>
        <w:trPr>
          <w:trHeight w:val="250"/>
        </w:trPr>
        <w:tc>
          <w:tcPr>
            <w:tcW w:w="8440" w:type="dxa"/>
            <w:vAlign w:val="bottom"/>
            <w:gridSpan w:val="3"/>
          </w:tcPr>
          <w:p>
            <w:pPr>
              <w:ind w:left="640"/>
              <w:spacing w:after="0"/>
              <w:rPr>
                <w:sz w:val="20"/>
                <w:szCs w:val="20"/>
                <w:color w:val="auto"/>
              </w:rPr>
            </w:pPr>
            <w:r>
              <w:rPr>
                <w:rFonts w:ascii="Arial" w:cs="Arial" w:eastAsia="Arial" w:hAnsi="Arial"/>
                <w:sz w:val="20"/>
                <w:szCs w:val="20"/>
                <w:color w:val="auto"/>
              </w:rPr>
              <w:t xml:space="preserve">sum of </w:t>
            </w:r>
            <w:r>
              <w:rPr>
                <w:rFonts w:ascii="Arial" w:cs="Arial" w:eastAsia="Arial" w:hAnsi="Arial"/>
                <w:sz w:val="20"/>
                <w:szCs w:val="20"/>
                <w:b w:val="1"/>
                <w:bCs w:val="1"/>
                <w:i w:val="1"/>
                <w:iCs w:val="1"/>
                <w:color w:val="auto"/>
              </w:rPr>
              <w:t>Items 11.1(v)(A)</w:t>
            </w:r>
            <w:r>
              <w:rPr>
                <w:rFonts w:ascii="Arial" w:cs="Arial" w:eastAsia="Arial" w:hAnsi="Arial"/>
                <w:sz w:val="20"/>
                <w:szCs w:val="20"/>
                <w:color w:val="auto"/>
              </w:rPr>
              <w:t xml:space="preserve"> through </w:t>
            </w:r>
            <w:r>
              <w:rPr>
                <w:rFonts w:ascii="Arial" w:cs="Arial" w:eastAsia="Arial" w:hAnsi="Arial"/>
                <w:sz w:val="20"/>
                <w:szCs w:val="20"/>
                <w:b w:val="1"/>
                <w:bCs w:val="1"/>
                <w:i w:val="1"/>
                <w:iCs w:val="1"/>
                <w:color w:val="auto"/>
              </w:rPr>
              <w:t>11.1(v)(P)</w:t>
            </w: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w w:val="90"/>
              </w:rPr>
              <w:t>$ _____________</w:t>
            </w:r>
          </w:p>
        </w:tc>
      </w:tr>
      <w:tr>
        <w:trPr>
          <w:trHeight w:val="311"/>
        </w:trPr>
        <w:tc>
          <w:tcPr>
            <w:tcW w:w="8440" w:type="dxa"/>
            <w:vAlign w:val="bottom"/>
            <w:gridSpan w:val="3"/>
          </w:tcPr>
          <w:p>
            <w:pPr>
              <w:ind w:left="640"/>
              <w:spacing w:after="0"/>
              <w:rPr>
                <w:sz w:val="20"/>
                <w:szCs w:val="20"/>
                <w:color w:val="auto"/>
              </w:rPr>
            </w:pPr>
            <w:r>
              <w:rPr>
                <w:rFonts w:ascii="Arial" w:cs="Arial" w:eastAsia="Arial" w:hAnsi="Arial"/>
                <w:sz w:val="20"/>
                <w:szCs w:val="20"/>
                <w:color w:val="auto"/>
              </w:rPr>
              <w:t>(A) Gros Ventre Utility Company</w:t>
            </w:r>
          </w:p>
        </w:tc>
        <w:tc>
          <w:tcPr>
            <w:tcW w:w="1480" w:type="dxa"/>
            <w:vAlign w:val="bottom"/>
          </w:tcPr>
          <w:p>
            <w:pPr>
              <w:jc w:val="right"/>
              <w:spacing w:after="0"/>
              <w:rPr>
                <w:sz w:val="20"/>
                <w:szCs w:val="20"/>
                <w:color w:val="auto"/>
              </w:rPr>
            </w:pPr>
            <w:r>
              <w:rPr>
                <w:rFonts w:ascii="Arial" w:cs="Arial" w:eastAsia="Arial" w:hAnsi="Arial"/>
                <w:sz w:val="20"/>
                <w:szCs w:val="20"/>
                <w:color w:val="auto"/>
                <w:w w:val="90"/>
              </w:rPr>
              <w:t>$ _____________</w:t>
            </w:r>
          </w:p>
        </w:tc>
      </w:tr>
    </w:tbl>
    <w:p>
      <w:pPr>
        <w:sectPr>
          <w:pgSz w:w="11900" w:h="16838" w:orient="portrait"/>
          <w:cols w:equalWidth="0" w:num="1">
            <w:col w:w="10520"/>
          </w:cols>
          <w:pgMar w:left="380" w:top="765" w:right="999" w:bottom="1440" w:gutter="0" w:footer="0" w:header="0"/>
          <w:type w:val="continuous"/>
        </w:sectPr>
      </w:pPr>
    </w:p>
    <w:bookmarkStart w:id="231" w:name="page232"/>
    <w:bookmarkEnd w:id="231"/>
    <w:p>
      <w:pPr>
        <w:ind w:left="643"/>
        <w:spacing w:after="0"/>
        <w:rPr>
          <w:sz w:val="20"/>
          <w:szCs w:val="20"/>
          <w:color w:val="auto"/>
        </w:rPr>
      </w:pPr>
      <w:r>
        <w:rPr>
          <w:rFonts w:ascii="Arial" w:cs="Arial" w:eastAsia="Arial" w:hAnsi="Arial"/>
          <w:sz w:val="20"/>
          <w:szCs w:val="20"/>
          <w:color w:val="auto"/>
        </w:rPr>
        <w:t>(B) Eagle Park Reservoir Company</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20"/>
          <w:szCs w:val="20"/>
          <w:color w:val="auto"/>
        </w:rPr>
        <w:t>(C) First Chair Housing Trustee, LLC</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20"/>
          <w:szCs w:val="20"/>
          <w:color w:val="auto"/>
        </w:rPr>
        <w:t>(D) Forest Ridge Holdings, Inc.</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20"/>
          <w:szCs w:val="20"/>
          <w:color w:val="auto"/>
        </w:rPr>
        <w:t>(E) Gore Creek Place, LLC</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20"/>
          <w:szCs w:val="20"/>
          <w:color w:val="auto"/>
        </w:rPr>
        <w:t>(F) Hunkidori Land Company, LLC</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20"/>
          <w:szCs w:val="20"/>
          <w:color w:val="auto"/>
        </w:rPr>
        <w:t>(G) TCRM Company</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20"/>
          <w:szCs w:val="20"/>
          <w:color w:val="auto"/>
        </w:rPr>
        <w:t>(H) Stagecoach Development, LLC</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20"/>
          <w:szCs w:val="20"/>
          <w:color w:val="auto"/>
        </w:rPr>
        <w:t>(I) Black Diamond Insurance, Inc.</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20"/>
          <w:szCs w:val="20"/>
          <w:color w:val="auto"/>
        </w:rPr>
        <w:t>(J) Ever Vail, LLC</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20"/>
          <w:szCs w:val="20"/>
          <w:color w:val="auto"/>
        </w:rPr>
        <w:t>(K) Larkspur Restaurant &amp; Bar, LLC</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20"/>
          <w:szCs w:val="20"/>
          <w:color w:val="auto"/>
        </w:rPr>
        <w:t>(L) Mountain Thunder, Inc.</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20"/>
          <w:szCs w:val="20"/>
          <w:color w:val="auto"/>
        </w:rPr>
        <w:t>(M) One River Run, LLC</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18"/>
          <w:szCs w:val="18"/>
          <w:color w:val="auto"/>
        </w:rPr>
        <w:t>(N) Other Unrestricted Subsidiaries not listed above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6" w:lineRule="exact"/>
        <w:rPr>
          <w:sz w:val="20"/>
          <w:szCs w:val="20"/>
          <w:color w:val="auto"/>
        </w:rPr>
      </w:pPr>
    </w:p>
    <w:p>
      <w:pPr>
        <w:sectPr>
          <w:pgSz w:w="11900" w:h="16838" w:orient="portrait"/>
          <w:cols w:equalWidth="0" w:num="2">
            <w:col w:w="7783" w:space="720"/>
            <w:col w:w="1420"/>
          </w:cols>
          <w:pgMar w:left="977" w:top="744" w:right="999" w:bottom="1440" w:gutter="0" w:footer="0" w:header="0"/>
        </w:sectPr>
      </w:pPr>
    </w:p>
    <w:p>
      <w:pPr>
        <w:ind w:left="1143" w:hanging="485"/>
        <w:spacing w:after="0" w:line="260" w:lineRule="auto"/>
        <w:rPr>
          <w:sz w:val="20"/>
          <w:szCs w:val="20"/>
          <w:color w:val="auto"/>
        </w:rPr>
      </w:pPr>
      <w:r>
        <w:rPr>
          <w:rFonts w:ascii="Arial" w:cs="Arial" w:eastAsia="Arial" w:hAnsi="Arial"/>
          <w:sz w:val="20"/>
          <w:szCs w:val="20"/>
          <w:color w:val="auto"/>
        </w:rPr>
        <w:t>(O) Principal portion of the obligations under the Northstar Leases that are classified as Capital Leases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6" w:lineRule="exact"/>
        <w:rPr>
          <w:sz w:val="20"/>
          <w:szCs w:val="20"/>
          <w:color w:val="auto"/>
        </w:rPr>
      </w:pPr>
    </w:p>
    <w:p>
      <w:pPr>
        <w:sectPr>
          <w:pgSz w:w="11900" w:h="16838" w:orient="portrait"/>
          <w:cols w:equalWidth="0" w:num="2">
            <w:col w:w="8383" w:space="120"/>
            <w:col w:w="1420"/>
          </w:cols>
          <w:pgMar w:left="977" w:top="744" w:right="999" w:bottom="1440" w:gutter="0" w:footer="0" w:header="0"/>
          <w:type w:val="continuous"/>
        </w:sectPr>
      </w:pPr>
    </w:p>
    <w:p>
      <w:pPr>
        <w:jc w:val="right"/>
        <w:ind w:left="1303" w:right="1540" w:hanging="654"/>
        <w:spacing w:after="0" w:line="260" w:lineRule="auto"/>
        <w:tabs>
          <w:tab w:leader="none" w:pos="946" w:val="left"/>
        </w:tabs>
        <w:numPr>
          <w:ilvl w:val="0"/>
          <w:numId w:val="245"/>
        </w:numPr>
        <w:rPr>
          <w:rFonts w:ascii="Arial" w:cs="Arial" w:eastAsia="Arial" w:hAnsi="Arial"/>
          <w:sz w:val="19"/>
          <w:szCs w:val="19"/>
          <w:color w:val="auto"/>
        </w:rPr>
      </w:pPr>
      <w:r>
        <w:rPr>
          <w:rFonts w:ascii="Arial" w:cs="Arial" w:eastAsia="Arial" w:hAnsi="Arial"/>
          <w:sz w:val="19"/>
          <w:szCs w:val="19"/>
          <w:color w:val="auto"/>
        </w:rPr>
        <w:t>Whistler Acquisition Subsidiaries Minority Interest (add 25% (or if minority equity interest is not 25%, then the percentage of minority equity interest in the Whistler Acquisition</w:t>
      </w:r>
    </w:p>
    <w:p>
      <w:pPr>
        <w:spacing w:after="0" w:line="2" w:lineRule="exact"/>
        <w:rPr>
          <w:sz w:val="20"/>
          <w:szCs w:val="20"/>
          <w:color w:val="auto"/>
        </w:rPr>
      </w:pPr>
    </w:p>
    <w:tbl>
      <w:tblPr>
        <w:tblLayout w:type="fixed"/>
        <w:tblInd w:w="3" w:type="dxa"/>
        <w:tblCellMar>
          <w:top w:w="0" w:type="dxa"/>
          <w:left w:w="0" w:type="dxa"/>
          <w:bottom w:w="0" w:type="dxa"/>
          <w:right w:w="0" w:type="dxa"/>
        </w:tblCellMar>
      </w:tblPr>
      <w:tr>
        <w:trPr>
          <w:trHeight w:val="250"/>
        </w:trPr>
        <w:tc>
          <w:tcPr>
            <w:tcW w:w="8440" w:type="dxa"/>
            <w:vAlign w:val="bottom"/>
            <w:gridSpan w:val="3"/>
          </w:tcPr>
          <w:p>
            <w:pPr>
              <w:ind w:left="1300"/>
              <w:spacing w:after="0"/>
              <w:rPr>
                <w:sz w:val="20"/>
                <w:szCs w:val="20"/>
                <w:color w:val="auto"/>
              </w:rPr>
            </w:pPr>
            <w:r>
              <w:rPr>
                <w:rFonts w:ascii="Arial" w:cs="Arial" w:eastAsia="Arial" w:hAnsi="Arial"/>
                <w:sz w:val="20"/>
                <w:szCs w:val="20"/>
                <w:color w:val="auto"/>
                <w:w w:val="99"/>
              </w:rPr>
              <w:t>Subsidiaries) of this line item attributable to the Whistler Acquisition Subsidiaries)</w:t>
            </w:r>
          </w:p>
        </w:tc>
        <w:tc>
          <w:tcPr>
            <w:tcW w:w="1480" w:type="dxa"/>
            <w:vAlign w:val="bottom"/>
          </w:tcPr>
          <w:p>
            <w:pPr>
              <w:jc w:val="right"/>
              <w:spacing w:after="0"/>
              <w:rPr>
                <w:sz w:val="20"/>
                <w:szCs w:val="20"/>
                <w:color w:val="auto"/>
              </w:rPr>
            </w:pPr>
            <w:r>
              <w:rPr>
                <w:rFonts w:ascii="Arial" w:cs="Arial" w:eastAsia="Arial" w:hAnsi="Arial"/>
                <w:sz w:val="20"/>
                <w:szCs w:val="20"/>
                <w:color w:val="auto"/>
                <w:w w:val="90"/>
              </w:rPr>
              <w:t>$ _____________</w:t>
            </w:r>
          </w:p>
        </w:tc>
      </w:tr>
      <w:tr>
        <w:trPr>
          <w:trHeight w:val="301"/>
        </w:trPr>
        <w:tc>
          <w:tcPr>
            <w:tcW w:w="8440" w:type="dxa"/>
            <w:vAlign w:val="bottom"/>
            <w:gridSpan w:val="3"/>
          </w:tcPr>
          <w:p>
            <w:pPr>
              <w:spacing w:after="0"/>
              <w:rPr>
                <w:sz w:val="20"/>
                <w:szCs w:val="20"/>
                <w:color w:val="auto"/>
              </w:rPr>
            </w:pPr>
            <w:r>
              <w:rPr>
                <w:rFonts w:ascii="Arial" w:cs="Arial" w:eastAsia="Arial" w:hAnsi="Arial"/>
                <w:sz w:val="20"/>
                <w:szCs w:val="20"/>
                <w:color w:val="auto"/>
                <w:w w:val="98"/>
              </w:rPr>
              <w:t>(vi) The principal portion of all Capital Lease obligations of the Restricted Companies (other than</w:t>
            </w:r>
          </w:p>
        </w:tc>
        <w:tc>
          <w:tcPr>
            <w:tcW w:w="1480" w:type="dxa"/>
            <w:vAlign w:val="bottom"/>
          </w:tcPr>
          <w:p>
            <w:pPr>
              <w:spacing w:after="0"/>
              <w:rPr>
                <w:sz w:val="24"/>
                <w:szCs w:val="24"/>
                <w:color w:val="auto"/>
              </w:rPr>
            </w:pPr>
          </w:p>
        </w:tc>
      </w:tr>
      <w:tr>
        <w:trPr>
          <w:trHeight w:val="230"/>
        </w:trPr>
        <w:tc>
          <w:tcPr>
            <w:tcW w:w="8440" w:type="dxa"/>
            <w:vAlign w:val="bottom"/>
            <w:gridSpan w:val="3"/>
          </w:tcPr>
          <w:p>
            <w:pPr>
              <w:ind w:left="640"/>
              <w:spacing w:after="0"/>
              <w:rPr>
                <w:sz w:val="20"/>
                <w:szCs w:val="20"/>
                <w:color w:val="auto"/>
              </w:rPr>
            </w:pPr>
            <w:r>
              <w:rPr>
                <w:rFonts w:ascii="Arial" w:cs="Arial" w:eastAsia="Arial" w:hAnsi="Arial"/>
                <w:sz w:val="20"/>
                <w:szCs w:val="20"/>
                <w:color w:val="auto"/>
                <w:w w:val="89"/>
              </w:rPr>
              <w:t>obligations under the Northstar Leases (to the extent such leases constitute Capital Leases)) (</w:t>
            </w:r>
            <w:r>
              <w:rPr>
                <w:rFonts w:ascii="Arial" w:cs="Arial" w:eastAsia="Arial" w:hAnsi="Arial"/>
                <w:sz w:val="20"/>
                <w:szCs w:val="20"/>
                <w:b w:val="1"/>
                <w:bCs w:val="1"/>
                <w:i w:val="1"/>
                <w:iCs w:val="1"/>
                <w:color w:val="auto"/>
                <w:w w:val="89"/>
              </w:rPr>
              <w:t>Item</w:t>
            </w:r>
          </w:p>
        </w:tc>
        <w:tc>
          <w:tcPr>
            <w:tcW w:w="1480" w:type="dxa"/>
            <w:vAlign w:val="bottom"/>
          </w:tcPr>
          <w:p>
            <w:pPr>
              <w:spacing w:after="0"/>
              <w:rPr>
                <w:sz w:val="19"/>
                <w:szCs w:val="19"/>
                <w:color w:val="auto"/>
              </w:rPr>
            </w:pPr>
          </w:p>
        </w:tc>
      </w:tr>
      <w:tr>
        <w:trPr>
          <w:trHeight w:val="206"/>
        </w:trPr>
        <w:tc>
          <w:tcPr>
            <w:tcW w:w="8440" w:type="dxa"/>
            <w:vAlign w:val="bottom"/>
            <w:gridSpan w:val="3"/>
          </w:tcPr>
          <w:p>
            <w:pPr>
              <w:ind w:left="640"/>
              <w:spacing w:after="0" w:line="206" w:lineRule="exact"/>
              <w:rPr>
                <w:sz w:val="20"/>
                <w:szCs w:val="20"/>
                <w:color w:val="auto"/>
              </w:rPr>
            </w:pPr>
            <w:r>
              <w:rPr>
                <w:rFonts w:ascii="Arial" w:cs="Arial" w:eastAsia="Arial" w:hAnsi="Arial"/>
                <w:sz w:val="20"/>
                <w:szCs w:val="20"/>
                <w:b w:val="1"/>
                <w:bCs w:val="1"/>
                <w:i w:val="1"/>
                <w:iCs w:val="1"/>
                <w:color w:val="auto"/>
              </w:rPr>
              <w:t xml:space="preserve">11.1(iv) </w:t>
            </w:r>
            <w:r>
              <w:rPr>
                <w:rFonts w:ascii="Arial" w:cs="Arial" w:eastAsia="Arial" w:hAnsi="Arial"/>
                <w:sz w:val="20"/>
                <w:szCs w:val="20"/>
                <w:color w:val="auto"/>
              </w:rPr>
              <w:t>minus</w:t>
            </w:r>
            <w:r>
              <w:rPr>
                <w:rFonts w:ascii="Arial" w:cs="Arial" w:eastAsia="Arial" w:hAnsi="Arial"/>
                <w:sz w:val="20"/>
                <w:szCs w:val="20"/>
                <w:b w:val="1"/>
                <w:bCs w:val="1"/>
                <w:i w:val="1"/>
                <w:iCs w:val="1"/>
                <w:color w:val="auto"/>
              </w:rPr>
              <w:t xml:space="preserve"> Item 11.1(v)</w:t>
            </w:r>
            <w:r>
              <w:rPr>
                <w:rFonts w:ascii="Arial" w:cs="Arial" w:eastAsia="Arial" w:hAnsi="Arial"/>
                <w:sz w:val="20"/>
                <w:szCs w:val="20"/>
                <w:color w:val="auto"/>
              </w:rPr>
              <w:t>):</w:t>
            </w:r>
          </w:p>
        </w:tc>
        <w:tc>
          <w:tcPr>
            <w:tcW w:w="1480" w:type="dxa"/>
            <w:vAlign w:val="bottom"/>
          </w:tcPr>
          <w:p>
            <w:pPr>
              <w:jc w:val="right"/>
              <w:spacing w:after="0" w:line="206" w:lineRule="exact"/>
              <w:rPr>
                <w:sz w:val="20"/>
                <w:szCs w:val="20"/>
                <w:color w:val="auto"/>
              </w:rPr>
            </w:pPr>
            <w:r>
              <w:rPr>
                <w:rFonts w:ascii="Arial" w:cs="Arial" w:eastAsia="Arial" w:hAnsi="Arial"/>
                <w:sz w:val="20"/>
                <w:szCs w:val="20"/>
                <w:color w:val="auto"/>
                <w:w w:val="90"/>
              </w:rPr>
              <w:t>$ _____________</w:t>
            </w:r>
          </w:p>
        </w:tc>
      </w:tr>
      <w:tr>
        <w:trPr>
          <w:trHeight w:val="20"/>
        </w:trPr>
        <w:tc>
          <w:tcPr>
            <w:tcW w:w="1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14"/>
        </w:trPr>
        <w:tc>
          <w:tcPr>
            <w:tcW w:w="8440" w:type="dxa"/>
            <w:vAlign w:val="bottom"/>
            <w:gridSpan w:val="3"/>
          </w:tcPr>
          <w:p>
            <w:pPr>
              <w:spacing w:after="0"/>
              <w:rPr>
                <w:sz w:val="20"/>
                <w:szCs w:val="20"/>
                <w:color w:val="auto"/>
              </w:rPr>
            </w:pPr>
            <w:r>
              <w:rPr>
                <w:rFonts w:ascii="Arial" w:cs="Arial" w:eastAsia="Arial" w:hAnsi="Arial"/>
                <w:sz w:val="20"/>
                <w:szCs w:val="20"/>
                <w:color w:val="auto"/>
                <w:w w:val="93"/>
              </w:rPr>
              <w:t>(vii) Reimbursement obligations and undrawn amounts under Bond L/Cs supporting Bonds (other than</w:t>
            </w:r>
          </w:p>
        </w:tc>
        <w:tc>
          <w:tcPr>
            <w:tcW w:w="1480" w:type="dxa"/>
            <w:vAlign w:val="bottom"/>
          </w:tcPr>
          <w:p>
            <w:pPr>
              <w:spacing w:after="0"/>
              <w:rPr>
                <w:sz w:val="24"/>
                <w:szCs w:val="24"/>
                <w:color w:val="auto"/>
              </w:rPr>
            </w:pPr>
          </w:p>
        </w:tc>
      </w:tr>
      <w:tr>
        <w:trPr>
          <w:trHeight w:val="250"/>
        </w:trPr>
        <w:tc>
          <w:tcPr>
            <w:tcW w:w="8440" w:type="dxa"/>
            <w:vAlign w:val="bottom"/>
            <w:gridSpan w:val="3"/>
          </w:tcPr>
          <w:p>
            <w:pPr>
              <w:ind w:left="640"/>
              <w:spacing w:after="0"/>
              <w:rPr>
                <w:sz w:val="20"/>
                <w:szCs w:val="20"/>
                <w:color w:val="auto"/>
              </w:rPr>
            </w:pPr>
            <w:r>
              <w:rPr>
                <w:rFonts w:ascii="Arial" w:cs="Arial" w:eastAsia="Arial" w:hAnsi="Arial"/>
                <w:sz w:val="20"/>
                <w:szCs w:val="20"/>
                <w:color w:val="auto"/>
              </w:rPr>
              <w:t>Existing Housing Bonds) issued by Unrestricted Subsidiaries:</w:t>
            </w:r>
          </w:p>
        </w:tc>
        <w:tc>
          <w:tcPr>
            <w:tcW w:w="1480" w:type="dxa"/>
            <w:vAlign w:val="bottom"/>
          </w:tcPr>
          <w:p>
            <w:pPr>
              <w:jc w:val="right"/>
              <w:spacing w:after="0"/>
              <w:rPr>
                <w:sz w:val="20"/>
                <w:szCs w:val="20"/>
                <w:color w:val="auto"/>
              </w:rPr>
            </w:pPr>
            <w:r>
              <w:rPr>
                <w:rFonts w:ascii="Arial" w:cs="Arial" w:eastAsia="Arial" w:hAnsi="Arial"/>
                <w:sz w:val="20"/>
                <w:szCs w:val="20"/>
                <w:color w:val="auto"/>
                <w:w w:val="90"/>
              </w:rPr>
              <w:t>$ _____________</w:t>
            </w:r>
          </w:p>
        </w:tc>
      </w:tr>
      <w:tr>
        <w:trPr>
          <w:trHeight w:val="311"/>
        </w:trPr>
        <w:tc>
          <w:tcPr>
            <w:tcW w:w="8440" w:type="dxa"/>
            <w:vAlign w:val="bottom"/>
            <w:gridSpan w:val="3"/>
          </w:tcPr>
          <w:p>
            <w:pPr>
              <w:spacing w:after="0"/>
              <w:rPr>
                <w:sz w:val="20"/>
                <w:szCs w:val="20"/>
                <w:color w:val="auto"/>
              </w:rPr>
            </w:pPr>
            <w:r>
              <w:rPr>
                <w:rFonts w:ascii="Arial" w:cs="Arial" w:eastAsia="Arial" w:hAnsi="Arial"/>
                <w:sz w:val="20"/>
                <w:szCs w:val="20"/>
                <w:color w:val="auto"/>
                <w:w w:val="99"/>
              </w:rPr>
              <w:t>(viii) Payment obligations with respect to Permitted Recourse Obligations which constitute Debt:</w:t>
            </w:r>
          </w:p>
        </w:tc>
        <w:tc>
          <w:tcPr>
            <w:tcW w:w="1480" w:type="dxa"/>
            <w:vAlign w:val="bottom"/>
          </w:tcPr>
          <w:p>
            <w:pPr>
              <w:jc w:val="right"/>
              <w:spacing w:after="0"/>
              <w:rPr>
                <w:sz w:val="20"/>
                <w:szCs w:val="20"/>
                <w:color w:val="auto"/>
              </w:rPr>
            </w:pPr>
            <w:r>
              <w:rPr>
                <w:rFonts w:ascii="Arial" w:cs="Arial" w:eastAsia="Arial" w:hAnsi="Arial"/>
                <w:sz w:val="20"/>
                <w:szCs w:val="20"/>
                <w:color w:val="auto"/>
                <w:w w:val="90"/>
              </w:rPr>
              <w:t>$ _____________</w:t>
            </w:r>
          </w:p>
        </w:tc>
      </w:tr>
      <w:tr>
        <w:trPr>
          <w:trHeight w:val="311"/>
        </w:trPr>
        <w:tc>
          <w:tcPr>
            <w:tcW w:w="8440" w:type="dxa"/>
            <w:vAlign w:val="bottom"/>
            <w:gridSpan w:val="3"/>
          </w:tcPr>
          <w:p>
            <w:pPr>
              <w:spacing w:after="0"/>
              <w:rPr>
                <w:sz w:val="20"/>
                <w:szCs w:val="20"/>
                <w:color w:val="auto"/>
              </w:rPr>
            </w:pPr>
            <w:r>
              <w:rPr>
                <w:rFonts w:ascii="Arial" w:cs="Arial" w:eastAsia="Arial" w:hAnsi="Arial"/>
                <w:sz w:val="20"/>
                <w:szCs w:val="20"/>
                <w:color w:val="auto"/>
              </w:rPr>
              <w:t>(ix) Debt under Existing Housing Bonds:</w:t>
            </w:r>
          </w:p>
        </w:tc>
        <w:tc>
          <w:tcPr>
            <w:tcW w:w="1480" w:type="dxa"/>
            <w:vAlign w:val="bottom"/>
          </w:tcPr>
          <w:p>
            <w:pPr>
              <w:jc w:val="right"/>
              <w:spacing w:after="0"/>
              <w:rPr>
                <w:sz w:val="20"/>
                <w:szCs w:val="20"/>
                <w:color w:val="auto"/>
              </w:rPr>
            </w:pPr>
            <w:r>
              <w:rPr>
                <w:rFonts w:ascii="Arial" w:cs="Arial" w:eastAsia="Arial" w:hAnsi="Arial"/>
                <w:sz w:val="20"/>
                <w:szCs w:val="20"/>
                <w:color w:val="auto"/>
                <w:w w:val="90"/>
              </w:rPr>
              <w:t>$ _____________</w:t>
            </w:r>
          </w:p>
        </w:tc>
      </w:tr>
    </w:tbl>
    <w:p>
      <w:pPr>
        <w:spacing w:after="0" w:line="87" w:lineRule="exact"/>
        <w:rPr>
          <w:sz w:val="20"/>
          <w:szCs w:val="20"/>
          <w:color w:val="auto"/>
        </w:rPr>
      </w:pPr>
    </w:p>
    <w:p>
      <w:pPr>
        <w:ind w:left="383" w:hanging="383"/>
        <w:spacing w:after="0"/>
        <w:tabs>
          <w:tab w:leader="none" w:pos="383" w:val="left"/>
        </w:tabs>
        <w:numPr>
          <w:ilvl w:val="0"/>
          <w:numId w:val="246"/>
        </w:numPr>
        <w:rPr>
          <w:rFonts w:ascii="Arial" w:cs="Arial" w:eastAsia="Arial" w:hAnsi="Arial"/>
          <w:sz w:val="20"/>
          <w:szCs w:val="20"/>
          <w:color w:val="auto"/>
        </w:rPr>
      </w:pPr>
      <w:r>
        <w:rPr>
          <w:rFonts w:ascii="Arial" w:cs="Arial" w:eastAsia="Arial" w:hAnsi="Arial"/>
          <w:sz w:val="20"/>
          <w:szCs w:val="20"/>
          <w:color w:val="auto"/>
        </w:rPr>
        <w:t>Funded  Debt  of  the  Restricted  Companies  (</w:t>
      </w:r>
      <w:r>
        <w:rPr>
          <w:rFonts w:ascii="Arial" w:cs="Arial" w:eastAsia="Arial" w:hAnsi="Arial"/>
          <w:sz w:val="20"/>
          <w:szCs w:val="20"/>
          <w:b w:val="1"/>
          <w:bCs w:val="1"/>
          <w:i w:val="1"/>
          <w:iCs w:val="1"/>
          <w:color w:val="auto"/>
        </w:rPr>
        <w:t>Item  11.1(iii)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Item  11.1(vi)</w:t>
      </w:r>
      <w:r>
        <w:rPr>
          <w:rFonts w:ascii="Arial" w:cs="Arial" w:eastAsia="Arial" w:hAnsi="Arial"/>
          <w:sz w:val="20"/>
          <w:szCs w:val="20"/>
          <w:color w:val="auto"/>
        </w:rPr>
        <w:t xml:space="preserv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Item</w:t>
      </w:r>
    </w:p>
    <w:p>
      <w:pPr>
        <w:spacing w:after="0" w:line="15" w:lineRule="exact"/>
        <w:rPr>
          <w:rFonts w:ascii="Arial" w:cs="Arial" w:eastAsia="Arial" w:hAnsi="Arial"/>
          <w:sz w:val="20"/>
          <w:szCs w:val="20"/>
          <w:color w:val="auto"/>
        </w:rPr>
      </w:pPr>
    </w:p>
    <w:p>
      <w:pPr>
        <w:ind w:left="643"/>
        <w:spacing w:after="0"/>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11.1(vii) </w:t>
      </w:r>
      <w:r>
        <w:rPr>
          <w:rFonts w:ascii="Arial" w:cs="Arial" w:eastAsia="Arial" w:hAnsi="Arial"/>
          <w:sz w:val="20"/>
          <w:szCs w:val="20"/>
          <w:u w:val="single" w:color="auto"/>
          <w:color w:val="auto"/>
        </w:rPr>
        <w:t>plus</w:t>
      </w:r>
      <w:r>
        <w:rPr>
          <w:rFonts w:ascii="Arial" w:cs="Arial" w:eastAsia="Arial" w:hAnsi="Arial"/>
          <w:sz w:val="20"/>
          <w:szCs w:val="20"/>
          <w:b w:val="1"/>
          <w:bCs w:val="1"/>
          <w:i w:val="1"/>
          <w:iCs w:val="1"/>
          <w:color w:val="auto"/>
        </w:rPr>
        <w:t xml:space="preserve"> Item 11.1(viii) </w:t>
      </w:r>
      <w:r>
        <w:rPr>
          <w:rFonts w:ascii="Arial" w:cs="Arial" w:eastAsia="Arial" w:hAnsi="Arial"/>
          <w:sz w:val="20"/>
          <w:szCs w:val="20"/>
          <w:u w:val="single" w:color="auto"/>
          <w:color w:val="auto"/>
        </w:rPr>
        <w:t>minus</w:t>
      </w:r>
      <w:r>
        <w:rPr>
          <w:rFonts w:ascii="Arial" w:cs="Arial" w:eastAsia="Arial" w:hAnsi="Arial"/>
          <w:sz w:val="20"/>
          <w:szCs w:val="20"/>
          <w:b w:val="1"/>
          <w:bCs w:val="1"/>
          <w:i w:val="1"/>
          <w:iCs w:val="1"/>
          <w:color w:val="auto"/>
        </w:rPr>
        <w:t xml:space="preserve"> Item 11.1(ix)</w:t>
      </w:r>
      <w:r>
        <w:rPr>
          <w:rFonts w:ascii="Arial" w:cs="Arial" w:eastAsia="Arial" w:hAnsi="Arial"/>
          <w:sz w:val="20"/>
          <w:szCs w:val="20"/>
          <w:color w:val="auto"/>
        </w:rPr>
        <w:t>):</w:t>
      </w:r>
    </w:p>
    <w:tbl>
      <w:tblPr>
        <w:tblLayout w:type="fixed"/>
        <w:tblInd w:w="3" w:type="dxa"/>
        <w:tblCellMar>
          <w:top w:w="0" w:type="dxa"/>
          <w:left w:w="0" w:type="dxa"/>
          <w:bottom w:w="0" w:type="dxa"/>
          <w:right w:w="0" w:type="dxa"/>
        </w:tblCellMar>
      </w:tblPr>
      <w:tr>
        <w:trPr>
          <w:trHeight w:val="250"/>
        </w:trPr>
        <w:tc>
          <w:tcPr>
            <w:tcW w:w="80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 _____________</w:t>
            </w:r>
          </w:p>
        </w:tc>
        <w:tc>
          <w:tcPr>
            <w:tcW w:w="0" w:type="dxa"/>
            <w:vAlign w:val="bottom"/>
          </w:tcPr>
          <w:p>
            <w:pPr>
              <w:spacing w:after="0"/>
              <w:rPr>
                <w:sz w:val="1"/>
                <w:szCs w:val="1"/>
                <w:color w:val="auto"/>
              </w:rPr>
            </w:pPr>
          </w:p>
        </w:tc>
      </w:tr>
      <w:tr>
        <w:trPr>
          <w:trHeight w:val="322"/>
        </w:trPr>
        <w:tc>
          <w:tcPr>
            <w:tcW w:w="8020" w:type="dxa"/>
            <w:vAlign w:val="bottom"/>
          </w:tcPr>
          <w:p>
            <w:pPr>
              <w:spacing w:after="0"/>
              <w:rPr>
                <w:sz w:val="20"/>
                <w:szCs w:val="20"/>
                <w:color w:val="auto"/>
              </w:rPr>
            </w:pPr>
            <w:r>
              <w:rPr>
                <w:rFonts w:ascii="Arial" w:cs="Arial" w:eastAsia="Arial" w:hAnsi="Arial"/>
                <w:sz w:val="20"/>
                <w:szCs w:val="20"/>
                <w:color w:val="auto"/>
              </w:rPr>
              <w:t>(xi) Cash of the Companies:</w:t>
            </w:r>
          </w:p>
        </w:tc>
        <w:tc>
          <w:tcPr>
            <w:tcW w:w="1900" w:type="dxa"/>
            <w:vAlign w:val="bottom"/>
            <w:vMerge w:val="restart"/>
          </w:tcPr>
          <w:p>
            <w:pPr>
              <w:jc w:val="right"/>
              <w:spacing w:after="0"/>
              <w:rPr>
                <w:sz w:val="20"/>
                <w:szCs w:val="20"/>
                <w:color w:val="auto"/>
              </w:rPr>
            </w:pPr>
            <w:r>
              <w:rPr>
                <w:rFonts w:ascii="Arial" w:cs="Arial" w:eastAsia="Arial" w:hAnsi="Arial"/>
                <w:sz w:val="20"/>
                <w:szCs w:val="20"/>
                <w:color w:val="auto"/>
              </w:rPr>
              <w:t>$ _____________</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19"/>
                <w:szCs w:val="19"/>
                <w:color w:val="auto"/>
              </w:rPr>
            </w:pPr>
          </w:p>
        </w:tc>
        <w:tc>
          <w:tcPr>
            <w:tcW w:w="1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8020" w:type="dxa"/>
            <w:vAlign w:val="bottom"/>
          </w:tcPr>
          <w:p>
            <w:pPr>
              <w:spacing w:after="0"/>
              <w:rPr>
                <w:sz w:val="20"/>
                <w:szCs w:val="20"/>
                <w:color w:val="auto"/>
              </w:rPr>
            </w:pPr>
            <w:r>
              <w:rPr>
                <w:rFonts w:ascii="Arial" w:cs="Arial" w:eastAsia="Arial" w:hAnsi="Arial"/>
                <w:sz w:val="20"/>
                <w:szCs w:val="20"/>
                <w:color w:val="auto"/>
                <w:w w:val="95"/>
              </w:rPr>
              <w:t xml:space="preserve">(xii) Cash of the Unrestricted Subsidiaries (the sum of </w:t>
            </w:r>
            <w:r>
              <w:rPr>
                <w:rFonts w:ascii="Arial" w:cs="Arial" w:eastAsia="Arial" w:hAnsi="Arial"/>
                <w:sz w:val="20"/>
                <w:szCs w:val="20"/>
                <w:b w:val="1"/>
                <w:bCs w:val="1"/>
                <w:i w:val="1"/>
                <w:iCs w:val="1"/>
                <w:color w:val="auto"/>
                <w:w w:val="95"/>
              </w:rPr>
              <w:t>Items 11.1(xii)(A)</w:t>
            </w:r>
            <w:r>
              <w:rPr>
                <w:rFonts w:ascii="Arial" w:cs="Arial" w:eastAsia="Arial" w:hAnsi="Arial"/>
                <w:sz w:val="20"/>
                <w:szCs w:val="20"/>
                <w:color w:val="auto"/>
                <w:w w:val="95"/>
              </w:rPr>
              <w:t xml:space="preserve"> through </w:t>
            </w:r>
            <w:r>
              <w:rPr>
                <w:rFonts w:ascii="Arial" w:cs="Arial" w:eastAsia="Arial" w:hAnsi="Arial"/>
                <w:sz w:val="20"/>
                <w:szCs w:val="20"/>
                <w:b w:val="1"/>
                <w:bCs w:val="1"/>
                <w:i w:val="1"/>
                <w:iCs w:val="1"/>
                <w:color w:val="auto"/>
                <w:w w:val="95"/>
              </w:rPr>
              <w:t>11.1(xii)(O)</w:t>
            </w:r>
            <w:r>
              <w:rPr>
                <w:rFonts w:ascii="Arial" w:cs="Arial" w:eastAsia="Arial" w:hAnsi="Arial"/>
                <w:sz w:val="20"/>
                <w:szCs w:val="20"/>
                <w:color w:val="auto"/>
                <w:w w:val="95"/>
              </w:rPr>
              <w:t>):</w:t>
            </w:r>
          </w:p>
        </w:tc>
        <w:tc>
          <w:tcPr>
            <w:tcW w:w="1900" w:type="dxa"/>
            <w:vAlign w:val="bottom"/>
          </w:tcPr>
          <w:p>
            <w:pPr>
              <w:jc w:val="right"/>
              <w:spacing w:after="0"/>
              <w:rPr>
                <w:sz w:val="20"/>
                <w:szCs w:val="20"/>
                <w:color w:val="auto"/>
              </w:rPr>
            </w:pPr>
            <w:r>
              <w:rPr>
                <w:rFonts w:ascii="Arial" w:cs="Arial" w:eastAsia="Arial" w:hAnsi="Arial"/>
                <w:sz w:val="20"/>
                <w:szCs w:val="20"/>
                <w:color w:val="auto"/>
              </w:rPr>
              <w:t>$ _____________</w:t>
            </w:r>
          </w:p>
        </w:tc>
        <w:tc>
          <w:tcPr>
            <w:tcW w:w="0" w:type="dxa"/>
            <w:vAlign w:val="bottom"/>
          </w:tcPr>
          <w:p>
            <w:pPr>
              <w:spacing w:after="0"/>
              <w:rPr>
                <w:sz w:val="1"/>
                <w:szCs w:val="1"/>
                <w:color w:val="auto"/>
              </w:rPr>
            </w:pPr>
          </w:p>
        </w:tc>
      </w:tr>
      <w:tr>
        <w:trPr>
          <w:trHeight w:val="311"/>
        </w:trPr>
        <w:tc>
          <w:tcPr>
            <w:tcW w:w="8020" w:type="dxa"/>
            <w:vAlign w:val="bottom"/>
          </w:tcPr>
          <w:p>
            <w:pPr>
              <w:ind w:left="640"/>
              <w:spacing w:after="0"/>
              <w:rPr>
                <w:sz w:val="20"/>
                <w:szCs w:val="20"/>
                <w:color w:val="auto"/>
              </w:rPr>
            </w:pPr>
            <w:r>
              <w:rPr>
                <w:rFonts w:ascii="Arial" w:cs="Arial" w:eastAsia="Arial" w:hAnsi="Arial"/>
                <w:sz w:val="20"/>
                <w:szCs w:val="20"/>
                <w:color w:val="auto"/>
              </w:rPr>
              <w:t>(A) Gros Ventre Utility Company</w:t>
            </w:r>
          </w:p>
        </w:tc>
        <w:tc>
          <w:tcPr>
            <w:tcW w:w="1900" w:type="dxa"/>
            <w:vAlign w:val="bottom"/>
          </w:tcPr>
          <w:p>
            <w:pPr>
              <w:jc w:val="right"/>
              <w:spacing w:after="0"/>
              <w:rPr>
                <w:sz w:val="20"/>
                <w:szCs w:val="20"/>
                <w:color w:val="auto"/>
              </w:rPr>
            </w:pPr>
            <w:r>
              <w:rPr>
                <w:rFonts w:ascii="Arial" w:cs="Arial" w:eastAsia="Arial" w:hAnsi="Arial"/>
                <w:sz w:val="20"/>
                <w:szCs w:val="20"/>
                <w:color w:val="auto"/>
              </w:rPr>
              <w:t>$ _____________</w:t>
            </w:r>
          </w:p>
        </w:tc>
        <w:tc>
          <w:tcPr>
            <w:tcW w:w="0" w:type="dxa"/>
            <w:vAlign w:val="bottom"/>
          </w:tcPr>
          <w:p>
            <w:pPr>
              <w:spacing w:after="0"/>
              <w:rPr>
                <w:sz w:val="1"/>
                <w:szCs w:val="1"/>
                <w:color w:val="auto"/>
              </w:rPr>
            </w:pPr>
          </w:p>
        </w:tc>
      </w:tr>
      <w:tr>
        <w:trPr>
          <w:trHeight w:val="311"/>
        </w:trPr>
        <w:tc>
          <w:tcPr>
            <w:tcW w:w="8020" w:type="dxa"/>
            <w:vAlign w:val="bottom"/>
          </w:tcPr>
          <w:p>
            <w:pPr>
              <w:ind w:left="640"/>
              <w:spacing w:after="0"/>
              <w:rPr>
                <w:sz w:val="20"/>
                <w:szCs w:val="20"/>
                <w:color w:val="auto"/>
              </w:rPr>
            </w:pPr>
            <w:r>
              <w:rPr>
                <w:rFonts w:ascii="Arial" w:cs="Arial" w:eastAsia="Arial" w:hAnsi="Arial"/>
                <w:sz w:val="20"/>
                <w:szCs w:val="20"/>
                <w:color w:val="auto"/>
              </w:rPr>
              <w:t>(B) Eagle Park Reservoir Company</w:t>
            </w:r>
          </w:p>
        </w:tc>
        <w:tc>
          <w:tcPr>
            <w:tcW w:w="1900" w:type="dxa"/>
            <w:vAlign w:val="bottom"/>
          </w:tcPr>
          <w:p>
            <w:pPr>
              <w:jc w:val="right"/>
              <w:spacing w:after="0"/>
              <w:rPr>
                <w:sz w:val="20"/>
                <w:szCs w:val="20"/>
                <w:color w:val="auto"/>
              </w:rPr>
            </w:pPr>
            <w:r>
              <w:rPr>
                <w:rFonts w:ascii="Arial" w:cs="Arial" w:eastAsia="Arial" w:hAnsi="Arial"/>
                <w:sz w:val="20"/>
                <w:szCs w:val="20"/>
                <w:color w:val="auto"/>
              </w:rPr>
              <w:t>$ _____________</w:t>
            </w:r>
          </w:p>
        </w:tc>
        <w:tc>
          <w:tcPr>
            <w:tcW w:w="0" w:type="dxa"/>
            <w:vAlign w:val="bottom"/>
          </w:tcPr>
          <w:p>
            <w:pPr>
              <w:spacing w:after="0"/>
              <w:rPr>
                <w:sz w:val="1"/>
                <w:szCs w:val="1"/>
                <w:color w:val="auto"/>
              </w:rPr>
            </w:pPr>
          </w:p>
        </w:tc>
      </w:tr>
      <w:tr>
        <w:trPr>
          <w:trHeight w:val="311"/>
        </w:trPr>
        <w:tc>
          <w:tcPr>
            <w:tcW w:w="8020" w:type="dxa"/>
            <w:vAlign w:val="bottom"/>
          </w:tcPr>
          <w:p>
            <w:pPr>
              <w:ind w:left="640"/>
              <w:spacing w:after="0"/>
              <w:rPr>
                <w:sz w:val="20"/>
                <w:szCs w:val="20"/>
                <w:color w:val="auto"/>
              </w:rPr>
            </w:pPr>
            <w:r>
              <w:rPr>
                <w:rFonts w:ascii="Arial" w:cs="Arial" w:eastAsia="Arial" w:hAnsi="Arial"/>
                <w:sz w:val="20"/>
                <w:szCs w:val="20"/>
                <w:color w:val="auto"/>
              </w:rPr>
              <w:t>(C) First Chair Housing Trustee, LLC</w:t>
            </w:r>
          </w:p>
        </w:tc>
        <w:tc>
          <w:tcPr>
            <w:tcW w:w="1900" w:type="dxa"/>
            <w:vAlign w:val="bottom"/>
          </w:tcPr>
          <w:p>
            <w:pPr>
              <w:jc w:val="right"/>
              <w:spacing w:after="0"/>
              <w:rPr>
                <w:sz w:val="20"/>
                <w:szCs w:val="20"/>
                <w:color w:val="auto"/>
              </w:rPr>
            </w:pPr>
            <w:r>
              <w:rPr>
                <w:rFonts w:ascii="Arial" w:cs="Arial" w:eastAsia="Arial" w:hAnsi="Arial"/>
                <w:sz w:val="20"/>
                <w:szCs w:val="20"/>
                <w:color w:val="auto"/>
              </w:rPr>
              <w:t>$ _____________</w:t>
            </w:r>
          </w:p>
        </w:tc>
        <w:tc>
          <w:tcPr>
            <w:tcW w:w="0" w:type="dxa"/>
            <w:vAlign w:val="bottom"/>
          </w:tcPr>
          <w:p>
            <w:pPr>
              <w:spacing w:after="0"/>
              <w:rPr>
                <w:sz w:val="1"/>
                <w:szCs w:val="1"/>
                <w:color w:val="auto"/>
              </w:rPr>
            </w:pPr>
          </w:p>
        </w:tc>
      </w:tr>
      <w:tr>
        <w:trPr>
          <w:trHeight w:val="311"/>
        </w:trPr>
        <w:tc>
          <w:tcPr>
            <w:tcW w:w="8020" w:type="dxa"/>
            <w:vAlign w:val="bottom"/>
          </w:tcPr>
          <w:p>
            <w:pPr>
              <w:ind w:left="640"/>
              <w:spacing w:after="0"/>
              <w:rPr>
                <w:sz w:val="20"/>
                <w:szCs w:val="20"/>
                <w:color w:val="auto"/>
              </w:rPr>
            </w:pPr>
            <w:r>
              <w:rPr>
                <w:rFonts w:ascii="Arial" w:cs="Arial" w:eastAsia="Arial" w:hAnsi="Arial"/>
                <w:sz w:val="20"/>
                <w:szCs w:val="20"/>
                <w:color w:val="auto"/>
              </w:rPr>
              <w:t>(D) Forest Ridge Holdings, Inc.</w:t>
            </w:r>
          </w:p>
        </w:tc>
        <w:tc>
          <w:tcPr>
            <w:tcW w:w="1900" w:type="dxa"/>
            <w:vAlign w:val="bottom"/>
          </w:tcPr>
          <w:p>
            <w:pPr>
              <w:jc w:val="right"/>
              <w:spacing w:after="0"/>
              <w:rPr>
                <w:sz w:val="20"/>
                <w:szCs w:val="20"/>
                <w:color w:val="auto"/>
              </w:rPr>
            </w:pPr>
            <w:r>
              <w:rPr>
                <w:rFonts w:ascii="Arial" w:cs="Arial" w:eastAsia="Arial" w:hAnsi="Arial"/>
                <w:sz w:val="20"/>
                <w:szCs w:val="20"/>
                <w:color w:val="auto"/>
              </w:rPr>
              <w:t>$ _____________</w:t>
            </w:r>
          </w:p>
        </w:tc>
        <w:tc>
          <w:tcPr>
            <w:tcW w:w="0" w:type="dxa"/>
            <w:vAlign w:val="bottom"/>
          </w:tcPr>
          <w:p>
            <w:pPr>
              <w:spacing w:after="0"/>
              <w:rPr>
                <w:sz w:val="1"/>
                <w:szCs w:val="1"/>
                <w:color w:val="auto"/>
              </w:rPr>
            </w:pPr>
          </w:p>
        </w:tc>
      </w:tr>
      <w:tr>
        <w:trPr>
          <w:trHeight w:val="311"/>
        </w:trPr>
        <w:tc>
          <w:tcPr>
            <w:tcW w:w="8020" w:type="dxa"/>
            <w:vAlign w:val="bottom"/>
          </w:tcPr>
          <w:p>
            <w:pPr>
              <w:ind w:left="640"/>
              <w:spacing w:after="0"/>
              <w:rPr>
                <w:sz w:val="20"/>
                <w:szCs w:val="20"/>
                <w:color w:val="auto"/>
              </w:rPr>
            </w:pPr>
            <w:r>
              <w:rPr>
                <w:rFonts w:ascii="Arial" w:cs="Arial" w:eastAsia="Arial" w:hAnsi="Arial"/>
                <w:sz w:val="20"/>
                <w:szCs w:val="20"/>
                <w:color w:val="auto"/>
              </w:rPr>
              <w:t>(E) Gore Creek Place, LLC</w:t>
            </w:r>
          </w:p>
        </w:tc>
        <w:tc>
          <w:tcPr>
            <w:tcW w:w="1900" w:type="dxa"/>
            <w:vAlign w:val="bottom"/>
          </w:tcPr>
          <w:p>
            <w:pPr>
              <w:jc w:val="right"/>
              <w:spacing w:after="0"/>
              <w:rPr>
                <w:sz w:val="20"/>
                <w:szCs w:val="20"/>
                <w:color w:val="auto"/>
              </w:rPr>
            </w:pPr>
            <w:r>
              <w:rPr>
                <w:rFonts w:ascii="Arial" w:cs="Arial" w:eastAsia="Arial" w:hAnsi="Arial"/>
                <w:sz w:val="20"/>
                <w:szCs w:val="20"/>
                <w:color w:val="auto"/>
              </w:rPr>
              <w:t>$ _____________</w:t>
            </w:r>
          </w:p>
        </w:tc>
        <w:tc>
          <w:tcPr>
            <w:tcW w:w="0" w:type="dxa"/>
            <w:vAlign w:val="bottom"/>
          </w:tcPr>
          <w:p>
            <w:pPr>
              <w:spacing w:after="0"/>
              <w:rPr>
                <w:sz w:val="1"/>
                <w:szCs w:val="1"/>
                <w:color w:val="auto"/>
              </w:rPr>
            </w:pPr>
          </w:p>
        </w:tc>
      </w:tr>
      <w:tr>
        <w:trPr>
          <w:trHeight w:val="311"/>
        </w:trPr>
        <w:tc>
          <w:tcPr>
            <w:tcW w:w="8020" w:type="dxa"/>
            <w:vAlign w:val="bottom"/>
          </w:tcPr>
          <w:p>
            <w:pPr>
              <w:ind w:left="640"/>
              <w:spacing w:after="0"/>
              <w:rPr>
                <w:sz w:val="20"/>
                <w:szCs w:val="20"/>
                <w:color w:val="auto"/>
              </w:rPr>
            </w:pPr>
            <w:r>
              <w:rPr>
                <w:rFonts w:ascii="Arial" w:cs="Arial" w:eastAsia="Arial" w:hAnsi="Arial"/>
                <w:sz w:val="20"/>
                <w:szCs w:val="20"/>
                <w:color w:val="auto"/>
              </w:rPr>
              <w:t>(F) Hunkidori Land Company, LLC</w:t>
            </w:r>
          </w:p>
        </w:tc>
        <w:tc>
          <w:tcPr>
            <w:tcW w:w="1900" w:type="dxa"/>
            <w:vAlign w:val="bottom"/>
          </w:tcPr>
          <w:p>
            <w:pPr>
              <w:jc w:val="right"/>
              <w:spacing w:after="0"/>
              <w:rPr>
                <w:sz w:val="20"/>
                <w:szCs w:val="20"/>
                <w:color w:val="auto"/>
              </w:rPr>
            </w:pPr>
            <w:r>
              <w:rPr>
                <w:rFonts w:ascii="Arial" w:cs="Arial" w:eastAsia="Arial" w:hAnsi="Arial"/>
                <w:sz w:val="20"/>
                <w:szCs w:val="20"/>
                <w:color w:val="auto"/>
              </w:rPr>
              <w:t>$ _____________</w:t>
            </w:r>
          </w:p>
        </w:tc>
        <w:tc>
          <w:tcPr>
            <w:tcW w:w="0" w:type="dxa"/>
            <w:vAlign w:val="bottom"/>
          </w:tcPr>
          <w:p>
            <w:pPr>
              <w:spacing w:after="0"/>
              <w:rPr>
                <w:sz w:val="1"/>
                <w:szCs w:val="1"/>
                <w:color w:val="auto"/>
              </w:rPr>
            </w:pPr>
          </w:p>
        </w:tc>
      </w:tr>
      <w:tr>
        <w:trPr>
          <w:trHeight w:val="311"/>
        </w:trPr>
        <w:tc>
          <w:tcPr>
            <w:tcW w:w="8020" w:type="dxa"/>
            <w:vAlign w:val="bottom"/>
          </w:tcPr>
          <w:p>
            <w:pPr>
              <w:ind w:left="640"/>
              <w:spacing w:after="0"/>
              <w:rPr>
                <w:sz w:val="20"/>
                <w:szCs w:val="20"/>
                <w:color w:val="auto"/>
              </w:rPr>
            </w:pPr>
            <w:r>
              <w:rPr>
                <w:rFonts w:ascii="Arial" w:cs="Arial" w:eastAsia="Arial" w:hAnsi="Arial"/>
                <w:sz w:val="20"/>
                <w:szCs w:val="20"/>
                <w:color w:val="auto"/>
              </w:rPr>
              <w:t>(G) TCRM Company</w:t>
            </w:r>
          </w:p>
        </w:tc>
        <w:tc>
          <w:tcPr>
            <w:tcW w:w="1900" w:type="dxa"/>
            <w:vAlign w:val="bottom"/>
          </w:tcPr>
          <w:p>
            <w:pPr>
              <w:jc w:val="right"/>
              <w:spacing w:after="0"/>
              <w:rPr>
                <w:sz w:val="20"/>
                <w:szCs w:val="20"/>
                <w:color w:val="auto"/>
              </w:rPr>
            </w:pPr>
            <w:r>
              <w:rPr>
                <w:rFonts w:ascii="Arial" w:cs="Arial" w:eastAsia="Arial" w:hAnsi="Arial"/>
                <w:sz w:val="20"/>
                <w:szCs w:val="20"/>
                <w:color w:val="auto"/>
              </w:rPr>
              <w:t>$ _____________</w:t>
            </w:r>
          </w:p>
        </w:tc>
        <w:tc>
          <w:tcPr>
            <w:tcW w:w="0" w:type="dxa"/>
            <w:vAlign w:val="bottom"/>
          </w:tcPr>
          <w:p>
            <w:pPr>
              <w:spacing w:after="0"/>
              <w:rPr>
                <w:sz w:val="1"/>
                <w:szCs w:val="1"/>
                <w:color w:val="auto"/>
              </w:rPr>
            </w:pPr>
          </w:p>
        </w:tc>
      </w:tr>
      <w:tr>
        <w:trPr>
          <w:trHeight w:val="311"/>
        </w:trPr>
        <w:tc>
          <w:tcPr>
            <w:tcW w:w="8020" w:type="dxa"/>
            <w:vAlign w:val="bottom"/>
          </w:tcPr>
          <w:p>
            <w:pPr>
              <w:ind w:left="640"/>
              <w:spacing w:after="0"/>
              <w:rPr>
                <w:sz w:val="20"/>
                <w:szCs w:val="20"/>
                <w:color w:val="auto"/>
              </w:rPr>
            </w:pPr>
            <w:r>
              <w:rPr>
                <w:rFonts w:ascii="Arial" w:cs="Arial" w:eastAsia="Arial" w:hAnsi="Arial"/>
                <w:sz w:val="20"/>
                <w:szCs w:val="20"/>
                <w:color w:val="auto"/>
              </w:rPr>
              <w:t>(H) Stagecoach Development, LLC</w:t>
            </w:r>
          </w:p>
        </w:tc>
        <w:tc>
          <w:tcPr>
            <w:tcW w:w="1900" w:type="dxa"/>
            <w:vAlign w:val="bottom"/>
          </w:tcPr>
          <w:p>
            <w:pPr>
              <w:jc w:val="right"/>
              <w:spacing w:after="0"/>
              <w:rPr>
                <w:sz w:val="20"/>
                <w:szCs w:val="20"/>
                <w:color w:val="auto"/>
              </w:rPr>
            </w:pPr>
            <w:r>
              <w:rPr>
                <w:rFonts w:ascii="Arial" w:cs="Arial" w:eastAsia="Arial" w:hAnsi="Arial"/>
                <w:sz w:val="20"/>
                <w:szCs w:val="20"/>
                <w:color w:val="auto"/>
              </w:rPr>
              <w:t>$ _____________</w:t>
            </w:r>
          </w:p>
        </w:tc>
        <w:tc>
          <w:tcPr>
            <w:tcW w:w="0" w:type="dxa"/>
            <w:vAlign w:val="bottom"/>
          </w:tcPr>
          <w:p>
            <w:pPr>
              <w:spacing w:after="0"/>
              <w:rPr>
                <w:sz w:val="1"/>
                <w:szCs w:val="1"/>
                <w:color w:val="auto"/>
              </w:rPr>
            </w:pPr>
          </w:p>
        </w:tc>
      </w:tr>
      <w:tr>
        <w:trPr>
          <w:trHeight w:val="311"/>
        </w:trPr>
        <w:tc>
          <w:tcPr>
            <w:tcW w:w="8020" w:type="dxa"/>
            <w:vAlign w:val="bottom"/>
          </w:tcPr>
          <w:p>
            <w:pPr>
              <w:ind w:left="640"/>
              <w:spacing w:after="0"/>
              <w:rPr>
                <w:sz w:val="20"/>
                <w:szCs w:val="20"/>
                <w:color w:val="auto"/>
              </w:rPr>
            </w:pPr>
            <w:r>
              <w:rPr>
                <w:rFonts w:ascii="Arial" w:cs="Arial" w:eastAsia="Arial" w:hAnsi="Arial"/>
                <w:sz w:val="20"/>
                <w:szCs w:val="20"/>
                <w:color w:val="auto"/>
              </w:rPr>
              <w:t>(I) Black Diamond Insurance, Inc.</w:t>
            </w:r>
          </w:p>
        </w:tc>
        <w:tc>
          <w:tcPr>
            <w:tcW w:w="1900" w:type="dxa"/>
            <w:vAlign w:val="bottom"/>
          </w:tcPr>
          <w:p>
            <w:pPr>
              <w:jc w:val="right"/>
              <w:spacing w:after="0"/>
              <w:rPr>
                <w:sz w:val="20"/>
                <w:szCs w:val="20"/>
                <w:color w:val="auto"/>
              </w:rPr>
            </w:pPr>
            <w:r>
              <w:rPr>
                <w:rFonts w:ascii="Arial" w:cs="Arial" w:eastAsia="Arial" w:hAnsi="Arial"/>
                <w:sz w:val="20"/>
                <w:szCs w:val="20"/>
                <w:color w:val="auto"/>
              </w:rPr>
              <w:t>$ _____________</w:t>
            </w:r>
          </w:p>
        </w:tc>
        <w:tc>
          <w:tcPr>
            <w:tcW w:w="0" w:type="dxa"/>
            <w:vAlign w:val="bottom"/>
          </w:tcPr>
          <w:p>
            <w:pPr>
              <w:spacing w:after="0"/>
              <w:rPr>
                <w:sz w:val="1"/>
                <w:szCs w:val="1"/>
                <w:color w:val="auto"/>
              </w:rPr>
            </w:pPr>
          </w:p>
        </w:tc>
      </w:tr>
      <w:tr>
        <w:trPr>
          <w:trHeight w:val="311"/>
        </w:trPr>
        <w:tc>
          <w:tcPr>
            <w:tcW w:w="8020" w:type="dxa"/>
            <w:vAlign w:val="bottom"/>
          </w:tcPr>
          <w:p>
            <w:pPr>
              <w:ind w:left="640"/>
              <w:spacing w:after="0"/>
              <w:rPr>
                <w:sz w:val="20"/>
                <w:szCs w:val="20"/>
                <w:color w:val="auto"/>
              </w:rPr>
            </w:pPr>
            <w:r>
              <w:rPr>
                <w:rFonts w:ascii="Arial" w:cs="Arial" w:eastAsia="Arial" w:hAnsi="Arial"/>
                <w:sz w:val="20"/>
                <w:szCs w:val="20"/>
                <w:color w:val="auto"/>
              </w:rPr>
              <w:t>(J) Ever Vail, LLC</w:t>
            </w:r>
          </w:p>
        </w:tc>
        <w:tc>
          <w:tcPr>
            <w:tcW w:w="1900" w:type="dxa"/>
            <w:vAlign w:val="bottom"/>
          </w:tcPr>
          <w:p>
            <w:pPr>
              <w:jc w:val="right"/>
              <w:spacing w:after="0"/>
              <w:rPr>
                <w:sz w:val="20"/>
                <w:szCs w:val="20"/>
                <w:color w:val="auto"/>
              </w:rPr>
            </w:pPr>
            <w:r>
              <w:rPr>
                <w:rFonts w:ascii="Arial" w:cs="Arial" w:eastAsia="Arial" w:hAnsi="Arial"/>
                <w:sz w:val="20"/>
                <w:szCs w:val="20"/>
                <w:color w:val="auto"/>
              </w:rPr>
              <w:t>$ _____________</w:t>
            </w:r>
          </w:p>
        </w:tc>
        <w:tc>
          <w:tcPr>
            <w:tcW w:w="0" w:type="dxa"/>
            <w:vAlign w:val="bottom"/>
          </w:tcPr>
          <w:p>
            <w:pPr>
              <w:spacing w:after="0"/>
              <w:rPr>
                <w:sz w:val="1"/>
                <w:szCs w:val="1"/>
                <w:color w:val="auto"/>
              </w:rPr>
            </w:pPr>
          </w:p>
        </w:tc>
      </w:tr>
      <w:tr>
        <w:trPr>
          <w:trHeight w:val="311"/>
        </w:trPr>
        <w:tc>
          <w:tcPr>
            <w:tcW w:w="8020" w:type="dxa"/>
            <w:vAlign w:val="bottom"/>
          </w:tcPr>
          <w:p>
            <w:pPr>
              <w:ind w:left="640"/>
              <w:spacing w:after="0"/>
              <w:rPr>
                <w:sz w:val="20"/>
                <w:szCs w:val="20"/>
                <w:color w:val="auto"/>
              </w:rPr>
            </w:pPr>
            <w:r>
              <w:rPr>
                <w:rFonts w:ascii="Arial" w:cs="Arial" w:eastAsia="Arial" w:hAnsi="Arial"/>
                <w:sz w:val="20"/>
                <w:szCs w:val="20"/>
                <w:color w:val="auto"/>
              </w:rPr>
              <w:t>(K) Larkspur Restaurant &amp; Bar, LLC</w:t>
            </w:r>
          </w:p>
        </w:tc>
        <w:tc>
          <w:tcPr>
            <w:tcW w:w="1900" w:type="dxa"/>
            <w:vAlign w:val="bottom"/>
          </w:tcPr>
          <w:p>
            <w:pPr>
              <w:jc w:val="right"/>
              <w:spacing w:after="0"/>
              <w:rPr>
                <w:sz w:val="20"/>
                <w:szCs w:val="20"/>
                <w:color w:val="auto"/>
              </w:rPr>
            </w:pPr>
            <w:r>
              <w:rPr>
                <w:rFonts w:ascii="Arial" w:cs="Arial" w:eastAsia="Arial" w:hAnsi="Arial"/>
                <w:sz w:val="20"/>
                <w:szCs w:val="20"/>
                <w:color w:val="auto"/>
              </w:rPr>
              <w:t>$ _____________</w:t>
            </w:r>
          </w:p>
        </w:tc>
        <w:tc>
          <w:tcPr>
            <w:tcW w:w="0" w:type="dxa"/>
            <w:vAlign w:val="bottom"/>
          </w:tcPr>
          <w:p>
            <w:pPr>
              <w:spacing w:after="0"/>
              <w:rPr>
                <w:sz w:val="1"/>
                <w:szCs w:val="1"/>
                <w:color w:val="auto"/>
              </w:rPr>
            </w:pPr>
          </w:p>
        </w:tc>
      </w:tr>
      <w:tr>
        <w:trPr>
          <w:trHeight w:val="311"/>
        </w:trPr>
        <w:tc>
          <w:tcPr>
            <w:tcW w:w="8020" w:type="dxa"/>
            <w:vAlign w:val="bottom"/>
          </w:tcPr>
          <w:p>
            <w:pPr>
              <w:ind w:left="640"/>
              <w:spacing w:after="0"/>
              <w:rPr>
                <w:sz w:val="20"/>
                <w:szCs w:val="20"/>
                <w:color w:val="auto"/>
              </w:rPr>
            </w:pPr>
            <w:r>
              <w:rPr>
                <w:rFonts w:ascii="Arial" w:cs="Arial" w:eastAsia="Arial" w:hAnsi="Arial"/>
                <w:sz w:val="20"/>
                <w:szCs w:val="20"/>
                <w:color w:val="auto"/>
              </w:rPr>
              <w:t>(L) Mountain Thunder, Inc.</w:t>
            </w:r>
          </w:p>
        </w:tc>
        <w:tc>
          <w:tcPr>
            <w:tcW w:w="1900" w:type="dxa"/>
            <w:vAlign w:val="bottom"/>
          </w:tcPr>
          <w:p>
            <w:pPr>
              <w:jc w:val="right"/>
              <w:spacing w:after="0"/>
              <w:rPr>
                <w:sz w:val="20"/>
                <w:szCs w:val="20"/>
                <w:color w:val="auto"/>
              </w:rPr>
            </w:pPr>
            <w:r>
              <w:rPr>
                <w:rFonts w:ascii="Arial" w:cs="Arial" w:eastAsia="Arial" w:hAnsi="Arial"/>
                <w:sz w:val="20"/>
                <w:szCs w:val="20"/>
                <w:color w:val="auto"/>
              </w:rPr>
              <w:t>$ _____________</w:t>
            </w:r>
          </w:p>
        </w:tc>
        <w:tc>
          <w:tcPr>
            <w:tcW w:w="0" w:type="dxa"/>
            <w:vAlign w:val="bottom"/>
          </w:tcPr>
          <w:p>
            <w:pPr>
              <w:spacing w:after="0"/>
              <w:rPr>
                <w:sz w:val="1"/>
                <w:szCs w:val="1"/>
                <w:color w:val="auto"/>
              </w:rPr>
            </w:pPr>
          </w:p>
        </w:tc>
      </w:tr>
    </w:tbl>
    <w:p>
      <w:pPr>
        <w:sectPr>
          <w:pgSz w:w="11900" w:h="16838" w:orient="portrait"/>
          <w:cols w:equalWidth="0" w:num="1">
            <w:col w:w="9923"/>
          </w:cols>
          <w:pgMar w:left="977" w:top="744" w:right="999" w:bottom="1440" w:gutter="0" w:footer="0" w:header="0"/>
          <w:type w:val="continuous"/>
        </w:sectPr>
      </w:pPr>
    </w:p>
    <w:bookmarkStart w:id="232" w:name="page233"/>
    <w:bookmarkEnd w:id="232"/>
    <w:p>
      <w:pPr>
        <w:ind w:left="643"/>
        <w:spacing w:after="0"/>
        <w:rPr>
          <w:sz w:val="20"/>
          <w:szCs w:val="20"/>
          <w:color w:val="auto"/>
        </w:rPr>
      </w:pPr>
      <w:r>
        <w:rPr>
          <w:rFonts w:ascii="Arial" w:cs="Arial" w:eastAsia="Arial" w:hAnsi="Arial"/>
          <w:sz w:val="20"/>
          <w:szCs w:val="20"/>
          <w:color w:val="auto"/>
        </w:rPr>
        <w:t>(M) One River Run, LLC</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20"/>
          <w:szCs w:val="20"/>
          <w:color w:val="auto"/>
        </w:rPr>
        <w:t>(N) Other Unrestricted Subsidiaries not listed above</w:t>
      </w:r>
    </w:p>
    <w:p>
      <w:pPr>
        <w:spacing w:after="0" w:line="80" w:lineRule="exact"/>
        <w:rPr>
          <w:sz w:val="20"/>
          <w:szCs w:val="20"/>
          <w:color w:val="auto"/>
        </w:rPr>
      </w:pPr>
    </w:p>
    <w:p>
      <w:pPr>
        <w:ind w:left="1063" w:hanging="428"/>
        <w:spacing w:after="0" w:line="269" w:lineRule="auto"/>
        <w:tabs>
          <w:tab w:leader="none" w:pos="968" w:val="left"/>
        </w:tabs>
        <w:numPr>
          <w:ilvl w:val="1"/>
          <w:numId w:val="247"/>
        </w:numPr>
        <w:rPr>
          <w:rFonts w:ascii="Arial" w:cs="Arial" w:eastAsia="Arial" w:hAnsi="Arial"/>
          <w:sz w:val="19"/>
          <w:szCs w:val="19"/>
          <w:color w:val="auto"/>
        </w:rPr>
      </w:pPr>
      <w:r>
        <w:rPr>
          <w:rFonts w:ascii="Arial" w:cs="Arial" w:eastAsia="Arial" w:hAnsi="Arial"/>
          <w:sz w:val="19"/>
          <w:szCs w:val="19"/>
          <w:color w:val="auto"/>
        </w:rPr>
        <w:t>Whistler Acquisition Subsidiaries Minority Interest (add 25% (or if minority equity interest is not 25%, then the percentage of minority equity interest in the Whistler Acquisition Subsidiaries) of this line item attributable to the Whistler Acquisition Subsidiaries)</w:t>
      </w:r>
    </w:p>
    <w:p>
      <w:pPr>
        <w:spacing w:after="0" w:line="62" w:lineRule="exact"/>
        <w:rPr>
          <w:rFonts w:ascii="Arial" w:cs="Arial" w:eastAsia="Arial" w:hAnsi="Arial"/>
          <w:sz w:val="19"/>
          <w:szCs w:val="19"/>
          <w:color w:val="auto"/>
        </w:rPr>
      </w:pPr>
    </w:p>
    <w:p>
      <w:pPr>
        <w:ind w:left="443" w:hanging="443"/>
        <w:spacing w:after="0"/>
        <w:tabs>
          <w:tab w:leader="none" w:pos="443" w:val="left"/>
        </w:tabs>
        <w:numPr>
          <w:ilvl w:val="0"/>
          <w:numId w:val="248"/>
        </w:numPr>
        <w:rPr>
          <w:rFonts w:ascii="Arial" w:cs="Arial" w:eastAsia="Arial" w:hAnsi="Arial"/>
          <w:sz w:val="20"/>
          <w:szCs w:val="20"/>
          <w:color w:val="auto"/>
        </w:rPr>
      </w:pPr>
      <w:r>
        <w:rPr>
          <w:rFonts w:ascii="Arial" w:cs="Arial" w:eastAsia="Arial" w:hAnsi="Arial"/>
          <w:sz w:val="20"/>
          <w:szCs w:val="20"/>
          <w:color w:val="auto"/>
        </w:rPr>
        <w:t>Cash of the Restricted Companies (</w:t>
      </w:r>
      <w:r>
        <w:rPr>
          <w:rFonts w:ascii="Arial" w:cs="Arial" w:eastAsia="Arial" w:hAnsi="Arial"/>
          <w:sz w:val="20"/>
          <w:szCs w:val="20"/>
          <w:b w:val="1"/>
          <w:bCs w:val="1"/>
          <w:i w:val="1"/>
          <w:iCs w:val="1"/>
          <w:color w:val="auto"/>
        </w:rPr>
        <w:t>Item 11.1(xi)</w:t>
      </w:r>
      <w:r>
        <w:rPr>
          <w:rFonts w:ascii="Arial" w:cs="Arial" w:eastAsia="Arial" w:hAnsi="Arial"/>
          <w:sz w:val="20"/>
          <w:szCs w:val="20"/>
          <w:color w:val="auto"/>
        </w:rPr>
        <w:t xml:space="preserv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Item 11.1(xii)</w:t>
      </w:r>
      <w:r>
        <w:rPr>
          <w:rFonts w:ascii="Arial" w:cs="Arial" w:eastAsia="Arial" w:hAnsi="Arial"/>
          <w:sz w:val="20"/>
          <w:szCs w:val="20"/>
          <w:color w:val="auto"/>
        </w:rPr>
        <w:t>):</w:t>
      </w:r>
    </w:p>
    <w:p>
      <w:pPr>
        <w:spacing w:after="0" w:line="310" w:lineRule="exact"/>
        <w:rPr>
          <w:rFonts w:ascii="Arial" w:cs="Arial" w:eastAsia="Arial" w:hAnsi="Arial"/>
          <w:sz w:val="20"/>
          <w:szCs w:val="20"/>
          <w:color w:val="auto"/>
        </w:rPr>
      </w:pPr>
    </w:p>
    <w:p>
      <w:pPr>
        <w:ind w:left="643" w:hanging="643"/>
        <w:spacing w:after="0" w:line="246" w:lineRule="auto"/>
        <w:tabs>
          <w:tab w:leader="none" w:pos="428" w:val="left"/>
        </w:tabs>
        <w:numPr>
          <w:ilvl w:val="0"/>
          <w:numId w:val="248"/>
        </w:numPr>
        <w:rPr>
          <w:rFonts w:ascii="Arial" w:cs="Arial" w:eastAsia="Arial" w:hAnsi="Arial"/>
          <w:sz w:val="20"/>
          <w:szCs w:val="20"/>
          <w:color w:val="auto"/>
        </w:rPr>
      </w:pPr>
      <w:r>
        <w:rPr>
          <w:rFonts w:ascii="Arial" w:cs="Arial" w:eastAsia="Arial" w:hAnsi="Arial"/>
          <w:sz w:val="20"/>
          <w:szCs w:val="20"/>
          <w:color w:val="auto"/>
        </w:rPr>
        <w:t>Investments of the Companies in marketable obligations issued or unconditionally guaranteed by an Approved Jurisdiction or issued by an agency of an Approved Jurisdiction and backed by the full faith and credit of such Approved Jurisdiction, in each case maturing within one year from the date of acquisition:</w:t>
      </w:r>
    </w:p>
    <w:p>
      <w:pPr>
        <w:spacing w:after="0" w:line="56" w:lineRule="exact"/>
        <w:rPr>
          <w:rFonts w:ascii="Arial" w:cs="Arial" w:eastAsia="Arial" w:hAnsi="Arial"/>
          <w:sz w:val="20"/>
          <w:szCs w:val="20"/>
          <w:color w:val="auto"/>
        </w:rPr>
      </w:pPr>
    </w:p>
    <w:p>
      <w:pPr>
        <w:ind w:left="643" w:hanging="643"/>
        <w:spacing w:after="0" w:line="276" w:lineRule="auto"/>
        <w:tabs>
          <w:tab w:leader="none" w:pos="374"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Investments of the Companies in short-term investment grade domestic and eurodollar certificates of deposit or time deposits that are fully insured by the Federal Deposit Insurance Corporation or similar agency of an Approved Jurisdiction or are issued by commercial banks organized under the Laws of an Approved Jurisdiction or any state or province of an Approved Jurisdiction having combined capital, surplus, and undivided profits of not less than $100,000,000 (as shown on its most recently published statement of condition):</w:t>
      </w:r>
    </w:p>
    <w:p>
      <w:pPr>
        <w:spacing w:after="0" w:line="259" w:lineRule="exact"/>
        <w:rPr>
          <w:rFonts w:ascii="Arial" w:cs="Arial" w:eastAsia="Arial" w:hAnsi="Arial"/>
          <w:sz w:val="18"/>
          <w:szCs w:val="18"/>
          <w:color w:val="auto"/>
        </w:rPr>
      </w:pPr>
    </w:p>
    <w:p>
      <w:pPr>
        <w:ind w:left="643" w:hanging="643"/>
        <w:spacing w:after="0" w:line="240" w:lineRule="exact"/>
        <w:tabs>
          <w:tab w:leader="none" w:pos="428" w:val="left"/>
        </w:tabs>
        <w:numPr>
          <w:ilvl w:val="0"/>
          <w:numId w:val="248"/>
        </w:numPr>
        <w:rPr>
          <w:rFonts w:ascii="Arial" w:cs="Arial" w:eastAsia="Arial" w:hAnsi="Arial"/>
          <w:sz w:val="20"/>
          <w:szCs w:val="20"/>
          <w:color w:val="auto"/>
        </w:rPr>
      </w:pPr>
      <w:r>
        <w:rPr>
          <w:rFonts w:ascii="Arial" w:cs="Arial" w:eastAsia="Arial" w:hAnsi="Arial"/>
          <w:sz w:val="20"/>
          <w:szCs w:val="20"/>
          <w:color w:val="auto"/>
        </w:rPr>
        <w:t xml:space="preserve">Investments of the Companies in commercial paper and similar obligations rated </w:t>
      </w:r>
      <w:r>
        <w:rPr>
          <w:rFonts w:ascii="Arial" w:cs="Arial" w:eastAsia="Arial" w:hAnsi="Arial"/>
          <w:sz w:val="20"/>
          <w:szCs w:val="20"/>
          <w:i w:val="1"/>
          <w:iCs w:val="1"/>
          <w:color w:val="auto"/>
        </w:rPr>
        <w:t>“P-1”</w:t>
      </w:r>
      <w:r>
        <w:rPr>
          <w:rFonts w:ascii="Arial" w:cs="Arial" w:eastAsia="Arial" w:hAnsi="Arial"/>
          <w:sz w:val="20"/>
          <w:szCs w:val="20"/>
          <w:color w:val="auto"/>
        </w:rPr>
        <w:t xml:space="preserve"> by Moody’s or </w:t>
      </w:r>
      <w:r>
        <w:rPr>
          <w:rFonts w:ascii="Arial" w:cs="Arial" w:eastAsia="Arial" w:hAnsi="Arial"/>
          <w:sz w:val="20"/>
          <w:szCs w:val="20"/>
          <w:i w:val="1"/>
          <w:iCs w:val="1"/>
          <w:color w:val="auto"/>
        </w:rPr>
        <w:t>“A</w:t>
      </w:r>
      <w:r>
        <w:rPr>
          <w:rFonts w:ascii="MS PGothic" w:cs="MS PGothic" w:eastAsia="MS PGothic" w:hAnsi="MS PGothic"/>
          <w:sz w:val="20"/>
          <w:szCs w:val="20"/>
          <w:color w:val="auto"/>
        </w:rPr>
        <w:t>‑</w:t>
      </w:r>
      <w:r>
        <w:rPr>
          <w:rFonts w:ascii="Arial" w:cs="Arial" w:eastAsia="Arial" w:hAnsi="Arial"/>
          <w:sz w:val="20"/>
          <w:szCs w:val="20"/>
          <w:i w:val="1"/>
          <w:iCs w:val="1"/>
          <w:color w:val="auto"/>
        </w:rPr>
        <w:t>1”</w:t>
      </w:r>
      <w:r>
        <w:rPr>
          <w:rFonts w:ascii="Arial" w:cs="Arial" w:eastAsia="Arial" w:hAnsi="Arial"/>
          <w:sz w:val="20"/>
          <w:szCs w:val="20"/>
          <w:color w:val="auto"/>
        </w:rPr>
        <w:t xml:space="preserve"> by S&amp;P:</w:t>
      </w:r>
    </w:p>
    <w:p>
      <w:pPr>
        <w:spacing w:after="0" w:line="317" w:lineRule="exact"/>
        <w:rPr>
          <w:rFonts w:ascii="Arial" w:cs="Arial" w:eastAsia="Arial" w:hAnsi="Arial"/>
          <w:sz w:val="20"/>
          <w:szCs w:val="20"/>
          <w:color w:val="auto"/>
        </w:rPr>
      </w:pPr>
    </w:p>
    <w:p>
      <w:pPr>
        <w:ind w:left="643" w:hanging="643"/>
        <w:spacing w:after="0" w:line="236" w:lineRule="exact"/>
        <w:tabs>
          <w:tab w:leader="none" w:pos="483" w:val="left"/>
        </w:tabs>
        <w:numPr>
          <w:ilvl w:val="0"/>
          <w:numId w:val="248"/>
        </w:numPr>
        <w:rPr>
          <w:rFonts w:ascii="Arial" w:cs="Arial" w:eastAsia="Arial" w:hAnsi="Arial"/>
          <w:sz w:val="20"/>
          <w:szCs w:val="20"/>
          <w:color w:val="auto"/>
        </w:rPr>
      </w:pPr>
      <w:r>
        <w:rPr>
          <w:rFonts w:ascii="Arial" w:cs="Arial" w:eastAsia="Arial" w:hAnsi="Arial"/>
          <w:sz w:val="20"/>
          <w:szCs w:val="20"/>
          <w:color w:val="auto"/>
        </w:rPr>
        <w:t xml:space="preserve">Investments of the Companies in readily marketable Tax-free municipal bonds of a domestic issuer rated </w:t>
      </w:r>
      <w:r>
        <w:rPr>
          <w:rFonts w:ascii="Arial" w:cs="Arial" w:eastAsia="Arial" w:hAnsi="Arial"/>
          <w:sz w:val="20"/>
          <w:szCs w:val="20"/>
          <w:i w:val="1"/>
          <w:iCs w:val="1"/>
          <w:color w:val="auto"/>
        </w:rPr>
        <w:t>“A</w:t>
      </w:r>
      <w:r>
        <w:rPr>
          <w:rFonts w:ascii="MS PGothic" w:cs="MS PGothic" w:eastAsia="MS PGothic" w:hAnsi="MS PGothic"/>
          <w:sz w:val="20"/>
          <w:szCs w:val="20"/>
          <w:color w:val="auto"/>
        </w:rPr>
        <w:t>‑</w:t>
      </w:r>
      <w:r>
        <w:rPr>
          <w:rFonts w:ascii="Arial" w:cs="Arial" w:eastAsia="Arial" w:hAnsi="Arial"/>
          <w:sz w:val="20"/>
          <w:szCs w:val="20"/>
          <w:i w:val="1"/>
          <w:iCs w:val="1"/>
          <w:color w:val="auto"/>
        </w:rPr>
        <w:t>2”</w:t>
      </w:r>
      <w:r>
        <w:rPr>
          <w:rFonts w:ascii="Arial" w:cs="Arial" w:eastAsia="Arial" w:hAnsi="Arial"/>
          <w:sz w:val="20"/>
          <w:szCs w:val="20"/>
          <w:color w:val="auto"/>
        </w:rPr>
        <w:t xml:space="preserve"> or better by Moody’s or </w:t>
      </w:r>
      <w:r>
        <w:rPr>
          <w:rFonts w:ascii="Arial" w:cs="Arial" w:eastAsia="Arial" w:hAnsi="Arial"/>
          <w:sz w:val="20"/>
          <w:szCs w:val="20"/>
          <w:i w:val="1"/>
          <w:iCs w:val="1"/>
          <w:color w:val="auto"/>
        </w:rPr>
        <w:t>“A”</w:t>
      </w:r>
      <w:r>
        <w:rPr>
          <w:rFonts w:ascii="Arial" w:cs="Arial" w:eastAsia="Arial" w:hAnsi="Arial"/>
          <w:sz w:val="20"/>
          <w:szCs w:val="20"/>
          <w:color w:val="auto"/>
        </w:rPr>
        <w:t xml:space="preserve"> or better by S&amp;P, and maturing within one year from the date of issuance:</w:t>
      </w:r>
    </w:p>
    <w:p>
      <w:pPr>
        <w:spacing w:after="0" w:line="89" w:lineRule="exact"/>
        <w:rPr>
          <w:rFonts w:ascii="Arial" w:cs="Arial" w:eastAsia="Arial" w:hAnsi="Arial"/>
          <w:sz w:val="20"/>
          <w:szCs w:val="20"/>
          <w:color w:val="auto"/>
        </w:rPr>
      </w:pPr>
    </w:p>
    <w:p>
      <w:pPr>
        <w:ind w:left="643" w:hanging="643"/>
        <w:spacing w:after="0" w:line="260" w:lineRule="auto"/>
        <w:tabs>
          <w:tab w:leader="none" w:pos="552" w:val="left"/>
        </w:tabs>
        <w:numPr>
          <w:ilvl w:val="0"/>
          <w:numId w:val="248"/>
        </w:numPr>
        <w:rPr>
          <w:rFonts w:ascii="Arial" w:cs="Arial" w:eastAsia="Arial" w:hAnsi="Arial"/>
          <w:sz w:val="20"/>
          <w:szCs w:val="20"/>
          <w:color w:val="auto"/>
        </w:rPr>
      </w:pPr>
      <w:r>
        <w:rPr>
          <w:rFonts w:ascii="Arial" w:cs="Arial" w:eastAsia="Arial" w:hAnsi="Arial"/>
          <w:sz w:val="20"/>
          <w:szCs w:val="20"/>
          <w:color w:val="auto"/>
        </w:rPr>
        <w:t xml:space="preserve">Investments of the Companies in mutual funds or money market accounts investing primarily in items described in </w:t>
      </w:r>
      <w:r>
        <w:rPr>
          <w:rFonts w:ascii="Arial" w:cs="Arial" w:eastAsia="Arial" w:hAnsi="Arial"/>
          <w:sz w:val="20"/>
          <w:szCs w:val="20"/>
          <w:b w:val="1"/>
          <w:bCs w:val="1"/>
          <w:i w:val="1"/>
          <w:iCs w:val="1"/>
          <w:color w:val="auto"/>
        </w:rPr>
        <w:t>Items 11.1(xiv), (xv)</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(xvi)</w:t>
      </w:r>
      <w:r>
        <w:rPr>
          <w:rFonts w:ascii="Arial" w:cs="Arial" w:eastAsia="Arial" w:hAnsi="Arial"/>
          <w:sz w:val="20"/>
          <w:szCs w:val="20"/>
          <w:color w:val="auto"/>
        </w:rPr>
        <w:t xml:space="preserve">, and </w:t>
      </w:r>
      <w:r>
        <w:rPr>
          <w:rFonts w:ascii="Arial" w:cs="Arial" w:eastAsia="Arial" w:hAnsi="Arial"/>
          <w:sz w:val="20"/>
          <w:szCs w:val="20"/>
          <w:b w:val="1"/>
          <w:bCs w:val="1"/>
          <w:i w:val="1"/>
          <w:iCs w:val="1"/>
          <w:color w:val="auto"/>
        </w:rPr>
        <w:t>(xvii)</w:t>
      </w:r>
      <w:r>
        <w:rPr>
          <w:rFonts w:ascii="Arial" w:cs="Arial" w:eastAsia="Arial" w:hAnsi="Arial"/>
          <w:sz w:val="20"/>
          <w:szCs w:val="20"/>
          <w:color w:val="auto"/>
        </w:rPr>
        <w:t xml:space="preserve"> above:</w:t>
      </w:r>
    </w:p>
    <w:p>
      <w:pPr>
        <w:spacing w:after="0" w:line="271" w:lineRule="exact"/>
        <w:rPr>
          <w:rFonts w:ascii="Arial" w:cs="Arial" w:eastAsia="Arial" w:hAnsi="Arial"/>
          <w:sz w:val="20"/>
          <w:szCs w:val="20"/>
          <w:color w:val="auto"/>
        </w:rPr>
      </w:pPr>
    </w:p>
    <w:p>
      <w:pPr>
        <w:ind w:left="643" w:hanging="643"/>
        <w:spacing w:after="0" w:line="260" w:lineRule="auto"/>
        <w:tabs>
          <w:tab w:leader="none" w:pos="455" w:val="left"/>
        </w:tabs>
        <w:numPr>
          <w:ilvl w:val="0"/>
          <w:numId w:val="248"/>
        </w:numPr>
        <w:rPr>
          <w:rFonts w:ascii="Arial" w:cs="Arial" w:eastAsia="Arial" w:hAnsi="Arial"/>
          <w:sz w:val="20"/>
          <w:szCs w:val="20"/>
          <w:color w:val="auto"/>
        </w:rPr>
      </w:pPr>
      <w:r>
        <w:rPr>
          <w:rFonts w:ascii="Arial" w:cs="Arial" w:eastAsia="Arial" w:hAnsi="Arial"/>
          <w:sz w:val="20"/>
          <w:szCs w:val="20"/>
          <w:color w:val="auto"/>
        </w:rPr>
        <w:t>Investments of the Companies in demand deposit accounts maintained in the ordinary course of business:</w:t>
      </w:r>
    </w:p>
    <w:p>
      <w:pPr>
        <w:spacing w:after="0" w:line="68" w:lineRule="exact"/>
        <w:rPr>
          <w:rFonts w:ascii="Arial" w:cs="Arial" w:eastAsia="Arial" w:hAnsi="Arial"/>
          <w:sz w:val="20"/>
          <w:szCs w:val="20"/>
          <w:color w:val="auto"/>
        </w:rPr>
      </w:pPr>
    </w:p>
    <w:p>
      <w:pPr>
        <w:ind w:left="643" w:hanging="643"/>
        <w:spacing w:after="0" w:line="282" w:lineRule="auto"/>
        <w:tabs>
          <w:tab w:leader="none" w:pos="374"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Investments of the Companies in short-term repurchase agreements with major banks and authorized dealers, fully collateralized to at least 100% of market value by marketable obligations issued or unconditionally guaranteed by an Approved Jurisdiction or issued by any agency of an Approved Jurisdiction and backed by the full faith and credit of such Approved Jurisdiction:</w:t>
      </w:r>
    </w:p>
    <w:p>
      <w:pPr>
        <w:spacing w:after="0" w:line="283" w:lineRule="exact"/>
        <w:rPr>
          <w:rFonts w:ascii="Arial" w:cs="Arial" w:eastAsia="Arial" w:hAnsi="Arial"/>
          <w:sz w:val="18"/>
          <w:szCs w:val="18"/>
          <w:color w:val="auto"/>
        </w:rPr>
      </w:pPr>
    </w:p>
    <w:p>
      <w:pPr>
        <w:ind w:left="643" w:hanging="643"/>
        <w:spacing w:after="0" w:line="278" w:lineRule="auto"/>
        <w:tabs>
          <w:tab w:leader="none" w:pos="45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Investments of the Companies in short-term variable rate demand notes that invest in tax-free municipal bonds of domestic issuers rated “</w:t>
      </w:r>
      <w:r>
        <w:rPr>
          <w:rFonts w:ascii="Arial" w:cs="Arial" w:eastAsia="Arial" w:hAnsi="Arial"/>
          <w:sz w:val="18"/>
          <w:szCs w:val="18"/>
          <w:i w:val="1"/>
          <w:iCs w:val="1"/>
          <w:color w:val="auto"/>
        </w:rPr>
        <w:t>A-2</w:t>
      </w:r>
      <w:r>
        <w:rPr>
          <w:rFonts w:ascii="Arial" w:cs="Arial" w:eastAsia="Arial" w:hAnsi="Arial"/>
          <w:sz w:val="18"/>
          <w:szCs w:val="18"/>
          <w:color w:val="auto"/>
        </w:rPr>
        <w:t>” or better by Moody’s or “</w:t>
      </w:r>
      <w:r>
        <w:rPr>
          <w:rFonts w:ascii="Arial" w:cs="Arial" w:eastAsia="Arial" w:hAnsi="Arial"/>
          <w:sz w:val="18"/>
          <w:szCs w:val="18"/>
          <w:i w:val="1"/>
          <w:iCs w:val="1"/>
          <w:color w:val="auto"/>
        </w:rPr>
        <w:t>A</w:t>
      </w:r>
      <w:r>
        <w:rPr>
          <w:rFonts w:ascii="Arial" w:cs="Arial" w:eastAsia="Arial" w:hAnsi="Arial"/>
          <w:sz w:val="18"/>
          <w:szCs w:val="18"/>
          <w:color w:val="auto"/>
        </w:rPr>
        <w:t>” or better by S&amp;P that are supported by irrevocable letters of credit issued by commercial banks organized under the laws of an Approved Jurisdiction or any state or province of an Approved Jurisdiction having combined capital, surplus, and undivided profits of not less than $100,000,000:</w:t>
      </w:r>
    </w:p>
    <w:p>
      <w:pPr>
        <w:spacing w:after="0" w:line="20" w:lineRule="exact"/>
        <w:rPr>
          <w:sz w:val="20"/>
          <w:szCs w:val="20"/>
          <w:color w:val="auto"/>
        </w:rPr>
      </w:pPr>
      <w:r>
        <w:rPr>
          <w:sz w:val="20"/>
          <w:szCs w:val="20"/>
          <w:color w:val="auto"/>
        </w:rPr>
        <w:br w:type="column"/>
      </w:r>
    </w:p>
    <w:p>
      <w:pPr>
        <w:ind w:left="148" w:hanging="148"/>
        <w:spacing w:after="0"/>
        <w:tabs>
          <w:tab w:leader="none" w:pos="148" w:val="left"/>
        </w:tabs>
        <w:numPr>
          <w:ilvl w:val="0"/>
          <w:numId w:val="249"/>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26" w:lineRule="exact"/>
        <w:rPr>
          <w:rFonts w:ascii="Arial" w:cs="Arial" w:eastAsia="Arial" w:hAnsi="Arial"/>
          <w:sz w:val="16"/>
          <w:szCs w:val="16"/>
          <w:color w:val="auto"/>
        </w:rPr>
      </w:pPr>
    </w:p>
    <w:p>
      <w:pPr>
        <w:ind w:left="148" w:hanging="148"/>
        <w:spacing w:after="0"/>
        <w:tabs>
          <w:tab w:leader="none" w:pos="148" w:val="left"/>
        </w:tabs>
        <w:numPr>
          <w:ilvl w:val="0"/>
          <w:numId w:val="249"/>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200" w:lineRule="exact"/>
        <w:rPr>
          <w:sz w:val="20"/>
          <w:szCs w:val="20"/>
          <w:color w:val="auto"/>
        </w:rPr>
      </w:pPr>
    </w:p>
    <w:p>
      <w:pPr>
        <w:spacing w:after="0" w:line="386" w:lineRule="exact"/>
        <w:rPr>
          <w:sz w:val="20"/>
          <w:szCs w:val="20"/>
          <w:color w:val="auto"/>
        </w:rPr>
      </w:pPr>
    </w:p>
    <w:p>
      <w:pPr>
        <w:ind w:left="148" w:hanging="148"/>
        <w:spacing w:after="0"/>
        <w:tabs>
          <w:tab w:leader="none" w:pos="148" w:val="left"/>
        </w:tabs>
        <w:numPr>
          <w:ilvl w:val="0"/>
          <w:numId w:val="250"/>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383" w:lineRule="exact"/>
        <w:rPr>
          <w:rFonts w:ascii="Arial" w:cs="Arial" w:eastAsia="Arial" w:hAnsi="Arial"/>
          <w:sz w:val="16"/>
          <w:szCs w:val="16"/>
          <w:color w:val="auto"/>
        </w:rPr>
      </w:pPr>
    </w:p>
    <w:p>
      <w:pPr>
        <w:ind w:left="148" w:hanging="148"/>
        <w:spacing w:after="0"/>
        <w:tabs>
          <w:tab w:leader="none" w:pos="148" w:val="left"/>
        </w:tabs>
        <w:numPr>
          <w:ilvl w:val="0"/>
          <w:numId w:val="250"/>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
        <w:spacing w:after="0"/>
        <w:rPr>
          <w:sz w:val="20"/>
          <w:szCs w:val="20"/>
          <w:color w:val="auto"/>
        </w:rPr>
      </w:pPr>
      <w:r>
        <w:rPr>
          <w:rFonts w:ascii="Arial" w:cs="Arial" w:eastAsia="Arial" w:hAnsi="Arial"/>
          <w:sz w:val="16"/>
          <w:szCs w:val="16"/>
          <w:color w:val="auto"/>
        </w:rPr>
        <w:t>$ 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48" w:hanging="148"/>
        <w:spacing w:after="0"/>
        <w:tabs>
          <w:tab w:leader="none" w:pos="148" w:val="left"/>
        </w:tabs>
        <w:numPr>
          <w:ilvl w:val="0"/>
          <w:numId w:val="251"/>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2" w:lineRule="exact"/>
        <w:rPr>
          <w:rFonts w:ascii="Arial" w:cs="Arial" w:eastAsia="Arial" w:hAnsi="Arial"/>
          <w:sz w:val="16"/>
          <w:szCs w:val="16"/>
          <w:color w:val="auto"/>
        </w:rPr>
      </w:pPr>
    </w:p>
    <w:p>
      <w:pPr>
        <w:ind w:left="148" w:hanging="148"/>
        <w:spacing w:after="0"/>
        <w:tabs>
          <w:tab w:leader="none" w:pos="148" w:val="left"/>
        </w:tabs>
        <w:numPr>
          <w:ilvl w:val="0"/>
          <w:numId w:val="251"/>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2" w:lineRule="exact"/>
        <w:rPr>
          <w:rFonts w:ascii="Arial" w:cs="Arial" w:eastAsia="Arial" w:hAnsi="Arial"/>
          <w:sz w:val="16"/>
          <w:szCs w:val="16"/>
          <w:color w:val="auto"/>
        </w:rPr>
      </w:pPr>
    </w:p>
    <w:p>
      <w:pPr>
        <w:ind w:left="148" w:hanging="148"/>
        <w:spacing w:after="0"/>
        <w:tabs>
          <w:tab w:leader="none" w:pos="148" w:val="left"/>
        </w:tabs>
        <w:numPr>
          <w:ilvl w:val="0"/>
          <w:numId w:val="251"/>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48" w:hanging="148"/>
        <w:spacing w:after="0"/>
        <w:tabs>
          <w:tab w:leader="none" w:pos="148" w:val="left"/>
        </w:tabs>
        <w:numPr>
          <w:ilvl w:val="0"/>
          <w:numId w:val="252"/>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356" w:lineRule="exact"/>
        <w:rPr>
          <w:rFonts w:ascii="Arial" w:cs="Arial" w:eastAsia="Arial" w:hAnsi="Arial"/>
          <w:sz w:val="16"/>
          <w:szCs w:val="16"/>
          <w:color w:val="auto"/>
        </w:rPr>
      </w:pPr>
    </w:p>
    <w:p>
      <w:pPr>
        <w:ind w:left="148" w:hanging="148"/>
        <w:spacing w:after="0"/>
        <w:tabs>
          <w:tab w:leader="none" w:pos="148" w:val="left"/>
        </w:tabs>
        <w:numPr>
          <w:ilvl w:val="0"/>
          <w:numId w:val="252"/>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8" w:hanging="148"/>
        <w:spacing w:after="0"/>
        <w:tabs>
          <w:tab w:leader="none" w:pos="148" w:val="left"/>
        </w:tabs>
        <w:numPr>
          <w:ilvl w:val="0"/>
          <w:numId w:val="253"/>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1" w:lineRule="exact"/>
        <w:rPr>
          <w:rFonts w:ascii="Arial" w:cs="Arial" w:eastAsia="Arial" w:hAnsi="Arial"/>
          <w:sz w:val="16"/>
          <w:szCs w:val="16"/>
          <w:color w:val="auto"/>
        </w:rPr>
      </w:pPr>
    </w:p>
    <w:p>
      <w:pPr>
        <w:ind w:left="148" w:hanging="148"/>
        <w:spacing w:after="0"/>
        <w:tabs>
          <w:tab w:leader="none" w:pos="148" w:val="left"/>
        </w:tabs>
        <w:numPr>
          <w:ilvl w:val="0"/>
          <w:numId w:val="253"/>
        </w:numPr>
        <w:rPr>
          <w:rFonts w:ascii="Arial" w:cs="Arial" w:eastAsia="Arial" w:hAnsi="Arial"/>
          <w:sz w:val="16"/>
          <w:szCs w:val="16"/>
          <w:color w:val="auto"/>
        </w:rPr>
      </w:pPr>
      <w:r>
        <w:rPr>
          <w:rFonts w:ascii="Arial" w:cs="Arial" w:eastAsia="Arial" w:hAnsi="Arial"/>
          <w:sz w:val="16"/>
          <w:szCs w:val="16"/>
          <w:color w:val="auto"/>
        </w:rPr>
        <w:t>_____________</w:t>
      </w:r>
    </w:p>
    <w:p>
      <w:pPr>
        <w:sectPr>
          <w:pgSz w:w="11900" w:h="16838" w:orient="portrait"/>
          <w:cols w:equalWidth="0" w:num="2">
            <w:col w:w="8383" w:space="112"/>
            <w:col w:w="1428"/>
          </w:cols>
          <w:pgMar w:left="977" w:top="744" w:right="999" w:bottom="1440" w:gutter="0" w:footer="0" w:header="0"/>
        </w:sectPr>
      </w:pPr>
    </w:p>
    <w:bookmarkStart w:id="233" w:name="page234"/>
    <w:bookmarkEnd w:id="233"/>
    <w:p>
      <w:pPr>
        <w:jc w:val="right"/>
        <w:ind w:left="643" w:right="1540" w:hanging="643"/>
        <w:spacing w:after="0" w:line="260" w:lineRule="auto"/>
        <w:tabs>
          <w:tab w:leader="none" w:pos="524" w:val="left"/>
        </w:tabs>
        <w:numPr>
          <w:ilvl w:val="0"/>
          <w:numId w:val="254"/>
        </w:numPr>
        <w:rPr>
          <w:rFonts w:ascii="Arial" w:cs="Arial" w:eastAsia="Arial" w:hAnsi="Arial"/>
          <w:sz w:val="19"/>
          <w:szCs w:val="19"/>
          <w:color w:val="auto"/>
        </w:rPr>
      </w:pPr>
      <w:r>
        <w:rPr>
          <w:rFonts w:ascii="Arial" w:cs="Arial" w:eastAsia="Arial" w:hAnsi="Arial"/>
          <w:sz w:val="19"/>
          <w:szCs w:val="19"/>
          <w:color w:val="auto"/>
        </w:rPr>
        <w:t>Temporary Cash Investments of the Companies (</w:t>
      </w:r>
      <w:r>
        <w:rPr>
          <w:rFonts w:ascii="Arial" w:cs="Arial" w:eastAsia="Arial" w:hAnsi="Arial"/>
          <w:sz w:val="19"/>
          <w:szCs w:val="19"/>
          <w:b w:val="1"/>
          <w:bCs w:val="1"/>
          <w:i w:val="1"/>
          <w:iCs w:val="1"/>
          <w:color w:val="auto"/>
        </w:rPr>
        <w:t>Item 11.1(xiv)</w:t>
      </w:r>
      <w:r>
        <w:rPr>
          <w:rFonts w:ascii="Arial" w:cs="Arial" w:eastAsia="Arial" w:hAnsi="Arial"/>
          <w:sz w:val="19"/>
          <w:szCs w:val="19"/>
          <w:color w:val="auto"/>
        </w:rPr>
        <w:t xml:space="preserv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Item 11.1(xv)</w:t>
      </w:r>
      <w:r>
        <w:rPr>
          <w:rFonts w:ascii="Arial" w:cs="Arial" w:eastAsia="Arial" w:hAnsi="Arial"/>
          <w:sz w:val="19"/>
          <w:szCs w:val="19"/>
          <w:color w:val="auto"/>
        </w:rPr>
        <w:t xml:space="preserv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Item</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11.1(xvi)  </w:t>
      </w:r>
      <w:r>
        <w:rPr>
          <w:rFonts w:ascii="Arial" w:cs="Arial" w:eastAsia="Arial" w:hAnsi="Arial"/>
          <w:sz w:val="19"/>
          <w:szCs w:val="19"/>
          <w:u w:val="single" w:color="auto"/>
          <w:color w:val="auto"/>
        </w:rPr>
        <w:t>plus</w:t>
      </w:r>
      <w:r>
        <w:rPr>
          <w:rFonts w:ascii="Arial" w:cs="Arial" w:eastAsia="Arial" w:hAnsi="Arial"/>
          <w:sz w:val="19"/>
          <w:szCs w:val="19"/>
          <w:b w:val="1"/>
          <w:bCs w:val="1"/>
          <w:i w:val="1"/>
          <w:iCs w:val="1"/>
          <w:color w:val="auto"/>
        </w:rPr>
        <w:t xml:space="preserve">  Item  11.1(xvii)  </w:t>
      </w:r>
      <w:r>
        <w:rPr>
          <w:rFonts w:ascii="Arial" w:cs="Arial" w:eastAsia="Arial" w:hAnsi="Arial"/>
          <w:sz w:val="19"/>
          <w:szCs w:val="19"/>
          <w:u w:val="single" w:color="auto"/>
          <w:color w:val="auto"/>
        </w:rPr>
        <w:t>plus</w:t>
      </w:r>
      <w:r>
        <w:rPr>
          <w:rFonts w:ascii="Arial" w:cs="Arial" w:eastAsia="Arial" w:hAnsi="Arial"/>
          <w:sz w:val="19"/>
          <w:szCs w:val="19"/>
          <w:b w:val="1"/>
          <w:bCs w:val="1"/>
          <w:i w:val="1"/>
          <w:iCs w:val="1"/>
          <w:color w:val="auto"/>
        </w:rPr>
        <w:t xml:space="preserve">  Item  11.1(xviii)  </w:t>
      </w:r>
      <w:r>
        <w:rPr>
          <w:rFonts w:ascii="Arial" w:cs="Arial" w:eastAsia="Arial" w:hAnsi="Arial"/>
          <w:sz w:val="19"/>
          <w:szCs w:val="19"/>
          <w:u w:val="single" w:color="auto"/>
          <w:color w:val="auto"/>
        </w:rPr>
        <w:t>plus</w:t>
      </w:r>
      <w:r>
        <w:rPr>
          <w:rFonts w:ascii="Arial" w:cs="Arial" w:eastAsia="Arial" w:hAnsi="Arial"/>
          <w:sz w:val="19"/>
          <w:szCs w:val="19"/>
          <w:b w:val="1"/>
          <w:bCs w:val="1"/>
          <w:i w:val="1"/>
          <w:iCs w:val="1"/>
          <w:color w:val="auto"/>
        </w:rPr>
        <w:t xml:space="preserve">  Item  11.1(xix)  </w:t>
      </w:r>
      <w:r>
        <w:rPr>
          <w:rFonts w:ascii="Arial" w:cs="Arial" w:eastAsia="Arial" w:hAnsi="Arial"/>
          <w:sz w:val="19"/>
          <w:szCs w:val="19"/>
          <w:u w:val="single" w:color="auto"/>
          <w:color w:val="auto"/>
        </w:rPr>
        <w:t>plus</w:t>
      </w:r>
      <w:r>
        <w:rPr>
          <w:rFonts w:ascii="Arial" w:cs="Arial" w:eastAsia="Arial" w:hAnsi="Arial"/>
          <w:sz w:val="19"/>
          <w:szCs w:val="19"/>
          <w:b w:val="1"/>
          <w:bCs w:val="1"/>
          <w:i w:val="1"/>
          <w:iCs w:val="1"/>
          <w:color w:val="auto"/>
        </w:rPr>
        <w:t xml:space="preserve">  Item</w:t>
      </w:r>
    </w:p>
    <w:p>
      <w:pPr>
        <w:spacing w:after="0" w:line="2" w:lineRule="exact"/>
        <w:rPr>
          <w:sz w:val="20"/>
          <w:szCs w:val="20"/>
          <w:color w:val="auto"/>
        </w:rPr>
      </w:pPr>
    </w:p>
    <w:p>
      <w:pPr>
        <w:ind w:left="643"/>
        <w:spacing w:after="0"/>
        <w:tabs>
          <w:tab w:leader="none" w:pos="8482" w:val="left"/>
        </w:tabs>
        <w:rPr>
          <w:sz w:val="20"/>
          <w:szCs w:val="20"/>
          <w:color w:val="auto"/>
        </w:rPr>
      </w:pPr>
      <w:r>
        <w:rPr>
          <w:rFonts w:ascii="Arial" w:cs="Arial" w:eastAsia="Arial" w:hAnsi="Arial"/>
          <w:sz w:val="20"/>
          <w:szCs w:val="20"/>
          <w:b w:val="1"/>
          <w:bCs w:val="1"/>
          <w:i w:val="1"/>
          <w:iCs w:val="1"/>
          <w:color w:val="auto"/>
        </w:rPr>
        <w:t xml:space="preserve">11.1(xx) </w:t>
      </w:r>
      <w:r>
        <w:rPr>
          <w:rFonts w:ascii="Arial" w:cs="Arial" w:eastAsia="Arial" w:hAnsi="Arial"/>
          <w:sz w:val="20"/>
          <w:szCs w:val="20"/>
          <w:u w:val="single" w:color="auto"/>
          <w:color w:val="auto"/>
        </w:rPr>
        <w:t>plus</w:t>
      </w:r>
      <w:r>
        <w:rPr>
          <w:rFonts w:ascii="Arial" w:cs="Arial" w:eastAsia="Arial" w:hAnsi="Arial"/>
          <w:sz w:val="20"/>
          <w:szCs w:val="20"/>
          <w:b w:val="1"/>
          <w:bCs w:val="1"/>
          <w:i w:val="1"/>
          <w:iCs w:val="1"/>
          <w:color w:val="auto"/>
        </w:rPr>
        <w:t xml:space="preserve"> Item 11.1(xxi)</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 _____________</w:t>
      </w:r>
    </w:p>
    <w:p>
      <w:pPr>
        <w:spacing w:after="0" w:line="92" w:lineRule="exact"/>
        <w:rPr>
          <w:sz w:val="20"/>
          <w:szCs w:val="20"/>
          <w:color w:val="auto"/>
        </w:rPr>
      </w:pPr>
    </w:p>
    <w:p>
      <w:pPr>
        <w:ind w:left="543" w:hanging="543"/>
        <w:spacing w:after="0"/>
        <w:tabs>
          <w:tab w:leader="none" w:pos="543" w:val="left"/>
        </w:tabs>
        <w:numPr>
          <w:ilvl w:val="0"/>
          <w:numId w:val="255"/>
        </w:numPr>
        <w:rPr>
          <w:rFonts w:ascii="Arial" w:cs="Arial" w:eastAsia="Arial" w:hAnsi="Arial"/>
          <w:sz w:val="20"/>
          <w:szCs w:val="20"/>
          <w:color w:val="auto"/>
        </w:rPr>
      </w:pPr>
      <w:r>
        <w:rPr>
          <w:rFonts w:ascii="Arial" w:cs="Arial" w:eastAsia="Arial" w:hAnsi="Arial"/>
          <w:sz w:val="20"/>
          <w:szCs w:val="20"/>
          <w:color w:val="auto"/>
        </w:rPr>
        <w:t xml:space="preserve">Temporary Cash Investments of the Unrestricted Subsidiaries (sum of </w:t>
      </w:r>
      <w:r>
        <w:rPr>
          <w:rFonts w:ascii="Arial" w:cs="Arial" w:eastAsia="Arial" w:hAnsi="Arial"/>
          <w:sz w:val="20"/>
          <w:szCs w:val="20"/>
          <w:b w:val="1"/>
          <w:bCs w:val="1"/>
          <w:i w:val="1"/>
          <w:iCs w:val="1"/>
          <w:color w:val="auto"/>
        </w:rPr>
        <w:t>Items 11.1(xxiii)(A)</w:t>
      </w:r>
      <w:r>
        <w:rPr>
          <w:rFonts w:ascii="Arial" w:cs="Arial" w:eastAsia="Arial" w:hAnsi="Arial"/>
          <w:sz w:val="20"/>
          <w:szCs w:val="20"/>
          <w:color w:val="auto"/>
        </w:rPr>
        <w:t xml:space="preserve"> through</w:t>
      </w:r>
    </w:p>
    <w:p>
      <w:pPr>
        <w:spacing w:after="0" w:line="15" w:lineRule="exact"/>
        <w:rPr>
          <w:rFonts w:ascii="Arial" w:cs="Arial" w:eastAsia="Arial" w:hAnsi="Arial"/>
          <w:sz w:val="20"/>
          <w:szCs w:val="20"/>
          <w:color w:val="auto"/>
        </w:rPr>
      </w:pPr>
    </w:p>
    <w:p>
      <w:pPr>
        <w:ind w:left="643"/>
        <w:spacing w:after="0"/>
        <w:rPr>
          <w:rFonts w:ascii="Arial" w:cs="Arial" w:eastAsia="Arial" w:hAnsi="Arial"/>
          <w:sz w:val="20"/>
          <w:szCs w:val="20"/>
          <w:color w:val="auto"/>
        </w:rPr>
      </w:pPr>
      <w:r>
        <w:rPr>
          <w:rFonts w:ascii="Arial" w:cs="Arial" w:eastAsia="Arial" w:hAnsi="Arial"/>
          <w:sz w:val="20"/>
          <w:szCs w:val="20"/>
          <w:b w:val="1"/>
          <w:bCs w:val="1"/>
          <w:i w:val="1"/>
          <w:iCs w:val="1"/>
          <w:color w:val="auto"/>
        </w:rPr>
        <w:t>(O)</w:t>
      </w:r>
      <w:r>
        <w:rPr>
          <w:rFonts w:ascii="Arial" w:cs="Arial" w:eastAsia="Arial" w:hAnsi="Arial"/>
          <w:sz w:val="20"/>
          <w:szCs w:val="20"/>
          <w:color w:val="auto"/>
        </w:rPr>
        <w:t>):</w:t>
      </w:r>
    </w:p>
    <w:p>
      <w:pPr>
        <w:sectPr>
          <w:pgSz w:w="11900" w:h="16838" w:orient="portrait"/>
          <w:cols w:equalWidth="0" w:num="1">
            <w:col w:w="9923"/>
          </w:cols>
          <w:pgMar w:left="977" w:top="771" w:right="999" w:bottom="1440" w:gutter="0" w:footer="0" w:header="0"/>
        </w:sectPr>
      </w:pPr>
    </w:p>
    <w:p>
      <w:pPr>
        <w:spacing w:after="0" w:line="294" w:lineRule="exact"/>
        <w:rPr>
          <w:sz w:val="20"/>
          <w:szCs w:val="20"/>
          <w:color w:val="auto"/>
        </w:rPr>
      </w:pPr>
    </w:p>
    <w:p>
      <w:pPr>
        <w:ind w:left="643"/>
        <w:spacing w:after="0"/>
        <w:rPr>
          <w:sz w:val="20"/>
          <w:szCs w:val="20"/>
          <w:color w:val="auto"/>
        </w:rPr>
      </w:pPr>
      <w:r>
        <w:rPr>
          <w:rFonts w:ascii="Arial" w:cs="Arial" w:eastAsia="Arial" w:hAnsi="Arial"/>
          <w:sz w:val="20"/>
          <w:szCs w:val="20"/>
          <w:color w:val="auto"/>
        </w:rPr>
        <w:t>(A) Gros Ventre Utility Company</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20"/>
          <w:szCs w:val="20"/>
          <w:color w:val="auto"/>
        </w:rPr>
        <w:t>(B) Eagle Park Reservoir Company</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20"/>
          <w:szCs w:val="20"/>
          <w:color w:val="auto"/>
        </w:rPr>
        <w:t>(C) First Chair Housing Trustee, LLC</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20"/>
          <w:szCs w:val="20"/>
          <w:color w:val="auto"/>
        </w:rPr>
        <w:t>(D) Forest Ridge Holdings, Inc.</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20"/>
          <w:szCs w:val="20"/>
          <w:color w:val="auto"/>
        </w:rPr>
        <w:t>(E) Gore Creek Place, LLC</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20"/>
          <w:szCs w:val="20"/>
          <w:color w:val="auto"/>
        </w:rPr>
        <w:t>(F) Hunkidori Land Company, LLC</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20"/>
          <w:szCs w:val="20"/>
          <w:color w:val="auto"/>
        </w:rPr>
        <w:t>(G) TCRM Company</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20"/>
          <w:szCs w:val="20"/>
          <w:color w:val="auto"/>
        </w:rPr>
        <w:t>(H) Stagecoach Development, LLC</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20"/>
          <w:szCs w:val="20"/>
          <w:color w:val="auto"/>
        </w:rPr>
        <w:t>(I) Black Diamond Insurance, Inc.</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20"/>
          <w:szCs w:val="20"/>
          <w:color w:val="auto"/>
        </w:rPr>
        <w:t>(J) Ever Vail, LLC</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20"/>
          <w:szCs w:val="20"/>
          <w:color w:val="auto"/>
        </w:rPr>
        <w:t>(K) Larkspur Restaurant &amp; Bar, LLC</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20"/>
          <w:szCs w:val="20"/>
          <w:color w:val="auto"/>
        </w:rPr>
        <w:t>(L) Mountain Thunder, Inc.</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20"/>
          <w:szCs w:val="20"/>
          <w:color w:val="auto"/>
        </w:rPr>
        <w:t>(M) One River Run, LLC</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18"/>
          <w:szCs w:val="18"/>
          <w:color w:val="auto"/>
        </w:rPr>
        <w:t>(N) Other Unrestricted Subsidiaries not listed above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_____________</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5" w:lineRule="exact"/>
        <w:rPr>
          <w:sz w:val="20"/>
          <w:szCs w:val="20"/>
          <w:color w:val="auto"/>
        </w:rPr>
      </w:pPr>
    </w:p>
    <w:p>
      <w:pPr>
        <w:sectPr>
          <w:pgSz w:w="11900" w:h="16838" w:orient="portrait"/>
          <w:cols w:equalWidth="0" w:num="2">
            <w:col w:w="7783" w:space="720"/>
            <w:col w:w="1420"/>
          </w:cols>
          <w:pgMar w:left="977" w:top="771" w:right="999" w:bottom="1440" w:gutter="0" w:footer="0" w:header="0"/>
          <w:type w:val="continuous"/>
        </w:sectPr>
      </w:pPr>
    </w:p>
    <w:tbl>
      <w:tblPr>
        <w:tblLayout w:type="fixed"/>
        <w:tblInd w:w="3" w:type="dxa"/>
        <w:tblCellMar>
          <w:top w:w="0" w:type="dxa"/>
          <w:left w:w="0" w:type="dxa"/>
          <w:bottom w:w="0" w:type="dxa"/>
          <w:right w:w="0" w:type="dxa"/>
        </w:tblCellMar>
      </w:tblPr>
      <w:tr>
        <w:trPr>
          <w:trHeight w:val="230"/>
        </w:trPr>
        <w:tc>
          <w:tcPr>
            <w:tcW w:w="9920" w:type="dxa"/>
            <w:vAlign w:val="bottom"/>
            <w:gridSpan w:val="4"/>
          </w:tcPr>
          <w:p>
            <w:pPr>
              <w:jc w:val="right"/>
              <w:ind w:right="1441"/>
              <w:spacing w:after="0"/>
              <w:rPr>
                <w:sz w:val="20"/>
                <w:szCs w:val="20"/>
                <w:color w:val="auto"/>
              </w:rPr>
            </w:pPr>
            <w:r>
              <w:rPr>
                <w:rFonts w:ascii="Arial" w:cs="Arial" w:eastAsia="Arial" w:hAnsi="Arial"/>
                <w:sz w:val="20"/>
                <w:szCs w:val="20"/>
                <w:color w:val="auto"/>
              </w:rPr>
              <w:t>(O) Whistler Acquisition Subsidiaries Minority Interest (add 25% (or if minority equity interest is</w:t>
            </w:r>
          </w:p>
        </w:tc>
      </w:tr>
      <w:tr>
        <w:trPr>
          <w:trHeight w:val="230"/>
        </w:trPr>
        <w:tc>
          <w:tcPr>
            <w:tcW w:w="9920" w:type="dxa"/>
            <w:vAlign w:val="bottom"/>
            <w:gridSpan w:val="4"/>
          </w:tcPr>
          <w:p>
            <w:pPr>
              <w:jc w:val="right"/>
              <w:ind w:right="1441"/>
              <w:spacing w:after="0"/>
              <w:rPr>
                <w:sz w:val="20"/>
                <w:szCs w:val="20"/>
                <w:color w:val="auto"/>
              </w:rPr>
            </w:pPr>
            <w:r>
              <w:rPr>
                <w:rFonts w:ascii="Arial" w:cs="Arial" w:eastAsia="Arial" w:hAnsi="Arial"/>
                <w:sz w:val="20"/>
                <w:szCs w:val="20"/>
                <w:color w:val="auto"/>
              </w:rPr>
              <w:t>not 25%, then the percentage of minority equity interest in the Whistler Acquisition</w:t>
            </w:r>
          </w:p>
        </w:tc>
      </w:tr>
      <w:tr>
        <w:trPr>
          <w:trHeight w:val="250"/>
        </w:trPr>
        <w:tc>
          <w:tcPr>
            <w:tcW w:w="7920" w:type="dxa"/>
            <w:vAlign w:val="bottom"/>
            <w:gridSpan w:val="3"/>
          </w:tcPr>
          <w:p>
            <w:pPr>
              <w:ind w:left="1060"/>
              <w:spacing w:after="0"/>
              <w:rPr>
                <w:sz w:val="20"/>
                <w:szCs w:val="20"/>
                <w:color w:val="auto"/>
              </w:rPr>
            </w:pPr>
            <w:r>
              <w:rPr>
                <w:rFonts w:ascii="Arial" w:cs="Arial" w:eastAsia="Arial" w:hAnsi="Arial"/>
                <w:sz w:val="20"/>
                <w:szCs w:val="20"/>
                <w:color w:val="auto"/>
                <w:w w:val="95"/>
              </w:rPr>
              <w:t>Subsidiaries) of this line item attributable to the Whistler Acquisition Subsidiaries)</w:t>
            </w:r>
          </w:p>
        </w:tc>
        <w:tc>
          <w:tcPr>
            <w:tcW w:w="2000" w:type="dxa"/>
            <w:vAlign w:val="bottom"/>
          </w:tcPr>
          <w:p>
            <w:pPr>
              <w:jc w:val="right"/>
              <w:spacing w:after="0"/>
              <w:rPr>
                <w:sz w:val="20"/>
                <w:szCs w:val="20"/>
                <w:color w:val="auto"/>
              </w:rPr>
            </w:pPr>
            <w:r>
              <w:rPr>
                <w:rFonts w:ascii="Arial" w:cs="Arial" w:eastAsia="Arial" w:hAnsi="Arial"/>
                <w:sz w:val="20"/>
                <w:szCs w:val="20"/>
                <w:color w:val="auto"/>
              </w:rPr>
              <w:t>$ _____________</w:t>
            </w:r>
          </w:p>
        </w:tc>
      </w:tr>
      <w:tr>
        <w:trPr>
          <w:trHeight w:val="293"/>
        </w:trPr>
        <w:tc>
          <w:tcPr>
            <w:tcW w:w="7920" w:type="dxa"/>
            <w:vAlign w:val="bottom"/>
            <w:gridSpan w:val="3"/>
          </w:tcPr>
          <w:p>
            <w:pPr>
              <w:spacing w:after="0"/>
              <w:rPr>
                <w:sz w:val="20"/>
                <w:szCs w:val="20"/>
                <w:color w:val="auto"/>
              </w:rPr>
            </w:pPr>
            <w:r>
              <w:rPr>
                <w:rFonts w:ascii="Arial" w:cs="Arial" w:eastAsia="Arial" w:hAnsi="Arial"/>
                <w:sz w:val="20"/>
                <w:szCs w:val="20"/>
                <w:color w:val="auto"/>
                <w:w w:val="94"/>
              </w:rPr>
              <w:t>(xxiv)  Temporary  Cash  Investments  of  the  Restricted  Companies  (</w:t>
            </w:r>
            <w:r>
              <w:rPr>
                <w:rFonts w:ascii="Arial" w:cs="Arial" w:eastAsia="Arial" w:hAnsi="Arial"/>
                <w:sz w:val="20"/>
                <w:szCs w:val="20"/>
                <w:b w:val="1"/>
                <w:bCs w:val="1"/>
                <w:i w:val="1"/>
                <w:iCs w:val="1"/>
                <w:color w:val="auto"/>
                <w:w w:val="94"/>
              </w:rPr>
              <w:t>Item  11.1(xxii)</w:t>
            </w:r>
            <w:r>
              <w:rPr>
                <w:rFonts w:ascii="Arial" w:cs="Arial" w:eastAsia="Arial" w:hAnsi="Arial"/>
                <w:sz w:val="20"/>
                <w:szCs w:val="20"/>
                <w:color w:val="auto"/>
                <w:w w:val="94"/>
              </w:rPr>
              <w:t xml:space="preserve">  minus</w:t>
            </w:r>
          </w:p>
        </w:tc>
        <w:tc>
          <w:tcPr>
            <w:tcW w:w="2000" w:type="dxa"/>
            <w:vAlign w:val="bottom"/>
          </w:tcPr>
          <w:p>
            <w:pPr>
              <w:jc w:val="right"/>
              <w:ind w:right="1441"/>
              <w:spacing w:after="0"/>
              <w:rPr>
                <w:sz w:val="20"/>
                <w:szCs w:val="20"/>
                <w:color w:val="auto"/>
              </w:rPr>
            </w:pPr>
            <w:r>
              <w:rPr>
                <w:rFonts w:ascii="Arial" w:cs="Arial" w:eastAsia="Arial" w:hAnsi="Arial"/>
                <w:sz w:val="20"/>
                <w:szCs w:val="20"/>
                <w:b w:val="1"/>
                <w:bCs w:val="1"/>
                <w:i w:val="1"/>
                <w:iCs w:val="1"/>
                <w:color w:val="auto"/>
              </w:rPr>
              <w:t>Item</w:t>
            </w:r>
          </w:p>
        </w:tc>
      </w:tr>
      <w:tr>
        <w:trPr>
          <w:trHeight w:val="254"/>
        </w:trPr>
        <w:tc>
          <w:tcPr>
            <w:tcW w:w="7380" w:type="dxa"/>
            <w:vAlign w:val="bottom"/>
          </w:tcPr>
          <w:p>
            <w:pPr>
              <w:ind w:left="640"/>
              <w:spacing w:after="0"/>
              <w:rPr>
                <w:sz w:val="20"/>
                <w:szCs w:val="20"/>
                <w:color w:val="auto"/>
              </w:rPr>
            </w:pPr>
            <w:r>
              <w:rPr>
                <w:rFonts w:ascii="Arial" w:cs="Arial" w:eastAsia="Arial" w:hAnsi="Arial"/>
                <w:sz w:val="20"/>
                <w:szCs w:val="20"/>
                <w:b w:val="1"/>
                <w:bCs w:val="1"/>
                <w:i w:val="1"/>
                <w:iCs w:val="1"/>
                <w:color w:val="auto"/>
              </w:rPr>
              <w:t>11.1(xxiii)</w:t>
            </w:r>
            <w:r>
              <w:rPr>
                <w:rFonts w:ascii="Arial" w:cs="Arial" w:eastAsia="Arial" w:hAnsi="Arial"/>
                <w:sz w:val="20"/>
                <w:szCs w:val="20"/>
                <w:color w:val="auto"/>
              </w:rPr>
              <w:t>):</w:t>
            </w:r>
          </w:p>
        </w:tc>
        <w:tc>
          <w:tcPr>
            <w:tcW w:w="4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 _____________</w:t>
            </w:r>
          </w:p>
        </w:tc>
      </w:tr>
    </w:tbl>
    <w:p>
      <w:pPr>
        <w:spacing w:after="0" w:line="60" w:lineRule="exact"/>
        <w:rPr>
          <w:sz w:val="20"/>
          <w:szCs w:val="20"/>
          <w:color w:val="auto"/>
        </w:rPr>
      </w:pPr>
    </w:p>
    <w:tbl>
      <w:tblPr>
        <w:tblLayout w:type="fixed"/>
        <w:tblInd w:w="3" w:type="dxa"/>
        <w:tblCellMar>
          <w:top w:w="0" w:type="dxa"/>
          <w:left w:w="0" w:type="dxa"/>
          <w:bottom w:w="0" w:type="dxa"/>
          <w:right w:w="0" w:type="dxa"/>
        </w:tblCellMar>
      </w:tblPr>
      <w:tr>
        <w:trPr>
          <w:trHeight w:val="230"/>
        </w:trPr>
        <w:tc>
          <w:tcPr>
            <w:tcW w:w="8440" w:type="dxa"/>
            <w:vAlign w:val="bottom"/>
            <w:gridSpan w:val="7"/>
          </w:tcPr>
          <w:p>
            <w:pPr>
              <w:spacing w:after="0"/>
              <w:rPr>
                <w:sz w:val="20"/>
                <w:szCs w:val="20"/>
                <w:color w:val="auto"/>
              </w:rPr>
            </w:pPr>
            <w:r>
              <w:rPr>
                <w:rFonts w:ascii="Arial" w:cs="Arial" w:eastAsia="Arial" w:hAnsi="Arial"/>
                <w:sz w:val="20"/>
                <w:szCs w:val="20"/>
                <w:color w:val="auto"/>
              </w:rPr>
              <w:t>(xxv) Amount of Temporary Cash Investments of the Restricted Companies subject to a Lien or</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7"/>
          </w:tcPr>
          <w:p>
            <w:pPr>
              <w:ind w:left="640"/>
              <w:spacing w:after="0"/>
              <w:rPr>
                <w:sz w:val="20"/>
                <w:szCs w:val="20"/>
                <w:color w:val="auto"/>
              </w:rPr>
            </w:pPr>
            <w:r>
              <w:rPr>
                <w:rFonts w:ascii="Arial" w:cs="Arial" w:eastAsia="Arial" w:hAnsi="Arial"/>
                <w:sz w:val="20"/>
                <w:szCs w:val="20"/>
                <w:color w:val="auto"/>
                <w:w w:val="95"/>
              </w:rPr>
              <w:t>restriction (other than Liens of depository institutions securing payment of customary service</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7"/>
          </w:tcPr>
          <w:p>
            <w:pPr>
              <w:ind w:left="640"/>
              <w:spacing w:after="0"/>
              <w:rPr>
                <w:sz w:val="20"/>
                <w:szCs w:val="20"/>
                <w:color w:val="auto"/>
              </w:rPr>
            </w:pPr>
            <w:r>
              <w:rPr>
                <w:rFonts w:ascii="Arial" w:cs="Arial" w:eastAsia="Arial" w:hAnsi="Arial"/>
                <w:sz w:val="20"/>
                <w:szCs w:val="20"/>
                <w:color w:val="auto"/>
                <w:w w:val="91"/>
              </w:rPr>
              <w:t>charges, transfer fees, account maintenance fees, and charges for returned or dishonored items,</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440" w:type="dxa"/>
            <w:vAlign w:val="bottom"/>
            <w:gridSpan w:val="7"/>
          </w:tcPr>
          <w:p>
            <w:pPr>
              <w:ind w:left="640"/>
              <w:spacing w:after="0"/>
              <w:rPr>
                <w:sz w:val="20"/>
                <w:szCs w:val="20"/>
                <w:color w:val="auto"/>
              </w:rPr>
            </w:pPr>
            <w:r>
              <w:rPr>
                <w:rFonts w:ascii="Arial" w:cs="Arial" w:eastAsia="Arial" w:hAnsi="Arial"/>
                <w:sz w:val="20"/>
                <w:szCs w:val="20"/>
                <w:color w:val="auto"/>
              </w:rPr>
              <w:t>and restrictions with respect to compensating balances):</w:t>
            </w:r>
          </w:p>
        </w:tc>
        <w:tc>
          <w:tcPr>
            <w:tcW w:w="1480" w:type="dxa"/>
            <w:vAlign w:val="bottom"/>
          </w:tcPr>
          <w:p>
            <w:pPr>
              <w:jc w:val="right"/>
              <w:spacing w:after="0"/>
              <w:rPr>
                <w:sz w:val="20"/>
                <w:szCs w:val="20"/>
                <w:color w:val="auto"/>
              </w:rPr>
            </w:pPr>
            <w:r>
              <w:rPr>
                <w:rFonts w:ascii="Arial" w:cs="Arial" w:eastAsia="Arial" w:hAnsi="Arial"/>
                <w:sz w:val="20"/>
                <w:szCs w:val="20"/>
                <w:color w:val="auto"/>
                <w:w w:val="90"/>
              </w:rPr>
              <w:t>$ _____________</w:t>
            </w:r>
          </w:p>
        </w:tc>
        <w:tc>
          <w:tcPr>
            <w:tcW w:w="0" w:type="dxa"/>
            <w:vAlign w:val="bottom"/>
          </w:tcPr>
          <w:p>
            <w:pPr>
              <w:spacing w:after="0"/>
              <w:rPr>
                <w:sz w:val="1"/>
                <w:szCs w:val="1"/>
                <w:color w:val="auto"/>
              </w:rPr>
            </w:pPr>
          </w:p>
        </w:tc>
      </w:tr>
      <w:tr>
        <w:trPr>
          <w:trHeight w:val="293"/>
        </w:trPr>
        <w:tc>
          <w:tcPr>
            <w:tcW w:w="8440" w:type="dxa"/>
            <w:vAlign w:val="bottom"/>
            <w:gridSpan w:val="7"/>
          </w:tcPr>
          <w:p>
            <w:pPr>
              <w:spacing w:after="0"/>
              <w:rPr>
                <w:sz w:val="20"/>
                <w:szCs w:val="20"/>
                <w:color w:val="auto"/>
              </w:rPr>
            </w:pPr>
            <w:r>
              <w:rPr>
                <w:rFonts w:ascii="Arial" w:cs="Arial" w:eastAsia="Arial" w:hAnsi="Arial"/>
                <w:sz w:val="20"/>
                <w:szCs w:val="20"/>
                <w:color w:val="auto"/>
                <w:w w:val="93"/>
              </w:rPr>
              <w:t>(xxvi) Unrestricted Cash of the Restricted Companies (</w:t>
            </w:r>
            <w:r>
              <w:rPr>
                <w:rFonts w:ascii="Arial" w:cs="Arial" w:eastAsia="Arial" w:hAnsi="Arial"/>
                <w:sz w:val="20"/>
                <w:szCs w:val="20"/>
                <w:b w:val="1"/>
                <w:bCs w:val="1"/>
                <w:i w:val="1"/>
                <w:iCs w:val="1"/>
                <w:color w:val="auto"/>
                <w:w w:val="93"/>
              </w:rPr>
              <w:t>Item 11.1(xiii)</w:t>
            </w:r>
            <w:r>
              <w:rPr>
                <w:rFonts w:ascii="Arial" w:cs="Arial" w:eastAsia="Arial" w:hAnsi="Arial"/>
                <w:sz w:val="20"/>
                <w:szCs w:val="20"/>
                <w:color w:val="auto"/>
                <w:w w:val="93"/>
              </w:rPr>
              <w:t xml:space="preserve"> plus </w:t>
            </w:r>
            <w:r>
              <w:rPr>
                <w:rFonts w:ascii="Arial" w:cs="Arial" w:eastAsia="Arial" w:hAnsi="Arial"/>
                <w:sz w:val="20"/>
                <w:szCs w:val="20"/>
                <w:b w:val="1"/>
                <w:bCs w:val="1"/>
                <w:i w:val="1"/>
                <w:iCs w:val="1"/>
                <w:color w:val="auto"/>
                <w:w w:val="93"/>
              </w:rPr>
              <w:t>Item 11.1(xxiv)</w:t>
            </w:r>
            <w:r>
              <w:rPr>
                <w:rFonts w:ascii="Arial" w:cs="Arial" w:eastAsia="Arial" w:hAnsi="Arial"/>
                <w:sz w:val="20"/>
                <w:szCs w:val="20"/>
                <w:color w:val="auto"/>
                <w:w w:val="93"/>
              </w:rPr>
              <w:t xml:space="preserve"> minus </w:t>
            </w:r>
            <w:r>
              <w:rPr>
                <w:rFonts w:ascii="Arial" w:cs="Arial" w:eastAsia="Arial" w:hAnsi="Arial"/>
                <w:sz w:val="20"/>
                <w:szCs w:val="20"/>
                <w:b w:val="1"/>
                <w:bCs w:val="1"/>
                <w:i w:val="1"/>
                <w:iCs w:val="1"/>
                <w:color w:val="auto"/>
                <w:w w:val="93"/>
              </w:rPr>
              <w:t>Item</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740" w:type="dxa"/>
            <w:vAlign w:val="bottom"/>
            <w:gridSpan w:val="3"/>
          </w:tcPr>
          <w:p>
            <w:pPr>
              <w:ind w:left="640"/>
              <w:spacing w:after="0"/>
              <w:rPr>
                <w:sz w:val="20"/>
                <w:szCs w:val="20"/>
                <w:color w:val="auto"/>
              </w:rPr>
            </w:pPr>
            <w:r>
              <w:rPr>
                <w:rFonts w:ascii="Arial" w:cs="Arial" w:eastAsia="Arial" w:hAnsi="Arial"/>
                <w:sz w:val="20"/>
                <w:szCs w:val="20"/>
                <w:b w:val="1"/>
                <w:bCs w:val="1"/>
                <w:i w:val="1"/>
                <w:iCs w:val="1"/>
                <w:color w:val="auto"/>
              </w:rPr>
              <w:t>11.1(xxv)</w:t>
            </w:r>
            <w:r>
              <w:rPr>
                <w:rFonts w:ascii="Arial" w:cs="Arial" w:eastAsia="Arial" w:hAnsi="Arial"/>
                <w:sz w:val="20"/>
                <w:szCs w:val="20"/>
                <w:color w:val="auto"/>
              </w:rPr>
              <w:t>):</w:t>
            </w:r>
          </w:p>
        </w:tc>
        <w:tc>
          <w:tcPr>
            <w:tcW w:w="320" w:type="dxa"/>
            <w:vAlign w:val="bottom"/>
            <w:tcBorders>
              <w:top w:val="single" w:sz="8" w:color="auto"/>
            </w:tcBorders>
          </w:tcPr>
          <w:p>
            <w:pPr>
              <w:spacing w:after="0"/>
              <w:rPr>
                <w:sz w:val="22"/>
                <w:szCs w:val="22"/>
                <w:color w:val="auto"/>
              </w:rPr>
            </w:pPr>
          </w:p>
        </w:tc>
        <w:tc>
          <w:tcPr>
            <w:tcW w:w="138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w w:val="90"/>
              </w:rPr>
              <w:t>$ _____________</w:t>
            </w:r>
          </w:p>
        </w:tc>
        <w:tc>
          <w:tcPr>
            <w:tcW w:w="0" w:type="dxa"/>
            <w:vAlign w:val="bottom"/>
          </w:tcPr>
          <w:p>
            <w:pPr>
              <w:spacing w:after="0"/>
              <w:rPr>
                <w:sz w:val="1"/>
                <w:szCs w:val="1"/>
                <w:color w:val="auto"/>
              </w:rPr>
            </w:pPr>
          </w:p>
        </w:tc>
      </w:tr>
      <w:tr>
        <w:trPr>
          <w:trHeight w:val="338"/>
        </w:trPr>
        <w:tc>
          <w:tcPr>
            <w:tcW w:w="8440" w:type="dxa"/>
            <w:vAlign w:val="bottom"/>
            <w:gridSpan w:val="7"/>
          </w:tcPr>
          <w:p>
            <w:pPr>
              <w:spacing w:after="0"/>
              <w:rPr>
                <w:sz w:val="20"/>
                <w:szCs w:val="20"/>
                <w:color w:val="auto"/>
              </w:rPr>
            </w:pPr>
            <w:r>
              <w:rPr>
                <w:rFonts w:ascii="Arial" w:cs="Arial" w:eastAsia="Arial" w:hAnsi="Arial"/>
                <w:sz w:val="20"/>
                <w:szCs w:val="20"/>
                <w:color w:val="auto"/>
              </w:rPr>
              <w:t>(xxvii) Unrestricted Cash of the Restricted Companies in excess of $10,000,000:</w:t>
            </w:r>
          </w:p>
        </w:tc>
        <w:tc>
          <w:tcPr>
            <w:tcW w:w="1480" w:type="dxa"/>
            <w:vAlign w:val="bottom"/>
            <w:vMerge w:val="restart"/>
          </w:tcPr>
          <w:p>
            <w:pPr>
              <w:jc w:val="right"/>
              <w:spacing w:after="0"/>
              <w:rPr>
                <w:sz w:val="20"/>
                <w:szCs w:val="20"/>
                <w:color w:val="auto"/>
              </w:rPr>
            </w:pPr>
            <w:r>
              <w:rPr>
                <w:rFonts w:ascii="Arial" w:cs="Arial" w:eastAsia="Arial" w:hAnsi="Arial"/>
                <w:sz w:val="20"/>
                <w:szCs w:val="20"/>
                <w:color w:val="auto"/>
                <w:w w:val="90"/>
              </w:rPr>
              <w:t>$ _____________</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8440" w:type="dxa"/>
            <w:vAlign w:val="bottom"/>
            <w:gridSpan w:val="7"/>
          </w:tcPr>
          <w:p>
            <w:pPr>
              <w:spacing w:after="0"/>
              <w:rPr>
                <w:sz w:val="20"/>
                <w:szCs w:val="20"/>
                <w:color w:val="auto"/>
              </w:rPr>
            </w:pPr>
            <w:r>
              <w:rPr>
                <w:rFonts w:ascii="Arial" w:cs="Arial" w:eastAsia="Arial" w:hAnsi="Arial"/>
                <w:sz w:val="20"/>
                <w:szCs w:val="20"/>
                <w:color w:val="auto"/>
              </w:rPr>
              <w:t>(xxviii) Net Funded Debt (</w:t>
            </w:r>
            <w:r>
              <w:rPr>
                <w:rFonts w:ascii="Arial" w:cs="Arial" w:eastAsia="Arial" w:hAnsi="Arial"/>
                <w:sz w:val="20"/>
                <w:szCs w:val="20"/>
                <w:b w:val="1"/>
                <w:bCs w:val="1"/>
                <w:i w:val="1"/>
                <w:iCs w:val="1"/>
                <w:color w:val="auto"/>
              </w:rPr>
              <w:t>Item 11.1(x)</w:t>
            </w:r>
            <w:r>
              <w:rPr>
                <w:rFonts w:ascii="Arial" w:cs="Arial" w:eastAsia="Arial" w:hAnsi="Arial"/>
                <w:sz w:val="20"/>
                <w:szCs w:val="20"/>
                <w:color w:val="auto"/>
              </w:rPr>
              <w:t xml:space="preserve"> minus </w:t>
            </w:r>
            <w:r>
              <w:rPr>
                <w:rFonts w:ascii="Arial" w:cs="Arial" w:eastAsia="Arial" w:hAnsi="Arial"/>
                <w:sz w:val="20"/>
                <w:szCs w:val="20"/>
                <w:b w:val="1"/>
                <w:bCs w:val="1"/>
                <w:i w:val="1"/>
                <w:iCs w:val="1"/>
                <w:color w:val="auto"/>
              </w:rPr>
              <w:t>Item 11.1(xxvii)</w:t>
            </w:r>
            <w:r>
              <w:rPr>
                <w:rFonts w:ascii="Arial" w:cs="Arial" w:eastAsia="Arial" w:hAnsi="Arial"/>
                <w:sz w:val="20"/>
                <w:szCs w:val="20"/>
                <w:color w:val="auto"/>
              </w:rPr>
              <w:t>):</w:t>
            </w:r>
          </w:p>
        </w:tc>
        <w:tc>
          <w:tcPr>
            <w:tcW w:w="1480" w:type="dxa"/>
            <w:vAlign w:val="bottom"/>
            <w:vMerge w:val="restart"/>
          </w:tcPr>
          <w:p>
            <w:pPr>
              <w:jc w:val="right"/>
              <w:spacing w:after="0"/>
              <w:rPr>
                <w:sz w:val="20"/>
                <w:szCs w:val="20"/>
                <w:color w:val="auto"/>
              </w:rPr>
            </w:pPr>
            <w:r>
              <w:rPr>
                <w:rFonts w:ascii="Arial" w:cs="Arial" w:eastAsia="Arial" w:hAnsi="Arial"/>
                <w:sz w:val="20"/>
                <w:szCs w:val="20"/>
                <w:color w:val="auto"/>
                <w:w w:val="90"/>
              </w:rPr>
              <w:t>$ _____________</w:t>
            </w:r>
          </w:p>
        </w:tc>
        <w:tc>
          <w:tcPr>
            <w:tcW w:w="0" w:type="dxa"/>
            <w:vAlign w:val="bottom"/>
          </w:tcPr>
          <w:p>
            <w:pPr>
              <w:spacing w:after="0"/>
              <w:rPr>
                <w:sz w:val="1"/>
                <w:szCs w:val="1"/>
                <w:color w:val="auto"/>
              </w:rPr>
            </w:pPr>
          </w:p>
        </w:tc>
      </w:tr>
      <w:tr>
        <w:trPr>
          <w:trHeight w:val="254"/>
        </w:trPr>
        <w:tc>
          <w:tcPr>
            <w:tcW w:w="316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2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11"/>
        </w:trPr>
        <w:tc>
          <w:tcPr>
            <w:tcW w:w="8440" w:type="dxa"/>
            <w:vAlign w:val="bottom"/>
            <w:gridSpan w:val="7"/>
          </w:tcPr>
          <w:p>
            <w:pPr>
              <w:spacing w:after="0"/>
              <w:rPr>
                <w:sz w:val="20"/>
                <w:szCs w:val="20"/>
                <w:color w:val="auto"/>
              </w:rPr>
            </w:pPr>
            <w:r>
              <w:rPr>
                <w:rFonts w:ascii="Arial" w:cs="Arial" w:eastAsia="Arial" w:hAnsi="Arial"/>
                <w:sz w:val="20"/>
                <w:szCs w:val="20"/>
                <w:color w:val="auto"/>
              </w:rPr>
              <w:t>(xxix) EBITDA of the Companies for the last four fiscal quarters:</w:t>
            </w:r>
          </w:p>
        </w:tc>
        <w:tc>
          <w:tcPr>
            <w:tcW w:w="1480" w:type="dxa"/>
            <w:vAlign w:val="bottom"/>
          </w:tcPr>
          <w:p>
            <w:pPr>
              <w:jc w:val="right"/>
              <w:spacing w:after="0"/>
              <w:rPr>
                <w:sz w:val="20"/>
                <w:szCs w:val="20"/>
                <w:color w:val="auto"/>
              </w:rPr>
            </w:pPr>
            <w:r>
              <w:rPr>
                <w:rFonts w:ascii="Arial" w:cs="Arial" w:eastAsia="Arial" w:hAnsi="Arial"/>
                <w:sz w:val="20"/>
                <w:szCs w:val="20"/>
                <w:color w:val="auto"/>
                <w:w w:val="90"/>
              </w:rPr>
              <w:t>$ _____________</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83" w:hanging="483"/>
        <w:spacing w:after="0"/>
        <w:tabs>
          <w:tab w:leader="none" w:pos="483" w:val="left"/>
        </w:tabs>
        <w:numPr>
          <w:ilvl w:val="0"/>
          <w:numId w:val="256"/>
        </w:numPr>
        <w:rPr>
          <w:rFonts w:ascii="Arial" w:cs="Arial" w:eastAsia="Arial" w:hAnsi="Arial"/>
          <w:sz w:val="20"/>
          <w:szCs w:val="20"/>
          <w:color w:val="auto"/>
        </w:rPr>
      </w:pPr>
      <w:r>
        <w:rPr>
          <w:rFonts w:ascii="Arial" w:cs="Arial" w:eastAsia="Arial" w:hAnsi="Arial"/>
          <w:sz w:val="20"/>
          <w:szCs w:val="20"/>
          <w:color w:val="auto"/>
        </w:rPr>
        <w:t xml:space="preserve">EBITDA for such period attributable to the Unrestricted Subsidiaries (the sum of </w:t>
      </w:r>
      <w:r>
        <w:rPr>
          <w:rFonts w:ascii="Arial" w:cs="Arial" w:eastAsia="Arial" w:hAnsi="Arial"/>
          <w:sz w:val="20"/>
          <w:szCs w:val="20"/>
          <w:b w:val="1"/>
          <w:bCs w:val="1"/>
          <w:i w:val="1"/>
          <w:iCs w:val="1"/>
          <w:color w:val="auto"/>
        </w:rPr>
        <w:t>Items 11.1(xxx)</w:t>
      </w:r>
    </w:p>
    <w:p>
      <w:pPr>
        <w:spacing w:after="0" w:line="15" w:lineRule="exact"/>
        <w:rPr>
          <w:rFonts w:ascii="Arial" w:cs="Arial" w:eastAsia="Arial" w:hAnsi="Arial"/>
          <w:sz w:val="20"/>
          <w:szCs w:val="20"/>
          <w:color w:val="auto"/>
        </w:rPr>
      </w:pPr>
    </w:p>
    <w:p>
      <w:pPr>
        <w:ind w:left="963" w:hanging="314"/>
        <w:spacing w:after="0"/>
        <w:tabs>
          <w:tab w:leader="none" w:pos="963" w:val="left"/>
        </w:tabs>
        <w:numPr>
          <w:ilvl w:val="1"/>
          <w:numId w:val="256"/>
        </w:numPr>
        <w:rPr>
          <w:rFonts w:ascii="Arial" w:cs="Arial" w:eastAsia="Arial" w:hAnsi="Arial"/>
          <w:sz w:val="20"/>
          <w:szCs w:val="20"/>
          <w:b w:val="1"/>
          <w:bCs w:val="1"/>
          <w:i w:val="1"/>
          <w:iCs w:val="1"/>
          <w:color w:val="auto"/>
        </w:rPr>
      </w:pPr>
      <w:r>
        <w:rPr>
          <w:rFonts w:ascii="Arial" w:cs="Arial" w:eastAsia="Arial" w:hAnsi="Arial"/>
          <w:sz w:val="20"/>
          <w:szCs w:val="20"/>
          <w:color w:val="auto"/>
        </w:rPr>
        <w:t xml:space="preserve">through </w:t>
      </w:r>
      <w:r>
        <w:rPr>
          <w:rFonts w:ascii="Arial" w:cs="Arial" w:eastAsia="Arial" w:hAnsi="Arial"/>
          <w:sz w:val="20"/>
          <w:szCs w:val="20"/>
          <w:b w:val="1"/>
          <w:bCs w:val="1"/>
          <w:i w:val="1"/>
          <w:iCs w:val="1"/>
          <w:color w:val="auto"/>
        </w:rPr>
        <w:t>11.1(xxx)(O)</w:t>
      </w:r>
      <w:r>
        <w:rPr>
          <w:rFonts w:ascii="Arial" w:cs="Arial" w:eastAsia="Arial" w:hAnsi="Arial"/>
          <w:sz w:val="20"/>
          <w:szCs w:val="20"/>
          <w:color w:val="auto"/>
        </w:rPr>
        <w:t>):</w:t>
      </w:r>
    </w:p>
    <w:p>
      <w:pPr>
        <w:sectPr>
          <w:pgSz w:w="11900" w:h="16838" w:orient="portrait"/>
          <w:cols w:equalWidth="0" w:num="1">
            <w:col w:w="9923"/>
          </w:cols>
          <w:pgMar w:left="977" w:top="771" w:right="999" w:bottom="1440" w:gutter="0" w:footer="0" w:header="0"/>
          <w:type w:val="continuous"/>
        </w:sectPr>
      </w:pPr>
    </w:p>
    <w:p>
      <w:pPr>
        <w:spacing w:after="0" w:line="294" w:lineRule="exact"/>
        <w:rPr>
          <w:sz w:val="20"/>
          <w:szCs w:val="20"/>
          <w:color w:val="auto"/>
        </w:rPr>
      </w:pPr>
    </w:p>
    <w:p>
      <w:pPr>
        <w:ind w:left="643"/>
        <w:spacing w:after="0"/>
        <w:rPr>
          <w:sz w:val="20"/>
          <w:szCs w:val="20"/>
          <w:color w:val="auto"/>
        </w:rPr>
      </w:pPr>
      <w:r>
        <w:rPr>
          <w:rFonts w:ascii="Arial" w:cs="Arial" w:eastAsia="Arial" w:hAnsi="Arial"/>
          <w:sz w:val="20"/>
          <w:szCs w:val="20"/>
          <w:color w:val="auto"/>
        </w:rPr>
        <w:t>(A) Gros Ventre Utility Company</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19"/>
          <w:szCs w:val="19"/>
          <w:color w:val="auto"/>
        </w:rPr>
        <w:t>(B) Eagle Park Reservoir Company</w:t>
      </w:r>
    </w:p>
    <w:p>
      <w:pPr>
        <w:spacing w:after="0" w:line="92" w:lineRule="exact"/>
        <w:rPr>
          <w:sz w:val="20"/>
          <w:szCs w:val="20"/>
          <w:color w:val="auto"/>
        </w:rPr>
      </w:pPr>
    </w:p>
    <w:p>
      <w:pPr>
        <w:ind w:left="643"/>
        <w:spacing w:after="0"/>
        <w:rPr>
          <w:sz w:val="20"/>
          <w:szCs w:val="20"/>
          <w:color w:val="auto"/>
        </w:rPr>
      </w:pPr>
      <w:r>
        <w:rPr>
          <w:rFonts w:ascii="Arial" w:cs="Arial" w:eastAsia="Arial" w:hAnsi="Arial"/>
          <w:sz w:val="18"/>
          <w:szCs w:val="18"/>
          <w:color w:val="auto"/>
        </w:rPr>
        <w:t>(C) First Chair Housing Trustee, LLC</w:t>
      </w:r>
    </w:p>
    <w:p>
      <w:pPr>
        <w:spacing w:after="0" w:line="104" w:lineRule="exact"/>
        <w:rPr>
          <w:sz w:val="20"/>
          <w:szCs w:val="20"/>
          <w:color w:val="auto"/>
        </w:rPr>
      </w:pPr>
    </w:p>
    <w:p>
      <w:pPr>
        <w:ind w:left="643"/>
        <w:spacing w:after="0"/>
        <w:rPr>
          <w:sz w:val="20"/>
          <w:szCs w:val="20"/>
          <w:color w:val="auto"/>
        </w:rPr>
      </w:pPr>
      <w:r>
        <w:rPr>
          <w:rFonts w:ascii="Arial" w:cs="Arial" w:eastAsia="Arial" w:hAnsi="Arial"/>
          <w:sz w:val="20"/>
          <w:szCs w:val="20"/>
          <w:color w:val="auto"/>
        </w:rPr>
        <w:t>(D) Forest Ridge Holdings, Inc.</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20"/>
          <w:szCs w:val="20"/>
          <w:color w:val="auto"/>
        </w:rPr>
        <w:t>(E) Gore Creek Place,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_____________</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ectPr>
          <w:pgSz w:w="11900" w:h="16838" w:orient="portrait"/>
          <w:cols w:equalWidth="0" w:num="2">
            <w:col w:w="7783" w:space="720"/>
            <w:col w:w="1420"/>
          </w:cols>
          <w:pgMar w:left="977" w:top="771" w:right="999" w:bottom="1440" w:gutter="0" w:footer="0" w:header="0"/>
          <w:type w:val="continuous"/>
        </w:sectPr>
      </w:pPr>
    </w:p>
    <w:bookmarkStart w:id="234" w:name="page235"/>
    <w:bookmarkEnd w:id="234"/>
    <w:p>
      <w:pPr>
        <w:ind w:left="643"/>
        <w:spacing w:after="0"/>
        <w:rPr>
          <w:sz w:val="20"/>
          <w:szCs w:val="20"/>
          <w:color w:val="auto"/>
        </w:rPr>
      </w:pPr>
      <w:r>
        <w:rPr>
          <w:rFonts w:ascii="Arial" w:cs="Arial" w:eastAsia="Arial" w:hAnsi="Arial"/>
          <w:sz w:val="20"/>
          <w:szCs w:val="20"/>
          <w:color w:val="auto"/>
        </w:rPr>
        <w:t>(F) Hunkidori Land Company, LLC</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20"/>
          <w:szCs w:val="20"/>
          <w:color w:val="auto"/>
        </w:rPr>
        <w:t>(G) TCRM Company</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20"/>
          <w:szCs w:val="20"/>
          <w:color w:val="auto"/>
        </w:rPr>
        <w:t>(H) Stagecoach Development, LLC</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20"/>
          <w:szCs w:val="20"/>
          <w:color w:val="auto"/>
        </w:rPr>
        <w:t>(I) Black Diamond Insurance, Inc.</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20"/>
          <w:szCs w:val="20"/>
          <w:color w:val="auto"/>
        </w:rPr>
        <w:t>(J) Ever Vail, LLC</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20"/>
          <w:szCs w:val="20"/>
          <w:color w:val="auto"/>
        </w:rPr>
        <w:t>(K) Larkspur Restaurant &amp; Bar, LLC</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20"/>
          <w:szCs w:val="20"/>
          <w:color w:val="auto"/>
        </w:rPr>
        <w:t>(L) Mountain Thunder, Inc.</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20"/>
          <w:szCs w:val="20"/>
          <w:color w:val="auto"/>
        </w:rPr>
        <w:t>(M) One River Run, LLC</w:t>
      </w:r>
    </w:p>
    <w:p>
      <w:pPr>
        <w:spacing w:after="0" w:line="81" w:lineRule="exact"/>
        <w:rPr>
          <w:sz w:val="20"/>
          <w:szCs w:val="20"/>
          <w:color w:val="auto"/>
        </w:rPr>
      </w:pPr>
    </w:p>
    <w:p>
      <w:pPr>
        <w:ind w:left="643"/>
        <w:spacing w:after="0"/>
        <w:rPr>
          <w:sz w:val="20"/>
          <w:szCs w:val="20"/>
          <w:color w:val="auto"/>
        </w:rPr>
      </w:pPr>
      <w:r>
        <w:rPr>
          <w:rFonts w:ascii="Arial" w:cs="Arial" w:eastAsia="Arial" w:hAnsi="Arial"/>
          <w:sz w:val="18"/>
          <w:szCs w:val="18"/>
          <w:color w:val="auto"/>
        </w:rPr>
        <w:t>(N) Other Unrestricted Subsidiaries not listed above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126" w:lineRule="exact"/>
        <w:rPr>
          <w:sz w:val="20"/>
          <w:szCs w:val="20"/>
          <w:color w:val="auto"/>
        </w:rPr>
      </w:pPr>
    </w:p>
    <w:p>
      <w:pPr>
        <w:sectPr>
          <w:pgSz w:w="11900" w:h="16838" w:orient="portrait"/>
          <w:cols w:equalWidth="0" w:num="2">
            <w:col w:w="7783" w:space="720"/>
            <w:col w:w="1420"/>
          </w:cols>
          <w:pgMar w:left="977" w:top="744" w:right="999" w:bottom="1440" w:gutter="0" w:footer="0" w:header="0"/>
        </w:sectPr>
      </w:pPr>
    </w:p>
    <w:p>
      <w:pPr>
        <w:jc w:val="right"/>
        <w:ind w:left="1063" w:right="1540" w:hanging="428"/>
        <w:spacing w:after="0" w:line="260" w:lineRule="auto"/>
        <w:tabs>
          <w:tab w:leader="none" w:pos="968" w:val="left"/>
        </w:tabs>
        <w:numPr>
          <w:ilvl w:val="0"/>
          <w:numId w:val="257"/>
        </w:numPr>
        <w:rPr>
          <w:rFonts w:ascii="Arial" w:cs="Arial" w:eastAsia="Arial" w:hAnsi="Arial"/>
          <w:sz w:val="19"/>
          <w:szCs w:val="19"/>
          <w:color w:val="auto"/>
        </w:rPr>
      </w:pPr>
      <w:r>
        <w:rPr>
          <w:rFonts w:ascii="Arial" w:cs="Arial" w:eastAsia="Arial" w:hAnsi="Arial"/>
          <w:sz w:val="19"/>
          <w:szCs w:val="19"/>
          <w:color w:val="auto"/>
        </w:rPr>
        <w:t>Whistler Acquisition Subsidiaries Minority Interest (add 25% (or if minority equity interest is not 25%, then the percentage of minority equity interest in the Whistler Acquisition</w:t>
      </w:r>
    </w:p>
    <w:p>
      <w:pPr>
        <w:spacing w:after="0" w:line="2" w:lineRule="exact"/>
        <w:rPr>
          <w:sz w:val="20"/>
          <w:szCs w:val="20"/>
          <w:color w:val="auto"/>
        </w:rPr>
      </w:pPr>
    </w:p>
    <w:tbl>
      <w:tblPr>
        <w:tblLayout w:type="fixed"/>
        <w:tblInd w:w="3" w:type="dxa"/>
        <w:tblCellMar>
          <w:top w:w="0" w:type="dxa"/>
          <w:left w:w="0" w:type="dxa"/>
          <w:bottom w:w="0" w:type="dxa"/>
          <w:right w:w="0" w:type="dxa"/>
        </w:tblCellMar>
      </w:tblPr>
      <w:tr>
        <w:trPr>
          <w:trHeight w:val="250"/>
        </w:trPr>
        <w:tc>
          <w:tcPr>
            <w:tcW w:w="8440" w:type="dxa"/>
            <w:vAlign w:val="bottom"/>
            <w:gridSpan w:val="3"/>
          </w:tcPr>
          <w:p>
            <w:pPr>
              <w:ind w:left="1060"/>
              <w:spacing w:after="0"/>
              <w:rPr>
                <w:sz w:val="20"/>
                <w:szCs w:val="20"/>
                <w:color w:val="auto"/>
              </w:rPr>
            </w:pPr>
            <w:r>
              <w:rPr>
                <w:rFonts w:ascii="Arial" w:cs="Arial" w:eastAsia="Arial" w:hAnsi="Arial"/>
                <w:sz w:val="20"/>
                <w:szCs w:val="20"/>
                <w:color w:val="auto"/>
              </w:rPr>
              <w:t>Subsidiaries) of this line item attributable to the Whistler Acquisition Subsidiaries)</w:t>
            </w:r>
          </w:p>
        </w:tc>
        <w:tc>
          <w:tcPr>
            <w:tcW w:w="1480" w:type="dxa"/>
            <w:vAlign w:val="bottom"/>
          </w:tcPr>
          <w:p>
            <w:pPr>
              <w:jc w:val="right"/>
              <w:spacing w:after="0"/>
              <w:rPr>
                <w:sz w:val="20"/>
                <w:szCs w:val="20"/>
                <w:color w:val="auto"/>
              </w:rPr>
            </w:pPr>
            <w:r>
              <w:rPr>
                <w:rFonts w:ascii="Arial" w:cs="Arial" w:eastAsia="Arial" w:hAnsi="Arial"/>
                <w:sz w:val="20"/>
                <w:szCs w:val="20"/>
                <w:color w:val="auto"/>
                <w:w w:val="90"/>
              </w:rPr>
              <w:t>$ _____________</w:t>
            </w:r>
          </w:p>
        </w:tc>
      </w:tr>
      <w:tr>
        <w:trPr>
          <w:trHeight w:val="277"/>
        </w:trPr>
        <w:tc>
          <w:tcPr>
            <w:tcW w:w="8440" w:type="dxa"/>
            <w:vAlign w:val="bottom"/>
            <w:gridSpan w:val="3"/>
          </w:tcPr>
          <w:p>
            <w:pPr>
              <w:spacing w:after="0"/>
              <w:rPr>
                <w:sz w:val="20"/>
                <w:szCs w:val="20"/>
                <w:color w:val="auto"/>
              </w:rPr>
            </w:pPr>
            <w:r>
              <w:rPr>
                <w:rFonts w:ascii="Arial" w:cs="Arial" w:eastAsia="Arial" w:hAnsi="Arial"/>
                <w:sz w:val="20"/>
                <w:szCs w:val="20"/>
                <w:color w:val="auto"/>
                <w:w w:val="92"/>
              </w:rPr>
              <w:t>(xxxi) EBITDA of the Restricted Companies for the last four fiscal quarters (</w:t>
            </w:r>
            <w:r>
              <w:rPr>
                <w:rFonts w:ascii="Arial" w:cs="Arial" w:eastAsia="Arial" w:hAnsi="Arial"/>
                <w:sz w:val="20"/>
                <w:szCs w:val="20"/>
                <w:b w:val="1"/>
                <w:bCs w:val="1"/>
                <w:i w:val="1"/>
                <w:iCs w:val="1"/>
                <w:color w:val="auto"/>
                <w:w w:val="92"/>
              </w:rPr>
              <w:t>Item 11.1(xxix)</w:t>
            </w:r>
            <w:r>
              <w:rPr>
                <w:rFonts w:ascii="Arial" w:cs="Arial" w:eastAsia="Arial" w:hAnsi="Arial"/>
                <w:sz w:val="20"/>
                <w:szCs w:val="20"/>
                <w:color w:val="auto"/>
                <w:w w:val="92"/>
              </w:rPr>
              <w:t xml:space="preserve"> minus </w:t>
            </w:r>
            <w:r>
              <w:rPr>
                <w:rFonts w:ascii="Arial" w:cs="Arial" w:eastAsia="Arial" w:hAnsi="Arial"/>
                <w:sz w:val="20"/>
                <w:szCs w:val="20"/>
                <w:b w:val="1"/>
                <w:bCs w:val="1"/>
                <w:i w:val="1"/>
                <w:iCs w:val="1"/>
                <w:color w:val="auto"/>
                <w:w w:val="92"/>
              </w:rPr>
              <w:t>Item</w:t>
            </w:r>
          </w:p>
        </w:tc>
        <w:tc>
          <w:tcPr>
            <w:tcW w:w="1480" w:type="dxa"/>
            <w:vAlign w:val="bottom"/>
          </w:tcPr>
          <w:p>
            <w:pPr>
              <w:spacing w:after="0"/>
              <w:rPr>
                <w:sz w:val="24"/>
                <w:szCs w:val="24"/>
                <w:color w:val="auto"/>
              </w:rPr>
            </w:pPr>
          </w:p>
        </w:tc>
      </w:tr>
      <w:tr>
        <w:trPr>
          <w:trHeight w:val="254"/>
        </w:trPr>
        <w:tc>
          <w:tcPr>
            <w:tcW w:w="7460" w:type="dxa"/>
            <w:vAlign w:val="bottom"/>
          </w:tcPr>
          <w:p>
            <w:pPr>
              <w:ind w:left="640"/>
              <w:spacing w:after="0"/>
              <w:rPr>
                <w:sz w:val="20"/>
                <w:szCs w:val="20"/>
                <w:color w:val="auto"/>
              </w:rPr>
            </w:pPr>
            <w:r>
              <w:rPr>
                <w:rFonts w:ascii="Arial" w:cs="Arial" w:eastAsia="Arial" w:hAnsi="Arial"/>
                <w:sz w:val="20"/>
                <w:szCs w:val="20"/>
                <w:b w:val="1"/>
                <w:bCs w:val="1"/>
                <w:i w:val="1"/>
                <w:iCs w:val="1"/>
                <w:color w:val="auto"/>
              </w:rPr>
              <w:t>11.1(xxx)</w:t>
            </w:r>
            <w:r>
              <w:rPr>
                <w:rFonts w:ascii="Arial" w:cs="Arial" w:eastAsia="Arial" w:hAnsi="Arial"/>
                <w:sz w:val="20"/>
                <w:szCs w:val="20"/>
                <w:color w:val="auto"/>
              </w:rPr>
              <w:t>):</w:t>
            </w:r>
          </w:p>
        </w:tc>
        <w:tc>
          <w:tcPr>
            <w:tcW w:w="480" w:type="dxa"/>
            <w:vAlign w:val="bottom"/>
            <w:tcBorders>
              <w:top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w w:val="90"/>
              </w:rPr>
              <w:t>$ _____________</w:t>
            </w:r>
          </w:p>
        </w:tc>
      </w:tr>
    </w:tbl>
    <w:p>
      <w:pPr>
        <w:spacing w:after="0" w:line="87" w:lineRule="exact"/>
        <w:rPr>
          <w:sz w:val="20"/>
          <w:szCs w:val="20"/>
          <w:color w:val="auto"/>
        </w:rPr>
      </w:pPr>
    </w:p>
    <w:p>
      <w:pPr>
        <w:jc w:val="both"/>
        <w:ind w:left="643" w:right="1540" w:hanging="643"/>
        <w:spacing w:after="0" w:line="255" w:lineRule="auto"/>
        <w:tabs>
          <w:tab w:leader="none" w:pos="749" w:val="left"/>
        </w:tabs>
        <w:numPr>
          <w:ilvl w:val="0"/>
          <w:numId w:val="258"/>
        </w:numPr>
        <w:rPr>
          <w:rFonts w:ascii="Arial" w:cs="Arial" w:eastAsia="Arial" w:hAnsi="Arial"/>
          <w:sz w:val="19"/>
          <w:szCs w:val="19"/>
          <w:color w:val="auto"/>
        </w:rPr>
      </w:pPr>
      <w:r>
        <w:rPr>
          <w:rFonts w:ascii="Arial" w:cs="Arial" w:eastAsia="Arial" w:hAnsi="Arial"/>
          <w:sz w:val="19"/>
          <w:szCs w:val="19"/>
          <w:color w:val="auto"/>
        </w:rPr>
        <w:t>Insurance proceeds received in cash by the Restricted Companies under policies of business interruption insurance (or under policies of insurance which cover losses or claims of the same character or type) in a maximum amount not to exceed the EBITDA of the Restricted Companies for the most-recently-ended four fiscal quarters attributable to the applicable property or asset (as agreed upon by Administrative Agent and pro rated over a period of determination as deemed appropriate by Administrative Agent):</w:t>
      </w:r>
    </w:p>
    <w:p>
      <w:pPr>
        <w:spacing w:after="0" w:line="1" w:lineRule="exact"/>
        <w:rPr>
          <w:sz w:val="20"/>
          <w:szCs w:val="20"/>
          <w:color w:val="auto"/>
        </w:rPr>
      </w:pPr>
    </w:p>
    <w:p>
      <w:pPr>
        <w:ind w:left="8503"/>
        <w:spacing w:after="0"/>
        <w:rPr>
          <w:sz w:val="20"/>
          <w:szCs w:val="20"/>
          <w:color w:val="auto"/>
        </w:rPr>
      </w:pPr>
      <w:r>
        <w:rPr>
          <w:rFonts w:ascii="Arial" w:cs="Arial" w:eastAsia="Arial" w:hAnsi="Arial"/>
          <w:sz w:val="16"/>
          <w:szCs w:val="16"/>
          <w:color w:val="auto"/>
        </w:rPr>
        <w:t>$ _____________</w:t>
      </w:r>
    </w:p>
    <w:p>
      <w:pPr>
        <w:sectPr>
          <w:pgSz w:w="11900" w:h="16838" w:orient="portrait"/>
          <w:cols w:equalWidth="0" w:num="1">
            <w:col w:w="9923"/>
          </w:cols>
          <w:pgMar w:left="977" w:top="744" w:right="999" w:bottom="1440" w:gutter="0" w:footer="0" w:header="0"/>
          <w:type w:val="continuous"/>
        </w:sectPr>
      </w:pPr>
    </w:p>
    <w:bookmarkStart w:id="235" w:name="page236"/>
    <w:bookmarkEnd w:id="235"/>
    <w:p>
      <w:pPr>
        <w:jc w:val="both"/>
        <w:ind w:left="643" w:right="1540" w:hanging="643"/>
        <w:spacing w:after="0" w:line="271" w:lineRule="auto"/>
        <w:tabs>
          <w:tab w:leader="none" w:pos="736"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On a pro forma basis without duplication, all EBITDA of the Restricted Companies from assets acquired in accordance with the Credit Agreement (including, without limitation, Restricted Subsidiaries formed or acquired in accordance with </w:t>
      </w:r>
      <w:r>
        <w:rPr>
          <w:rFonts w:ascii="Arial" w:cs="Arial" w:eastAsia="Arial" w:hAnsi="Arial"/>
          <w:sz w:val="18"/>
          <w:szCs w:val="18"/>
          <w:i w:val="1"/>
          <w:iCs w:val="1"/>
          <w:color w:val="auto"/>
        </w:rPr>
        <w:t>Section 9.10</w:t>
      </w:r>
      <w:r>
        <w:rPr>
          <w:rFonts w:ascii="Arial" w:cs="Arial" w:eastAsia="Arial" w:hAnsi="Arial"/>
          <w:sz w:val="18"/>
          <w:szCs w:val="18"/>
          <w:color w:val="auto"/>
        </w:rPr>
        <w:t xml:space="preserve"> of the Credit Agreement, and Unrestricted Subsidiaries re-designated as Restricted Subsidiaries in accordance with </w:t>
      </w:r>
      <w:r>
        <w:rPr>
          <w:rFonts w:ascii="Arial" w:cs="Arial" w:eastAsia="Arial" w:hAnsi="Arial"/>
          <w:sz w:val="18"/>
          <w:szCs w:val="18"/>
          <w:i w:val="1"/>
          <w:iCs w:val="1"/>
          <w:color w:val="auto"/>
        </w:rPr>
        <w:t>Section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9.11(b) </w:t>
      </w:r>
      <w:r>
        <w:rPr>
          <w:rFonts w:ascii="Arial" w:cs="Arial" w:eastAsia="Arial" w:hAnsi="Arial"/>
          <w:sz w:val="18"/>
          <w:szCs w:val="18"/>
          <w:color w:val="auto"/>
        </w:rPr>
        <w:t>of the Credit Agreement), and if Borrower or any Restricted Company acquires, leases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gains control of the Park City base area from Park City Mountain Resort or the land subject to the PCMR Litigation, such event shall be treated as an acquisition for purposes of this provision) during any applicable period, calculated as if such assets were acquired on the first day of such period and including actual and identifiable cost synergies from acquisitions in an aggregate amount for such period not to exceed 10% of the EBITDA of the Restricted Companies for the most-recently-ended four fiscal quarters):</w:t>
      </w:r>
    </w:p>
    <w:p>
      <w:pPr>
        <w:spacing w:after="0" w:line="184" w:lineRule="exact"/>
        <w:rPr>
          <w:rFonts w:ascii="Arial" w:cs="Arial" w:eastAsia="Arial" w:hAnsi="Arial"/>
          <w:sz w:val="18"/>
          <w:szCs w:val="18"/>
          <w:color w:val="auto"/>
        </w:rPr>
      </w:pPr>
    </w:p>
    <w:p>
      <w:pPr>
        <w:ind w:left="1303" w:right="1540" w:hanging="654"/>
        <w:spacing w:after="0" w:line="247" w:lineRule="auto"/>
        <w:tabs>
          <w:tab w:leader="none" w:pos="1019" w:val="left"/>
        </w:tabs>
        <w:numPr>
          <w:ilvl w:val="2"/>
          <w:numId w:val="259"/>
        </w:numPr>
        <w:rPr>
          <w:rFonts w:ascii="Arial" w:cs="Arial" w:eastAsia="Arial" w:hAnsi="Arial"/>
          <w:sz w:val="20"/>
          <w:szCs w:val="20"/>
          <w:color w:val="auto"/>
        </w:rPr>
      </w:pPr>
      <w:r>
        <w:rPr>
          <w:rFonts w:ascii="Arial" w:cs="Arial" w:eastAsia="Arial" w:hAnsi="Arial"/>
          <w:sz w:val="20"/>
          <w:szCs w:val="20"/>
          <w:color w:val="auto"/>
        </w:rPr>
        <w:t>Portion of the above amount attributable to actual and identifiable cost synergies from acquisitions:</w:t>
      </w:r>
    </w:p>
    <w:p>
      <w:pPr>
        <w:spacing w:after="0" w:line="1" w:lineRule="exact"/>
        <w:rPr>
          <w:rFonts w:ascii="Arial" w:cs="Arial" w:eastAsia="Arial" w:hAnsi="Arial"/>
          <w:sz w:val="20"/>
          <w:szCs w:val="20"/>
          <w:color w:val="auto"/>
        </w:rPr>
      </w:pPr>
    </w:p>
    <w:p>
      <w:pPr>
        <w:ind w:left="1283" w:hanging="239"/>
        <w:spacing w:after="0"/>
        <w:tabs>
          <w:tab w:leader="none" w:pos="1283" w:val="left"/>
        </w:tabs>
        <w:numPr>
          <w:ilvl w:val="3"/>
          <w:numId w:val="259"/>
        </w:numPr>
        <w:rPr>
          <w:rFonts w:ascii="Arial" w:cs="Arial" w:eastAsia="Arial" w:hAnsi="Arial"/>
          <w:sz w:val="20"/>
          <w:szCs w:val="20"/>
          <w:color w:val="auto"/>
        </w:rPr>
      </w:pPr>
      <w:r>
        <w:rPr>
          <w:rFonts w:ascii="Arial" w:cs="Arial" w:eastAsia="Arial" w:hAnsi="Arial"/>
          <w:sz w:val="20"/>
          <w:szCs w:val="20"/>
          <w:color w:val="auto"/>
        </w:rPr>
        <w:t>$_________ [break down for each acquisition].</w:t>
      </w:r>
    </w:p>
    <w:p>
      <w:pPr>
        <w:spacing w:after="0" w:line="213" w:lineRule="exact"/>
        <w:rPr>
          <w:rFonts w:ascii="Arial" w:cs="Arial" w:eastAsia="Arial" w:hAnsi="Arial"/>
          <w:sz w:val="20"/>
          <w:szCs w:val="20"/>
          <w:color w:val="auto"/>
        </w:rPr>
      </w:pPr>
    </w:p>
    <w:p>
      <w:pPr>
        <w:ind w:left="963" w:hanging="314"/>
        <w:spacing w:after="0"/>
        <w:tabs>
          <w:tab w:leader="none" w:pos="963" w:val="left"/>
        </w:tabs>
        <w:numPr>
          <w:ilvl w:val="2"/>
          <w:numId w:val="259"/>
        </w:numPr>
        <w:rPr>
          <w:rFonts w:ascii="Arial" w:cs="Arial" w:eastAsia="Arial" w:hAnsi="Arial"/>
          <w:sz w:val="20"/>
          <w:szCs w:val="20"/>
          <w:color w:val="auto"/>
        </w:rPr>
      </w:pPr>
      <w:r>
        <w:rPr>
          <w:rFonts w:ascii="Arial" w:cs="Arial" w:eastAsia="Arial" w:hAnsi="Arial"/>
          <w:sz w:val="20"/>
          <w:szCs w:val="20"/>
          <w:color w:val="auto"/>
        </w:rPr>
        <w:t>EBITDA of the Restricted Companies:</w:t>
      </w:r>
    </w:p>
    <w:p>
      <w:pPr>
        <w:spacing w:after="0" w:line="15" w:lineRule="exact"/>
        <w:rPr>
          <w:rFonts w:ascii="Arial" w:cs="Arial" w:eastAsia="Arial" w:hAnsi="Arial"/>
          <w:sz w:val="20"/>
          <w:szCs w:val="20"/>
          <w:color w:val="auto"/>
        </w:rPr>
      </w:pPr>
    </w:p>
    <w:p>
      <w:pPr>
        <w:ind w:left="1283" w:hanging="239"/>
        <w:spacing w:after="0"/>
        <w:tabs>
          <w:tab w:leader="none" w:pos="1283" w:val="left"/>
        </w:tabs>
        <w:numPr>
          <w:ilvl w:val="3"/>
          <w:numId w:val="259"/>
        </w:numPr>
        <w:rPr>
          <w:rFonts w:ascii="Arial" w:cs="Arial" w:eastAsia="Arial" w:hAnsi="Arial"/>
          <w:sz w:val="20"/>
          <w:szCs w:val="20"/>
          <w:color w:val="auto"/>
        </w:rPr>
      </w:pPr>
      <w:r>
        <w:rPr>
          <w:rFonts w:ascii="Arial" w:cs="Arial" w:eastAsia="Arial" w:hAnsi="Arial"/>
          <w:sz w:val="20"/>
          <w:szCs w:val="20"/>
          <w:color w:val="auto"/>
        </w:rPr>
        <w:t>$_________</w:t>
      </w:r>
    </w:p>
    <w:p>
      <w:pPr>
        <w:spacing w:after="0" w:line="213" w:lineRule="exact"/>
        <w:rPr>
          <w:rFonts w:ascii="Arial" w:cs="Arial" w:eastAsia="Arial" w:hAnsi="Arial"/>
          <w:sz w:val="20"/>
          <w:szCs w:val="20"/>
          <w:color w:val="auto"/>
        </w:rPr>
      </w:pPr>
    </w:p>
    <w:p>
      <w:pPr>
        <w:ind w:left="963" w:hanging="314"/>
        <w:spacing w:after="0"/>
        <w:tabs>
          <w:tab w:leader="none" w:pos="963" w:val="left"/>
        </w:tabs>
        <w:numPr>
          <w:ilvl w:val="2"/>
          <w:numId w:val="259"/>
        </w:numPr>
        <w:rPr>
          <w:rFonts w:ascii="Arial" w:cs="Arial" w:eastAsia="Arial" w:hAnsi="Arial"/>
          <w:sz w:val="20"/>
          <w:szCs w:val="20"/>
          <w:color w:val="auto"/>
        </w:rPr>
      </w:pPr>
      <w:r>
        <w:rPr>
          <w:rFonts w:ascii="Arial" w:cs="Arial" w:eastAsia="Arial" w:hAnsi="Arial"/>
          <w:sz w:val="20"/>
          <w:szCs w:val="20"/>
          <w:color w:val="auto"/>
        </w:rPr>
        <w:t>10% of EBITDA of the Restricted Companies:</w:t>
      </w:r>
    </w:p>
    <w:p>
      <w:pPr>
        <w:spacing w:after="0" w:line="15" w:lineRule="exact"/>
        <w:rPr>
          <w:rFonts w:ascii="Arial" w:cs="Arial" w:eastAsia="Arial" w:hAnsi="Arial"/>
          <w:sz w:val="20"/>
          <w:szCs w:val="20"/>
          <w:color w:val="auto"/>
        </w:rPr>
      </w:pPr>
    </w:p>
    <w:p>
      <w:pPr>
        <w:ind w:left="1283" w:hanging="239"/>
        <w:spacing w:after="0"/>
        <w:tabs>
          <w:tab w:leader="none" w:pos="1283" w:val="left"/>
        </w:tabs>
        <w:numPr>
          <w:ilvl w:val="3"/>
          <w:numId w:val="259"/>
        </w:numPr>
        <w:rPr>
          <w:rFonts w:ascii="Arial" w:cs="Arial" w:eastAsia="Arial" w:hAnsi="Arial"/>
          <w:sz w:val="20"/>
          <w:szCs w:val="20"/>
          <w:color w:val="auto"/>
        </w:rPr>
      </w:pPr>
      <w:r>
        <w:rPr>
          <w:rFonts w:ascii="Arial" w:cs="Arial" w:eastAsia="Arial" w:hAnsi="Arial"/>
          <w:sz w:val="20"/>
          <w:szCs w:val="20"/>
          <w:color w:val="auto"/>
        </w:rPr>
        <w:t>$_________</w:t>
      </w:r>
    </w:p>
    <w:p>
      <w:pPr>
        <w:spacing w:after="0" w:line="213" w:lineRule="exact"/>
        <w:rPr>
          <w:rFonts w:ascii="Arial" w:cs="Arial" w:eastAsia="Arial" w:hAnsi="Arial"/>
          <w:sz w:val="20"/>
          <w:szCs w:val="20"/>
          <w:color w:val="auto"/>
        </w:rPr>
      </w:pPr>
    </w:p>
    <w:p>
      <w:pPr>
        <w:ind w:left="1063" w:right="1540" w:hanging="428"/>
        <w:spacing w:after="0" w:line="258" w:lineRule="auto"/>
        <w:tabs>
          <w:tab w:leader="none" w:pos="982" w:val="left"/>
        </w:tabs>
        <w:numPr>
          <w:ilvl w:val="1"/>
          <w:numId w:val="259"/>
        </w:numPr>
        <w:rPr>
          <w:rFonts w:ascii="Arial" w:cs="Arial" w:eastAsia="Arial" w:hAnsi="Arial"/>
          <w:sz w:val="19"/>
          <w:szCs w:val="19"/>
          <w:color w:val="auto"/>
        </w:rPr>
      </w:pPr>
      <w:r>
        <w:rPr>
          <w:rFonts w:ascii="Arial" w:cs="Arial" w:eastAsia="Arial" w:hAnsi="Arial"/>
          <w:sz w:val="19"/>
          <w:szCs w:val="19"/>
          <w:color w:val="auto"/>
        </w:rPr>
        <w:t xml:space="preserve">For the purpose of this </w:t>
      </w:r>
      <w:r>
        <w:rPr>
          <w:rFonts w:ascii="Arial" w:cs="Arial" w:eastAsia="Arial" w:hAnsi="Arial"/>
          <w:sz w:val="19"/>
          <w:szCs w:val="19"/>
          <w:b w:val="1"/>
          <w:bCs w:val="1"/>
          <w:i w:val="1"/>
          <w:iCs w:val="1"/>
          <w:color w:val="auto"/>
        </w:rPr>
        <w:t>Item 11.1(xxxiii)</w:t>
      </w:r>
      <w:r>
        <w:rPr>
          <w:rFonts w:ascii="Arial" w:cs="Arial" w:eastAsia="Arial" w:hAnsi="Arial"/>
          <w:sz w:val="19"/>
          <w:szCs w:val="19"/>
          <w:color w:val="auto"/>
        </w:rPr>
        <w:t xml:space="preserve">, actual and identifiable cost synergies with respect to each respective acquisition identified in </w:t>
      </w:r>
      <w:r>
        <w:rPr>
          <w:rFonts w:ascii="Arial" w:cs="Arial" w:eastAsia="Arial" w:hAnsi="Arial"/>
          <w:sz w:val="19"/>
          <w:szCs w:val="19"/>
          <w:b w:val="1"/>
          <w:bCs w:val="1"/>
          <w:i w:val="1"/>
          <w:iCs w:val="1"/>
          <w:color w:val="auto"/>
        </w:rPr>
        <w:t>Item 11.1(xxxiii)(A)</w:t>
      </w:r>
      <w:r>
        <w:rPr>
          <w:rFonts w:ascii="Arial" w:cs="Arial" w:eastAsia="Arial" w:hAnsi="Arial"/>
          <w:sz w:val="19"/>
          <w:szCs w:val="19"/>
          <w:color w:val="auto"/>
        </w:rPr>
        <w:t xml:space="preserve"> may not exceed 10% of the EBITDA of the Restricted Companies identified in </w:t>
      </w:r>
      <w:r>
        <w:rPr>
          <w:rFonts w:ascii="Arial" w:cs="Arial" w:eastAsia="Arial" w:hAnsi="Arial"/>
          <w:sz w:val="19"/>
          <w:szCs w:val="19"/>
          <w:b w:val="1"/>
          <w:bCs w:val="1"/>
          <w:i w:val="1"/>
          <w:iCs w:val="1"/>
          <w:color w:val="auto"/>
        </w:rPr>
        <w:t>Item 11.1(xxxiii)(C)</w:t>
      </w:r>
      <w:r>
        <w:rPr>
          <w:rFonts w:ascii="Arial" w:cs="Arial" w:eastAsia="Arial" w:hAnsi="Arial"/>
          <w:sz w:val="19"/>
          <w:szCs w:val="19"/>
          <w:color w:val="auto"/>
        </w:rPr>
        <w:t>.</w:t>
      </w:r>
    </w:p>
    <w:p>
      <w:pPr>
        <w:ind w:left="8503"/>
        <w:spacing w:after="0"/>
        <w:rPr>
          <w:sz w:val="20"/>
          <w:szCs w:val="20"/>
          <w:color w:val="auto"/>
        </w:rPr>
      </w:pPr>
      <w:r>
        <w:rPr>
          <w:rFonts w:ascii="Arial" w:cs="Arial" w:eastAsia="Arial" w:hAnsi="Arial"/>
          <w:sz w:val="16"/>
          <w:szCs w:val="16"/>
          <w:color w:val="auto"/>
        </w:rPr>
        <w:t>$ _____________</w:t>
      </w:r>
    </w:p>
    <w:p>
      <w:pPr>
        <w:spacing w:after="0" w:line="138" w:lineRule="exact"/>
        <w:rPr>
          <w:sz w:val="20"/>
          <w:szCs w:val="20"/>
          <w:color w:val="auto"/>
        </w:rPr>
      </w:pPr>
    </w:p>
    <w:p>
      <w:pPr>
        <w:ind w:left="643" w:right="1540" w:hanging="643"/>
        <w:spacing w:after="0" w:line="316" w:lineRule="auto"/>
        <w:tabs>
          <w:tab w:leader="none" w:pos="76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Net non-cash gains or losses of the Restricted Companies from foreign exchange conversions and mark-to-market adjustments to foreign exchange hedge agreements (or other derivatives):</w:t>
      </w:r>
    </w:p>
    <w:p>
      <w:pPr>
        <w:spacing w:after="0" w:line="373" w:lineRule="exact"/>
        <w:rPr>
          <w:sz w:val="20"/>
          <w:szCs w:val="20"/>
          <w:color w:val="auto"/>
        </w:rPr>
      </w:pPr>
    </w:p>
    <w:p>
      <w:pPr>
        <w:ind w:left="643"/>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Enter losses as a negative number.</w:t>
      </w:r>
      <w:r>
        <w:rPr>
          <w:rFonts w:ascii="Arial" w:cs="Arial" w:eastAsia="Arial" w:hAnsi="Arial"/>
          <w:sz w:val="20"/>
          <w:szCs w:val="20"/>
          <w:color w:val="auto"/>
        </w:rPr>
        <w:t>]</w:t>
      </w:r>
    </w:p>
    <w:p>
      <w:pPr>
        <w:spacing w:after="0" w:line="16" w:lineRule="exact"/>
        <w:rPr>
          <w:sz w:val="20"/>
          <w:szCs w:val="20"/>
          <w:color w:val="auto"/>
        </w:rPr>
      </w:pPr>
    </w:p>
    <w:p>
      <w:pPr>
        <w:ind w:left="8503"/>
        <w:spacing w:after="0"/>
        <w:rPr>
          <w:sz w:val="20"/>
          <w:szCs w:val="20"/>
          <w:color w:val="auto"/>
        </w:rPr>
      </w:pPr>
      <w:r>
        <w:rPr>
          <w:rFonts w:ascii="Arial" w:cs="Arial" w:eastAsia="Arial" w:hAnsi="Arial"/>
          <w:sz w:val="16"/>
          <w:szCs w:val="16"/>
          <w:color w:val="auto"/>
        </w:rPr>
        <w:t>$ _____________</w:t>
      </w:r>
    </w:p>
    <w:p>
      <w:pPr>
        <w:spacing w:after="0" w:line="138" w:lineRule="exact"/>
        <w:rPr>
          <w:sz w:val="20"/>
          <w:szCs w:val="20"/>
          <w:color w:val="auto"/>
        </w:rPr>
      </w:pPr>
    </w:p>
    <w:p>
      <w:pPr>
        <w:ind w:left="643" w:right="1540" w:hanging="643"/>
        <w:spacing w:after="0" w:line="256" w:lineRule="auto"/>
        <w:tabs>
          <w:tab w:leader="none" w:pos="575" w:val="left"/>
        </w:tabs>
        <w:numPr>
          <w:ilvl w:val="0"/>
          <w:numId w:val="261"/>
        </w:numPr>
        <w:rPr>
          <w:rFonts w:ascii="Arial" w:cs="Arial" w:eastAsia="Arial" w:hAnsi="Arial"/>
          <w:sz w:val="19"/>
          <w:szCs w:val="19"/>
          <w:color w:val="auto"/>
        </w:rPr>
      </w:pPr>
      <w:r>
        <w:rPr>
          <w:rFonts w:ascii="Arial" w:cs="Arial" w:eastAsia="Arial" w:hAnsi="Arial"/>
          <w:sz w:val="19"/>
          <w:szCs w:val="19"/>
          <w:color w:val="auto"/>
        </w:rPr>
        <w:t xml:space="preserve">Cash dividends or distributions based on income from any Unrestricted Subsidiary (other than the Whistler Acquisition Subsidiaries) to a Restricted Subsidiary in an amount not to exceed the EBITDA of such Unrestricted Subsidiary for the most-recently-ended four fiscal quarters (the sum of </w:t>
      </w:r>
      <w:r>
        <w:rPr>
          <w:rFonts w:ascii="Arial" w:cs="Arial" w:eastAsia="Arial" w:hAnsi="Arial"/>
          <w:sz w:val="19"/>
          <w:szCs w:val="19"/>
          <w:b w:val="1"/>
          <w:bCs w:val="1"/>
          <w:i w:val="1"/>
          <w:iCs w:val="1"/>
          <w:color w:val="auto"/>
        </w:rPr>
        <w:t>Items 11.1(xxxv)(A)</w:t>
      </w:r>
      <w:r>
        <w:rPr>
          <w:rFonts w:ascii="Arial" w:cs="Arial" w:eastAsia="Arial" w:hAnsi="Arial"/>
          <w:sz w:val="19"/>
          <w:szCs w:val="19"/>
          <w:color w:val="auto"/>
        </w:rPr>
        <w:t xml:space="preserve"> through </w:t>
      </w:r>
      <w:r>
        <w:rPr>
          <w:rFonts w:ascii="Arial" w:cs="Arial" w:eastAsia="Arial" w:hAnsi="Arial"/>
          <w:sz w:val="19"/>
          <w:szCs w:val="19"/>
          <w:b w:val="1"/>
          <w:bCs w:val="1"/>
          <w:i w:val="1"/>
          <w:iCs w:val="1"/>
          <w:color w:val="auto"/>
        </w:rPr>
        <w:t>11.1(xxxv)(__)</w:t>
      </w:r>
      <w:r>
        <w:rPr>
          <w:rFonts w:ascii="Arial" w:cs="Arial" w:eastAsia="Arial" w:hAnsi="Arial"/>
          <w:sz w:val="19"/>
          <w:szCs w:val="19"/>
          <w:color w:val="auto"/>
        </w:rPr>
        <w:t xml:space="preserve"> below):</w:t>
      </w:r>
    </w:p>
    <w:p>
      <w:pPr>
        <w:spacing w:after="0" w:line="2" w:lineRule="exact"/>
        <w:rPr>
          <w:sz w:val="20"/>
          <w:szCs w:val="20"/>
          <w:color w:val="auto"/>
        </w:rPr>
      </w:pPr>
    </w:p>
    <w:p>
      <w:pPr>
        <w:ind w:left="8503"/>
        <w:spacing w:after="0"/>
        <w:rPr>
          <w:sz w:val="20"/>
          <w:szCs w:val="20"/>
          <w:color w:val="auto"/>
        </w:rPr>
      </w:pPr>
      <w:r>
        <w:rPr>
          <w:rFonts w:ascii="Arial" w:cs="Arial" w:eastAsia="Arial" w:hAnsi="Arial"/>
          <w:sz w:val="16"/>
          <w:szCs w:val="16"/>
          <w:color w:val="auto"/>
        </w:rPr>
        <w:t>$ _____________</w:t>
      </w:r>
    </w:p>
    <w:p>
      <w:pPr>
        <w:sectPr>
          <w:pgSz w:w="11900" w:h="16838" w:orient="portrait"/>
          <w:cols w:equalWidth="0" w:num="1">
            <w:col w:w="9923"/>
          </w:cols>
          <w:pgMar w:left="977" w:top="771" w:right="999" w:bottom="1440" w:gutter="0" w:footer="0" w:header="0"/>
        </w:sectPr>
      </w:pPr>
    </w:p>
    <w:p>
      <w:pPr>
        <w:spacing w:after="0" w:line="138" w:lineRule="exact"/>
        <w:rPr>
          <w:sz w:val="20"/>
          <w:szCs w:val="20"/>
          <w:color w:val="auto"/>
        </w:rPr>
      </w:pPr>
    </w:p>
    <w:p>
      <w:pPr>
        <w:ind w:left="643"/>
        <w:spacing w:after="0"/>
        <w:rPr>
          <w:sz w:val="20"/>
          <w:szCs w:val="20"/>
          <w:color w:val="auto"/>
        </w:rPr>
      </w:pPr>
      <w:r>
        <w:rPr>
          <w:rFonts w:ascii="Arial" w:cs="Arial" w:eastAsia="Arial" w:hAnsi="Arial"/>
          <w:sz w:val="20"/>
          <w:szCs w:val="20"/>
          <w:color w:val="auto"/>
        </w:rPr>
        <w:t>(A)  List applicable Unrestricted Subsidiaries</w:t>
      </w:r>
    </w:p>
    <w:p>
      <w:pPr>
        <w:spacing w:after="0" w:line="16" w:lineRule="exact"/>
        <w:rPr>
          <w:sz w:val="20"/>
          <w:szCs w:val="20"/>
          <w:color w:val="auto"/>
        </w:rPr>
      </w:pPr>
    </w:p>
    <w:p>
      <w:pPr>
        <w:ind w:left="1303"/>
        <w:spacing w:after="0"/>
        <w:rPr>
          <w:sz w:val="20"/>
          <w:szCs w:val="20"/>
          <w:color w:val="auto"/>
        </w:rPr>
      </w:pPr>
      <w:r>
        <w:rPr>
          <w:rFonts w:ascii="Arial" w:cs="Arial" w:eastAsia="Arial" w:hAnsi="Arial"/>
          <w:sz w:val="18"/>
          <w:szCs w:val="18"/>
          <w:color w:val="auto"/>
        </w:rPr>
        <w:t>[EBITDA for the most-recently-ended four fiscal quarters equals $____________ (</w:t>
      </w:r>
      <w:r>
        <w:rPr>
          <w:rFonts w:ascii="Arial" w:cs="Arial" w:eastAsia="Arial" w:hAnsi="Arial"/>
          <w:sz w:val="18"/>
          <w:szCs w:val="18"/>
          <w:b w:val="1"/>
          <w:bCs w:val="1"/>
          <w:i w:val="1"/>
          <w:iCs w:val="1"/>
          <w:color w:val="auto"/>
        </w:rPr>
        <w:t>Item</w:t>
      </w:r>
    </w:p>
    <w:p>
      <w:pPr>
        <w:spacing w:after="0" w:line="23" w:lineRule="exact"/>
        <w:rPr>
          <w:sz w:val="20"/>
          <w:szCs w:val="20"/>
          <w:color w:val="auto"/>
        </w:rPr>
      </w:pPr>
    </w:p>
    <w:p>
      <w:pPr>
        <w:ind w:left="1303"/>
        <w:spacing w:after="0"/>
        <w:rPr>
          <w:sz w:val="20"/>
          <w:szCs w:val="20"/>
          <w:color w:val="auto"/>
        </w:rPr>
      </w:pPr>
      <w:r>
        <w:rPr>
          <w:rFonts w:ascii="Arial" w:cs="Arial" w:eastAsia="Arial" w:hAnsi="Arial"/>
          <w:sz w:val="20"/>
          <w:szCs w:val="20"/>
          <w:b w:val="1"/>
          <w:bCs w:val="1"/>
          <w:i w:val="1"/>
          <w:iCs w:val="1"/>
          <w:color w:val="auto"/>
        </w:rPr>
        <w:t>11.1(xxx)(__)</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ectPr>
          <w:pgSz w:w="11900" w:h="16838" w:orient="portrait"/>
          <w:cols w:equalWidth="0" w:num="2">
            <w:col w:w="8383" w:space="120"/>
            <w:col w:w="1420"/>
          </w:cols>
          <w:pgMar w:left="977" w:top="771" w:right="999" w:bottom="1440" w:gutter="0" w:footer="0" w:header="0"/>
          <w:type w:val="continuous"/>
        </w:sectPr>
      </w:pPr>
    </w:p>
    <w:bookmarkStart w:id="236" w:name="page237"/>
    <w:bookmarkEnd w:id="236"/>
    <w:p>
      <w:pPr>
        <w:jc w:val="both"/>
        <w:ind w:left="643" w:hanging="643"/>
        <w:spacing w:after="0" w:line="269" w:lineRule="auto"/>
        <w:tabs>
          <w:tab w:leader="none" w:pos="707" w:val="left"/>
        </w:tabs>
        <w:numPr>
          <w:ilvl w:val="0"/>
          <w:numId w:val="262"/>
        </w:numPr>
        <w:rPr>
          <w:rFonts w:ascii="Arial" w:cs="Arial" w:eastAsia="Arial" w:hAnsi="Arial"/>
          <w:sz w:val="18"/>
          <w:szCs w:val="18"/>
          <w:color w:val="auto"/>
        </w:rPr>
      </w:pPr>
      <w:r>
        <w:rPr>
          <w:rFonts w:ascii="Arial" w:cs="Arial" w:eastAsia="Arial" w:hAnsi="Arial"/>
          <w:sz w:val="18"/>
          <w:szCs w:val="18"/>
          <w:color w:val="auto"/>
        </w:rPr>
        <w:t>Extraordinary, unusual, or non-recurring charges, costs, and expenses of the Restricted Companies, including, without limitation, such charges, costs, and expenses for (A) financing fees, financial, and other advisory fees, accounting fees, legal fees (and similar advisory and consulting fees), and related costs and expenses incurred by the Restricted Companies in connection with permitted acquisitions and permitted asset sales (whether or not consummated),</w:t>
      </w:r>
    </w:p>
    <w:p>
      <w:pPr>
        <w:spacing w:after="0" w:line="3" w:lineRule="exact"/>
        <w:rPr>
          <w:rFonts w:ascii="Arial" w:cs="Arial" w:eastAsia="Arial" w:hAnsi="Arial"/>
          <w:sz w:val="18"/>
          <w:szCs w:val="18"/>
          <w:color w:val="auto"/>
        </w:rPr>
      </w:pPr>
    </w:p>
    <w:p>
      <w:pPr>
        <w:jc w:val="both"/>
        <w:ind w:left="643" w:firstLine="6"/>
        <w:spacing w:after="0" w:line="266" w:lineRule="auto"/>
        <w:tabs>
          <w:tab w:leader="none" w:pos="971" w:val="left"/>
        </w:tabs>
        <w:numPr>
          <w:ilvl w:val="1"/>
          <w:numId w:val="262"/>
        </w:numPr>
        <w:rPr>
          <w:rFonts w:ascii="Arial" w:cs="Arial" w:eastAsia="Arial" w:hAnsi="Arial"/>
          <w:sz w:val="18"/>
          <w:szCs w:val="18"/>
          <w:color w:val="auto"/>
        </w:rPr>
      </w:pPr>
      <w:r>
        <w:rPr>
          <w:rFonts w:ascii="Arial" w:cs="Arial" w:eastAsia="Arial" w:hAnsi="Arial"/>
          <w:sz w:val="18"/>
          <w:szCs w:val="18"/>
          <w:color w:val="auto"/>
        </w:rPr>
        <w:t xml:space="preserve">the restructuring, integration or reorganization of any Restricted Company or the Restricted Companies, (C) the settlement of litigation or other claims against any Restricted Company, (D) the severance of employees of any Restricted Company (in an aggregate amount for any such expenses in </w:t>
      </w:r>
      <w:r>
        <w:rPr>
          <w:rFonts w:ascii="Arial" w:cs="Arial" w:eastAsia="Arial" w:hAnsi="Arial"/>
          <w:sz w:val="18"/>
          <w:szCs w:val="18"/>
          <w:b w:val="1"/>
          <w:bCs w:val="1"/>
          <w:i w:val="1"/>
          <w:iCs w:val="1"/>
          <w:color w:val="auto"/>
        </w:rPr>
        <w:t>clauses (A)</w:t>
      </w:r>
      <w:r>
        <w:rPr>
          <w:rFonts w:ascii="Arial" w:cs="Arial" w:eastAsia="Arial" w:hAnsi="Arial"/>
          <w:sz w:val="18"/>
          <w:szCs w:val="18"/>
          <w:color w:val="auto"/>
        </w:rPr>
        <w:t xml:space="preserve"> through </w:t>
      </w:r>
      <w:r>
        <w:rPr>
          <w:rFonts w:ascii="Arial" w:cs="Arial" w:eastAsia="Arial" w:hAnsi="Arial"/>
          <w:sz w:val="18"/>
          <w:szCs w:val="18"/>
          <w:b w:val="1"/>
          <w:bCs w:val="1"/>
          <w:i w:val="1"/>
          <w:iCs w:val="1"/>
          <w:color w:val="auto"/>
        </w:rPr>
        <w:t>(D)</w:t>
      </w:r>
      <w:r>
        <w:rPr>
          <w:rFonts w:ascii="Arial" w:cs="Arial" w:eastAsia="Arial" w:hAnsi="Arial"/>
          <w:sz w:val="18"/>
          <w:szCs w:val="18"/>
          <w:color w:val="auto"/>
        </w:rPr>
        <w:t xml:space="preserve"> of this </w:t>
      </w:r>
      <w:r>
        <w:rPr>
          <w:rFonts w:ascii="Arial" w:cs="Arial" w:eastAsia="Arial" w:hAnsi="Arial"/>
          <w:sz w:val="18"/>
          <w:szCs w:val="18"/>
          <w:b w:val="1"/>
          <w:bCs w:val="1"/>
          <w:i w:val="1"/>
          <w:iCs w:val="1"/>
          <w:color w:val="auto"/>
        </w:rPr>
        <w:t>Item 11.1(xxxvi)</w:t>
      </w:r>
      <w:r>
        <w:rPr>
          <w:rFonts w:ascii="Arial" w:cs="Arial" w:eastAsia="Arial" w:hAnsi="Arial"/>
          <w:sz w:val="18"/>
          <w:szCs w:val="18"/>
          <w:color w:val="auto"/>
        </w:rPr>
        <w:t xml:space="preserve"> with respect to the most-recently-ended four fiscal quarters not to exceed 10% of EBITDA of the Restricted Companies for the most-recently-ended four fiscal quarters), and (E) charges, costs and expenses associated with the PCMR Litigation (including ongoing litigation expenses and settlement costs):</w:t>
      </w:r>
    </w:p>
    <w:p>
      <w:pPr>
        <w:spacing w:after="0" w:line="1" w:lineRule="exact"/>
        <w:rPr>
          <w:rFonts w:ascii="Arial" w:cs="Arial" w:eastAsia="Arial" w:hAnsi="Arial"/>
          <w:sz w:val="18"/>
          <w:szCs w:val="18"/>
          <w:color w:val="auto"/>
        </w:rPr>
      </w:pPr>
    </w:p>
    <w:p>
      <w:pPr>
        <w:ind w:left="643"/>
        <w:spacing w:after="0" w:line="244" w:lineRule="auto"/>
        <w:rPr>
          <w:rFonts w:ascii="Arial" w:cs="Arial" w:eastAsia="Arial" w:hAnsi="Arial"/>
          <w:sz w:val="18"/>
          <w:szCs w:val="18"/>
          <w:color w:val="auto"/>
        </w:rPr>
      </w:pPr>
      <w:r>
        <w:rPr>
          <w:rFonts w:ascii="Arial" w:cs="Arial" w:eastAsia="Arial" w:hAnsi="Arial"/>
          <w:sz w:val="20"/>
          <w:szCs w:val="20"/>
          <w:color w:val="auto"/>
        </w:rPr>
        <w:t xml:space="preserve">10% of EBITDA of the Restricted Companies for the most-recently-ended four fiscal quarters equals $_____________ (the product of </w:t>
      </w:r>
      <w:r>
        <w:rPr>
          <w:rFonts w:ascii="Arial" w:cs="Arial" w:eastAsia="Arial" w:hAnsi="Arial"/>
          <w:sz w:val="20"/>
          <w:szCs w:val="20"/>
          <w:b w:val="1"/>
          <w:bCs w:val="1"/>
          <w:i w:val="1"/>
          <w:iCs w:val="1"/>
          <w:color w:val="auto"/>
        </w:rPr>
        <w:t>Item 11.1(xxxi)</w:t>
      </w:r>
      <w:r>
        <w:rPr>
          <w:rFonts w:ascii="Arial" w:cs="Arial" w:eastAsia="Arial" w:hAnsi="Arial"/>
          <w:sz w:val="20"/>
          <w:szCs w:val="20"/>
          <w:color w:val="auto"/>
        </w:rPr>
        <w:t xml:space="preserve"> </w:t>
      </w:r>
      <w:r>
        <w:rPr>
          <w:rFonts w:ascii="Arial" w:cs="Arial" w:eastAsia="Arial" w:hAnsi="Arial"/>
          <w:sz w:val="20"/>
          <w:szCs w:val="20"/>
          <w:u w:val="single" w:color="auto"/>
          <w:color w:val="auto"/>
        </w:rPr>
        <w:t>multiplied</w:t>
      </w:r>
      <w:r>
        <w:rPr>
          <w:rFonts w:ascii="Arial" w:cs="Arial" w:eastAsia="Arial" w:hAnsi="Arial"/>
          <w:sz w:val="20"/>
          <w:szCs w:val="20"/>
          <w:color w:val="auto"/>
        </w:rPr>
        <w:t xml:space="preserve"> by .10)</w:t>
      </w:r>
    </w:p>
    <w:p>
      <w:pPr>
        <w:spacing w:after="0" w:line="286" w:lineRule="exact"/>
        <w:rPr>
          <w:sz w:val="20"/>
          <w:szCs w:val="20"/>
          <w:color w:val="auto"/>
        </w:rPr>
      </w:pPr>
    </w:p>
    <w:p>
      <w:pPr>
        <w:ind w:left="643" w:hanging="647"/>
        <w:spacing w:after="0" w:line="260" w:lineRule="auto"/>
        <w:rPr>
          <w:sz w:val="20"/>
          <w:szCs w:val="20"/>
          <w:color w:val="auto"/>
        </w:rPr>
      </w:pPr>
      <w:r>
        <w:rPr>
          <w:rFonts w:ascii="Arial" w:cs="Arial" w:eastAsia="Arial" w:hAnsi="Arial"/>
          <w:sz w:val="20"/>
          <w:szCs w:val="20"/>
          <w:color w:val="auto"/>
        </w:rPr>
        <w:t>(xxxvii)Non-cash costs of sales of real estate by the Restricted Companies in an amount not to exceed negative real estate EBITDA of Restricted Companies for such period:</w:t>
      </w:r>
    </w:p>
    <w:p>
      <w:pPr>
        <w:spacing w:after="0" w:line="69" w:lineRule="exact"/>
        <w:rPr>
          <w:sz w:val="20"/>
          <w:szCs w:val="20"/>
          <w:color w:val="auto"/>
        </w:rPr>
      </w:pPr>
    </w:p>
    <w:p>
      <w:pPr>
        <w:ind w:left="643" w:hanging="647"/>
        <w:spacing w:after="0" w:line="247" w:lineRule="auto"/>
        <w:rPr>
          <w:sz w:val="20"/>
          <w:szCs w:val="20"/>
          <w:color w:val="auto"/>
        </w:rPr>
      </w:pPr>
      <w:r>
        <w:rPr>
          <w:rFonts w:ascii="Arial" w:cs="Arial" w:eastAsia="Arial" w:hAnsi="Arial"/>
          <w:sz w:val="20"/>
          <w:szCs w:val="20"/>
          <w:color w:val="auto"/>
        </w:rPr>
        <w:t>(xxxviii)Net non-recurring gains or losses included in the calculation of EBITDA of the Restricted Companies:</w:t>
      </w:r>
    </w:p>
    <w:p>
      <w:pPr>
        <w:spacing w:after="0" w:line="2" w:lineRule="exact"/>
        <w:rPr>
          <w:sz w:val="20"/>
          <w:szCs w:val="20"/>
          <w:color w:val="auto"/>
        </w:rPr>
      </w:pPr>
    </w:p>
    <w:p>
      <w:pPr>
        <w:ind w:left="643"/>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Enter losses as a negative number.</w:t>
      </w:r>
      <w:r>
        <w:rPr>
          <w:rFonts w:ascii="Arial" w:cs="Arial" w:eastAsia="Arial" w:hAnsi="Arial"/>
          <w:sz w:val="20"/>
          <w:szCs w:val="20"/>
          <w:color w:val="auto"/>
        </w:rPr>
        <w:t>]</w:t>
      </w:r>
    </w:p>
    <w:p>
      <w:pPr>
        <w:spacing w:after="0" w:line="294" w:lineRule="exact"/>
        <w:rPr>
          <w:sz w:val="20"/>
          <w:szCs w:val="20"/>
          <w:color w:val="auto"/>
        </w:rPr>
      </w:pPr>
    </w:p>
    <w:p>
      <w:pPr>
        <w:jc w:val="both"/>
        <w:ind w:left="643" w:hanging="755"/>
        <w:spacing w:after="0" w:line="246" w:lineRule="auto"/>
        <w:rPr>
          <w:sz w:val="20"/>
          <w:szCs w:val="20"/>
          <w:color w:val="auto"/>
        </w:rPr>
      </w:pPr>
      <w:r>
        <w:rPr>
          <w:rFonts w:ascii="Arial" w:cs="Arial" w:eastAsia="Arial" w:hAnsi="Arial"/>
          <w:sz w:val="20"/>
          <w:szCs w:val="20"/>
          <w:color w:val="auto"/>
        </w:rPr>
        <w:t>(xxxix)For any payments by the Northstar Subsidiaries in respect of the portion of the Northstar Leases, if any, that is classified as a Capital Lease, the amount of such payment that would have been recorded as an operating lease expense had such portion of the Northstar Leases been classified as an operating lease:</w:t>
      </w:r>
    </w:p>
    <w:p>
      <w:pPr>
        <w:spacing w:after="0" w:line="83" w:lineRule="exact"/>
        <w:rPr>
          <w:sz w:val="20"/>
          <w:szCs w:val="20"/>
          <w:color w:val="auto"/>
        </w:rPr>
      </w:pPr>
    </w:p>
    <w:p>
      <w:pPr>
        <w:jc w:val="both"/>
        <w:ind w:left="643" w:hanging="186"/>
        <w:spacing w:after="0" w:line="244" w:lineRule="auto"/>
        <w:rPr>
          <w:sz w:val="20"/>
          <w:szCs w:val="20"/>
          <w:color w:val="auto"/>
        </w:rPr>
      </w:pPr>
      <w:r>
        <w:rPr>
          <w:rFonts w:ascii="Arial" w:cs="Arial" w:eastAsia="Arial" w:hAnsi="Arial"/>
          <w:sz w:val="20"/>
          <w:szCs w:val="20"/>
          <w:color w:val="auto"/>
        </w:rPr>
        <w:t xml:space="preserve">(xl) On a pro forma basis, all EBITDA of the Restricted Companies from assets disposed in accordance with the Credit Agreement during such period (including, without limitation, Restricted Subsidiaries re-designated as Unrestricted Subsidiaries in accordance with </w:t>
      </w:r>
      <w:r>
        <w:rPr>
          <w:rFonts w:ascii="Arial" w:cs="Arial" w:eastAsia="Arial" w:hAnsi="Arial"/>
          <w:sz w:val="20"/>
          <w:szCs w:val="20"/>
          <w:i w:val="1"/>
          <w:iCs w:val="1"/>
          <w:color w:val="auto"/>
        </w:rPr>
        <w:t>Section</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9.11(a) </w:t>
      </w:r>
      <w:r>
        <w:rPr>
          <w:rFonts w:ascii="Arial" w:cs="Arial" w:eastAsia="Arial" w:hAnsi="Arial"/>
          <w:sz w:val="20"/>
          <w:szCs w:val="20"/>
          <w:color w:val="auto"/>
        </w:rPr>
        <w:t>of the Credit Agreement), calculated as if such assets were disposed on the first day of</w:t>
      </w:r>
      <w:r>
        <w:rPr>
          <w:rFonts w:ascii="Arial" w:cs="Arial" w:eastAsia="Arial" w:hAnsi="Arial"/>
          <w:sz w:val="20"/>
          <w:szCs w:val="20"/>
          <w:i w:val="1"/>
          <w:iCs w:val="1"/>
          <w:color w:val="auto"/>
        </w:rPr>
        <w:t xml:space="preserve"> </w:t>
      </w:r>
      <w:r>
        <w:rPr>
          <w:rFonts w:ascii="Arial" w:cs="Arial" w:eastAsia="Arial" w:hAnsi="Arial"/>
          <w:sz w:val="20"/>
          <w:szCs w:val="20"/>
          <w:color w:val="auto"/>
        </w:rPr>
        <w:t>such period (to the extent not already excluded):</w:t>
      </w:r>
    </w:p>
    <w:p>
      <w:pPr>
        <w:spacing w:after="0" w:line="87" w:lineRule="exact"/>
        <w:rPr>
          <w:sz w:val="20"/>
          <w:szCs w:val="20"/>
          <w:color w:val="auto"/>
        </w:rPr>
      </w:pPr>
    </w:p>
    <w:p>
      <w:pPr>
        <w:jc w:val="right"/>
        <w:ind w:left="3"/>
        <w:spacing w:after="0" w:line="247" w:lineRule="auto"/>
        <w:rPr>
          <w:sz w:val="20"/>
          <w:szCs w:val="20"/>
          <w:color w:val="auto"/>
        </w:rPr>
      </w:pPr>
      <w:r>
        <w:rPr>
          <w:rFonts w:ascii="Arial" w:cs="Arial" w:eastAsia="Arial" w:hAnsi="Arial"/>
          <w:sz w:val="20"/>
          <w:szCs w:val="20"/>
          <w:color w:val="auto"/>
        </w:rPr>
        <w:t>(xli) Adjusted EBITDA (</w:t>
      </w:r>
      <w:r>
        <w:rPr>
          <w:rFonts w:ascii="Arial" w:cs="Arial" w:eastAsia="Arial" w:hAnsi="Arial"/>
          <w:sz w:val="20"/>
          <w:szCs w:val="20"/>
          <w:b w:val="1"/>
          <w:bCs w:val="1"/>
          <w:i w:val="1"/>
          <w:iCs w:val="1"/>
          <w:color w:val="auto"/>
        </w:rPr>
        <w:t>Item 11.1(xxxi)</w:t>
      </w:r>
      <w:r>
        <w:rPr>
          <w:rFonts w:ascii="Arial" w:cs="Arial" w:eastAsia="Arial" w:hAnsi="Arial"/>
          <w:sz w:val="20"/>
          <w:szCs w:val="20"/>
          <w:color w:val="auto"/>
        </w:rPr>
        <w:t xml:space="preserv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Item 11.1(xxxii)</w:t>
      </w:r>
      <w:r>
        <w:rPr>
          <w:rFonts w:ascii="Arial" w:cs="Arial" w:eastAsia="Arial" w:hAnsi="Arial"/>
          <w:sz w:val="20"/>
          <w:szCs w:val="20"/>
          <w:color w:val="auto"/>
        </w:rPr>
        <w:t xml:space="preserv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Item 11.1(xxxiii)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Item</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11.1(xxxiv) </w:t>
      </w:r>
      <w:r>
        <w:rPr>
          <w:rFonts w:ascii="Arial" w:cs="Arial" w:eastAsia="Arial" w:hAnsi="Arial"/>
          <w:sz w:val="20"/>
          <w:szCs w:val="20"/>
          <w:u w:val="single" w:color="auto"/>
          <w:color w:val="auto"/>
        </w:rPr>
        <w:t>plus</w:t>
      </w:r>
      <w:r>
        <w:rPr>
          <w:rFonts w:ascii="Arial" w:cs="Arial" w:eastAsia="Arial" w:hAnsi="Arial"/>
          <w:sz w:val="20"/>
          <w:szCs w:val="20"/>
          <w:b w:val="1"/>
          <w:bCs w:val="1"/>
          <w:i w:val="1"/>
          <w:iCs w:val="1"/>
          <w:color w:val="auto"/>
        </w:rPr>
        <w:t xml:space="preserve"> Item 11.1(xxxv) </w:t>
      </w:r>
      <w:r>
        <w:rPr>
          <w:rFonts w:ascii="Arial" w:cs="Arial" w:eastAsia="Arial" w:hAnsi="Arial"/>
          <w:sz w:val="20"/>
          <w:szCs w:val="20"/>
          <w:u w:val="single" w:color="auto"/>
          <w:color w:val="auto"/>
        </w:rPr>
        <w:t>plus</w:t>
      </w:r>
      <w:r>
        <w:rPr>
          <w:rFonts w:ascii="Arial" w:cs="Arial" w:eastAsia="Arial" w:hAnsi="Arial"/>
          <w:sz w:val="20"/>
          <w:szCs w:val="20"/>
          <w:b w:val="1"/>
          <w:bCs w:val="1"/>
          <w:i w:val="1"/>
          <w:iCs w:val="1"/>
          <w:color w:val="auto"/>
        </w:rPr>
        <w:t xml:space="preserve"> Item 11.1(xxxvi) </w:t>
      </w:r>
      <w:r>
        <w:rPr>
          <w:rFonts w:ascii="Arial" w:cs="Arial" w:eastAsia="Arial" w:hAnsi="Arial"/>
          <w:sz w:val="20"/>
          <w:szCs w:val="20"/>
          <w:u w:val="single" w:color="auto"/>
          <w:color w:val="auto"/>
        </w:rPr>
        <w:t>plus</w:t>
      </w:r>
      <w:r>
        <w:rPr>
          <w:rFonts w:ascii="Arial" w:cs="Arial" w:eastAsia="Arial" w:hAnsi="Arial"/>
          <w:sz w:val="20"/>
          <w:szCs w:val="20"/>
          <w:b w:val="1"/>
          <w:bCs w:val="1"/>
          <w:i w:val="1"/>
          <w:iCs w:val="1"/>
          <w:color w:val="auto"/>
        </w:rPr>
        <w:t xml:space="preserve"> Item 11.1(xxxvii) </w:t>
      </w:r>
      <w:r>
        <w:rPr>
          <w:rFonts w:ascii="Arial" w:cs="Arial" w:eastAsia="Arial" w:hAnsi="Arial"/>
          <w:sz w:val="20"/>
          <w:szCs w:val="20"/>
          <w:u w:val="single" w:color="auto"/>
          <w:color w:val="auto"/>
        </w:rPr>
        <w:t>minus</w:t>
      </w:r>
      <w:r>
        <w:rPr>
          <w:rFonts w:ascii="Arial" w:cs="Arial" w:eastAsia="Arial" w:hAnsi="Arial"/>
          <w:sz w:val="20"/>
          <w:szCs w:val="20"/>
          <w:b w:val="1"/>
          <w:bCs w:val="1"/>
          <w:i w:val="1"/>
          <w:iCs w:val="1"/>
          <w:color w:val="auto"/>
        </w:rPr>
        <w:t xml:space="preserve"> Item</w:t>
      </w:r>
    </w:p>
    <w:p>
      <w:pPr>
        <w:spacing w:after="0" w:line="2" w:lineRule="exact"/>
        <w:rPr>
          <w:sz w:val="20"/>
          <w:szCs w:val="20"/>
          <w:color w:val="auto"/>
        </w:rPr>
      </w:pPr>
    </w:p>
    <w:p>
      <w:pPr>
        <w:ind w:left="643"/>
        <w:spacing w:after="0"/>
        <w:rPr>
          <w:sz w:val="20"/>
          <w:szCs w:val="20"/>
          <w:color w:val="auto"/>
        </w:rPr>
      </w:pPr>
      <w:r>
        <w:rPr>
          <w:rFonts w:ascii="Arial" w:cs="Arial" w:eastAsia="Arial" w:hAnsi="Arial"/>
          <w:sz w:val="20"/>
          <w:szCs w:val="20"/>
          <w:b w:val="1"/>
          <w:bCs w:val="1"/>
          <w:i w:val="1"/>
          <w:iCs w:val="1"/>
          <w:color w:val="auto"/>
        </w:rPr>
        <w:t xml:space="preserve">11.1(xxxviii) </w:t>
      </w:r>
      <w:r>
        <w:rPr>
          <w:rFonts w:ascii="Arial" w:cs="Arial" w:eastAsia="Arial" w:hAnsi="Arial"/>
          <w:sz w:val="20"/>
          <w:szCs w:val="20"/>
          <w:u w:val="single" w:color="auto"/>
          <w:color w:val="auto"/>
        </w:rPr>
        <w:t>minus</w:t>
      </w:r>
      <w:r>
        <w:rPr>
          <w:rFonts w:ascii="Arial" w:cs="Arial" w:eastAsia="Arial" w:hAnsi="Arial"/>
          <w:sz w:val="20"/>
          <w:szCs w:val="20"/>
          <w:b w:val="1"/>
          <w:bCs w:val="1"/>
          <w:i w:val="1"/>
          <w:iCs w:val="1"/>
          <w:color w:val="auto"/>
        </w:rPr>
        <w:t xml:space="preserve"> Item 11.1(xxxix) </w:t>
      </w:r>
      <w:r>
        <w:rPr>
          <w:rFonts w:ascii="Arial" w:cs="Arial" w:eastAsia="Arial" w:hAnsi="Arial"/>
          <w:sz w:val="20"/>
          <w:szCs w:val="20"/>
          <w:u w:val="single" w:color="auto"/>
          <w:color w:val="auto"/>
        </w:rPr>
        <w:t>minus</w:t>
      </w:r>
      <w:r>
        <w:rPr>
          <w:rFonts w:ascii="Arial" w:cs="Arial" w:eastAsia="Arial" w:hAnsi="Arial"/>
          <w:sz w:val="20"/>
          <w:szCs w:val="20"/>
          <w:b w:val="1"/>
          <w:bCs w:val="1"/>
          <w:i w:val="1"/>
          <w:iCs w:val="1"/>
          <w:color w:val="auto"/>
        </w:rPr>
        <w:t xml:space="preserve"> Item 11.1(xl)</w:t>
      </w:r>
      <w:r>
        <w:rPr>
          <w:rFonts w:ascii="Arial" w:cs="Arial" w:eastAsia="Arial" w:hAnsi="Arial"/>
          <w:sz w:val="20"/>
          <w:szCs w:val="20"/>
          <w:color w:val="auto"/>
        </w:rPr>
        <w:t>):</w:t>
      </w:r>
    </w:p>
    <w:p>
      <w:pPr>
        <w:spacing w:after="0" w:line="92" w:lineRule="exact"/>
        <w:rPr>
          <w:sz w:val="20"/>
          <w:szCs w:val="20"/>
          <w:color w:val="auto"/>
        </w:rPr>
      </w:pPr>
    </w:p>
    <w:p>
      <w:pPr>
        <w:ind w:left="3"/>
        <w:spacing w:after="0"/>
        <w:rPr>
          <w:sz w:val="20"/>
          <w:szCs w:val="20"/>
          <w:color w:val="auto"/>
        </w:rPr>
      </w:pPr>
      <w:r>
        <w:rPr>
          <w:rFonts w:ascii="Arial" w:cs="Arial" w:eastAsia="Arial" w:hAnsi="Arial"/>
          <w:sz w:val="19"/>
          <w:szCs w:val="19"/>
          <w:color w:val="auto"/>
        </w:rPr>
        <w:t xml:space="preserve">(xlii) Ratio of Net Funded Debt to Adjusted EBITDA (Ratio of </w:t>
      </w:r>
      <w:r>
        <w:rPr>
          <w:rFonts w:ascii="Arial" w:cs="Arial" w:eastAsia="Arial" w:hAnsi="Arial"/>
          <w:sz w:val="19"/>
          <w:szCs w:val="19"/>
          <w:b w:val="1"/>
          <w:bCs w:val="1"/>
          <w:i w:val="1"/>
          <w:iCs w:val="1"/>
          <w:color w:val="auto"/>
        </w:rPr>
        <w:t>Item 11.1(xxviii)</w:t>
      </w:r>
      <w:r>
        <w:rPr>
          <w:rFonts w:ascii="Arial" w:cs="Arial" w:eastAsia="Arial" w:hAnsi="Arial"/>
          <w:sz w:val="19"/>
          <w:szCs w:val="19"/>
          <w:color w:val="auto"/>
        </w:rPr>
        <w:t xml:space="preserve"> to </w:t>
      </w:r>
      <w:r>
        <w:rPr>
          <w:rFonts w:ascii="Arial" w:cs="Arial" w:eastAsia="Arial" w:hAnsi="Arial"/>
          <w:sz w:val="19"/>
          <w:szCs w:val="19"/>
          <w:b w:val="1"/>
          <w:bCs w:val="1"/>
          <w:i w:val="1"/>
          <w:iCs w:val="1"/>
          <w:color w:val="auto"/>
        </w:rPr>
        <w:t>Item 11.1(xli)</w:t>
      </w:r>
      <w:r>
        <w:rPr>
          <w:rFonts w:ascii="Arial" w:cs="Arial" w:eastAsia="Arial" w:hAnsi="Arial"/>
          <w:sz w:val="19"/>
          <w:szCs w:val="19"/>
          <w:color w:val="auto"/>
        </w:rPr>
        <w:t>):</w:t>
      </w:r>
    </w:p>
    <w:p>
      <w:pPr>
        <w:spacing w:after="0" w:line="92" w:lineRule="exact"/>
        <w:rPr>
          <w:sz w:val="20"/>
          <w:szCs w:val="20"/>
          <w:color w:val="auto"/>
        </w:rPr>
      </w:pPr>
    </w:p>
    <w:p>
      <w:pPr>
        <w:ind w:left="3"/>
        <w:spacing w:after="0"/>
        <w:rPr>
          <w:sz w:val="20"/>
          <w:szCs w:val="20"/>
          <w:color w:val="auto"/>
        </w:rPr>
      </w:pPr>
      <w:r>
        <w:rPr>
          <w:rFonts w:ascii="Arial" w:cs="Arial" w:eastAsia="Arial" w:hAnsi="Arial"/>
          <w:sz w:val="20"/>
          <w:szCs w:val="20"/>
          <w:color w:val="auto"/>
        </w:rPr>
        <w:t>(xliii) Maximum ratio of Net Funded Debt to Adjusted EBITDA permitted:</w:t>
      </w:r>
    </w:p>
    <w:p>
      <w:pPr>
        <w:spacing w:after="0" w:line="200" w:lineRule="exact"/>
        <w:rPr>
          <w:sz w:val="20"/>
          <w:szCs w:val="20"/>
          <w:color w:val="auto"/>
        </w:rPr>
      </w:pPr>
    </w:p>
    <w:p>
      <w:pPr>
        <w:spacing w:after="0" w:line="205" w:lineRule="exact"/>
        <w:rPr>
          <w:sz w:val="20"/>
          <w:szCs w:val="20"/>
          <w:color w:val="auto"/>
        </w:rPr>
      </w:pPr>
    </w:p>
    <w:p>
      <w:pPr>
        <w:ind w:left="3"/>
        <w:spacing w:after="0"/>
        <w:rPr>
          <w:sz w:val="20"/>
          <w:szCs w:val="20"/>
          <w:color w:val="auto"/>
        </w:rPr>
      </w:pPr>
      <w:r>
        <w:rPr>
          <w:rFonts w:ascii="Arial" w:cs="Arial" w:eastAsia="Arial" w:hAnsi="Arial"/>
          <w:sz w:val="19"/>
          <w:szCs w:val="19"/>
          <w:color w:val="auto"/>
        </w:rPr>
        <w:t>(xliv) Is the ratio of Net Funded Debt to Adjusted EBITDA less than the maximum ratio permitted?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48" w:hanging="148"/>
        <w:spacing w:after="0"/>
        <w:tabs>
          <w:tab w:leader="none" w:pos="148" w:val="left"/>
        </w:tabs>
        <w:numPr>
          <w:ilvl w:val="0"/>
          <w:numId w:val="263"/>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356" w:lineRule="exact"/>
        <w:rPr>
          <w:rFonts w:ascii="Arial" w:cs="Arial" w:eastAsia="Arial" w:hAnsi="Arial"/>
          <w:sz w:val="16"/>
          <w:szCs w:val="16"/>
          <w:color w:val="auto"/>
        </w:rPr>
      </w:pPr>
    </w:p>
    <w:p>
      <w:pPr>
        <w:ind w:left="148" w:hanging="148"/>
        <w:spacing w:after="0"/>
        <w:tabs>
          <w:tab w:leader="none" w:pos="148" w:val="left"/>
        </w:tabs>
        <w:numPr>
          <w:ilvl w:val="0"/>
          <w:numId w:val="263"/>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48" w:hanging="148"/>
        <w:spacing w:after="0"/>
        <w:tabs>
          <w:tab w:leader="none" w:pos="148" w:val="left"/>
        </w:tabs>
        <w:numPr>
          <w:ilvl w:val="0"/>
          <w:numId w:val="264"/>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left="148" w:hanging="148"/>
        <w:spacing w:after="0"/>
        <w:tabs>
          <w:tab w:leader="none" w:pos="148" w:val="left"/>
        </w:tabs>
        <w:numPr>
          <w:ilvl w:val="0"/>
          <w:numId w:val="264"/>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
        <w:spacing w:after="0"/>
        <w:rPr>
          <w:sz w:val="20"/>
          <w:szCs w:val="20"/>
          <w:color w:val="auto"/>
        </w:rPr>
      </w:pPr>
      <w:r>
        <w:rPr>
          <w:rFonts w:ascii="Arial" w:cs="Arial" w:eastAsia="Arial" w:hAnsi="Arial"/>
          <w:sz w:val="16"/>
          <w:szCs w:val="16"/>
          <w:color w:val="auto"/>
        </w:rPr>
        <w:t>$ _____________</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48" w:hanging="148"/>
        <w:spacing w:after="0"/>
        <w:tabs>
          <w:tab w:leader="none" w:pos="148" w:val="left"/>
        </w:tabs>
        <w:numPr>
          <w:ilvl w:val="0"/>
          <w:numId w:val="265"/>
        </w:numPr>
        <w:rPr>
          <w:rFonts w:ascii="Arial" w:cs="Arial" w:eastAsia="Arial" w:hAnsi="Arial"/>
          <w:sz w:val="16"/>
          <w:szCs w:val="16"/>
          <w:color w:val="auto"/>
        </w:rPr>
      </w:pPr>
      <w:r>
        <w:rPr>
          <w:rFonts w:ascii="Arial" w:cs="Arial" w:eastAsia="Arial" w:hAnsi="Arial"/>
          <w:sz w:val="16"/>
          <w:szCs w:val="16"/>
          <w:color w:val="auto"/>
        </w:rPr>
        <w:t>_____________</w:t>
      </w:r>
    </w:p>
    <w:p>
      <w:pPr>
        <w:spacing w:after="0" w:line="153" w:lineRule="exact"/>
        <w:rPr>
          <w:rFonts w:ascii="Arial" w:cs="Arial" w:eastAsia="Arial" w:hAnsi="Arial"/>
          <w:sz w:val="16"/>
          <w:szCs w:val="16"/>
          <w:color w:val="auto"/>
        </w:rPr>
      </w:pPr>
    </w:p>
    <w:p>
      <w:pPr>
        <w:ind w:left="8"/>
        <w:spacing w:after="0"/>
        <w:rPr>
          <w:rFonts w:ascii="Arial" w:cs="Arial" w:eastAsia="Arial" w:hAnsi="Arial"/>
          <w:sz w:val="16"/>
          <w:szCs w:val="16"/>
          <w:color w:val="auto"/>
        </w:rPr>
      </w:pPr>
      <w:r>
        <w:rPr>
          <w:rFonts w:ascii="Arial" w:cs="Arial" w:eastAsia="Arial" w:hAnsi="Arial"/>
          <w:sz w:val="19"/>
          <w:szCs w:val="19"/>
          <w:color w:val="auto"/>
        </w:rPr>
        <w:t>_____________</w:t>
      </w:r>
    </w:p>
    <w:p>
      <w:pPr>
        <w:spacing w:after="0" w:line="92" w:lineRule="exact"/>
        <w:rPr>
          <w:rFonts w:ascii="Arial" w:cs="Arial" w:eastAsia="Arial" w:hAnsi="Arial"/>
          <w:sz w:val="16"/>
          <w:szCs w:val="16"/>
          <w:color w:val="auto"/>
        </w:rPr>
      </w:pPr>
    </w:p>
    <w:p>
      <w:pPr>
        <w:ind w:left="8"/>
        <w:spacing w:after="0"/>
        <w:rPr>
          <w:rFonts w:ascii="Arial" w:cs="Arial" w:eastAsia="Arial" w:hAnsi="Arial"/>
          <w:sz w:val="16"/>
          <w:szCs w:val="16"/>
          <w:color w:val="auto"/>
        </w:rPr>
      </w:pPr>
      <w:r>
        <w:rPr>
          <w:rFonts w:ascii="Arial" w:cs="Arial" w:eastAsia="Arial" w:hAnsi="Arial"/>
          <w:sz w:val="20"/>
          <w:szCs w:val="20"/>
          <w:color w:val="auto"/>
        </w:rPr>
        <w:t>5.00 : 1.00</w:t>
      </w:r>
    </w:p>
    <w:p>
      <w:pPr>
        <w:spacing w:after="0" w:line="200" w:lineRule="exact"/>
        <w:rPr>
          <w:sz w:val="20"/>
          <w:szCs w:val="20"/>
          <w:color w:val="auto"/>
        </w:rPr>
      </w:pPr>
    </w:p>
    <w:p>
      <w:pPr>
        <w:spacing w:after="0" w:line="205" w:lineRule="exact"/>
        <w:rPr>
          <w:sz w:val="20"/>
          <w:szCs w:val="20"/>
          <w:color w:val="auto"/>
        </w:rPr>
      </w:pPr>
    </w:p>
    <w:p>
      <w:pPr>
        <w:ind w:left="8"/>
        <w:spacing w:after="0"/>
        <w:rPr>
          <w:sz w:val="20"/>
          <w:szCs w:val="20"/>
          <w:color w:val="auto"/>
        </w:rPr>
      </w:pPr>
      <w:r>
        <w:rPr>
          <w:rFonts w:ascii="Arial" w:cs="Arial" w:eastAsia="Arial" w:hAnsi="Arial"/>
          <w:sz w:val="20"/>
          <w:szCs w:val="20"/>
          <w:color w:val="auto"/>
        </w:rPr>
        <w:t>Yes/No</w:t>
      </w:r>
    </w:p>
    <w:p>
      <w:pPr>
        <w:sectPr>
          <w:pgSz w:w="11900" w:h="16838" w:orient="portrait"/>
          <w:cols w:equalWidth="0" w:num="2">
            <w:col w:w="8383" w:space="112"/>
            <w:col w:w="1428"/>
          </w:cols>
          <w:pgMar w:left="977" w:top="771" w:right="999" w:bottom="1440" w:gutter="0" w:footer="0" w:header="0"/>
        </w:sectPr>
      </w:pPr>
    </w:p>
    <w:bookmarkStart w:id="237" w:name="page238"/>
    <w:bookmarkEnd w:id="2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 w:firstLine="8"/>
        <w:spacing w:after="0" w:line="316" w:lineRule="auto"/>
        <w:tabs>
          <w:tab w:leader="none" w:pos="86" w:val="left"/>
        </w:tabs>
        <w:numPr>
          <w:ilvl w:val="0"/>
          <w:numId w:val="266"/>
        </w:numPr>
        <w:rPr>
          <w:rFonts w:ascii="Arial" w:cs="Arial" w:eastAsia="Arial" w:hAnsi="Arial"/>
          <w:sz w:val="23"/>
          <w:szCs w:val="23"/>
          <w:color w:val="auto"/>
          <w:vertAlign w:val="superscript"/>
        </w:rPr>
      </w:pPr>
      <w:r>
        <w:rPr>
          <w:rFonts w:ascii="Arial" w:cs="Arial" w:eastAsia="Arial" w:hAnsi="Arial"/>
          <w:sz w:val="18"/>
          <w:szCs w:val="18"/>
          <w:color w:val="auto"/>
        </w:rPr>
        <w:t>Amounts in Items 11.1(xxxii), 11.1(xxxiii), 11.1(xxxiv), 11.1(xxxvi), 11.1(xxxvii), 11.1(xxxviii), 11.1(xxxix) and 11.1(xl) attributable to the Whistler Acquisition Subsidiaries shall each calculated net of the Whistler Acquisition Subsidiaries Minority Interest (subtract 25% (or if minority equity interest is not 25%, then the percentage of minority equity interest in the Whistler Acquisition Subsidiaries) of each line item attributable to the Whistler Acquisition Subsidiaries).</w:t>
      </w:r>
    </w:p>
    <w:p>
      <w:pPr>
        <w:sectPr>
          <w:pgSz w:w="11900" w:h="16838" w:orient="portrait"/>
          <w:cols w:equalWidth="0" w:num="1">
            <w:col w:w="11192"/>
          </w:cols>
          <w:pgMar w:left="248" w:top="1440" w:right="459" w:bottom="1440" w:gutter="0" w:footer="0" w:header="0"/>
        </w:sectPr>
      </w:pPr>
    </w:p>
    <w:bookmarkStart w:id="238" w:name="page239"/>
    <w:bookmarkEnd w:id="238"/>
    <w:tbl>
      <w:tblPr>
        <w:tblLayout w:type="fixed"/>
        <w:tblInd w:w="0" w:type="dxa"/>
        <w:tblCellMar>
          <w:top w:w="0" w:type="dxa"/>
          <w:left w:w="0" w:type="dxa"/>
          <w:bottom w:w="0" w:type="dxa"/>
          <w:right w:w="0" w:type="dxa"/>
        </w:tblCellMar>
      </w:tblPr>
      <w:tr>
        <w:trPr>
          <w:trHeight w:val="256"/>
        </w:trPr>
        <w:tc>
          <w:tcPr>
            <w:tcW w:w="7800" w:type="dxa"/>
            <w:vAlign w:val="bottom"/>
            <w:gridSpan w:val="3"/>
          </w:tcPr>
          <w:p>
            <w:pPr>
              <w:spacing w:after="0"/>
              <w:rPr>
                <w:sz w:val="20"/>
                <w:szCs w:val="20"/>
                <w:color w:val="auto"/>
              </w:rPr>
            </w:pPr>
            <w:r>
              <w:rPr>
                <w:rFonts w:ascii="Arial" w:cs="Arial" w:eastAsia="Arial" w:hAnsi="Arial"/>
                <w:sz w:val="20"/>
                <w:szCs w:val="20"/>
                <w:b w:val="1"/>
                <w:bCs w:val="1"/>
                <w:color w:val="auto"/>
              </w:rPr>
              <w:t>11.2 INTEREST COVERAGE RATIO</w:t>
            </w:r>
          </w:p>
        </w:tc>
        <w:tc>
          <w:tcPr>
            <w:tcW w:w="2720" w:type="dxa"/>
            <w:vAlign w:val="bottom"/>
          </w:tcPr>
          <w:p>
            <w:pPr>
              <w:spacing w:after="0"/>
              <w:rPr>
                <w:sz w:val="22"/>
                <w:szCs w:val="22"/>
                <w:color w:val="auto"/>
              </w:rPr>
            </w:pPr>
          </w:p>
        </w:tc>
      </w:tr>
      <w:tr>
        <w:trPr>
          <w:trHeight w:val="338"/>
        </w:trPr>
        <w:tc>
          <w:tcPr>
            <w:tcW w:w="7800" w:type="dxa"/>
            <w:vAlign w:val="bottom"/>
            <w:gridSpan w:val="3"/>
          </w:tcPr>
          <w:p>
            <w:pPr>
              <w:ind w:left="600"/>
              <w:spacing w:after="0"/>
              <w:rPr>
                <w:sz w:val="20"/>
                <w:szCs w:val="20"/>
                <w:color w:val="auto"/>
              </w:rPr>
            </w:pPr>
            <w:r>
              <w:rPr>
                <w:rFonts w:ascii="Arial" w:cs="Arial" w:eastAsia="Arial" w:hAnsi="Arial"/>
                <w:sz w:val="20"/>
                <w:szCs w:val="20"/>
                <w:color w:val="auto"/>
              </w:rPr>
              <w:t>(a) Adjusted EBITDA for the last four fiscal quarters (</w:t>
            </w:r>
            <w:r>
              <w:rPr>
                <w:rFonts w:ascii="Arial" w:cs="Arial" w:eastAsia="Arial" w:hAnsi="Arial"/>
                <w:sz w:val="20"/>
                <w:szCs w:val="20"/>
                <w:b w:val="1"/>
                <w:bCs w:val="1"/>
                <w:i w:val="1"/>
                <w:iCs w:val="1"/>
                <w:color w:val="auto"/>
              </w:rPr>
              <w:t>Item 11.1(xli)</w:t>
            </w:r>
            <w:r>
              <w:rPr>
                <w:rFonts w:ascii="Arial" w:cs="Arial" w:eastAsia="Arial" w:hAnsi="Arial"/>
                <w:sz w:val="20"/>
                <w:szCs w:val="20"/>
                <w:color w:val="auto"/>
              </w:rPr>
              <w:t>):</w:t>
            </w:r>
          </w:p>
        </w:tc>
        <w:tc>
          <w:tcPr>
            <w:tcW w:w="2720" w:type="dxa"/>
            <w:vAlign w:val="bottom"/>
          </w:tcPr>
          <w:p>
            <w:pPr>
              <w:ind w:left="1300"/>
              <w:spacing w:after="0"/>
              <w:rPr>
                <w:sz w:val="20"/>
                <w:szCs w:val="20"/>
                <w:color w:val="auto"/>
              </w:rPr>
            </w:pPr>
            <w:r>
              <w:rPr>
                <w:rFonts w:ascii="Arial" w:cs="Arial" w:eastAsia="Arial" w:hAnsi="Arial"/>
                <w:sz w:val="20"/>
                <w:szCs w:val="20"/>
                <w:color w:val="auto"/>
                <w:w w:val="86"/>
              </w:rPr>
              <w:t>$ _____________</w:t>
            </w:r>
          </w:p>
        </w:tc>
      </w:tr>
      <w:tr>
        <w:trPr>
          <w:trHeight w:val="311"/>
        </w:trPr>
        <w:tc>
          <w:tcPr>
            <w:tcW w:w="7800" w:type="dxa"/>
            <w:vAlign w:val="bottom"/>
            <w:gridSpan w:val="3"/>
          </w:tcPr>
          <w:p>
            <w:pPr>
              <w:ind w:left="600"/>
              <w:spacing w:after="0"/>
              <w:rPr>
                <w:sz w:val="20"/>
                <w:szCs w:val="20"/>
                <w:color w:val="auto"/>
              </w:rPr>
            </w:pPr>
            <w:r>
              <w:rPr>
                <w:rFonts w:ascii="Arial" w:cs="Arial" w:eastAsia="Arial" w:hAnsi="Arial"/>
                <w:sz w:val="20"/>
                <w:szCs w:val="20"/>
                <w:color w:val="auto"/>
              </w:rPr>
              <w:t>(b) Interest expense on Funded Debt for the last four fiscal quarters:</w:t>
            </w:r>
          </w:p>
        </w:tc>
        <w:tc>
          <w:tcPr>
            <w:tcW w:w="2720" w:type="dxa"/>
            <w:vAlign w:val="bottom"/>
          </w:tcPr>
          <w:p>
            <w:pPr>
              <w:ind w:left="1300"/>
              <w:spacing w:after="0"/>
              <w:rPr>
                <w:sz w:val="20"/>
                <w:szCs w:val="20"/>
                <w:color w:val="auto"/>
              </w:rPr>
            </w:pPr>
            <w:r>
              <w:rPr>
                <w:rFonts w:ascii="Arial" w:cs="Arial" w:eastAsia="Arial" w:hAnsi="Arial"/>
                <w:sz w:val="20"/>
                <w:szCs w:val="20"/>
                <w:color w:val="auto"/>
                <w:w w:val="86"/>
              </w:rPr>
              <w:t>$ _____________</w:t>
            </w:r>
          </w:p>
        </w:tc>
      </w:tr>
      <w:tr>
        <w:trPr>
          <w:trHeight w:val="311"/>
        </w:trPr>
        <w:tc>
          <w:tcPr>
            <w:tcW w:w="7800" w:type="dxa"/>
            <w:vAlign w:val="bottom"/>
            <w:gridSpan w:val="3"/>
          </w:tcPr>
          <w:p>
            <w:pPr>
              <w:ind w:left="600"/>
              <w:spacing w:after="0"/>
              <w:rPr>
                <w:sz w:val="20"/>
                <w:szCs w:val="20"/>
                <w:color w:val="auto"/>
              </w:rPr>
            </w:pPr>
            <w:r>
              <w:rPr>
                <w:rFonts w:ascii="Arial" w:cs="Arial" w:eastAsia="Arial" w:hAnsi="Arial"/>
                <w:sz w:val="20"/>
                <w:szCs w:val="20"/>
                <w:color w:val="auto"/>
              </w:rPr>
              <w:t>(c) Amortization of deferred financing costs and original issue discounts:</w:t>
            </w:r>
          </w:p>
        </w:tc>
        <w:tc>
          <w:tcPr>
            <w:tcW w:w="2720" w:type="dxa"/>
            <w:vAlign w:val="bottom"/>
          </w:tcPr>
          <w:p>
            <w:pPr>
              <w:ind w:left="1300"/>
              <w:spacing w:after="0"/>
              <w:rPr>
                <w:sz w:val="20"/>
                <w:szCs w:val="20"/>
                <w:color w:val="auto"/>
              </w:rPr>
            </w:pPr>
            <w:r>
              <w:rPr>
                <w:rFonts w:ascii="Arial" w:cs="Arial" w:eastAsia="Arial" w:hAnsi="Arial"/>
                <w:sz w:val="20"/>
                <w:szCs w:val="20"/>
                <w:color w:val="auto"/>
                <w:w w:val="86"/>
              </w:rPr>
              <w:t>$ _____________</w:t>
            </w:r>
          </w:p>
        </w:tc>
      </w:tr>
      <w:tr>
        <w:trPr>
          <w:trHeight w:val="293"/>
        </w:trPr>
        <w:tc>
          <w:tcPr>
            <w:tcW w:w="7800" w:type="dxa"/>
            <w:vAlign w:val="bottom"/>
            <w:gridSpan w:val="3"/>
          </w:tcPr>
          <w:p>
            <w:pPr>
              <w:ind w:left="600"/>
              <w:spacing w:after="0"/>
              <w:rPr>
                <w:sz w:val="20"/>
                <w:szCs w:val="20"/>
                <w:color w:val="auto"/>
              </w:rPr>
            </w:pPr>
            <w:r>
              <w:rPr>
                <w:rFonts w:ascii="Arial" w:cs="Arial" w:eastAsia="Arial" w:hAnsi="Arial"/>
                <w:sz w:val="20"/>
                <w:szCs w:val="20"/>
                <w:color w:val="auto"/>
              </w:rPr>
              <w:t xml:space="preserve">(d) </w:t>
            </w:r>
            <w:r>
              <w:rPr>
                <w:rFonts w:ascii="Arial" w:cs="Arial" w:eastAsia="Arial" w:hAnsi="Arial"/>
                <w:sz w:val="20"/>
                <w:szCs w:val="20"/>
                <w:b w:val="1"/>
                <w:bCs w:val="1"/>
                <w:i w:val="1"/>
                <w:iCs w:val="1"/>
                <w:color w:val="auto"/>
              </w:rPr>
              <w:t>Item 11.2(b)</w:t>
            </w:r>
            <w:r>
              <w:rPr>
                <w:rFonts w:ascii="Arial" w:cs="Arial" w:eastAsia="Arial" w:hAnsi="Arial"/>
                <w:sz w:val="20"/>
                <w:szCs w:val="20"/>
                <w:color w:val="auto"/>
              </w:rPr>
              <w:t xml:space="preserve"> minus </w:t>
            </w:r>
            <w:r>
              <w:rPr>
                <w:rFonts w:ascii="Arial" w:cs="Arial" w:eastAsia="Arial" w:hAnsi="Arial"/>
                <w:sz w:val="20"/>
                <w:szCs w:val="20"/>
                <w:b w:val="1"/>
                <w:bCs w:val="1"/>
                <w:i w:val="1"/>
                <w:iCs w:val="1"/>
                <w:color w:val="auto"/>
              </w:rPr>
              <w:t>11.2(c)</w:t>
            </w:r>
            <w:r>
              <w:rPr>
                <w:rFonts w:ascii="Arial" w:cs="Arial" w:eastAsia="Arial" w:hAnsi="Arial"/>
                <w:sz w:val="20"/>
                <w:szCs w:val="20"/>
                <w:color w:val="auto"/>
              </w:rPr>
              <w:t>:</w:t>
            </w:r>
          </w:p>
        </w:tc>
        <w:tc>
          <w:tcPr>
            <w:tcW w:w="2720" w:type="dxa"/>
            <w:vAlign w:val="bottom"/>
          </w:tcPr>
          <w:p>
            <w:pPr>
              <w:ind w:left="1300"/>
              <w:spacing w:after="0"/>
              <w:rPr>
                <w:sz w:val="20"/>
                <w:szCs w:val="20"/>
                <w:color w:val="auto"/>
              </w:rPr>
            </w:pPr>
            <w:r>
              <w:rPr>
                <w:rFonts w:ascii="Arial" w:cs="Arial" w:eastAsia="Arial" w:hAnsi="Arial"/>
                <w:sz w:val="20"/>
                <w:szCs w:val="20"/>
                <w:color w:val="auto"/>
                <w:w w:val="86"/>
              </w:rPr>
              <w:t>$ _____________</w:t>
            </w:r>
          </w:p>
        </w:tc>
      </w:tr>
      <w:tr>
        <w:trPr>
          <w:trHeight w:val="20"/>
        </w:trPr>
        <w:tc>
          <w:tcPr>
            <w:tcW w:w="19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362"/>
        </w:trPr>
        <w:tc>
          <w:tcPr>
            <w:tcW w:w="7800" w:type="dxa"/>
            <w:vAlign w:val="bottom"/>
            <w:gridSpan w:val="3"/>
          </w:tcPr>
          <w:p>
            <w:pPr>
              <w:ind w:left="580"/>
              <w:spacing w:after="0"/>
              <w:rPr>
                <w:sz w:val="20"/>
                <w:szCs w:val="20"/>
                <w:color w:val="auto"/>
              </w:rPr>
            </w:pPr>
            <w:r>
              <w:rPr>
                <w:rFonts w:ascii="Arial" w:cs="Arial" w:eastAsia="Arial" w:hAnsi="Arial"/>
                <w:sz w:val="20"/>
                <w:szCs w:val="20"/>
                <w:color w:val="auto"/>
              </w:rPr>
              <w:t xml:space="preserve">(e) Interest Coverage Ratio (Ratio of </w:t>
            </w:r>
            <w:r>
              <w:rPr>
                <w:rFonts w:ascii="Arial" w:cs="Arial" w:eastAsia="Arial" w:hAnsi="Arial"/>
                <w:sz w:val="20"/>
                <w:szCs w:val="20"/>
                <w:b w:val="1"/>
                <w:bCs w:val="1"/>
                <w:i w:val="1"/>
                <w:iCs w:val="1"/>
                <w:color w:val="auto"/>
              </w:rPr>
              <w:t>Item 11.2(a)</w:t>
            </w:r>
            <w:r>
              <w:rPr>
                <w:rFonts w:ascii="Arial" w:cs="Arial" w:eastAsia="Arial" w:hAnsi="Arial"/>
                <w:sz w:val="20"/>
                <w:szCs w:val="20"/>
                <w:color w:val="auto"/>
              </w:rPr>
              <w:t xml:space="preserve"> to </w:t>
            </w:r>
            <w:r>
              <w:rPr>
                <w:rFonts w:ascii="Arial" w:cs="Arial" w:eastAsia="Arial" w:hAnsi="Arial"/>
                <w:sz w:val="20"/>
                <w:szCs w:val="20"/>
                <w:b w:val="1"/>
                <w:bCs w:val="1"/>
                <w:i w:val="1"/>
                <w:iCs w:val="1"/>
                <w:color w:val="auto"/>
              </w:rPr>
              <w:t>Item 11.2(d)</w:t>
            </w:r>
            <w:r>
              <w:rPr>
                <w:rFonts w:ascii="Arial" w:cs="Arial" w:eastAsia="Arial" w:hAnsi="Arial"/>
                <w:sz w:val="20"/>
                <w:szCs w:val="20"/>
                <w:color w:val="auto"/>
              </w:rPr>
              <w:t>):</w:t>
            </w:r>
          </w:p>
        </w:tc>
        <w:tc>
          <w:tcPr>
            <w:tcW w:w="2720" w:type="dxa"/>
            <w:vAlign w:val="bottom"/>
          </w:tcPr>
          <w:p>
            <w:pPr>
              <w:ind w:left="1300"/>
              <w:spacing w:after="0"/>
              <w:rPr>
                <w:sz w:val="20"/>
                <w:szCs w:val="20"/>
                <w:color w:val="auto"/>
              </w:rPr>
            </w:pPr>
            <w:r>
              <w:rPr>
                <w:rFonts w:ascii="Arial" w:cs="Arial" w:eastAsia="Arial" w:hAnsi="Arial"/>
                <w:sz w:val="20"/>
                <w:szCs w:val="20"/>
                <w:color w:val="auto"/>
                <w:w w:val="96"/>
              </w:rPr>
              <w:t>_____________</w:t>
            </w:r>
          </w:p>
        </w:tc>
      </w:tr>
      <w:tr>
        <w:trPr>
          <w:trHeight w:val="311"/>
        </w:trPr>
        <w:tc>
          <w:tcPr>
            <w:tcW w:w="7800" w:type="dxa"/>
            <w:vAlign w:val="bottom"/>
            <w:gridSpan w:val="3"/>
          </w:tcPr>
          <w:p>
            <w:pPr>
              <w:ind w:left="580"/>
              <w:spacing w:after="0"/>
              <w:rPr>
                <w:sz w:val="20"/>
                <w:szCs w:val="20"/>
                <w:color w:val="auto"/>
              </w:rPr>
            </w:pPr>
            <w:r>
              <w:rPr>
                <w:rFonts w:ascii="Arial" w:cs="Arial" w:eastAsia="Arial" w:hAnsi="Arial"/>
                <w:sz w:val="20"/>
                <w:szCs w:val="20"/>
                <w:color w:val="auto"/>
              </w:rPr>
              <w:t>(f) Minimum Interest Coverage Ratio permitted:</w:t>
            </w:r>
          </w:p>
        </w:tc>
        <w:tc>
          <w:tcPr>
            <w:tcW w:w="2720" w:type="dxa"/>
            <w:vAlign w:val="bottom"/>
          </w:tcPr>
          <w:p>
            <w:pPr>
              <w:ind w:left="1300"/>
              <w:spacing w:after="0"/>
              <w:rPr>
                <w:sz w:val="20"/>
                <w:szCs w:val="20"/>
                <w:color w:val="auto"/>
              </w:rPr>
            </w:pPr>
            <w:r>
              <w:rPr>
                <w:rFonts w:ascii="Arial" w:cs="Arial" w:eastAsia="Arial" w:hAnsi="Arial"/>
                <w:sz w:val="20"/>
                <w:szCs w:val="20"/>
                <w:color w:val="auto"/>
              </w:rPr>
              <w:t>2.00 : 1.00</w:t>
            </w:r>
          </w:p>
        </w:tc>
      </w:tr>
      <w:tr>
        <w:trPr>
          <w:trHeight w:val="311"/>
        </w:trPr>
        <w:tc>
          <w:tcPr>
            <w:tcW w:w="7800" w:type="dxa"/>
            <w:vAlign w:val="bottom"/>
            <w:gridSpan w:val="3"/>
          </w:tcPr>
          <w:p>
            <w:pPr>
              <w:ind w:left="600"/>
              <w:spacing w:after="0"/>
              <w:rPr>
                <w:sz w:val="20"/>
                <w:szCs w:val="20"/>
                <w:color w:val="auto"/>
              </w:rPr>
            </w:pPr>
            <w:r>
              <w:rPr>
                <w:rFonts w:ascii="Arial" w:cs="Arial" w:eastAsia="Arial" w:hAnsi="Arial"/>
                <w:sz w:val="20"/>
                <w:szCs w:val="20"/>
                <w:color w:val="auto"/>
              </w:rPr>
              <w:t>(g) Does the Interest Coverage Ratio exceed the minimum ratio permitted?</w:t>
            </w:r>
          </w:p>
        </w:tc>
        <w:tc>
          <w:tcPr>
            <w:tcW w:w="2720" w:type="dxa"/>
            <w:vAlign w:val="bottom"/>
          </w:tcPr>
          <w:p>
            <w:pPr>
              <w:ind w:left="1300"/>
              <w:spacing w:after="0"/>
              <w:rPr>
                <w:sz w:val="20"/>
                <w:szCs w:val="20"/>
                <w:color w:val="auto"/>
              </w:rPr>
            </w:pPr>
            <w:r>
              <w:rPr>
                <w:rFonts w:ascii="Arial" w:cs="Arial" w:eastAsia="Arial" w:hAnsi="Arial"/>
                <w:sz w:val="20"/>
                <w:szCs w:val="20"/>
                <w:color w:val="auto"/>
              </w:rPr>
              <w:t>Yes/No</w:t>
            </w: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520"/>
        <w:spacing w:after="0" w:line="306" w:lineRule="auto"/>
        <w:rPr>
          <w:sz w:val="20"/>
          <w:szCs w:val="20"/>
          <w:color w:val="auto"/>
        </w:rPr>
      </w:pPr>
      <w:r>
        <w:rPr>
          <w:rFonts w:ascii="Arial" w:cs="Arial" w:eastAsia="Arial" w:hAnsi="Arial"/>
          <w:sz w:val="20"/>
          <w:szCs w:val="20"/>
          <w:color w:val="auto"/>
        </w:rPr>
        <w:t xml:space="preserve">*With respect to any Capital Lease permitted under the Credit Agreement, interest attributable thereto has been limited to that portion of the lease payments that is characterized as an interest expense under GAAP and paid in cash during the applicable period for purposes of calculations under </w:t>
      </w:r>
      <w:r>
        <w:rPr>
          <w:rFonts w:ascii="Arial" w:cs="Arial" w:eastAsia="Arial" w:hAnsi="Arial"/>
          <w:sz w:val="20"/>
          <w:szCs w:val="20"/>
          <w:i w:val="1"/>
          <w:iCs w:val="1"/>
          <w:color w:val="auto"/>
        </w:rPr>
        <w:t>Section 11.2</w:t>
      </w:r>
      <w:r>
        <w:rPr>
          <w:rFonts w:ascii="Arial" w:cs="Arial" w:eastAsia="Arial" w:hAnsi="Arial"/>
          <w:sz w:val="20"/>
          <w:szCs w:val="20"/>
          <w:color w:val="auto"/>
        </w:rPr>
        <w:t xml:space="preserve">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40" w:right="480" w:firstLine="656"/>
        <w:spacing w:after="0" w:line="257" w:lineRule="auto"/>
        <w:tabs>
          <w:tab w:leader="none" w:pos="751" w:val="left"/>
        </w:tabs>
        <w:numPr>
          <w:ilvl w:val="0"/>
          <w:numId w:val="267"/>
        </w:numPr>
        <w:rPr>
          <w:rFonts w:ascii="Arial" w:cs="Arial" w:eastAsia="Arial" w:hAnsi="Arial"/>
          <w:sz w:val="25"/>
          <w:szCs w:val="25"/>
          <w:color w:val="auto"/>
          <w:vertAlign w:val="superscript"/>
        </w:rPr>
      </w:pPr>
      <w:r>
        <w:rPr>
          <w:rFonts w:ascii="Arial" w:cs="Arial" w:eastAsia="Arial" w:hAnsi="Arial"/>
          <w:sz w:val="20"/>
          <w:szCs w:val="20"/>
          <w:color w:val="auto"/>
        </w:rPr>
        <w:t>Amounts in Items 12.2(b) and (c) attributable to the Whistler Acquisition Subsidiaries shall each calculated net of the Whistler Acquisition Subsidiaries Minority Interest (subtract 25% (or if</w:t>
      </w:r>
    </w:p>
    <w:p>
      <w:pPr>
        <w:sectPr>
          <w:pgSz w:w="11900" w:h="16838" w:orient="portrait"/>
          <w:cols w:equalWidth="0" w:num="1">
            <w:col w:w="11280"/>
          </w:cols>
          <w:pgMar w:left="380" w:top="738" w:right="239" w:bottom="1440" w:gutter="0" w:footer="0" w:header="0"/>
        </w:sectPr>
      </w:pPr>
    </w:p>
    <w:bookmarkStart w:id="239" w:name="page240"/>
    <w:bookmarkEnd w:id="239"/>
    <w:p>
      <w:pPr>
        <w:spacing w:after="0" w:line="317" w:lineRule="auto"/>
        <w:rPr>
          <w:sz w:val="20"/>
          <w:szCs w:val="20"/>
          <w:color w:val="auto"/>
        </w:rPr>
      </w:pPr>
      <w:r>
        <w:rPr>
          <w:rFonts w:ascii="Arial" w:cs="Arial" w:eastAsia="Arial" w:hAnsi="Arial"/>
          <w:sz w:val="20"/>
          <w:szCs w:val="20"/>
          <w:color w:val="auto"/>
        </w:rPr>
        <w:t>minority equity interest is not 25%, then the percentage of minority equity interest in the Whistler Acquisition Subsidiaries) of each line item attributable to the Whistler Acquisition Subsidiaries).</w:t>
      </w:r>
    </w:p>
    <w:p>
      <w:pPr>
        <w:sectPr>
          <w:pgSz w:w="11900" w:h="16838" w:orient="portrait"/>
          <w:cols w:equalWidth="0" w:num="1">
            <w:col w:w="11180"/>
          </w:cols>
          <w:pgMar w:left="240" w:top="609" w:right="479" w:bottom="1440" w:gutter="0" w:footer="0" w:header="0"/>
        </w:sectPr>
      </w:pPr>
    </w:p>
    <w:bookmarkStart w:id="240" w:name="page241"/>
    <w:bookmarkEnd w:id="240"/>
    <w:p>
      <w:pPr>
        <w:spacing w:after="0"/>
        <w:rPr>
          <w:sz w:val="20"/>
          <w:szCs w:val="20"/>
          <w:color w:val="auto"/>
        </w:rPr>
      </w:pPr>
      <w:r>
        <w:rPr>
          <w:rFonts w:ascii="Arial" w:cs="Arial" w:eastAsia="Arial" w:hAnsi="Arial"/>
          <w:sz w:val="20"/>
          <w:szCs w:val="20"/>
          <w:b w:val="1"/>
          <w:bCs w:val="1"/>
          <w:color w:val="auto"/>
        </w:rPr>
        <w:t>L/Cs</w:t>
      </w:r>
    </w:p>
    <w:p>
      <w:pPr>
        <w:spacing w:after="0" w:line="200" w:lineRule="exact"/>
        <w:rPr>
          <w:sz w:val="20"/>
          <w:szCs w:val="20"/>
          <w:color w:val="auto"/>
        </w:rPr>
      </w:pPr>
    </w:p>
    <w:p>
      <w:pPr>
        <w:spacing w:after="0" w:line="238" w:lineRule="exact"/>
        <w:rPr>
          <w:sz w:val="20"/>
          <w:szCs w:val="20"/>
          <w:color w:val="auto"/>
        </w:rPr>
      </w:pPr>
    </w:p>
    <w:p>
      <w:pPr>
        <w:ind w:left="600" w:right="1099"/>
        <w:spacing w:after="0" w:line="316" w:lineRule="auto"/>
        <w:rPr>
          <w:sz w:val="20"/>
          <w:szCs w:val="20"/>
          <w:color w:val="auto"/>
        </w:rPr>
      </w:pPr>
      <w:r>
        <w:rPr>
          <w:rFonts w:ascii="Arial" w:cs="Arial" w:eastAsia="Arial" w:hAnsi="Arial"/>
          <w:sz w:val="18"/>
          <w:szCs w:val="18"/>
          <w:color w:val="auto"/>
        </w:rPr>
        <w:t xml:space="preserve">Set forth on </w:t>
      </w:r>
      <w:r>
        <w:rPr>
          <w:rFonts w:ascii="Arial" w:cs="Arial" w:eastAsia="Arial" w:hAnsi="Arial"/>
          <w:sz w:val="18"/>
          <w:szCs w:val="18"/>
          <w:b w:val="1"/>
          <w:bCs w:val="1"/>
          <w:i w:val="1"/>
          <w:iCs w:val="1"/>
          <w:color w:val="auto"/>
        </w:rPr>
        <w:t>Schedule 1</w:t>
      </w:r>
      <w:r>
        <w:rPr>
          <w:rFonts w:ascii="Arial" w:cs="Arial" w:eastAsia="Arial" w:hAnsi="Arial"/>
          <w:sz w:val="18"/>
          <w:szCs w:val="18"/>
          <w:color w:val="auto"/>
        </w:rPr>
        <w:t xml:space="preserve"> attached hereto is a list of all Existing L/Cs and other letters of credit issued by an L/C Issuer under the Credit Agreement, and the drawn and undrawn amounts thereunder</w:t>
      </w:r>
    </w:p>
    <w:p>
      <w:pPr>
        <w:sectPr>
          <w:pgSz w:w="11900" w:h="16838" w:orient="portrait"/>
          <w:cols w:equalWidth="0" w:num="1">
            <w:col w:w="10079"/>
          </w:cols>
          <w:pgMar w:left="380" w:top="738" w:right="1440" w:bottom="1440" w:gutter="0" w:footer="0" w:header="0"/>
        </w:sectPr>
      </w:pPr>
    </w:p>
    <w:bookmarkStart w:id="241" w:name="page242"/>
    <w:bookmarkEnd w:id="241"/>
    <w:p>
      <w:pPr>
        <w:ind w:left="8320"/>
        <w:spacing w:after="0"/>
        <w:rPr>
          <w:sz w:val="20"/>
          <w:szCs w:val="20"/>
          <w:color w:val="auto"/>
        </w:rPr>
      </w:pPr>
      <w:r>
        <w:rPr>
          <w:rFonts w:ascii="Arial" w:cs="Arial" w:eastAsia="Arial" w:hAnsi="Arial"/>
          <w:sz w:val="16"/>
          <w:szCs w:val="16"/>
          <w:b w:val="1"/>
          <w:bCs w:val="1"/>
          <w:i w:val="1"/>
          <w:iCs w:val="1"/>
          <w:color w:val="auto"/>
        </w:rPr>
        <w:t>Schedule 1 to Compliance Certificate</w:t>
      </w:r>
    </w:p>
    <w:p>
      <w:pPr>
        <w:spacing w:after="0" w:line="200" w:lineRule="exact"/>
        <w:rPr>
          <w:sz w:val="20"/>
          <w:szCs w:val="20"/>
          <w:color w:val="auto"/>
        </w:rPr>
      </w:pPr>
    </w:p>
    <w:p>
      <w:pPr>
        <w:spacing w:after="0" w:line="315"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980" w:type="dxa"/>
            <w:vAlign w:val="bottom"/>
            <w:tcBorders>
              <w:top w:val="single" w:sz="8" w:color="00000A"/>
              <w:left w:val="single" w:sz="8" w:color="00000A"/>
            </w:tcBorders>
          </w:tcPr>
          <w:p>
            <w:pPr>
              <w:spacing w:after="0"/>
              <w:rPr>
                <w:sz w:val="23"/>
                <w:szCs w:val="23"/>
                <w:color w:val="auto"/>
              </w:rPr>
            </w:pPr>
          </w:p>
        </w:tc>
        <w:tc>
          <w:tcPr>
            <w:tcW w:w="840" w:type="dxa"/>
            <w:vAlign w:val="bottom"/>
            <w:tcBorders>
              <w:top w:val="single" w:sz="8" w:color="00000A"/>
            </w:tcBorders>
          </w:tcPr>
          <w:p>
            <w:pPr>
              <w:spacing w:after="0"/>
              <w:rPr>
                <w:sz w:val="23"/>
                <w:szCs w:val="23"/>
                <w:color w:val="auto"/>
              </w:rPr>
            </w:pPr>
          </w:p>
        </w:tc>
        <w:tc>
          <w:tcPr>
            <w:tcW w:w="940" w:type="dxa"/>
            <w:vAlign w:val="bottom"/>
            <w:tcBorders>
              <w:top w:val="single" w:sz="8" w:color="00000A"/>
              <w:right w:val="single" w:sz="8" w:color="00000A"/>
            </w:tcBorders>
          </w:tcPr>
          <w:p>
            <w:pPr>
              <w:spacing w:after="0"/>
              <w:rPr>
                <w:sz w:val="23"/>
                <w:szCs w:val="23"/>
                <w:color w:val="auto"/>
              </w:rPr>
            </w:pPr>
          </w:p>
        </w:tc>
        <w:tc>
          <w:tcPr>
            <w:tcW w:w="1260" w:type="dxa"/>
            <w:vAlign w:val="bottom"/>
            <w:tcBorders>
              <w:top w:val="single" w:sz="8" w:color="00000A"/>
            </w:tcBorders>
          </w:tcPr>
          <w:p>
            <w:pPr>
              <w:spacing w:after="0"/>
              <w:rPr>
                <w:sz w:val="23"/>
                <w:szCs w:val="23"/>
                <w:color w:val="auto"/>
              </w:rPr>
            </w:pPr>
          </w:p>
        </w:tc>
        <w:tc>
          <w:tcPr>
            <w:tcW w:w="680" w:type="dxa"/>
            <w:vAlign w:val="bottom"/>
            <w:tcBorders>
              <w:top w:val="single" w:sz="8" w:color="00000A"/>
            </w:tcBorders>
          </w:tcPr>
          <w:p>
            <w:pPr>
              <w:spacing w:after="0"/>
              <w:rPr>
                <w:sz w:val="23"/>
                <w:szCs w:val="23"/>
                <w:color w:val="auto"/>
              </w:rPr>
            </w:pPr>
          </w:p>
        </w:tc>
        <w:tc>
          <w:tcPr>
            <w:tcW w:w="1240" w:type="dxa"/>
            <w:vAlign w:val="bottom"/>
            <w:tcBorders>
              <w:top w:val="single" w:sz="8" w:color="00000A"/>
              <w:right w:val="single" w:sz="8" w:color="00000A"/>
            </w:tcBorders>
          </w:tcPr>
          <w:p>
            <w:pPr>
              <w:spacing w:after="0"/>
              <w:rPr>
                <w:sz w:val="23"/>
                <w:szCs w:val="23"/>
                <w:color w:val="auto"/>
              </w:rPr>
            </w:pPr>
          </w:p>
        </w:tc>
        <w:tc>
          <w:tcPr>
            <w:tcW w:w="1820" w:type="dxa"/>
            <w:vAlign w:val="bottom"/>
            <w:tcBorders>
              <w:top w:val="single" w:sz="8" w:color="00000A"/>
              <w:right w:val="single" w:sz="8" w:color="00000A"/>
            </w:tcBorders>
            <w:gridSpan w:val="5"/>
            <w:vMerge w:val="restart"/>
          </w:tcPr>
          <w:p>
            <w:pPr>
              <w:jc w:val="center"/>
              <w:spacing w:after="0"/>
              <w:rPr>
                <w:sz w:val="20"/>
                <w:szCs w:val="20"/>
                <w:color w:val="auto"/>
              </w:rPr>
            </w:pPr>
            <w:r>
              <w:rPr>
                <w:rFonts w:ascii="Arial" w:cs="Arial" w:eastAsia="Arial" w:hAnsi="Arial"/>
                <w:sz w:val="20"/>
                <w:szCs w:val="20"/>
                <w:b w:val="1"/>
                <w:bCs w:val="1"/>
                <w:color w:val="auto"/>
                <w:w w:val="89"/>
              </w:rPr>
              <w:t>Face Amount of</w:t>
            </w:r>
          </w:p>
        </w:tc>
        <w:tc>
          <w:tcPr>
            <w:tcW w:w="1820" w:type="dxa"/>
            <w:vAlign w:val="bottom"/>
            <w:tcBorders>
              <w:top w:val="single" w:sz="8" w:color="00000A"/>
              <w:right w:val="single" w:sz="8" w:color="00000A"/>
            </w:tcBorders>
            <w:gridSpan w:val="3"/>
            <w:vMerge w:val="restart"/>
          </w:tcPr>
          <w:p>
            <w:pPr>
              <w:ind w:left="260"/>
              <w:spacing w:after="0"/>
              <w:rPr>
                <w:sz w:val="20"/>
                <w:szCs w:val="20"/>
                <w:color w:val="auto"/>
              </w:rPr>
            </w:pPr>
            <w:r>
              <w:rPr>
                <w:rFonts w:ascii="Arial" w:cs="Arial" w:eastAsia="Arial" w:hAnsi="Arial"/>
                <w:sz w:val="20"/>
                <w:szCs w:val="20"/>
                <w:b w:val="1"/>
                <w:bCs w:val="1"/>
                <w:color w:val="auto"/>
              </w:rPr>
              <w:t>Amount Drawn</w:t>
            </w:r>
          </w:p>
        </w:tc>
        <w:tc>
          <w:tcPr>
            <w:tcW w:w="1800" w:type="dxa"/>
            <w:vAlign w:val="bottom"/>
            <w:tcBorders>
              <w:top w:val="single" w:sz="8" w:color="00000A"/>
              <w:right w:val="single" w:sz="8" w:color="00000A"/>
            </w:tcBorders>
            <w:gridSpan w:val="3"/>
          </w:tcPr>
          <w:p>
            <w:pPr>
              <w:jc w:val="center"/>
              <w:spacing w:after="0"/>
              <w:rPr>
                <w:sz w:val="20"/>
                <w:szCs w:val="20"/>
                <w:color w:val="auto"/>
              </w:rPr>
            </w:pPr>
            <w:r>
              <w:rPr>
                <w:rFonts w:ascii="Arial" w:cs="Arial" w:eastAsia="Arial" w:hAnsi="Arial"/>
                <w:sz w:val="20"/>
                <w:szCs w:val="20"/>
                <w:b w:val="1"/>
                <w:bCs w:val="1"/>
                <w:color w:val="auto"/>
                <w:w w:val="90"/>
              </w:rPr>
              <w:t>Amount Remaining</w:t>
            </w:r>
          </w:p>
        </w:tc>
        <w:tc>
          <w:tcPr>
            <w:tcW w:w="0" w:type="dxa"/>
            <w:vAlign w:val="bottom"/>
          </w:tcPr>
          <w:p>
            <w:pPr>
              <w:spacing w:after="0"/>
              <w:rPr>
                <w:sz w:val="1"/>
                <w:szCs w:val="1"/>
                <w:color w:val="auto"/>
              </w:rPr>
            </w:pPr>
          </w:p>
        </w:tc>
      </w:tr>
      <w:tr>
        <w:trPr>
          <w:trHeight w:val="218"/>
        </w:trPr>
        <w:tc>
          <w:tcPr>
            <w:tcW w:w="980" w:type="dxa"/>
            <w:vAlign w:val="bottom"/>
            <w:tcBorders>
              <w:left w:val="single" w:sz="8" w:color="00000A"/>
            </w:tcBorders>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Borders>
              <w:right w:val="single" w:sz="8" w:color="00000A"/>
            </w:tcBorders>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Borders>
              <w:right w:val="single" w:sz="8" w:color="00000A"/>
            </w:tcBorders>
          </w:tcPr>
          <w:p>
            <w:pPr>
              <w:spacing w:after="0"/>
              <w:rPr>
                <w:sz w:val="18"/>
                <w:szCs w:val="18"/>
                <w:color w:val="auto"/>
              </w:rPr>
            </w:pPr>
          </w:p>
        </w:tc>
        <w:tc>
          <w:tcPr>
            <w:tcW w:w="1820" w:type="dxa"/>
            <w:vAlign w:val="bottom"/>
            <w:tcBorders>
              <w:right w:val="single" w:sz="8" w:color="00000A"/>
            </w:tcBorders>
            <w:gridSpan w:val="5"/>
            <w:vMerge w:val="continue"/>
          </w:tcPr>
          <w:p>
            <w:pPr>
              <w:spacing w:after="0"/>
              <w:rPr>
                <w:sz w:val="18"/>
                <w:szCs w:val="18"/>
                <w:color w:val="auto"/>
              </w:rPr>
            </w:pPr>
          </w:p>
        </w:tc>
        <w:tc>
          <w:tcPr>
            <w:tcW w:w="1820" w:type="dxa"/>
            <w:vAlign w:val="bottom"/>
            <w:tcBorders>
              <w:right w:val="single" w:sz="8" w:color="00000A"/>
            </w:tcBorders>
            <w:gridSpan w:val="3"/>
            <w:vMerge w:val="continue"/>
          </w:tcPr>
          <w:p>
            <w:pPr>
              <w:spacing w:after="0"/>
              <w:rPr>
                <w:sz w:val="18"/>
                <w:szCs w:val="18"/>
                <w:color w:val="auto"/>
              </w:rPr>
            </w:pPr>
          </w:p>
        </w:tc>
        <w:tc>
          <w:tcPr>
            <w:tcW w:w="1800" w:type="dxa"/>
            <w:vAlign w:val="bottom"/>
            <w:tcBorders>
              <w:right w:val="single" w:sz="8" w:color="00000A"/>
            </w:tcBorders>
            <w:gridSpan w:val="3"/>
          </w:tcPr>
          <w:p>
            <w:pPr>
              <w:jc w:val="center"/>
              <w:spacing w:after="0" w:line="179" w:lineRule="exact"/>
              <w:rPr>
                <w:sz w:val="20"/>
                <w:szCs w:val="20"/>
                <w:color w:val="auto"/>
              </w:rPr>
            </w:pPr>
            <w:r>
              <w:rPr>
                <w:rFonts w:ascii="Arial" w:cs="Arial" w:eastAsia="Arial" w:hAnsi="Arial"/>
                <w:sz w:val="20"/>
                <w:szCs w:val="20"/>
                <w:b w:val="1"/>
                <w:bCs w:val="1"/>
                <w:color w:val="auto"/>
                <w:w w:val="92"/>
              </w:rPr>
              <w:t>to be Drawn</w:t>
            </w:r>
          </w:p>
        </w:tc>
        <w:tc>
          <w:tcPr>
            <w:tcW w:w="0" w:type="dxa"/>
            <w:vAlign w:val="bottom"/>
          </w:tcPr>
          <w:p>
            <w:pPr>
              <w:spacing w:after="0"/>
              <w:rPr>
                <w:sz w:val="1"/>
                <w:szCs w:val="1"/>
                <w:color w:val="auto"/>
              </w:rPr>
            </w:pPr>
          </w:p>
        </w:tc>
      </w:tr>
      <w:tr>
        <w:trPr>
          <w:trHeight w:val="190"/>
        </w:trPr>
        <w:tc>
          <w:tcPr>
            <w:tcW w:w="980" w:type="dxa"/>
            <w:vAlign w:val="bottom"/>
            <w:tcBorders>
              <w:left w:val="single" w:sz="8" w:color="00000A"/>
            </w:tcBorders>
          </w:tcPr>
          <w:p>
            <w:pPr>
              <w:spacing w:after="0"/>
              <w:rPr>
                <w:sz w:val="16"/>
                <w:szCs w:val="16"/>
                <w:color w:val="auto"/>
              </w:rPr>
            </w:pPr>
          </w:p>
        </w:tc>
        <w:tc>
          <w:tcPr>
            <w:tcW w:w="1780" w:type="dxa"/>
            <w:vAlign w:val="bottom"/>
            <w:tcBorders>
              <w:right w:val="single" w:sz="8" w:color="00000A"/>
            </w:tcBorders>
            <w:gridSpan w:val="2"/>
          </w:tcPr>
          <w:p>
            <w:pPr>
              <w:spacing w:after="0" w:line="189" w:lineRule="exact"/>
              <w:rPr>
                <w:sz w:val="20"/>
                <w:szCs w:val="20"/>
                <w:color w:val="auto"/>
              </w:rPr>
            </w:pPr>
            <w:r>
              <w:rPr>
                <w:rFonts w:ascii="Arial" w:cs="Arial" w:eastAsia="Arial" w:hAnsi="Arial"/>
                <w:sz w:val="20"/>
                <w:szCs w:val="20"/>
                <w:b w:val="1"/>
                <w:bCs w:val="1"/>
                <w:color w:val="auto"/>
              </w:rPr>
              <w:t>Company</w:t>
            </w:r>
          </w:p>
        </w:tc>
        <w:tc>
          <w:tcPr>
            <w:tcW w:w="1260" w:type="dxa"/>
            <w:vAlign w:val="bottom"/>
          </w:tcPr>
          <w:p>
            <w:pPr>
              <w:spacing w:after="0"/>
              <w:rPr>
                <w:sz w:val="16"/>
                <w:szCs w:val="16"/>
                <w:color w:val="auto"/>
              </w:rPr>
            </w:pPr>
          </w:p>
        </w:tc>
        <w:tc>
          <w:tcPr>
            <w:tcW w:w="1920" w:type="dxa"/>
            <w:vAlign w:val="bottom"/>
            <w:tcBorders>
              <w:right w:val="single" w:sz="8" w:color="00000A"/>
            </w:tcBorders>
            <w:gridSpan w:val="2"/>
          </w:tcPr>
          <w:p>
            <w:pPr>
              <w:spacing w:after="0" w:line="189" w:lineRule="exact"/>
              <w:rPr>
                <w:sz w:val="20"/>
                <w:szCs w:val="20"/>
                <w:color w:val="auto"/>
              </w:rPr>
            </w:pPr>
            <w:r>
              <w:rPr>
                <w:rFonts w:ascii="Arial" w:cs="Arial" w:eastAsia="Arial" w:hAnsi="Arial"/>
                <w:sz w:val="20"/>
                <w:szCs w:val="20"/>
                <w:b w:val="1"/>
                <w:bCs w:val="1"/>
                <w:color w:val="auto"/>
              </w:rPr>
              <w:t>L/C No.</w:t>
            </w:r>
          </w:p>
        </w:tc>
        <w:tc>
          <w:tcPr>
            <w:tcW w:w="1440" w:type="dxa"/>
            <w:vAlign w:val="bottom"/>
            <w:gridSpan w:val="3"/>
          </w:tcPr>
          <w:p>
            <w:pPr>
              <w:jc w:val="center"/>
              <w:ind w:left="301"/>
              <w:spacing w:after="0" w:line="189" w:lineRule="exact"/>
              <w:rPr>
                <w:sz w:val="20"/>
                <w:szCs w:val="20"/>
                <w:color w:val="auto"/>
              </w:rPr>
            </w:pPr>
            <w:r>
              <w:rPr>
                <w:rFonts w:ascii="Arial" w:cs="Arial" w:eastAsia="Arial" w:hAnsi="Arial"/>
                <w:sz w:val="20"/>
                <w:szCs w:val="20"/>
                <w:b w:val="1"/>
                <w:bCs w:val="1"/>
                <w:color w:val="auto"/>
                <w:w w:val="99"/>
              </w:rPr>
              <w:t>L/C</w:t>
            </w:r>
          </w:p>
        </w:tc>
        <w:tc>
          <w:tcPr>
            <w:tcW w:w="160" w:type="dxa"/>
            <w:vAlign w:val="bottom"/>
            <w:tcBorders>
              <w:top w:val="single" w:sz="8" w:color="auto"/>
            </w:tcBorders>
          </w:tcPr>
          <w:p>
            <w:pPr>
              <w:spacing w:after="0"/>
              <w:rPr>
                <w:sz w:val="16"/>
                <w:szCs w:val="16"/>
                <w:color w:val="auto"/>
              </w:rPr>
            </w:pPr>
          </w:p>
        </w:tc>
        <w:tc>
          <w:tcPr>
            <w:tcW w:w="220" w:type="dxa"/>
            <w:vAlign w:val="bottom"/>
            <w:tcBorders>
              <w:right w:val="single" w:sz="8" w:color="00000A"/>
            </w:tcBorders>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40" w:type="dxa"/>
            <w:vAlign w:val="bottom"/>
            <w:tcBorders>
              <w:right w:val="single" w:sz="8" w:color="00000A"/>
            </w:tcBorders>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6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980" w:type="dxa"/>
            <w:vAlign w:val="bottom"/>
            <w:tcBorders>
              <w:left w:val="single" w:sz="8" w:color="00000A"/>
              <w:bottom w:val="single" w:sz="8" w:color="00000A"/>
            </w:tcBorders>
          </w:tcPr>
          <w:p>
            <w:pPr>
              <w:spacing w:after="0"/>
              <w:rPr>
                <w:sz w:val="6"/>
                <w:szCs w:val="6"/>
                <w:color w:val="auto"/>
              </w:rPr>
            </w:pPr>
          </w:p>
        </w:tc>
        <w:tc>
          <w:tcPr>
            <w:tcW w:w="840" w:type="dxa"/>
            <w:vAlign w:val="bottom"/>
            <w:tcBorders>
              <w:top w:val="single" w:sz="8" w:color="auto"/>
              <w:bottom w:val="single" w:sz="8" w:color="00000A"/>
            </w:tcBorders>
          </w:tcPr>
          <w:p>
            <w:pPr>
              <w:spacing w:after="0"/>
              <w:rPr>
                <w:sz w:val="6"/>
                <w:szCs w:val="6"/>
                <w:color w:val="auto"/>
              </w:rPr>
            </w:pPr>
          </w:p>
        </w:tc>
        <w:tc>
          <w:tcPr>
            <w:tcW w:w="940" w:type="dxa"/>
            <w:vAlign w:val="bottom"/>
            <w:tcBorders>
              <w:bottom w:val="single" w:sz="8" w:color="00000A"/>
              <w:right w:val="single" w:sz="8" w:color="00000A"/>
            </w:tcBorders>
          </w:tcPr>
          <w:p>
            <w:pPr>
              <w:spacing w:after="0"/>
              <w:rPr>
                <w:sz w:val="6"/>
                <w:szCs w:val="6"/>
                <w:color w:val="auto"/>
              </w:rPr>
            </w:pPr>
          </w:p>
        </w:tc>
        <w:tc>
          <w:tcPr>
            <w:tcW w:w="1260" w:type="dxa"/>
            <w:vAlign w:val="bottom"/>
            <w:tcBorders>
              <w:bottom w:val="single" w:sz="8" w:color="00000A"/>
            </w:tcBorders>
          </w:tcPr>
          <w:p>
            <w:pPr>
              <w:spacing w:after="0"/>
              <w:rPr>
                <w:sz w:val="6"/>
                <w:szCs w:val="6"/>
                <w:color w:val="auto"/>
              </w:rPr>
            </w:pPr>
          </w:p>
        </w:tc>
        <w:tc>
          <w:tcPr>
            <w:tcW w:w="680" w:type="dxa"/>
            <w:vAlign w:val="bottom"/>
            <w:tcBorders>
              <w:top w:val="single" w:sz="8" w:color="auto"/>
              <w:bottom w:val="single" w:sz="8" w:color="00000A"/>
            </w:tcBorders>
          </w:tcPr>
          <w:p>
            <w:pPr>
              <w:spacing w:after="0"/>
              <w:rPr>
                <w:sz w:val="6"/>
                <w:szCs w:val="6"/>
                <w:color w:val="auto"/>
              </w:rPr>
            </w:pPr>
          </w:p>
        </w:tc>
        <w:tc>
          <w:tcPr>
            <w:tcW w:w="1240" w:type="dxa"/>
            <w:vAlign w:val="bottom"/>
            <w:tcBorders>
              <w:bottom w:val="single" w:sz="8" w:color="00000A"/>
              <w:right w:val="single" w:sz="8" w:color="00000A"/>
            </w:tcBorders>
          </w:tcPr>
          <w:p>
            <w:pPr>
              <w:spacing w:after="0"/>
              <w:rPr>
                <w:sz w:val="6"/>
                <w:szCs w:val="6"/>
                <w:color w:val="auto"/>
              </w:rPr>
            </w:pPr>
          </w:p>
        </w:tc>
        <w:tc>
          <w:tcPr>
            <w:tcW w:w="760" w:type="dxa"/>
            <w:vAlign w:val="bottom"/>
            <w:tcBorders>
              <w:bottom w:val="single" w:sz="8" w:color="00000A"/>
            </w:tcBorders>
          </w:tcPr>
          <w:p>
            <w:pPr>
              <w:spacing w:after="0"/>
              <w:rPr>
                <w:sz w:val="6"/>
                <w:szCs w:val="6"/>
                <w:color w:val="auto"/>
              </w:rPr>
            </w:pPr>
          </w:p>
        </w:tc>
        <w:tc>
          <w:tcPr>
            <w:tcW w:w="320" w:type="dxa"/>
            <w:vAlign w:val="bottom"/>
            <w:tcBorders>
              <w:top w:val="single" w:sz="8" w:color="auto"/>
              <w:bottom w:val="single" w:sz="8" w:color="00000A"/>
            </w:tcBorders>
          </w:tcPr>
          <w:p>
            <w:pPr>
              <w:spacing w:after="0"/>
              <w:rPr>
                <w:sz w:val="6"/>
                <w:szCs w:val="6"/>
                <w:color w:val="auto"/>
              </w:rPr>
            </w:pPr>
          </w:p>
        </w:tc>
        <w:tc>
          <w:tcPr>
            <w:tcW w:w="360" w:type="dxa"/>
            <w:vAlign w:val="bottom"/>
            <w:tcBorders>
              <w:bottom w:val="single" w:sz="8" w:color="00000A"/>
            </w:tcBorders>
          </w:tcPr>
          <w:p>
            <w:pPr>
              <w:spacing w:after="0"/>
              <w:rPr>
                <w:sz w:val="6"/>
                <w:szCs w:val="6"/>
                <w:color w:val="auto"/>
              </w:rPr>
            </w:pPr>
          </w:p>
        </w:tc>
        <w:tc>
          <w:tcPr>
            <w:tcW w:w="160" w:type="dxa"/>
            <w:vAlign w:val="bottom"/>
            <w:tcBorders>
              <w:bottom w:val="single" w:sz="8" w:color="00000A"/>
            </w:tcBorders>
          </w:tcPr>
          <w:p>
            <w:pPr>
              <w:spacing w:after="0"/>
              <w:rPr>
                <w:sz w:val="6"/>
                <w:szCs w:val="6"/>
                <w:color w:val="auto"/>
              </w:rPr>
            </w:pPr>
          </w:p>
        </w:tc>
        <w:tc>
          <w:tcPr>
            <w:tcW w:w="220" w:type="dxa"/>
            <w:vAlign w:val="bottom"/>
            <w:tcBorders>
              <w:bottom w:val="single" w:sz="8" w:color="00000A"/>
              <w:right w:val="single" w:sz="8" w:color="00000A"/>
            </w:tcBorders>
          </w:tcPr>
          <w:p>
            <w:pPr>
              <w:spacing w:after="0"/>
              <w:rPr>
                <w:sz w:val="6"/>
                <w:szCs w:val="6"/>
                <w:color w:val="auto"/>
              </w:rPr>
            </w:pPr>
          </w:p>
        </w:tc>
        <w:tc>
          <w:tcPr>
            <w:tcW w:w="1000" w:type="dxa"/>
            <w:vAlign w:val="bottom"/>
            <w:tcBorders>
              <w:bottom w:val="single" w:sz="8" w:color="00000A"/>
            </w:tcBorders>
          </w:tcPr>
          <w:p>
            <w:pPr>
              <w:spacing w:after="0"/>
              <w:rPr>
                <w:sz w:val="6"/>
                <w:szCs w:val="6"/>
                <w:color w:val="auto"/>
              </w:rPr>
            </w:pPr>
          </w:p>
        </w:tc>
        <w:tc>
          <w:tcPr>
            <w:tcW w:w="580" w:type="dxa"/>
            <w:vAlign w:val="bottom"/>
            <w:tcBorders>
              <w:bottom w:val="single" w:sz="8" w:color="00000A"/>
            </w:tcBorders>
          </w:tcPr>
          <w:p>
            <w:pPr>
              <w:spacing w:after="0"/>
              <w:rPr>
                <w:sz w:val="6"/>
                <w:szCs w:val="6"/>
                <w:color w:val="auto"/>
              </w:rPr>
            </w:pPr>
          </w:p>
        </w:tc>
        <w:tc>
          <w:tcPr>
            <w:tcW w:w="240" w:type="dxa"/>
            <w:vAlign w:val="bottom"/>
            <w:tcBorders>
              <w:bottom w:val="single" w:sz="8" w:color="00000A"/>
              <w:right w:val="single" w:sz="8" w:color="00000A"/>
            </w:tcBorders>
          </w:tcPr>
          <w:p>
            <w:pPr>
              <w:spacing w:after="0"/>
              <w:rPr>
                <w:sz w:val="6"/>
                <w:szCs w:val="6"/>
                <w:color w:val="auto"/>
              </w:rPr>
            </w:pPr>
          </w:p>
        </w:tc>
        <w:tc>
          <w:tcPr>
            <w:tcW w:w="600" w:type="dxa"/>
            <w:vAlign w:val="bottom"/>
            <w:tcBorders>
              <w:bottom w:val="single" w:sz="8" w:color="00000A"/>
            </w:tcBorders>
          </w:tcPr>
          <w:p>
            <w:pPr>
              <w:spacing w:after="0"/>
              <w:rPr>
                <w:sz w:val="6"/>
                <w:szCs w:val="6"/>
                <w:color w:val="auto"/>
              </w:rPr>
            </w:pPr>
          </w:p>
        </w:tc>
        <w:tc>
          <w:tcPr>
            <w:tcW w:w="840" w:type="dxa"/>
            <w:vAlign w:val="bottom"/>
            <w:tcBorders>
              <w:bottom w:val="single" w:sz="8" w:color="00000A"/>
            </w:tcBorders>
          </w:tcPr>
          <w:p>
            <w:pPr>
              <w:spacing w:after="0"/>
              <w:rPr>
                <w:sz w:val="6"/>
                <w:szCs w:val="6"/>
                <w:color w:val="auto"/>
              </w:rPr>
            </w:pPr>
          </w:p>
        </w:tc>
        <w:tc>
          <w:tcPr>
            <w:tcW w:w="360" w:type="dxa"/>
            <w:vAlign w:val="bottom"/>
            <w:tcBorders>
              <w:bottom w:val="single" w:sz="8" w:color="00000A"/>
              <w:right w:val="single" w:sz="8" w:color="00000A"/>
            </w:tcBorders>
          </w:tcPr>
          <w:p>
            <w:pPr>
              <w:spacing w:after="0"/>
              <w:rPr>
                <w:sz w:val="6"/>
                <w:szCs w:val="6"/>
                <w:color w:val="auto"/>
              </w:rPr>
            </w:pPr>
          </w:p>
        </w:tc>
        <w:tc>
          <w:tcPr>
            <w:tcW w:w="0" w:type="dxa"/>
            <w:vAlign w:val="bottom"/>
          </w:tcPr>
          <w:p>
            <w:pPr>
              <w:spacing w:after="0"/>
              <w:rPr>
                <w:sz w:val="1"/>
                <w:szCs w:val="1"/>
                <w:color w:val="auto"/>
              </w:rPr>
            </w:pPr>
          </w:p>
        </w:tc>
      </w:tr>
      <w:tr>
        <w:trPr>
          <w:trHeight w:val="480"/>
        </w:trPr>
        <w:tc>
          <w:tcPr>
            <w:tcW w:w="980" w:type="dxa"/>
            <w:vAlign w:val="bottom"/>
            <w:tcBorders>
              <w:left w:val="single" w:sz="8" w:color="00000A"/>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940" w:type="dxa"/>
            <w:vAlign w:val="bottom"/>
            <w:tcBorders>
              <w:bottom w:val="single" w:sz="8" w:color="00000A"/>
              <w:right w:val="single" w:sz="8" w:color="00000A"/>
            </w:tcBorders>
          </w:tcPr>
          <w:p>
            <w:pPr>
              <w:spacing w:after="0"/>
              <w:rPr>
                <w:sz w:val="24"/>
                <w:szCs w:val="24"/>
                <w:color w:val="auto"/>
              </w:rPr>
            </w:pPr>
          </w:p>
        </w:tc>
        <w:tc>
          <w:tcPr>
            <w:tcW w:w="1260" w:type="dxa"/>
            <w:vAlign w:val="bottom"/>
            <w:tcBorders>
              <w:bottom w:val="single" w:sz="8" w:color="00000A"/>
            </w:tcBorders>
          </w:tcPr>
          <w:p>
            <w:pPr>
              <w:spacing w:after="0"/>
              <w:rPr>
                <w:sz w:val="24"/>
                <w:szCs w:val="24"/>
                <w:color w:val="auto"/>
              </w:rPr>
            </w:pPr>
          </w:p>
        </w:tc>
        <w:tc>
          <w:tcPr>
            <w:tcW w:w="680" w:type="dxa"/>
            <w:vAlign w:val="bottom"/>
            <w:tcBorders>
              <w:bottom w:val="single" w:sz="8" w:color="00000A"/>
            </w:tcBorders>
          </w:tcPr>
          <w:p>
            <w:pPr>
              <w:spacing w:after="0"/>
              <w:rPr>
                <w:sz w:val="24"/>
                <w:szCs w:val="24"/>
                <w:color w:val="auto"/>
              </w:rPr>
            </w:pPr>
          </w:p>
        </w:tc>
        <w:tc>
          <w:tcPr>
            <w:tcW w:w="1240" w:type="dxa"/>
            <w:vAlign w:val="bottom"/>
            <w:tcBorders>
              <w:bottom w:val="single" w:sz="8" w:color="00000A"/>
              <w:right w:val="single" w:sz="8" w:color="00000A"/>
            </w:tcBorders>
          </w:tcPr>
          <w:p>
            <w:pPr>
              <w:spacing w:after="0"/>
              <w:rPr>
                <w:sz w:val="24"/>
                <w:szCs w:val="24"/>
                <w:color w:val="auto"/>
              </w:rPr>
            </w:pPr>
          </w:p>
        </w:tc>
        <w:tc>
          <w:tcPr>
            <w:tcW w:w="76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right w:val="single" w:sz="8" w:color="00000A"/>
            </w:tcBorders>
          </w:tcPr>
          <w:p>
            <w:pPr>
              <w:spacing w:after="0"/>
              <w:rPr>
                <w:sz w:val="24"/>
                <w:szCs w:val="24"/>
                <w:color w:val="auto"/>
              </w:rPr>
            </w:pPr>
          </w:p>
        </w:tc>
        <w:tc>
          <w:tcPr>
            <w:tcW w:w="1000" w:type="dxa"/>
            <w:vAlign w:val="bottom"/>
            <w:tcBorders>
              <w:bottom w:val="single" w:sz="8" w:color="00000A"/>
            </w:tcBorders>
          </w:tcPr>
          <w:p>
            <w:pPr>
              <w:spacing w:after="0"/>
              <w:rPr>
                <w:sz w:val="24"/>
                <w:szCs w:val="24"/>
                <w:color w:val="auto"/>
              </w:rPr>
            </w:pPr>
          </w:p>
        </w:tc>
        <w:tc>
          <w:tcPr>
            <w:tcW w:w="58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right w:val="single" w:sz="8" w:color="00000A"/>
            </w:tcBorders>
          </w:tcPr>
          <w:p>
            <w:pPr>
              <w:spacing w:after="0"/>
              <w:rPr>
                <w:sz w:val="24"/>
                <w:szCs w:val="24"/>
                <w:color w:val="auto"/>
              </w:rPr>
            </w:pPr>
          </w:p>
        </w:tc>
        <w:tc>
          <w:tcPr>
            <w:tcW w:w="600" w:type="dxa"/>
            <w:vAlign w:val="bottom"/>
            <w:tcBorders>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980" w:type="dxa"/>
            <w:vAlign w:val="bottom"/>
            <w:tcBorders>
              <w:left w:val="single" w:sz="8" w:color="00000A"/>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940" w:type="dxa"/>
            <w:vAlign w:val="bottom"/>
            <w:tcBorders>
              <w:bottom w:val="single" w:sz="8" w:color="00000A"/>
              <w:right w:val="single" w:sz="8" w:color="00000A"/>
            </w:tcBorders>
          </w:tcPr>
          <w:p>
            <w:pPr>
              <w:spacing w:after="0"/>
              <w:rPr>
                <w:sz w:val="24"/>
                <w:szCs w:val="24"/>
                <w:color w:val="auto"/>
              </w:rPr>
            </w:pPr>
          </w:p>
        </w:tc>
        <w:tc>
          <w:tcPr>
            <w:tcW w:w="1260" w:type="dxa"/>
            <w:vAlign w:val="bottom"/>
            <w:tcBorders>
              <w:bottom w:val="single" w:sz="8" w:color="00000A"/>
            </w:tcBorders>
          </w:tcPr>
          <w:p>
            <w:pPr>
              <w:spacing w:after="0"/>
              <w:rPr>
                <w:sz w:val="24"/>
                <w:szCs w:val="24"/>
                <w:color w:val="auto"/>
              </w:rPr>
            </w:pPr>
          </w:p>
        </w:tc>
        <w:tc>
          <w:tcPr>
            <w:tcW w:w="680" w:type="dxa"/>
            <w:vAlign w:val="bottom"/>
            <w:tcBorders>
              <w:bottom w:val="single" w:sz="8" w:color="00000A"/>
            </w:tcBorders>
          </w:tcPr>
          <w:p>
            <w:pPr>
              <w:spacing w:after="0"/>
              <w:rPr>
                <w:sz w:val="24"/>
                <w:szCs w:val="24"/>
                <w:color w:val="auto"/>
              </w:rPr>
            </w:pPr>
          </w:p>
        </w:tc>
        <w:tc>
          <w:tcPr>
            <w:tcW w:w="1240" w:type="dxa"/>
            <w:vAlign w:val="bottom"/>
            <w:tcBorders>
              <w:bottom w:val="single" w:sz="8" w:color="00000A"/>
              <w:right w:val="single" w:sz="8" w:color="00000A"/>
            </w:tcBorders>
          </w:tcPr>
          <w:p>
            <w:pPr>
              <w:spacing w:after="0"/>
              <w:rPr>
                <w:sz w:val="24"/>
                <w:szCs w:val="24"/>
                <w:color w:val="auto"/>
              </w:rPr>
            </w:pPr>
          </w:p>
        </w:tc>
        <w:tc>
          <w:tcPr>
            <w:tcW w:w="76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right w:val="single" w:sz="8" w:color="00000A"/>
            </w:tcBorders>
          </w:tcPr>
          <w:p>
            <w:pPr>
              <w:spacing w:after="0"/>
              <w:rPr>
                <w:sz w:val="24"/>
                <w:szCs w:val="24"/>
                <w:color w:val="auto"/>
              </w:rPr>
            </w:pPr>
          </w:p>
        </w:tc>
        <w:tc>
          <w:tcPr>
            <w:tcW w:w="1000" w:type="dxa"/>
            <w:vAlign w:val="bottom"/>
            <w:tcBorders>
              <w:bottom w:val="single" w:sz="8" w:color="00000A"/>
            </w:tcBorders>
          </w:tcPr>
          <w:p>
            <w:pPr>
              <w:spacing w:after="0"/>
              <w:rPr>
                <w:sz w:val="24"/>
                <w:szCs w:val="24"/>
                <w:color w:val="auto"/>
              </w:rPr>
            </w:pPr>
          </w:p>
        </w:tc>
        <w:tc>
          <w:tcPr>
            <w:tcW w:w="58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right w:val="single" w:sz="8" w:color="00000A"/>
            </w:tcBorders>
          </w:tcPr>
          <w:p>
            <w:pPr>
              <w:spacing w:after="0"/>
              <w:rPr>
                <w:sz w:val="24"/>
                <w:szCs w:val="24"/>
                <w:color w:val="auto"/>
              </w:rPr>
            </w:pPr>
          </w:p>
        </w:tc>
        <w:tc>
          <w:tcPr>
            <w:tcW w:w="600" w:type="dxa"/>
            <w:vAlign w:val="bottom"/>
            <w:tcBorders>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980" w:type="dxa"/>
            <w:vAlign w:val="bottom"/>
            <w:tcBorders>
              <w:left w:val="single" w:sz="8" w:color="00000A"/>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940" w:type="dxa"/>
            <w:vAlign w:val="bottom"/>
            <w:tcBorders>
              <w:bottom w:val="single" w:sz="8" w:color="00000A"/>
              <w:right w:val="single" w:sz="8" w:color="00000A"/>
            </w:tcBorders>
          </w:tcPr>
          <w:p>
            <w:pPr>
              <w:spacing w:after="0"/>
              <w:rPr>
                <w:sz w:val="24"/>
                <w:szCs w:val="24"/>
                <w:color w:val="auto"/>
              </w:rPr>
            </w:pPr>
          </w:p>
        </w:tc>
        <w:tc>
          <w:tcPr>
            <w:tcW w:w="1260" w:type="dxa"/>
            <w:vAlign w:val="bottom"/>
            <w:tcBorders>
              <w:bottom w:val="single" w:sz="8" w:color="00000A"/>
            </w:tcBorders>
          </w:tcPr>
          <w:p>
            <w:pPr>
              <w:spacing w:after="0"/>
              <w:rPr>
                <w:sz w:val="24"/>
                <w:szCs w:val="24"/>
                <w:color w:val="auto"/>
              </w:rPr>
            </w:pPr>
          </w:p>
        </w:tc>
        <w:tc>
          <w:tcPr>
            <w:tcW w:w="680" w:type="dxa"/>
            <w:vAlign w:val="bottom"/>
            <w:tcBorders>
              <w:bottom w:val="single" w:sz="8" w:color="00000A"/>
            </w:tcBorders>
          </w:tcPr>
          <w:p>
            <w:pPr>
              <w:spacing w:after="0"/>
              <w:rPr>
                <w:sz w:val="24"/>
                <w:szCs w:val="24"/>
                <w:color w:val="auto"/>
              </w:rPr>
            </w:pPr>
          </w:p>
        </w:tc>
        <w:tc>
          <w:tcPr>
            <w:tcW w:w="1240" w:type="dxa"/>
            <w:vAlign w:val="bottom"/>
            <w:tcBorders>
              <w:bottom w:val="single" w:sz="8" w:color="00000A"/>
              <w:right w:val="single" w:sz="8" w:color="00000A"/>
            </w:tcBorders>
          </w:tcPr>
          <w:p>
            <w:pPr>
              <w:spacing w:after="0"/>
              <w:rPr>
                <w:sz w:val="24"/>
                <w:szCs w:val="24"/>
                <w:color w:val="auto"/>
              </w:rPr>
            </w:pPr>
          </w:p>
        </w:tc>
        <w:tc>
          <w:tcPr>
            <w:tcW w:w="76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right w:val="single" w:sz="8" w:color="00000A"/>
            </w:tcBorders>
          </w:tcPr>
          <w:p>
            <w:pPr>
              <w:spacing w:after="0"/>
              <w:rPr>
                <w:sz w:val="24"/>
                <w:szCs w:val="24"/>
                <w:color w:val="auto"/>
              </w:rPr>
            </w:pPr>
          </w:p>
        </w:tc>
        <w:tc>
          <w:tcPr>
            <w:tcW w:w="1000" w:type="dxa"/>
            <w:vAlign w:val="bottom"/>
            <w:tcBorders>
              <w:bottom w:val="single" w:sz="8" w:color="00000A"/>
            </w:tcBorders>
          </w:tcPr>
          <w:p>
            <w:pPr>
              <w:spacing w:after="0"/>
              <w:rPr>
                <w:sz w:val="24"/>
                <w:szCs w:val="24"/>
                <w:color w:val="auto"/>
              </w:rPr>
            </w:pPr>
          </w:p>
        </w:tc>
        <w:tc>
          <w:tcPr>
            <w:tcW w:w="58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right w:val="single" w:sz="8" w:color="00000A"/>
            </w:tcBorders>
          </w:tcPr>
          <w:p>
            <w:pPr>
              <w:spacing w:after="0"/>
              <w:rPr>
                <w:sz w:val="24"/>
                <w:szCs w:val="24"/>
                <w:color w:val="auto"/>
              </w:rPr>
            </w:pPr>
          </w:p>
        </w:tc>
        <w:tc>
          <w:tcPr>
            <w:tcW w:w="600" w:type="dxa"/>
            <w:vAlign w:val="bottom"/>
            <w:tcBorders>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980" w:type="dxa"/>
            <w:vAlign w:val="bottom"/>
            <w:tcBorders>
              <w:left w:val="single" w:sz="8" w:color="00000A"/>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940" w:type="dxa"/>
            <w:vAlign w:val="bottom"/>
            <w:tcBorders>
              <w:bottom w:val="single" w:sz="8" w:color="00000A"/>
              <w:right w:val="single" w:sz="8" w:color="00000A"/>
            </w:tcBorders>
          </w:tcPr>
          <w:p>
            <w:pPr>
              <w:spacing w:after="0"/>
              <w:rPr>
                <w:sz w:val="24"/>
                <w:szCs w:val="24"/>
                <w:color w:val="auto"/>
              </w:rPr>
            </w:pPr>
          </w:p>
        </w:tc>
        <w:tc>
          <w:tcPr>
            <w:tcW w:w="1260" w:type="dxa"/>
            <w:vAlign w:val="bottom"/>
            <w:tcBorders>
              <w:bottom w:val="single" w:sz="8" w:color="00000A"/>
            </w:tcBorders>
          </w:tcPr>
          <w:p>
            <w:pPr>
              <w:spacing w:after="0"/>
              <w:rPr>
                <w:sz w:val="24"/>
                <w:szCs w:val="24"/>
                <w:color w:val="auto"/>
              </w:rPr>
            </w:pPr>
          </w:p>
        </w:tc>
        <w:tc>
          <w:tcPr>
            <w:tcW w:w="680" w:type="dxa"/>
            <w:vAlign w:val="bottom"/>
            <w:tcBorders>
              <w:bottom w:val="single" w:sz="8" w:color="00000A"/>
            </w:tcBorders>
          </w:tcPr>
          <w:p>
            <w:pPr>
              <w:spacing w:after="0"/>
              <w:rPr>
                <w:sz w:val="24"/>
                <w:szCs w:val="24"/>
                <w:color w:val="auto"/>
              </w:rPr>
            </w:pPr>
          </w:p>
        </w:tc>
        <w:tc>
          <w:tcPr>
            <w:tcW w:w="1240" w:type="dxa"/>
            <w:vAlign w:val="bottom"/>
            <w:tcBorders>
              <w:bottom w:val="single" w:sz="8" w:color="00000A"/>
              <w:right w:val="single" w:sz="8" w:color="00000A"/>
            </w:tcBorders>
          </w:tcPr>
          <w:p>
            <w:pPr>
              <w:spacing w:after="0"/>
              <w:rPr>
                <w:sz w:val="24"/>
                <w:szCs w:val="24"/>
                <w:color w:val="auto"/>
              </w:rPr>
            </w:pPr>
          </w:p>
        </w:tc>
        <w:tc>
          <w:tcPr>
            <w:tcW w:w="76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right w:val="single" w:sz="8" w:color="00000A"/>
            </w:tcBorders>
          </w:tcPr>
          <w:p>
            <w:pPr>
              <w:spacing w:after="0"/>
              <w:rPr>
                <w:sz w:val="24"/>
                <w:szCs w:val="24"/>
                <w:color w:val="auto"/>
              </w:rPr>
            </w:pPr>
          </w:p>
        </w:tc>
        <w:tc>
          <w:tcPr>
            <w:tcW w:w="1000" w:type="dxa"/>
            <w:vAlign w:val="bottom"/>
            <w:tcBorders>
              <w:bottom w:val="single" w:sz="8" w:color="00000A"/>
            </w:tcBorders>
          </w:tcPr>
          <w:p>
            <w:pPr>
              <w:spacing w:after="0"/>
              <w:rPr>
                <w:sz w:val="24"/>
                <w:szCs w:val="24"/>
                <w:color w:val="auto"/>
              </w:rPr>
            </w:pPr>
          </w:p>
        </w:tc>
        <w:tc>
          <w:tcPr>
            <w:tcW w:w="58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right w:val="single" w:sz="8" w:color="00000A"/>
            </w:tcBorders>
          </w:tcPr>
          <w:p>
            <w:pPr>
              <w:spacing w:after="0"/>
              <w:rPr>
                <w:sz w:val="24"/>
                <w:szCs w:val="24"/>
                <w:color w:val="auto"/>
              </w:rPr>
            </w:pPr>
          </w:p>
        </w:tc>
        <w:tc>
          <w:tcPr>
            <w:tcW w:w="600" w:type="dxa"/>
            <w:vAlign w:val="bottom"/>
            <w:tcBorders>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980" w:type="dxa"/>
            <w:vAlign w:val="bottom"/>
            <w:tcBorders>
              <w:left w:val="single" w:sz="8" w:color="00000A"/>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940" w:type="dxa"/>
            <w:vAlign w:val="bottom"/>
            <w:tcBorders>
              <w:bottom w:val="single" w:sz="8" w:color="00000A"/>
              <w:right w:val="single" w:sz="8" w:color="00000A"/>
            </w:tcBorders>
          </w:tcPr>
          <w:p>
            <w:pPr>
              <w:spacing w:after="0"/>
              <w:rPr>
                <w:sz w:val="24"/>
                <w:szCs w:val="24"/>
                <w:color w:val="auto"/>
              </w:rPr>
            </w:pPr>
          </w:p>
        </w:tc>
        <w:tc>
          <w:tcPr>
            <w:tcW w:w="1260" w:type="dxa"/>
            <w:vAlign w:val="bottom"/>
            <w:tcBorders>
              <w:bottom w:val="single" w:sz="8" w:color="00000A"/>
            </w:tcBorders>
          </w:tcPr>
          <w:p>
            <w:pPr>
              <w:spacing w:after="0"/>
              <w:rPr>
                <w:sz w:val="24"/>
                <w:szCs w:val="24"/>
                <w:color w:val="auto"/>
              </w:rPr>
            </w:pPr>
          </w:p>
        </w:tc>
        <w:tc>
          <w:tcPr>
            <w:tcW w:w="680" w:type="dxa"/>
            <w:vAlign w:val="bottom"/>
            <w:tcBorders>
              <w:bottom w:val="single" w:sz="8" w:color="00000A"/>
            </w:tcBorders>
          </w:tcPr>
          <w:p>
            <w:pPr>
              <w:spacing w:after="0"/>
              <w:rPr>
                <w:sz w:val="24"/>
                <w:szCs w:val="24"/>
                <w:color w:val="auto"/>
              </w:rPr>
            </w:pPr>
          </w:p>
        </w:tc>
        <w:tc>
          <w:tcPr>
            <w:tcW w:w="1240" w:type="dxa"/>
            <w:vAlign w:val="bottom"/>
            <w:tcBorders>
              <w:bottom w:val="single" w:sz="8" w:color="00000A"/>
              <w:right w:val="single" w:sz="8" w:color="00000A"/>
            </w:tcBorders>
          </w:tcPr>
          <w:p>
            <w:pPr>
              <w:spacing w:after="0"/>
              <w:rPr>
                <w:sz w:val="24"/>
                <w:szCs w:val="24"/>
                <w:color w:val="auto"/>
              </w:rPr>
            </w:pPr>
          </w:p>
        </w:tc>
        <w:tc>
          <w:tcPr>
            <w:tcW w:w="76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right w:val="single" w:sz="8" w:color="00000A"/>
            </w:tcBorders>
          </w:tcPr>
          <w:p>
            <w:pPr>
              <w:spacing w:after="0"/>
              <w:rPr>
                <w:sz w:val="24"/>
                <w:szCs w:val="24"/>
                <w:color w:val="auto"/>
              </w:rPr>
            </w:pPr>
          </w:p>
        </w:tc>
        <w:tc>
          <w:tcPr>
            <w:tcW w:w="1000" w:type="dxa"/>
            <w:vAlign w:val="bottom"/>
            <w:tcBorders>
              <w:bottom w:val="single" w:sz="8" w:color="00000A"/>
            </w:tcBorders>
          </w:tcPr>
          <w:p>
            <w:pPr>
              <w:spacing w:after="0"/>
              <w:rPr>
                <w:sz w:val="24"/>
                <w:szCs w:val="24"/>
                <w:color w:val="auto"/>
              </w:rPr>
            </w:pPr>
          </w:p>
        </w:tc>
        <w:tc>
          <w:tcPr>
            <w:tcW w:w="58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right w:val="single" w:sz="8" w:color="00000A"/>
            </w:tcBorders>
          </w:tcPr>
          <w:p>
            <w:pPr>
              <w:spacing w:after="0"/>
              <w:rPr>
                <w:sz w:val="24"/>
                <w:szCs w:val="24"/>
                <w:color w:val="auto"/>
              </w:rPr>
            </w:pPr>
          </w:p>
        </w:tc>
        <w:tc>
          <w:tcPr>
            <w:tcW w:w="600" w:type="dxa"/>
            <w:vAlign w:val="bottom"/>
            <w:tcBorders>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980" w:type="dxa"/>
            <w:vAlign w:val="bottom"/>
            <w:tcBorders>
              <w:left w:val="single" w:sz="8" w:color="00000A"/>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940" w:type="dxa"/>
            <w:vAlign w:val="bottom"/>
            <w:tcBorders>
              <w:bottom w:val="single" w:sz="8" w:color="00000A"/>
              <w:right w:val="single" w:sz="8" w:color="00000A"/>
            </w:tcBorders>
          </w:tcPr>
          <w:p>
            <w:pPr>
              <w:spacing w:after="0"/>
              <w:rPr>
                <w:sz w:val="24"/>
                <w:szCs w:val="24"/>
                <w:color w:val="auto"/>
              </w:rPr>
            </w:pPr>
          </w:p>
        </w:tc>
        <w:tc>
          <w:tcPr>
            <w:tcW w:w="1260" w:type="dxa"/>
            <w:vAlign w:val="bottom"/>
            <w:tcBorders>
              <w:bottom w:val="single" w:sz="8" w:color="00000A"/>
            </w:tcBorders>
          </w:tcPr>
          <w:p>
            <w:pPr>
              <w:spacing w:after="0"/>
              <w:rPr>
                <w:sz w:val="24"/>
                <w:szCs w:val="24"/>
                <w:color w:val="auto"/>
              </w:rPr>
            </w:pPr>
          </w:p>
        </w:tc>
        <w:tc>
          <w:tcPr>
            <w:tcW w:w="680" w:type="dxa"/>
            <w:vAlign w:val="bottom"/>
            <w:tcBorders>
              <w:bottom w:val="single" w:sz="8" w:color="00000A"/>
            </w:tcBorders>
          </w:tcPr>
          <w:p>
            <w:pPr>
              <w:spacing w:after="0"/>
              <w:rPr>
                <w:sz w:val="24"/>
                <w:szCs w:val="24"/>
                <w:color w:val="auto"/>
              </w:rPr>
            </w:pPr>
          </w:p>
        </w:tc>
        <w:tc>
          <w:tcPr>
            <w:tcW w:w="1240" w:type="dxa"/>
            <w:vAlign w:val="bottom"/>
            <w:tcBorders>
              <w:bottom w:val="single" w:sz="8" w:color="00000A"/>
              <w:right w:val="single" w:sz="8" w:color="00000A"/>
            </w:tcBorders>
          </w:tcPr>
          <w:p>
            <w:pPr>
              <w:spacing w:after="0"/>
              <w:rPr>
                <w:sz w:val="24"/>
                <w:szCs w:val="24"/>
                <w:color w:val="auto"/>
              </w:rPr>
            </w:pPr>
          </w:p>
        </w:tc>
        <w:tc>
          <w:tcPr>
            <w:tcW w:w="76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right w:val="single" w:sz="8" w:color="00000A"/>
            </w:tcBorders>
          </w:tcPr>
          <w:p>
            <w:pPr>
              <w:spacing w:after="0"/>
              <w:rPr>
                <w:sz w:val="24"/>
                <w:szCs w:val="24"/>
                <w:color w:val="auto"/>
              </w:rPr>
            </w:pPr>
          </w:p>
        </w:tc>
        <w:tc>
          <w:tcPr>
            <w:tcW w:w="1000" w:type="dxa"/>
            <w:vAlign w:val="bottom"/>
            <w:tcBorders>
              <w:bottom w:val="single" w:sz="8" w:color="00000A"/>
            </w:tcBorders>
          </w:tcPr>
          <w:p>
            <w:pPr>
              <w:spacing w:after="0"/>
              <w:rPr>
                <w:sz w:val="24"/>
                <w:szCs w:val="24"/>
                <w:color w:val="auto"/>
              </w:rPr>
            </w:pPr>
          </w:p>
        </w:tc>
        <w:tc>
          <w:tcPr>
            <w:tcW w:w="58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right w:val="single" w:sz="8" w:color="00000A"/>
            </w:tcBorders>
          </w:tcPr>
          <w:p>
            <w:pPr>
              <w:spacing w:after="0"/>
              <w:rPr>
                <w:sz w:val="24"/>
                <w:szCs w:val="24"/>
                <w:color w:val="auto"/>
              </w:rPr>
            </w:pPr>
          </w:p>
        </w:tc>
        <w:tc>
          <w:tcPr>
            <w:tcW w:w="600" w:type="dxa"/>
            <w:vAlign w:val="bottom"/>
            <w:tcBorders>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980" w:type="dxa"/>
            <w:vAlign w:val="bottom"/>
            <w:tcBorders>
              <w:left w:val="single" w:sz="8" w:color="00000A"/>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940" w:type="dxa"/>
            <w:vAlign w:val="bottom"/>
            <w:tcBorders>
              <w:bottom w:val="single" w:sz="8" w:color="00000A"/>
              <w:right w:val="single" w:sz="8" w:color="00000A"/>
            </w:tcBorders>
          </w:tcPr>
          <w:p>
            <w:pPr>
              <w:spacing w:after="0"/>
              <w:rPr>
                <w:sz w:val="24"/>
                <w:szCs w:val="24"/>
                <w:color w:val="auto"/>
              </w:rPr>
            </w:pPr>
          </w:p>
        </w:tc>
        <w:tc>
          <w:tcPr>
            <w:tcW w:w="1260" w:type="dxa"/>
            <w:vAlign w:val="bottom"/>
            <w:tcBorders>
              <w:bottom w:val="single" w:sz="8" w:color="00000A"/>
            </w:tcBorders>
          </w:tcPr>
          <w:p>
            <w:pPr>
              <w:spacing w:after="0"/>
              <w:rPr>
                <w:sz w:val="24"/>
                <w:szCs w:val="24"/>
                <w:color w:val="auto"/>
              </w:rPr>
            </w:pPr>
          </w:p>
        </w:tc>
        <w:tc>
          <w:tcPr>
            <w:tcW w:w="680" w:type="dxa"/>
            <w:vAlign w:val="bottom"/>
            <w:tcBorders>
              <w:bottom w:val="single" w:sz="8" w:color="00000A"/>
            </w:tcBorders>
          </w:tcPr>
          <w:p>
            <w:pPr>
              <w:spacing w:after="0"/>
              <w:rPr>
                <w:sz w:val="24"/>
                <w:szCs w:val="24"/>
                <w:color w:val="auto"/>
              </w:rPr>
            </w:pPr>
          </w:p>
        </w:tc>
        <w:tc>
          <w:tcPr>
            <w:tcW w:w="1240" w:type="dxa"/>
            <w:vAlign w:val="bottom"/>
            <w:tcBorders>
              <w:bottom w:val="single" w:sz="8" w:color="00000A"/>
              <w:right w:val="single" w:sz="8" w:color="00000A"/>
            </w:tcBorders>
          </w:tcPr>
          <w:p>
            <w:pPr>
              <w:spacing w:after="0"/>
              <w:rPr>
                <w:sz w:val="24"/>
                <w:szCs w:val="24"/>
                <w:color w:val="auto"/>
              </w:rPr>
            </w:pPr>
          </w:p>
        </w:tc>
        <w:tc>
          <w:tcPr>
            <w:tcW w:w="76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right w:val="single" w:sz="8" w:color="00000A"/>
            </w:tcBorders>
          </w:tcPr>
          <w:p>
            <w:pPr>
              <w:spacing w:after="0"/>
              <w:rPr>
                <w:sz w:val="24"/>
                <w:szCs w:val="24"/>
                <w:color w:val="auto"/>
              </w:rPr>
            </w:pPr>
          </w:p>
        </w:tc>
        <w:tc>
          <w:tcPr>
            <w:tcW w:w="1000" w:type="dxa"/>
            <w:vAlign w:val="bottom"/>
            <w:tcBorders>
              <w:bottom w:val="single" w:sz="8" w:color="00000A"/>
            </w:tcBorders>
          </w:tcPr>
          <w:p>
            <w:pPr>
              <w:spacing w:after="0"/>
              <w:rPr>
                <w:sz w:val="24"/>
                <w:szCs w:val="24"/>
                <w:color w:val="auto"/>
              </w:rPr>
            </w:pPr>
          </w:p>
        </w:tc>
        <w:tc>
          <w:tcPr>
            <w:tcW w:w="58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right w:val="single" w:sz="8" w:color="00000A"/>
            </w:tcBorders>
          </w:tcPr>
          <w:p>
            <w:pPr>
              <w:spacing w:after="0"/>
              <w:rPr>
                <w:sz w:val="24"/>
                <w:szCs w:val="24"/>
                <w:color w:val="auto"/>
              </w:rPr>
            </w:pPr>
          </w:p>
        </w:tc>
        <w:tc>
          <w:tcPr>
            <w:tcW w:w="600" w:type="dxa"/>
            <w:vAlign w:val="bottom"/>
            <w:tcBorders>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980" w:type="dxa"/>
            <w:vAlign w:val="bottom"/>
            <w:tcBorders>
              <w:left w:val="single" w:sz="8" w:color="00000A"/>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940" w:type="dxa"/>
            <w:vAlign w:val="bottom"/>
            <w:tcBorders>
              <w:bottom w:val="single" w:sz="8" w:color="00000A"/>
              <w:right w:val="single" w:sz="8" w:color="00000A"/>
            </w:tcBorders>
          </w:tcPr>
          <w:p>
            <w:pPr>
              <w:spacing w:after="0"/>
              <w:rPr>
                <w:sz w:val="24"/>
                <w:szCs w:val="24"/>
                <w:color w:val="auto"/>
              </w:rPr>
            </w:pPr>
          </w:p>
        </w:tc>
        <w:tc>
          <w:tcPr>
            <w:tcW w:w="1260" w:type="dxa"/>
            <w:vAlign w:val="bottom"/>
            <w:tcBorders>
              <w:bottom w:val="single" w:sz="8" w:color="00000A"/>
            </w:tcBorders>
          </w:tcPr>
          <w:p>
            <w:pPr>
              <w:spacing w:after="0"/>
              <w:rPr>
                <w:sz w:val="24"/>
                <w:szCs w:val="24"/>
                <w:color w:val="auto"/>
              </w:rPr>
            </w:pPr>
          </w:p>
        </w:tc>
        <w:tc>
          <w:tcPr>
            <w:tcW w:w="680" w:type="dxa"/>
            <w:vAlign w:val="bottom"/>
            <w:tcBorders>
              <w:bottom w:val="single" w:sz="8" w:color="00000A"/>
            </w:tcBorders>
          </w:tcPr>
          <w:p>
            <w:pPr>
              <w:spacing w:after="0"/>
              <w:rPr>
                <w:sz w:val="24"/>
                <w:szCs w:val="24"/>
                <w:color w:val="auto"/>
              </w:rPr>
            </w:pPr>
          </w:p>
        </w:tc>
        <w:tc>
          <w:tcPr>
            <w:tcW w:w="1240" w:type="dxa"/>
            <w:vAlign w:val="bottom"/>
            <w:tcBorders>
              <w:bottom w:val="single" w:sz="8" w:color="00000A"/>
              <w:right w:val="single" w:sz="8" w:color="00000A"/>
            </w:tcBorders>
          </w:tcPr>
          <w:p>
            <w:pPr>
              <w:spacing w:after="0"/>
              <w:rPr>
                <w:sz w:val="24"/>
                <w:szCs w:val="24"/>
                <w:color w:val="auto"/>
              </w:rPr>
            </w:pPr>
          </w:p>
        </w:tc>
        <w:tc>
          <w:tcPr>
            <w:tcW w:w="76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right w:val="single" w:sz="8" w:color="00000A"/>
            </w:tcBorders>
          </w:tcPr>
          <w:p>
            <w:pPr>
              <w:spacing w:after="0"/>
              <w:rPr>
                <w:sz w:val="24"/>
                <w:szCs w:val="24"/>
                <w:color w:val="auto"/>
              </w:rPr>
            </w:pPr>
          </w:p>
        </w:tc>
        <w:tc>
          <w:tcPr>
            <w:tcW w:w="1000" w:type="dxa"/>
            <w:vAlign w:val="bottom"/>
            <w:tcBorders>
              <w:bottom w:val="single" w:sz="8" w:color="00000A"/>
            </w:tcBorders>
          </w:tcPr>
          <w:p>
            <w:pPr>
              <w:spacing w:after="0"/>
              <w:rPr>
                <w:sz w:val="24"/>
                <w:szCs w:val="24"/>
                <w:color w:val="auto"/>
              </w:rPr>
            </w:pPr>
          </w:p>
        </w:tc>
        <w:tc>
          <w:tcPr>
            <w:tcW w:w="58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right w:val="single" w:sz="8" w:color="00000A"/>
            </w:tcBorders>
          </w:tcPr>
          <w:p>
            <w:pPr>
              <w:spacing w:after="0"/>
              <w:rPr>
                <w:sz w:val="24"/>
                <w:szCs w:val="24"/>
                <w:color w:val="auto"/>
              </w:rPr>
            </w:pPr>
          </w:p>
        </w:tc>
        <w:tc>
          <w:tcPr>
            <w:tcW w:w="600" w:type="dxa"/>
            <w:vAlign w:val="bottom"/>
            <w:tcBorders>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980" w:type="dxa"/>
            <w:vAlign w:val="bottom"/>
            <w:tcBorders>
              <w:left w:val="single" w:sz="8" w:color="00000A"/>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940" w:type="dxa"/>
            <w:vAlign w:val="bottom"/>
            <w:tcBorders>
              <w:bottom w:val="single" w:sz="8" w:color="00000A"/>
              <w:right w:val="single" w:sz="8" w:color="00000A"/>
            </w:tcBorders>
          </w:tcPr>
          <w:p>
            <w:pPr>
              <w:spacing w:after="0"/>
              <w:rPr>
                <w:sz w:val="24"/>
                <w:szCs w:val="24"/>
                <w:color w:val="auto"/>
              </w:rPr>
            </w:pPr>
          </w:p>
        </w:tc>
        <w:tc>
          <w:tcPr>
            <w:tcW w:w="1260" w:type="dxa"/>
            <w:vAlign w:val="bottom"/>
            <w:tcBorders>
              <w:bottom w:val="single" w:sz="8" w:color="00000A"/>
            </w:tcBorders>
          </w:tcPr>
          <w:p>
            <w:pPr>
              <w:spacing w:after="0"/>
              <w:rPr>
                <w:sz w:val="24"/>
                <w:szCs w:val="24"/>
                <w:color w:val="auto"/>
              </w:rPr>
            </w:pPr>
          </w:p>
        </w:tc>
        <w:tc>
          <w:tcPr>
            <w:tcW w:w="680" w:type="dxa"/>
            <w:vAlign w:val="bottom"/>
            <w:tcBorders>
              <w:bottom w:val="single" w:sz="8" w:color="00000A"/>
            </w:tcBorders>
          </w:tcPr>
          <w:p>
            <w:pPr>
              <w:spacing w:after="0"/>
              <w:rPr>
                <w:sz w:val="24"/>
                <w:szCs w:val="24"/>
                <w:color w:val="auto"/>
              </w:rPr>
            </w:pPr>
          </w:p>
        </w:tc>
        <w:tc>
          <w:tcPr>
            <w:tcW w:w="1240" w:type="dxa"/>
            <w:vAlign w:val="bottom"/>
            <w:tcBorders>
              <w:bottom w:val="single" w:sz="8" w:color="00000A"/>
              <w:right w:val="single" w:sz="8" w:color="00000A"/>
            </w:tcBorders>
          </w:tcPr>
          <w:p>
            <w:pPr>
              <w:spacing w:after="0"/>
              <w:rPr>
                <w:sz w:val="24"/>
                <w:szCs w:val="24"/>
                <w:color w:val="auto"/>
              </w:rPr>
            </w:pPr>
          </w:p>
        </w:tc>
        <w:tc>
          <w:tcPr>
            <w:tcW w:w="76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right w:val="single" w:sz="8" w:color="00000A"/>
            </w:tcBorders>
          </w:tcPr>
          <w:p>
            <w:pPr>
              <w:spacing w:after="0"/>
              <w:rPr>
                <w:sz w:val="24"/>
                <w:szCs w:val="24"/>
                <w:color w:val="auto"/>
              </w:rPr>
            </w:pPr>
          </w:p>
        </w:tc>
        <w:tc>
          <w:tcPr>
            <w:tcW w:w="1000" w:type="dxa"/>
            <w:vAlign w:val="bottom"/>
            <w:tcBorders>
              <w:bottom w:val="single" w:sz="8" w:color="00000A"/>
            </w:tcBorders>
          </w:tcPr>
          <w:p>
            <w:pPr>
              <w:spacing w:after="0"/>
              <w:rPr>
                <w:sz w:val="24"/>
                <w:szCs w:val="24"/>
                <w:color w:val="auto"/>
              </w:rPr>
            </w:pPr>
          </w:p>
        </w:tc>
        <w:tc>
          <w:tcPr>
            <w:tcW w:w="58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right w:val="single" w:sz="8" w:color="00000A"/>
            </w:tcBorders>
          </w:tcPr>
          <w:p>
            <w:pPr>
              <w:spacing w:after="0"/>
              <w:rPr>
                <w:sz w:val="24"/>
                <w:szCs w:val="24"/>
                <w:color w:val="auto"/>
              </w:rPr>
            </w:pPr>
          </w:p>
        </w:tc>
        <w:tc>
          <w:tcPr>
            <w:tcW w:w="600" w:type="dxa"/>
            <w:vAlign w:val="bottom"/>
            <w:tcBorders>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980" w:type="dxa"/>
            <w:vAlign w:val="bottom"/>
            <w:tcBorders>
              <w:left w:val="single" w:sz="8" w:color="00000A"/>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940" w:type="dxa"/>
            <w:vAlign w:val="bottom"/>
            <w:tcBorders>
              <w:bottom w:val="single" w:sz="8" w:color="00000A"/>
              <w:right w:val="single" w:sz="8" w:color="00000A"/>
            </w:tcBorders>
          </w:tcPr>
          <w:p>
            <w:pPr>
              <w:spacing w:after="0"/>
              <w:rPr>
                <w:sz w:val="24"/>
                <w:szCs w:val="24"/>
                <w:color w:val="auto"/>
              </w:rPr>
            </w:pPr>
          </w:p>
        </w:tc>
        <w:tc>
          <w:tcPr>
            <w:tcW w:w="1260" w:type="dxa"/>
            <w:vAlign w:val="bottom"/>
            <w:tcBorders>
              <w:bottom w:val="single" w:sz="8" w:color="00000A"/>
            </w:tcBorders>
          </w:tcPr>
          <w:p>
            <w:pPr>
              <w:spacing w:after="0"/>
              <w:rPr>
                <w:sz w:val="24"/>
                <w:szCs w:val="24"/>
                <w:color w:val="auto"/>
              </w:rPr>
            </w:pPr>
          </w:p>
        </w:tc>
        <w:tc>
          <w:tcPr>
            <w:tcW w:w="680" w:type="dxa"/>
            <w:vAlign w:val="bottom"/>
            <w:tcBorders>
              <w:bottom w:val="single" w:sz="8" w:color="00000A"/>
            </w:tcBorders>
          </w:tcPr>
          <w:p>
            <w:pPr>
              <w:spacing w:after="0"/>
              <w:rPr>
                <w:sz w:val="24"/>
                <w:szCs w:val="24"/>
                <w:color w:val="auto"/>
              </w:rPr>
            </w:pPr>
          </w:p>
        </w:tc>
        <w:tc>
          <w:tcPr>
            <w:tcW w:w="1240" w:type="dxa"/>
            <w:vAlign w:val="bottom"/>
            <w:tcBorders>
              <w:bottom w:val="single" w:sz="8" w:color="00000A"/>
              <w:right w:val="single" w:sz="8" w:color="00000A"/>
            </w:tcBorders>
          </w:tcPr>
          <w:p>
            <w:pPr>
              <w:spacing w:after="0"/>
              <w:rPr>
                <w:sz w:val="24"/>
                <w:szCs w:val="24"/>
                <w:color w:val="auto"/>
              </w:rPr>
            </w:pPr>
          </w:p>
        </w:tc>
        <w:tc>
          <w:tcPr>
            <w:tcW w:w="76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right w:val="single" w:sz="8" w:color="00000A"/>
            </w:tcBorders>
          </w:tcPr>
          <w:p>
            <w:pPr>
              <w:spacing w:after="0"/>
              <w:rPr>
                <w:sz w:val="24"/>
                <w:szCs w:val="24"/>
                <w:color w:val="auto"/>
              </w:rPr>
            </w:pPr>
          </w:p>
        </w:tc>
        <w:tc>
          <w:tcPr>
            <w:tcW w:w="1000" w:type="dxa"/>
            <w:vAlign w:val="bottom"/>
            <w:tcBorders>
              <w:bottom w:val="single" w:sz="8" w:color="00000A"/>
            </w:tcBorders>
          </w:tcPr>
          <w:p>
            <w:pPr>
              <w:spacing w:after="0"/>
              <w:rPr>
                <w:sz w:val="24"/>
                <w:szCs w:val="24"/>
                <w:color w:val="auto"/>
              </w:rPr>
            </w:pPr>
          </w:p>
        </w:tc>
        <w:tc>
          <w:tcPr>
            <w:tcW w:w="58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right w:val="single" w:sz="8" w:color="00000A"/>
            </w:tcBorders>
          </w:tcPr>
          <w:p>
            <w:pPr>
              <w:spacing w:after="0"/>
              <w:rPr>
                <w:sz w:val="24"/>
                <w:szCs w:val="24"/>
                <w:color w:val="auto"/>
              </w:rPr>
            </w:pPr>
          </w:p>
        </w:tc>
        <w:tc>
          <w:tcPr>
            <w:tcW w:w="600" w:type="dxa"/>
            <w:vAlign w:val="bottom"/>
            <w:tcBorders>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980" w:type="dxa"/>
            <w:vAlign w:val="bottom"/>
            <w:tcBorders>
              <w:left w:val="single" w:sz="8" w:color="00000A"/>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940" w:type="dxa"/>
            <w:vAlign w:val="bottom"/>
            <w:tcBorders>
              <w:bottom w:val="single" w:sz="8" w:color="00000A"/>
              <w:right w:val="single" w:sz="8" w:color="00000A"/>
            </w:tcBorders>
          </w:tcPr>
          <w:p>
            <w:pPr>
              <w:spacing w:after="0"/>
              <w:rPr>
                <w:sz w:val="24"/>
                <w:szCs w:val="24"/>
                <w:color w:val="auto"/>
              </w:rPr>
            </w:pPr>
          </w:p>
        </w:tc>
        <w:tc>
          <w:tcPr>
            <w:tcW w:w="1260" w:type="dxa"/>
            <w:vAlign w:val="bottom"/>
            <w:tcBorders>
              <w:bottom w:val="single" w:sz="8" w:color="00000A"/>
            </w:tcBorders>
          </w:tcPr>
          <w:p>
            <w:pPr>
              <w:spacing w:after="0"/>
              <w:rPr>
                <w:sz w:val="24"/>
                <w:szCs w:val="24"/>
                <w:color w:val="auto"/>
              </w:rPr>
            </w:pPr>
          </w:p>
        </w:tc>
        <w:tc>
          <w:tcPr>
            <w:tcW w:w="680" w:type="dxa"/>
            <w:vAlign w:val="bottom"/>
            <w:tcBorders>
              <w:bottom w:val="single" w:sz="8" w:color="00000A"/>
            </w:tcBorders>
          </w:tcPr>
          <w:p>
            <w:pPr>
              <w:spacing w:after="0"/>
              <w:rPr>
                <w:sz w:val="24"/>
                <w:szCs w:val="24"/>
                <w:color w:val="auto"/>
              </w:rPr>
            </w:pPr>
          </w:p>
        </w:tc>
        <w:tc>
          <w:tcPr>
            <w:tcW w:w="1240" w:type="dxa"/>
            <w:vAlign w:val="bottom"/>
            <w:tcBorders>
              <w:bottom w:val="single" w:sz="8" w:color="00000A"/>
              <w:right w:val="single" w:sz="8" w:color="00000A"/>
            </w:tcBorders>
          </w:tcPr>
          <w:p>
            <w:pPr>
              <w:spacing w:after="0"/>
              <w:rPr>
                <w:sz w:val="24"/>
                <w:szCs w:val="24"/>
                <w:color w:val="auto"/>
              </w:rPr>
            </w:pPr>
          </w:p>
        </w:tc>
        <w:tc>
          <w:tcPr>
            <w:tcW w:w="76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right w:val="single" w:sz="8" w:color="00000A"/>
            </w:tcBorders>
          </w:tcPr>
          <w:p>
            <w:pPr>
              <w:spacing w:after="0"/>
              <w:rPr>
                <w:sz w:val="24"/>
                <w:szCs w:val="24"/>
                <w:color w:val="auto"/>
              </w:rPr>
            </w:pPr>
          </w:p>
        </w:tc>
        <w:tc>
          <w:tcPr>
            <w:tcW w:w="1000" w:type="dxa"/>
            <w:vAlign w:val="bottom"/>
            <w:tcBorders>
              <w:bottom w:val="single" w:sz="8" w:color="00000A"/>
            </w:tcBorders>
          </w:tcPr>
          <w:p>
            <w:pPr>
              <w:spacing w:after="0"/>
              <w:rPr>
                <w:sz w:val="24"/>
                <w:szCs w:val="24"/>
                <w:color w:val="auto"/>
              </w:rPr>
            </w:pPr>
          </w:p>
        </w:tc>
        <w:tc>
          <w:tcPr>
            <w:tcW w:w="58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right w:val="single" w:sz="8" w:color="00000A"/>
            </w:tcBorders>
          </w:tcPr>
          <w:p>
            <w:pPr>
              <w:spacing w:after="0"/>
              <w:rPr>
                <w:sz w:val="24"/>
                <w:szCs w:val="24"/>
                <w:color w:val="auto"/>
              </w:rPr>
            </w:pPr>
          </w:p>
        </w:tc>
        <w:tc>
          <w:tcPr>
            <w:tcW w:w="600" w:type="dxa"/>
            <w:vAlign w:val="bottom"/>
            <w:tcBorders>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980" w:type="dxa"/>
            <w:vAlign w:val="bottom"/>
            <w:tcBorders>
              <w:left w:val="single" w:sz="8" w:color="00000A"/>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940" w:type="dxa"/>
            <w:vAlign w:val="bottom"/>
            <w:tcBorders>
              <w:bottom w:val="single" w:sz="8" w:color="00000A"/>
              <w:right w:val="single" w:sz="8" w:color="00000A"/>
            </w:tcBorders>
          </w:tcPr>
          <w:p>
            <w:pPr>
              <w:spacing w:after="0"/>
              <w:rPr>
                <w:sz w:val="24"/>
                <w:szCs w:val="24"/>
                <w:color w:val="auto"/>
              </w:rPr>
            </w:pPr>
          </w:p>
        </w:tc>
        <w:tc>
          <w:tcPr>
            <w:tcW w:w="1260" w:type="dxa"/>
            <w:vAlign w:val="bottom"/>
            <w:tcBorders>
              <w:bottom w:val="single" w:sz="8" w:color="00000A"/>
            </w:tcBorders>
          </w:tcPr>
          <w:p>
            <w:pPr>
              <w:spacing w:after="0"/>
              <w:rPr>
                <w:sz w:val="24"/>
                <w:szCs w:val="24"/>
                <w:color w:val="auto"/>
              </w:rPr>
            </w:pPr>
          </w:p>
        </w:tc>
        <w:tc>
          <w:tcPr>
            <w:tcW w:w="680" w:type="dxa"/>
            <w:vAlign w:val="bottom"/>
            <w:tcBorders>
              <w:bottom w:val="single" w:sz="8" w:color="00000A"/>
            </w:tcBorders>
          </w:tcPr>
          <w:p>
            <w:pPr>
              <w:spacing w:after="0"/>
              <w:rPr>
                <w:sz w:val="24"/>
                <w:szCs w:val="24"/>
                <w:color w:val="auto"/>
              </w:rPr>
            </w:pPr>
          </w:p>
        </w:tc>
        <w:tc>
          <w:tcPr>
            <w:tcW w:w="1240" w:type="dxa"/>
            <w:vAlign w:val="bottom"/>
            <w:tcBorders>
              <w:bottom w:val="single" w:sz="8" w:color="00000A"/>
              <w:right w:val="single" w:sz="8" w:color="00000A"/>
            </w:tcBorders>
          </w:tcPr>
          <w:p>
            <w:pPr>
              <w:spacing w:after="0"/>
              <w:rPr>
                <w:sz w:val="24"/>
                <w:szCs w:val="24"/>
                <w:color w:val="auto"/>
              </w:rPr>
            </w:pPr>
          </w:p>
        </w:tc>
        <w:tc>
          <w:tcPr>
            <w:tcW w:w="76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right w:val="single" w:sz="8" w:color="00000A"/>
            </w:tcBorders>
          </w:tcPr>
          <w:p>
            <w:pPr>
              <w:spacing w:after="0"/>
              <w:rPr>
                <w:sz w:val="24"/>
                <w:szCs w:val="24"/>
                <w:color w:val="auto"/>
              </w:rPr>
            </w:pPr>
          </w:p>
        </w:tc>
        <w:tc>
          <w:tcPr>
            <w:tcW w:w="1000" w:type="dxa"/>
            <w:vAlign w:val="bottom"/>
            <w:tcBorders>
              <w:bottom w:val="single" w:sz="8" w:color="00000A"/>
            </w:tcBorders>
          </w:tcPr>
          <w:p>
            <w:pPr>
              <w:spacing w:after="0"/>
              <w:rPr>
                <w:sz w:val="24"/>
                <w:szCs w:val="24"/>
                <w:color w:val="auto"/>
              </w:rPr>
            </w:pPr>
          </w:p>
        </w:tc>
        <w:tc>
          <w:tcPr>
            <w:tcW w:w="58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right w:val="single" w:sz="8" w:color="00000A"/>
            </w:tcBorders>
          </w:tcPr>
          <w:p>
            <w:pPr>
              <w:spacing w:after="0"/>
              <w:rPr>
                <w:sz w:val="24"/>
                <w:szCs w:val="24"/>
                <w:color w:val="auto"/>
              </w:rPr>
            </w:pPr>
          </w:p>
        </w:tc>
        <w:tc>
          <w:tcPr>
            <w:tcW w:w="600" w:type="dxa"/>
            <w:vAlign w:val="bottom"/>
            <w:tcBorders>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980" w:type="dxa"/>
            <w:vAlign w:val="bottom"/>
            <w:tcBorders>
              <w:left w:val="single" w:sz="8" w:color="00000A"/>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940" w:type="dxa"/>
            <w:vAlign w:val="bottom"/>
            <w:tcBorders>
              <w:bottom w:val="single" w:sz="8" w:color="00000A"/>
              <w:right w:val="single" w:sz="8" w:color="00000A"/>
            </w:tcBorders>
          </w:tcPr>
          <w:p>
            <w:pPr>
              <w:spacing w:after="0"/>
              <w:rPr>
                <w:sz w:val="24"/>
                <w:szCs w:val="24"/>
                <w:color w:val="auto"/>
              </w:rPr>
            </w:pPr>
          </w:p>
        </w:tc>
        <w:tc>
          <w:tcPr>
            <w:tcW w:w="1260" w:type="dxa"/>
            <w:vAlign w:val="bottom"/>
            <w:tcBorders>
              <w:bottom w:val="single" w:sz="8" w:color="00000A"/>
            </w:tcBorders>
          </w:tcPr>
          <w:p>
            <w:pPr>
              <w:spacing w:after="0"/>
              <w:rPr>
                <w:sz w:val="24"/>
                <w:szCs w:val="24"/>
                <w:color w:val="auto"/>
              </w:rPr>
            </w:pPr>
          </w:p>
        </w:tc>
        <w:tc>
          <w:tcPr>
            <w:tcW w:w="680" w:type="dxa"/>
            <w:vAlign w:val="bottom"/>
            <w:tcBorders>
              <w:bottom w:val="single" w:sz="8" w:color="00000A"/>
            </w:tcBorders>
          </w:tcPr>
          <w:p>
            <w:pPr>
              <w:spacing w:after="0"/>
              <w:rPr>
                <w:sz w:val="24"/>
                <w:szCs w:val="24"/>
                <w:color w:val="auto"/>
              </w:rPr>
            </w:pPr>
          </w:p>
        </w:tc>
        <w:tc>
          <w:tcPr>
            <w:tcW w:w="1240" w:type="dxa"/>
            <w:vAlign w:val="bottom"/>
            <w:tcBorders>
              <w:bottom w:val="single" w:sz="8" w:color="00000A"/>
              <w:right w:val="single" w:sz="8" w:color="00000A"/>
            </w:tcBorders>
          </w:tcPr>
          <w:p>
            <w:pPr>
              <w:spacing w:after="0"/>
              <w:rPr>
                <w:sz w:val="24"/>
                <w:szCs w:val="24"/>
                <w:color w:val="auto"/>
              </w:rPr>
            </w:pPr>
          </w:p>
        </w:tc>
        <w:tc>
          <w:tcPr>
            <w:tcW w:w="76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right w:val="single" w:sz="8" w:color="00000A"/>
            </w:tcBorders>
          </w:tcPr>
          <w:p>
            <w:pPr>
              <w:spacing w:after="0"/>
              <w:rPr>
                <w:sz w:val="24"/>
                <w:szCs w:val="24"/>
                <w:color w:val="auto"/>
              </w:rPr>
            </w:pPr>
          </w:p>
        </w:tc>
        <w:tc>
          <w:tcPr>
            <w:tcW w:w="1000" w:type="dxa"/>
            <w:vAlign w:val="bottom"/>
            <w:tcBorders>
              <w:bottom w:val="single" w:sz="8" w:color="00000A"/>
            </w:tcBorders>
          </w:tcPr>
          <w:p>
            <w:pPr>
              <w:spacing w:after="0"/>
              <w:rPr>
                <w:sz w:val="24"/>
                <w:szCs w:val="24"/>
                <w:color w:val="auto"/>
              </w:rPr>
            </w:pPr>
          </w:p>
        </w:tc>
        <w:tc>
          <w:tcPr>
            <w:tcW w:w="58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right w:val="single" w:sz="8" w:color="00000A"/>
            </w:tcBorders>
          </w:tcPr>
          <w:p>
            <w:pPr>
              <w:spacing w:after="0"/>
              <w:rPr>
                <w:sz w:val="24"/>
                <w:szCs w:val="24"/>
                <w:color w:val="auto"/>
              </w:rPr>
            </w:pPr>
          </w:p>
        </w:tc>
        <w:tc>
          <w:tcPr>
            <w:tcW w:w="600" w:type="dxa"/>
            <w:vAlign w:val="bottom"/>
            <w:tcBorders>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980" w:type="dxa"/>
            <w:vAlign w:val="bottom"/>
            <w:tcBorders>
              <w:left w:val="single" w:sz="8" w:color="00000A"/>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940" w:type="dxa"/>
            <w:vAlign w:val="bottom"/>
            <w:tcBorders>
              <w:bottom w:val="single" w:sz="8" w:color="00000A"/>
              <w:right w:val="single" w:sz="8" w:color="00000A"/>
            </w:tcBorders>
          </w:tcPr>
          <w:p>
            <w:pPr>
              <w:spacing w:after="0"/>
              <w:rPr>
                <w:sz w:val="24"/>
                <w:szCs w:val="24"/>
                <w:color w:val="auto"/>
              </w:rPr>
            </w:pPr>
          </w:p>
        </w:tc>
        <w:tc>
          <w:tcPr>
            <w:tcW w:w="1260" w:type="dxa"/>
            <w:vAlign w:val="bottom"/>
            <w:tcBorders>
              <w:bottom w:val="single" w:sz="8" w:color="00000A"/>
            </w:tcBorders>
          </w:tcPr>
          <w:p>
            <w:pPr>
              <w:spacing w:after="0"/>
              <w:rPr>
                <w:sz w:val="24"/>
                <w:szCs w:val="24"/>
                <w:color w:val="auto"/>
              </w:rPr>
            </w:pPr>
          </w:p>
        </w:tc>
        <w:tc>
          <w:tcPr>
            <w:tcW w:w="680" w:type="dxa"/>
            <w:vAlign w:val="bottom"/>
            <w:tcBorders>
              <w:bottom w:val="single" w:sz="8" w:color="00000A"/>
            </w:tcBorders>
          </w:tcPr>
          <w:p>
            <w:pPr>
              <w:spacing w:after="0"/>
              <w:rPr>
                <w:sz w:val="24"/>
                <w:szCs w:val="24"/>
                <w:color w:val="auto"/>
              </w:rPr>
            </w:pPr>
          </w:p>
        </w:tc>
        <w:tc>
          <w:tcPr>
            <w:tcW w:w="1240" w:type="dxa"/>
            <w:vAlign w:val="bottom"/>
            <w:tcBorders>
              <w:bottom w:val="single" w:sz="8" w:color="00000A"/>
              <w:right w:val="single" w:sz="8" w:color="00000A"/>
            </w:tcBorders>
          </w:tcPr>
          <w:p>
            <w:pPr>
              <w:spacing w:after="0"/>
              <w:rPr>
                <w:sz w:val="24"/>
                <w:szCs w:val="24"/>
                <w:color w:val="auto"/>
              </w:rPr>
            </w:pPr>
          </w:p>
        </w:tc>
        <w:tc>
          <w:tcPr>
            <w:tcW w:w="76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right w:val="single" w:sz="8" w:color="00000A"/>
            </w:tcBorders>
          </w:tcPr>
          <w:p>
            <w:pPr>
              <w:spacing w:after="0"/>
              <w:rPr>
                <w:sz w:val="24"/>
                <w:szCs w:val="24"/>
                <w:color w:val="auto"/>
              </w:rPr>
            </w:pPr>
          </w:p>
        </w:tc>
        <w:tc>
          <w:tcPr>
            <w:tcW w:w="1000" w:type="dxa"/>
            <w:vAlign w:val="bottom"/>
            <w:tcBorders>
              <w:bottom w:val="single" w:sz="8" w:color="00000A"/>
            </w:tcBorders>
          </w:tcPr>
          <w:p>
            <w:pPr>
              <w:spacing w:after="0"/>
              <w:rPr>
                <w:sz w:val="24"/>
                <w:szCs w:val="24"/>
                <w:color w:val="auto"/>
              </w:rPr>
            </w:pPr>
          </w:p>
        </w:tc>
        <w:tc>
          <w:tcPr>
            <w:tcW w:w="58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right w:val="single" w:sz="8" w:color="00000A"/>
            </w:tcBorders>
          </w:tcPr>
          <w:p>
            <w:pPr>
              <w:spacing w:after="0"/>
              <w:rPr>
                <w:sz w:val="24"/>
                <w:szCs w:val="24"/>
                <w:color w:val="auto"/>
              </w:rPr>
            </w:pPr>
          </w:p>
        </w:tc>
        <w:tc>
          <w:tcPr>
            <w:tcW w:w="600" w:type="dxa"/>
            <w:vAlign w:val="bottom"/>
            <w:tcBorders>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980" w:type="dxa"/>
            <w:vAlign w:val="bottom"/>
            <w:tcBorders>
              <w:left w:val="single" w:sz="8" w:color="00000A"/>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940" w:type="dxa"/>
            <w:vAlign w:val="bottom"/>
            <w:tcBorders>
              <w:bottom w:val="single" w:sz="8" w:color="00000A"/>
              <w:right w:val="single" w:sz="8" w:color="00000A"/>
            </w:tcBorders>
          </w:tcPr>
          <w:p>
            <w:pPr>
              <w:spacing w:after="0"/>
              <w:rPr>
                <w:sz w:val="24"/>
                <w:szCs w:val="24"/>
                <w:color w:val="auto"/>
              </w:rPr>
            </w:pPr>
          </w:p>
        </w:tc>
        <w:tc>
          <w:tcPr>
            <w:tcW w:w="1260" w:type="dxa"/>
            <w:vAlign w:val="bottom"/>
            <w:tcBorders>
              <w:bottom w:val="single" w:sz="8" w:color="00000A"/>
            </w:tcBorders>
          </w:tcPr>
          <w:p>
            <w:pPr>
              <w:spacing w:after="0"/>
              <w:rPr>
                <w:sz w:val="24"/>
                <w:szCs w:val="24"/>
                <w:color w:val="auto"/>
              </w:rPr>
            </w:pPr>
          </w:p>
        </w:tc>
        <w:tc>
          <w:tcPr>
            <w:tcW w:w="680" w:type="dxa"/>
            <w:vAlign w:val="bottom"/>
            <w:tcBorders>
              <w:bottom w:val="single" w:sz="8" w:color="00000A"/>
            </w:tcBorders>
          </w:tcPr>
          <w:p>
            <w:pPr>
              <w:spacing w:after="0"/>
              <w:rPr>
                <w:sz w:val="24"/>
                <w:szCs w:val="24"/>
                <w:color w:val="auto"/>
              </w:rPr>
            </w:pPr>
          </w:p>
        </w:tc>
        <w:tc>
          <w:tcPr>
            <w:tcW w:w="1240" w:type="dxa"/>
            <w:vAlign w:val="bottom"/>
            <w:tcBorders>
              <w:bottom w:val="single" w:sz="8" w:color="00000A"/>
              <w:right w:val="single" w:sz="8" w:color="00000A"/>
            </w:tcBorders>
          </w:tcPr>
          <w:p>
            <w:pPr>
              <w:spacing w:after="0"/>
              <w:rPr>
                <w:sz w:val="24"/>
                <w:szCs w:val="24"/>
                <w:color w:val="auto"/>
              </w:rPr>
            </w:pPr>
          </w:p>
        </w:tc>
        <w:tc>
          <w:tcPr>
            <w:tcW w:w="76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right w:val="single" w:sz="8" w:color="00000A"/>
            </w:tcBorders>
          </w:tcPr>
          <w:p>
            <w:pPr>
              <w:spacing w:after="0"/>
              <w:rPr>
                <w:sz w:val="24"/>
                <w:szCs w:val="24"/>
                <w:color w:val="auto"/>
              </w:rPr>
            </w:pPr>
          </w:p>
        </w:tc>
        <w:tc>
          <w:tcPr>
            <w:tcW w:w="1000" w:type="dxa"/>
            <w:vAlign w:val="bottom"/>
            <w:tcBorders>
              <w:bottom w:val="single" w:sz="8" w:color="00000A"/>
            </w:tcBorders>
          </w:tcPr>
          <w:p>
            <w:pPr>
              <w:spacing w:after="0"/>
              <w:rPr>
                <w:sz w:val="24"/>
                <w:szCs w:val="24"/>
                <w:color w:val="auto"/>
              </w:rPr>
            </w:pPr>
          </w:p>
        </w:tc>
        <w:tc>
          <w:tcPr>
            <w:tcW w:w="58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right w:val="single" w:sz="8" w:color="00000A"/>
            </w:tcBorders>
          </w:tcPr>
          <w:p>
            <w:pPr>
              <w:spacing w:after="0"/>
              <w:rPr>
                <w:sz w:val="24"/>
                <w:szCs w:val="24"/>
                <w:color w:val="auto"/>
              </w:rPr>
            </w:pPr>
          </w:p>
        </w:tc>
        <w:tc>
          <w:tcPr>
            <w:tcW w:w="600" w:type="dxa"/>
            <w:vAlign w:val="bottom"/>
            <w:tcBorders>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980" w:type="dxa"/>
            <w:vAlign w:val="bottom"/>
            <w:tcBorders>
              <w:left w:val="single" w:sz="8" w:color="00000A"/>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940" w:type="dxa"/>
            <w:vAlign w:val="bottom"/>
            <w:tcBorders>
              <w:bottom w:val="single" w:sz="8" w:color="00000A"/>
              <w:right w:val="single" w:sz="8" w:color="00000A"/>
            </w:tcBorders>
          </w:tcPr>
          <w:p>
            <w:pPr>
              <w:spacing w:after="0"/>
              <w:rPr>
                <w:sz w:val="24"/>
                <w:szCs w:val="24"/>
                <w:color w:val="auto"/>
              </w:rPr>
            </w:pPr>
          </w:p>
        </w:tc>
        <w:tc>
          <w:tcPr>
            <w:tcW w:w="1260" w:type="dxa"/>
            <w:vAlign w:val="bottom"/>
            <w:tcBorders>
              <w:bottom w:val="single" w:sz="8" w:color="00000A"/>
            </w:tcBorders>
          </w:tcPr>
          <w:p>
            <w:pPr>
              <w:spacing w:after="0"/>
              <w:rPr>
                <w:sz w:val="24"/>
                <w:szCs w:val="24"/>
                <w:color w:val="auto"/>
              </w:rPr>
            </w:pPr>
          </w:p>
        </w:tc>
        <w:tc>
          <w:tcPr>
            <w:tcW w:w="680" w:type="dxa"/>
            <w:vAlign w:val="bottom"/>
            <w:tcBorders>
              <w:bottom w:val="single" w:sz="8" w:color="00000A"/>
            </w:tcBorders>
          </w:tcPr>
          <w:p>
            <w:pPr>
              <w:spacing w:after="0"/>
              <w:rPr>
                <w:sz w:val="24"/>
                <w:szCs w:val="24"/>
                <w:color w:val="auto"/>
              </w:rPr>
            </w:pPr>
          </w:p>
        </w:tc>
        <w:tc>
          <w:tcPr>
            <w:tcW w:w="1240" w:type="dxa"/>
            <w:vAlign w:val="bottom"/>
            <w:tcBorders>
              <w:bottom w:val="single" w:sz="8" w:color="00000A"/>
              <w:right w:val="single" w:sz="8" w:color="00000A"/>
            </w:tcBorders>
          </w:tcPr>
          <w:p>
            <w:pPr>
              <w:spacing w:after="0"/>
              <w:rPr>
                <w:sz w:val="24"/>
                <w:szCs w:val="24"/>
                <w:color w:val="auto"/>
              </w:rPr>
            </w:pPr>
          </w:p>
        </w:tc>
        <w:tc>
          <w:tcPr>
            <w:tcW w:w="76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right w:val="single" w:sz="8" w:color="00000A"/>
            </w:tcBorders>
          </w:tcPr>
          <w:p>
            <w:pPr>
              <w:spacing w:after="0"/>
              <w:rPr>
                <w:sz w:val="24"/>
                <w:szCs w:val="24"/>
                <w:color w:val="auto"/>
              </w:rPr>
            </w:pPr>
          </w:p>
        </w:tc>
        <w:tc>
          <w:tcPr>
            <w:tcW w:w="1000" w:type="dxa"/>
            <w:vAlign w:val="bottom"/>
            <w:tcBorders>
              <w:bottom w:val="single" w:sz="8" w:color="00000A"/>
            </w:tcBorders>
          </w:tcPr>
          <w:p>
            <w:pPr>
              <w:spacing w:after="0"/>
              <w:rPr>
                <w:sz w:val="24"/>
                <w:szCs w:val="24"/>
                <w:color w:val="auto"/>
              </w:rPr>
            </w:pPr>
          </w:p>
        </w:tc>
        <w:tc>
          <w:tcPr>
            <w:tcW w:w="58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right w:val="single" w:sz="8" w:color="00000A"/>
            </w:tcBorders>
          </w:tcPr>
          <w:p>
            <w:pPr>
              <w:spacing w:after="0"/>
              <w:rPr>
                <w:sz w:val="24"/>
                <w:szCs w:val="24"/>
                <w:color w:val="auto"/>
              </w:rPr>
            </w:pPr>
          </w:p>
        </w:tc>
        <w:tc>
          <w:tcPr>
            <w:tcW w:w="600" w:type="dxa"/>
            <w:vAlign w:val="bottom"/>
            <w:tcBorders>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980" w:type="dxa"/>
            <w:vAlign w:val="bottom"/>
            <w:tcBorders>
              <w:left w:val="single" w:sz="8" w:color="00000A"/>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940" w:type="dxa"/>
            <w:vAlign w:val="bottom"/>
            <w:tcBorders>
              <w:bottom w:val="single" w:sz="8" w:color="00000A"/>
              <w:right w:val="single" w:sz="8" w:color="00000A"/>
            </w:tcBorders>
          </w:tcPr>
          <w:p>
            <w:pPr>
              <w:spacing w:after="0"/>
              <w:rPr>
                <w:sz w:val="24"/>
                <w:szCs w:val="24"/>
                <w:color w:val="auto"/>
              </w:rPr>
            </w:pPr>
          </w:p>
        </w:tc>
        <w:tc>
          <w:tcPr>
            <w:tcW w:w="1260" w:type="dxa"/>
            <w:vAlign w:val="bottom"/>
            <w:tcBorders>
              <w:bottom w:val="single" w:sz="8" w:color="00000A"/>
            </w:tcBorders>
          </w:tcPr>
          <w:p>
            <w:pPr>
              <w:spacing w:after="0"/>
              <w:rPr>
                <w:sz w:val="24"/>
                <w:szCs w:val="24"/>
                <w:color w:val="auto"/>
              </w:rPr>
            </w:pPr>
          </w:p>
        </w:tc>
        <w:tc>
          <w:tcPr>
            <w:tcW w:w="680" w:type="dxa"/>
            <w:vAlign w:val="bottom"/>
            <w:tcBorders>
              <w:bottom w:val="single" w:sz="8" w:color="00000A"/>
            </w:tcBorders>
          </w:tcPr>
          <w:p>
            <w:pPr>
              <w:spacing w:after="0"/>
              <w:rPr>
                <w:sz w:val="24"/>
                <w:szCs w:val="24"/>
                <w:color w:val="auto"/>
              </w:rPr>
            </w:pPr>
          </w:p>
        </w:tc>
        <w:tc>
          <w:tcPr>
            <w:tcW w:w="1240" w:type="dxa"/>
            <w:vAlign w:val="bottom"/>
            <w:tcBorders>
              <w:bottom w:val="single" w:sz="8" w:color="00000A"/>
              <w:right w:val="single" w:sz="8" w:color="00000A"/>
            </w:tcBorders>
          </w:tcPr>
          <w:p>
            <w:pPr>
              <w:spacing w:after="0"/>
              <w:rPr>
                <w:sz w:val="24"/>
                <w:szCs w:val="24"/>
                <w:color w:val="auto"/>
              </w:rPr>
            </w:pPr>
          </w:p>
        </w:tc>
        <w:tc>
          <w:tcPr>
            <w:tcW w:w="76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right w:val="single" w:sz="8" w:color="00000A"/>
            </w:tcBorders>
          </w:tcPr>
          <w:p>
            <w:pPr>
              <w:spacing w:after="0"/>
              <w:rPr>
                <w:sz w:val="24"/>
                <w:szCs w:val="24"/>
                <w:color w:val="auto"/>
              </w:rPr>
            </w:pPr>
          </w:p>
        </w:tc>
        <w:tc>
          <w:tcPr>
            <w:tcW w:w="1000" w:type="dxa"/>
            <w:vAlign w:val="bottom"/>
            <w:tcBorders>
              <w:bottom w:val="single" w:sz="8" w:color="00000A"/>
            </w:tcBorders>
          </w:tcPr>
          <w:p>
            <w:pPr>
              <w:spacing w:after="0"/>
              <w:rPr>
                <w:sz w:val="24"/>
                <w:szCs w:val="24"/>
                <w:color w:val="auto"/>
              </w:rPr>
            </w:pPr>
          </w:p>
        </w:tc>
        <w:tc>
          <w:tcPr>
            <w:tcW w:w="58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right w:val="single" w:sz="8" w:color="00000A"/>
            </w:tcBorders>
          </w:tcPr>
          <w:p>
            <w:pPr>
              <w:spacing w:after="0"/>
              <w:rPr>
                <w:sz w:val="24"/>
                <w:szCs w:val="24"/>
                <w:color w:val="auto"/>
              </w:rPr>
            </w:pPr>
          </w:p>
        </w:tc>
        <w:tc>
          <w:tcPr>
            <w:tcW w:w="600" w:type="dxa"/>
            <w:vAlign w:val="bottom"/>
            <w:tcBorders>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980" w:type="dxa"/>
            <w:vAlign w:val="bottom"/>
            <w:tcBorders>
              <w:left w:val="single" w:sz="8" w:color="00000A"/>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940" w:type="dxa"/>
            <w:vAlign w:val="bottom"/>
            <w:tcBorders>
              <w:bottom w:val="single" w:sz="8" w:color="00000A"/>
              <w:right w:val="single" w:sz="8" w:color="00000A"/>
            </w:tcBorders>
          </w:tcPr>
          <w:p>
            <w:pPr>
              <w:spacing w:after="0"/>
              <w:rPr>
                <w:sz w:val="24"/>
                <w:szCs w:val="24"/>
                <w:color w:val="auto"/>
              </w:rPr>
            </w:pPr>
          </w:p>
        </w:tc>
        <w:tc>
          <w:tcPr>
            <w:tcW w:w="1260" w:type="dxa"/>
            <w:vAlign w:val="bottom"/>
            <w:tcBorders>
              <w:bottom w:val="single" w:sz="8" w:color="00000A"/>
            </w:tcBorders>
          </w:tcPr>
          <w:p>
            <w:pPr>
              <w:spacing w:after="0"/>
              <w:rPr>
                <w:sz w:val="24"/>
                <w:szCs w:val="24"/>
                <w:color w:val="auto"/>
              </w:rPr>
            </w:pPr>
          </w:p>
        </w:tc>
        <w:tc>
          <w:tcPr>
            <w:tcW w:w="680" w:type="dxa"/>
            <w:vAlign w:val="bottom"/>
            <w:tcBorders>
              <w:bottom w:val="single" w:sz="8" w:color="00000A"/>
            </w:tcBorders>
          </w:tcPr>
          <w:p>
            <w:pPr>
              <w:spacing w:after="0"/>
              <w:rPr>
                <w:sz w:val="24"/>
                <w:szCs w:val="24"/>
                <w:color w:val="auto"/>
              </w:rPr>
            </w:pPr>
          </w:p>
        </w:tc>
        <w:tc>
          <w:tcPr>
            <w:tcW w:w="1240" w:type="dxa"/>
            <w:vAlign w:val="bottom"/>
            <w:tcBorders>
              <w:bottom w:val="single" w:sz="8" w:color="00000A"/>
              <w:right w:val="single" w:sz="8" w:color="00000A"/>
            </w:tcBorders>
          </w:tcPr>
          <w:p>
            <w:pPr>
              <w:spacing w:after="0"/>
              <w:rPr>
                <w:sz w:val="24"/>
                <w:szCs w:val="24"/>
                <w:color w:val="auto"/>
              </w:rPr>
            </w:pPr>
          </w:p>
        </w:tc>
        <w:tc>
          <w:tcPr>
            <w:tcW w:w="76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right w:val="single" w:sz="8" w:color="00000A"/>
            </w:tcBorders>
          </w:tcPr>
          <w:p>
            <w:pPr>
              <w:spacing w:after="0"/>
              <w:rPr>
                <w:sz w:val="24"/>
                <w:szCs w:val="24"/>
                <w:color w:val="auto"/>
              </w:rPr>
            </w:pPr>
          </w:p>
        </w:tc>
        <w:tc>
          <w:tcPr>
            <w:tcW w:w="1000" w:type="dxa"/>
            <w:vAlign w:val="bottom"/>
            <w:tcBorders>
              <w:bottom w:val="single" w:sz="8" w:color="00000A"/>
            </w:tcBorders>
          </w:tcPr>
          <w:p>
            <w:pPr>
              <w:spacing w:after="0"/>
              <w:rPr>
                <w:sz w:val="24"/>
                <w:szCs w:val="24"/>
                <w:color w:val="auto"/>
              </w:rPr>
            </w:pPr>
          </w:p>
        </w:tc>
        <w:tc>
          <w:tcPr>
            <w:tcW w:w="58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right w:val="single" w:sz="8" w:color="00000A"/>
            </w:tcBorders>
          </w:tcPr>
          <w:p>
            <w:pPr>
              <w:spacing w:after="0"/>
              <w:rPr>
                <w:sz w:val="24"/>
                <w:szCs w:val="24"/>
                <w:color w:val="auto"/>
              </w:rPr>
            </w:pPr>
          </w:p>
        </w:tc>
        <w:tc>
          <w:tcPr>
            <w:tcW w:w="600" w:type="dxa"/>
            <w:vAlign w:val="bottom"/>
            <w:tcBorders>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980" w:type="dxa"/>
            <w:vAlign w:val="bottom"/>
            <w:tcBorders>
              <w:left w:val="single" w:sz="8" w:color="00000A"/>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940" w:type="dxa"/>
            <w:vAlign w:val="bottom"/>
            <w:tcBorders>
              <w:bottom w:val="single" w:sz="8" w:color="00000A"/>
              <w:right w:val="single" w:sz="8" w:color="00000A"/>
            </w:tcBorders>
          </w:tcPr>
          <w:p>
            <w:pPr>
              <w:spacing w:after="0"/>
              <w:rPr>
                <w:sz w:val="24"/>
                <w:szCs w:val="24"/>
                <w:color w:val="auto"/>
              </w:rPr>
            </w:pPr>
          </w:p>
        </w:tc>
        <w:tc>
          <w:tcPr>
            <w:tcW w:w="1260" w:type="dxa"/>
            <w:vAlign w:val="bottom"/>
            <w:tcBorders>
              <w:bottom w:val="single" w:sz="8" w:color="00000A"/>
            </w:tcBorders>
          </w:tcPr>
          <w:p>
            <w:pPr>
              <w:spacing w:after="0"/>
              <w:rPr>
                <w:sz w:val="24"/>
                <w:szCs w:val="24"/>
                <w:color w:val="auto"/>
              </w:rPr>
            </w:pPr>
          </w:p>
        </w:tc>
        <w:tc>
          <w:tcPr>
            <w:tcW w:w="680" w:type="dxa"/>
            <w:vAlign w:val="bottom"/>
            <w:tcBorders>
              <w:bottom w:val="single" w:sz="8" w:color="00000A"/>
            </w:tcBorders>
          </w:tcPr>
          <w:p>
            <w:pPr>
              <w:spacing w:after="0"/>
              <w:rPr>
                <w:sz w:val="24"/>
                <w:szCs w:val="24"/>
                <w:color w:val="auto"/>
              </w:rPr>
            </w:pPr>
          </w:p>
        </w:tc>
        <w:tc>
          <w:tcPr>
            <w:tcW w:w="1240" w:type="dxa"/>
            <w:vAlign w:val="bottom"/>
            <w:tcBorders>
              <w:bottom w:val="single" w:sz="8" w:color="00000A"/>
              <w:right w:val="single" w:sz="8" w:color="00000A"/>
            </w:tcBorders>
          </w:tcPr>
          <w:p>
            <w:pPr>
              <w:spacing w:after="0"/>
              <w:rPr>
                <w:sz w:val="24"/>
                <w:szCs w:val="24"/>
                <w:color w:val="auto"/>
              </w:rPr>
            </w:pPr>
          </w:p>
        </w:tc>
        <w:tc>
          <w:tcPr>
            <w:tcW w:w="76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right w:val="single" w:sz="8" w:color="00000A"/>
            </w:tcBorders>
          </w:tcPr>
          <w:p>
            <w:pPr>
              <w:spacing w:after="0"/>
              <w:rPr>
                <w:sz w:val="24"/>
                <w:szCs w:val="24"/>
                <w:color w:val="auto"/>
              </w:rPr>
            </w:pPr>
          </w:p>
        </w:tc>
        <w:tc>
          <w:tcPr>
            <w:tcW w:w="1000" w:type="dxa"/>
            <w:vAlign w:val="bottom"/>
            <w:tcBorders>
              <w:bottom w:val="single" w:sz="8" w:color="00000A"/>
            </w:tcBorders>
          </w:tcPr>
          <w:p>
            <w:pPr>
              <w:spacing w:after="0"/>
              <w:rPr>
                <w:sz w:val="24"/>
                <w:szCs w:val="24"/>
                <w:color w:val="auto"/>
              </w:rPr>
            </w:pPr>
          </w:p>
        </w:tc>
        <w:tc>
          <w:tcPr>
            <w:tcW w:w="58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right w:val="single" w:sz="8" w:color="00000A"/>
            </w:tcBorders>
          </w:tcPr>
          <w:p>
            <w:pPr>
              <w:spacing w:after="0"/>
              <w:rPr>
                <w:sz w:val="24"/>
                <w:szCs w:val="24"/>
                <w:color w:val="auto"/>
              </w:rPr>
            </w:pPr>
          </w:p>
        </w:tc>
        <w:tc>
          <w:tcPr>
            <w:tcW w:w="600" w:type="dxa"/>
            <w:vAlign w:val="bottom"/>
            <w:tcBorders>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300" w:top="582" w:right="219" w:bottom="1440" w:gutter="0" w:footer="0" w:header="0"/>
        </w:sectPr>
      </w:pPr>
    </w:p>
    <w:bookmarkStart w:id="242" w:name="page243"/>
    <w:bookmarkEnd w:id="242"/>
    <w:p>
      <w:pPr>
        <w:jc w:val="center"/>
        <w:spacing w:after="0"/>
        <w:rPr>
          <w:sz w:val="20"/>
          <w:szCs w:val="20"/>
          <w:color w:val="auto"/>
        </w:rPr>
      </w:pPr>
      <w:r>
        <w:rPr>
          <w:rFonts w:ascii="Arial" w:cs="Arial" w:eastAsia="Arial" w:hAnsi="Arial"/>
          <w:sz w:val="20"/>
          <w:szCs w:val="20"/>
          <w:b w:val="1"/>
          <w:bCs w:val="1"/>
          <w:u w:val="single" w:color="auto"/>
          <w:color w:val="auto"/>
        </w:rPr>
        <w:t>EXHIBIT 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ASSIGNMENT AND ASSUMPTION AGREEMENT</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This Assignment and Assumption (this “</w:t>
      </w:r>
      <w:r>
        <w:rPr>
          <w:rFonts w:ascii="Arial" w:cs="Arial" w:eastAsia="Arial" w:hAnsi="Arial"/>
          <w:sz w:val="19"/>
          <w:szCs w:val="19"/>
          <w:b w:val="1"/>
          <w:bCs w:val="1"/>
          <w:i w:val="1"/>
          <w:iCs w:val="1"/>
          <w:color w:val="auto"/>
        </w:rPr>
        <w:t>Assignment and Assumption</w:t>
      </w:r>
      <w:r>
        <w:rPr>
          <w:rFonts w:ascii="Arial" w:cs="Arial" w:eastAsia="Arial" w:hAnsi="Arial"/>
          <w:sz w:val="19"/>
          <w:szCs w:val="19"/>
          <w:color w:val="auto"/>
        </w:rPr>
        <w:t xml:space="preserve">”) is dated as of the Effective Date set forth below and is entered into by and between </w:t>
      </w:r>
      <w:r>
        <w:rPr>
          <w:rFonts w:ascii="Arial" w:cs="Arial" w:eastAsia="Arial" w:hAnsi="Arial"/>
          <w:sz w:val="19"/>
          <w:szCs w:val="19"/>
          <w:i w:val="1"/>
          <w:iCs w:val="1"/>
          <w:color w:val="auto"/>
        </w:rPr>
        <w:t>[Insert name of Assignor]</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Assignor</w:t>
      </w:r>
      <w:r>
        <w:rPr>
          <w:rFonts w:ascii="Arial" w:cs="Arial" w:eastAsia="Arial" w:hAnsi="Arial"/>
          <w:sz w:val="19"/>
          <w:szCs w:val="19"/>
          <w:color w:val="auto"/>
        </w:rPr>
        <w:t xml:space="preserve">”) and </w:t>
      </w:r>
      <w:r>
        <w:rPr>
          <w:rFonts w:ascii="Arial" w:cs="Arial" w:eastAsia="Arial" w:hAnsi="Arial"/>
          <w:sz w:val="19"/>
          <w:szCs w:val="19"/>
          <w:i w:val="1"/>
          <w:iCs w:val="1"/>
          <w:color w:val="auto"/>
        </w:rPr>
        <w:t>[Insert name of Assignee]</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Assignee</w:t>
      </w:r>
      <w:r>
        <w:rPr>
          <w:rFonts w:ascii="Arial" w:cs="Arial" w:eastAsia="Arial" w:hAnsi="Arial"/>
          <w:sz w:val="19"/>
          <w:szCs w:val="19"/>
          <w:color w:val="auto"/>
        </w:rPr>
        <w:t>”). Capitalized terms used but not defined herein shall have the meanings given to them in the Credit Agreement identified below (as may be amended, restated, supplemented or otherwise modified to the date hereof, the “</w:t>
      </w:r>
      <w:r>
        <w:rPr>
          <w:rFonts w:ascii="Arial" w:cs="Arial" w:eastAsia="Arial" w:hAnsi="Arial"/>
          <w:sz w:val="19"/>
          <w:szCs w:val="19"/>
          <w:b w:val="1"/>
          <w:bCs w:val="1"/>
          <w:i w:val="1"/>
          <w:iCs w:val="1"/>
          <w:color w:val="auto"/>
        </w:rPr>
        <w:t>Credit Agreement</w:t>
      </w:r>
      <w:r>
        <w:rPr>
          <w:rFonts w:ascii="Arial" w:cs="Arial" w:eastAsia="Arial" w:hAnsi="Arial"/>
          <w:sz w:val="19"/>
          <w:szCs w:val="19"/>
          <w:color w:val="auto"/>
        </w:rPr>
        <w:t xml:space="preserve">”), receipt of a copy of which is hereby acknowledged by the Assignee. The Standard Terms and Conditions set forth in </w:t>
      </w:r>
      <w:r>
        <w:rPr>
          <w:rFonts w:ascii="Arial" w:cs="Arial" w:eastAsia="Arial" w:hAnsi="Arial"/>
          <w:sz w:val="19"/>
          <w:szCs w:val="19"/>
          <w:b w:val="1"/>
          <w:bCs w:val="1"/>
          <w:i w:val="1"/>
          <w:iCs w:val="1"/>
          <w:color w:val="auto"/>
        </w:rPr>
        <w:t>Annex 1</w:t>
      </w:r>
      <w:r>
        <w:rPr>
          <w:rFonts w:ascii="Arial" w:cs="Arial" w:eastAsia="Arial" w:hAnsi="Arial"/>
          <w:sz w:val="19"/>
          <w:szCs w:val="19"/>
          <w:color w:val="auto"/>
        </w:rPr>
        <w:t xml:space="preserve"> attached hereto are hereby agreed to and incorporated herein by reference and made a part of this Assignment and Assumption as if set forth herein in full.</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Administrative Agent as contemplated below: (a)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without limitation, the L/Cs and the Swing Line Loans included in such facilities); and (b)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w:t>
      </w:r>
      <w:r>
        <w:rPr>
          <w:rFonts w:ascii="Arial" w:cs="Arial" w:eastAsia="Arial" w:hAnsi="Arial"/>
          <w:sz w:val="18"/>
          <w:szCs w:val="18"/>
          <w:b w:val="1"/>
          <w:bCs w:val="1"/>
          <w:i w:val="1"/>
          <w:iCs w:val="1"/>
          <w:color w:val="auto"/>
        </w:rPr>
        <w:t>clause (i)</w:t>
      </w:r>
      <w:r>
        <w:rPr>
          <w:rFonts w:ascii="Arial" w:cs="Arial" w:eastAsia="Arial" w:hAnsi="Arial"/>
          <w:sz w:val="18"/>
          <w:szCs w:val="18"/>
          <w:color w:val="auto"/>
        </w:rPr>
        <w:t xml:space="preserve"> above (the Rights and obligations sold and assigned pursuant to </w:t>
      </w:r>
      <w:r>
        <w:rPr>
          <w:rFonts w:ascii="Arial" w:cs="Arial" w:eastAsia="Arial" w:hAnsi="Arial"/>
          <w:sz w:val="18"/>
          <w:szCs w:val="18"/>
          <w:b w:val="1"/>
          <w:bCs w:val="1"/>
          <w:i w:val="1"/>
          <w:iCs w:val="1"/>
          <w:color w:val="auto"/>
        </w:rPr>
        <w:t>clauses (i)</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(ii)</w:t>
      </w:r>
      <w:r>
        <w:rPr>
          <w:rFonts w:ascii="Arial" w:cs="Arial" w:eastAsia="Arial" w:hAnsi="Arial"/>
          <w:sz w:val="18"/>
          <w:szCs w:val="18"/>
          <w:color w:val="auto"/>
        </w:rPr>
        <w:t xml:space="preserve"> above being referred to herein collectively as, the “</w:t>
      </w:r>
      <w:r>
        <w:rPr>
          <w:rFonts w:ascii="Arial" w:cs="Arial" w:eastAsia="Arial" w:hAnsi="Arial"/>
          <w:sz w:val="18"/>
          <w:szCs w:val="18"/>
          <w:b w:val="1"/>
          <w:bCs w:val="1"/>
          <w:i w:val="1"/>
          <w:iCs w:val="1"/>
          <w:color w:val="auto"/>
        </w:rPr>
        <w:t>Assigned Interest</w:t>
      </w:r>
      <w:r>
        <w:rPr>
          <w:rFonts w:ascii="Arial" w:cs="Arial" w:eastAsia="Arial" w:hAnsi="Arial"/>
          <w:sz w:val="18"/>
          <w:szCs w:val="18"/>
          <w:color w:val="auto"/>
        </w:rPr>
        <w:t>”). Such sale and assignment is without recourse to the Assignor and, except as expressly provided in this Assignment and Assumption, without representation or warranty by the Assignor.</w:t>
      </w:r>
    </w:p>
    <w:p>
      <w:pPr>
        <w:spacing w:after="0" w:line="174" w:lineRule="exact"/>
        <w:rPr>
          <w:sz w:val="20"/>
          <w:szCs w:val="20"/>
          <w:color w:val="auto"/>
        </w:rPr>
      </w:pPr>
    </w:p>
    <w:p>
      <w:pPr>
        <w:ind w:left="340" w:hanging="332"/>
        <w:spacing w:after="0"/>
        <w:tabs>
          <w:tab w:leader="none" w:pos="34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Assignor:  ______________________________</w:t>
      </w:r>
    </w:p>
    <w:p>
      <w:pPr>
        <w:spacing w:after="0" w:line="215"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[Assignor [is] [is not] a Defaulting Lender]</w:t>
      </w:r>
    </w:p>
    <w:p>
      <w:pPr>
        <w:spacing w:after="0" w:line="215" w:lineRule="exact"/>
        <w:rPr>
          <w:rFonts w:ascii="Arial" w:cs="Arial" w:eastAsia="Arial" w:hAnsi="Arial"/>
          <w:sz w:val="20"/>
          <w:szCs w:val="20"/>
          <w:color w:val="auto"/>
        </w:rPr>
      </w:pPr>
    </w:p>
    <w:p>
      <w:pPr>
        <w:ind w:left="340" w:hanging="332"/>
        <w:spacing w:after="0"/>
        <w:tabs>
          <w:tab w:leader="none" w:pos="34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Assignee:  ______________________________</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[Assignee is an Affiliate/Approved Fund of [identify Lender]]</w:t>
      </w:r>
    </w:p>
    <w:p>
      <w:pPr>
        <w:spacing w:after="0" w:line="216" w:lineRule="exact"/>
        <w:rPr>
          <w:sz w:val="20"/>
          <w:szCs w:val="20"/>
          <w:color w:val="auto"/>
        </w:rPr>
      </w:pPr>
    </w:p>
    <w:p>
      <w:pPr>
        <w:ind w:left="360" w:hanging="352"/>
        <w:spacing w:after="0"/>
        <w:tabs>
          <w:tab w:leader="none" w:pos="36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Borrower:  ______________________________</w:t>
      </w:r>
    </w:p>
    <w:p>
      <w:pPr>
        <w:spacing w:after="0" w:line="215" w:lineRule="exact"/>
        <w:rPr>
          <w:rFonts w:ascii="Arial" w:cs="Arial" w:eastAsia="Arial" w:hAnsi="Arial"/>
          <w:sz w:val="20"/>
          <w:szCs w:val="20"/>
          <w:color w:val="auto"/>
        </w:rPr>
      </w:pPr>
    </w:p>
    <w:p>
      <w:pPr>
        <w:ind w:left="340" w:hanging="332"/>
        <w:spacing w:after="0"/>
        <w:tabs>
          <w:tab w:leader="none" w:pos="34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Administrative Agent:  Bank of America, N.A., as administrative agent 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267970</wp:posOffset>
            </wp:positionV>
            <wp:extent cx="16338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33855"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00" w:hanging="92"/>
        <w:spacing w:after="0"/>
        <w:tabs>
          <w:tab w:leader="none" w:pos="100" w:val="left"/>
        </w:tabs>
        <w:numPr>
          <w:ilvl w:val="0"/>
          <w:numId w:val="270"/>
        </w:numPr>
        <w:rPr>
          <w:rFonts w:ascii="Arial" w:cs="Arial" w:eastAsia="Arial" w:hAnsi="Arial"/>
          <w:sz w:val="24"/>
          <w:szCs w:val="24"/>
          <w:color w:val="auto"/>
          <w:vertAlign w:val="superscript"/>
        </w:rPr>
      </w:pPr>
      <w:r>
        <w:rPr>
          <w:rFonts w:ascii="Arial" w:cs="Arial" w:eastAsia="Arial" w:hAnsi="Arial"/>
          <w:sz w:val="16"/>
          <w:szCs w:val="16"/>
          <w:color w:val="auto"/>
        </w:rPr>
        <w:t>Select or delete as applicable.</w:t>
      </w:r>
    </w:p>
    <w:p>
      <w:pPr>
        <w:sectPr>
          <w:pgSz w:w="11900" w:h="16838" w:orient="portrait"/>
          <w:cols w:equalWidth="0" w:num="1">
            <w:col w:w="11420"/>
          </w:cols>
          <w:pgMar w:left="240" w:top="576" w:right="239" w:bottom="1440" w:gutter="0" w:footer="0" w:header="0"/>
        </w:sectPr>
      </w:pPr>
    </w:p>
    <w:bookmarkStart w:id="243" w:name="page244"/>
    <w:bookmarkEnd w:id="243"/>
    <w:p>
      <w:pPr>
        <w:ind w:right="20" w:firstLine="8"/>
        <w:spacing w:after="0" w:line="287" w:lineRule="auto"/>
        <w:tabs>
          <w:tab w:leader="none" w:pos="357" w:val="left"/>
        </w:tabs>
        <w:numPr>
          <w:ilvl w:val="0"/>
          <w:numId w:val="271"/>
        </w:numPr>
        <w:rPr>
          <w:rFonts w:ascii="Arial" w:cs="Arial" w:eastAsia="Arial" w:hAnsi="Arial"/>
          <w:sz w:val="19"/>
          <w:szCs w:val="19"/>
          <w:color w:val="auto"/>
        </w:rPr>
      </w:pPr>
      <w:r>
        <w:rPr>
          <w:rFonts w:ascii="Arial" w:cs="Arial" w:eastAsia="Arial" w:hAnsi="Arial"/>
          <w:sz w:val="19"/>
          <w:szCs w:val="19"/>
          <w:color w:val="auto"/>
        </w:rPr>
        <w:t>Credit Agreement: Eighth Amended and Restated Credit Agreement dated as of August 15, 2018, among Vail Holdings, Inc., a Colorado corporation, Lenders party thereto, Bank of America, N.A., as Administrative Agent, and the other agents party thereto</w:t>
      </w:r>
    </w:p>
    <w:p>
      <w:pPr>
        <w:spacing w:after="0" w:line="152" w:lineRule="exact"/>
        <w:rPr>
          <w:rFonts w:ascii="Arial" w:cs="Arial" w:eastAsia="Arial" w:hAnsi="Arial"/>
          <w:sz w:val="19"/>
          <w:szCs w:val="19"/>
          <w:color w:val="auto"/>
        </w:rPr>
      </w:pPr>
    </w:p>
    <w:p>
      <w:pPr>
        <w:ind w:left="340" w:hanging="332"/>
        <w:spacing w:after="0"/>
        <w:tabs>
          <w:tab w:leader="none" w:pos="340" w:val="left"/>
        </w:tabs>
        <w:numPr>
          <w:ilvl w:val="0"/>
          <w:numId w:val="271"/>
        </w:numPr>
        <w:rPr>
          <w:rFonts w:ascii="Arial" w:cs="Arial" w:eastAsia="Arial" w:hAnsi="Arial"/>
          <w:sz w:val="20"/>
          <w:szCs w:val="20"/>
          <w:color w:val="auto"/>
        </w:rPr>
      </w:pPr>
      <w:r>
        <w:rPr>
          <w:rFonts w:ascii="Arial" w:cs="Arial" w:eastAsia="Arial" w:hAnsi="Arial"/>
          <w:sz w:val="20"/>
          <w:szCs w:val="20"/>
          <w:color w:val="auto"/>
        </w:rPr>
        <w:t>Assigned Interest</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 w:type="dxa"/>
            <w:vAlign w:val="bottom"/>
            <w:tcBorders>
              <w:right w:val="single" w:sz="8" w:color="00000A"/>
            </w:tcBorders>
          </w:tcPr>
          <w:p>
            <w:pPr>
              <w:spacing w:after="0"/>
              <w:rPr>
                <w:sz w:val="22"/>
                <w:szCs w:val="22"/>
                <w:color w:val="auto"/>
              </w:rPr>
            </w:pPr>
          </w:p>
        </w:tc>
        <w:tc>
          <w:tcPr>
            <w:tcW w:w="2740" w:type="dxa"/>
            <w:vAlign w:val="bottom"/>
            <w:tcBorders>
              <w:top w:val="single" w:sz="8" w:color="00000A"/>
              <w:right w:val="single" w:sz="8" w:color="00000A"/>
            </w:tcBorders>
            <w:gridSpan w:val="2"/>
          </w:tcPr>
          <w:p>
            <w:pPr>
              <w:ind w:left="700"/>
              <w:spacing w:after="0"/>
              <w:rPr>
                <w:sz w:val="20"/>
                <w:szCs w:val="20"/>
                <w:color w:val="auto"/>
              </w:rPr>
            </w:pPr>
            <w:r>
              <w:rPr>
                <w:rFonts w:ascii="Arial" w:cs="Arial" w:eastAsia="Arial" w:hAnsi="Arial"/>
                <w:sz w:val="20"/>
                <w:szCs w:val="20"/>
                <w:color w:val="auto"/>
              </w:rPr>
              <w:t>Facility Assigned</w:t>
            </w:r>
          </w:p>
        </w:tc>
        <w:tc>
          <w:tcPr>
            <w:tcW w:w="480" w:type="dxa"/>
            <w:vAlign w:val="bottom"/>
            <w:tcBorders>
              <w:top w:val="single" w:sz="8" w:color="00000A"/>
            </w:tcBorders>
          </w:tcPr>
          <w:p>
            <w:pPr>
              <w:spacing w:after="0"/>
              <w:rPr>
                <w:sz w:val="22"/>
                <w:szCs w:val="22"/>
                <w:color w:val="auto"/>
              </w:rPr>
            </w:pPr>
          </w:p>
        </w:tc>
        <w:tc>
          <w:tcPr>
            <w:tcW w:w="2580" w:type="dxa"/>
            <w:vAlign w:val="bottom"/>
            <w:tcBorders>
              <w:top w:val="single" w:sz="8" w:color="00000A"/>
              <w:right w:val="single" w:sz="8" w:color="00000A"/>
            </w:tcBorders>
          </w:tcPr>
          <w:p>
            <w:pPr>
              <w:jc w:val="center"/>
              <w:ind w:right="341"/>
              <w:spacing w:after="0"/>
              <w:rPr>
                <w:sz w:val="20"/>
                <w:szCs w:val="20"/>
                <w:color w:val="auto"/>
              </w:rPr>
            </w:pPr>
            <w:r>
              <w:rPr>
                <w:rFonts w:ascii="Arial" w:cs="Arial" w:eastAsia="Arial" w:hAnsi="Arial"/>
                <w:sz w:val="20"/>
                <w:szCs w:val="20"/>
                <w:color w:val="auto"/>
                <w:w w:val="92"/>
              </w:rPr>
              <w:t>Aggregate Amount of</w:t>
            </w:r>
          </w:p>
        </w:tc>
        <w:tc>
          <w:tcPr>
            <w:tcW w:w="220" w:type="dxa"/>
            <w:vAlign w:val="bottom"/>
            <w:tcBorders>
              <w:top w:val="single" w:sz="8" w:color="00000A"/>
            </w:tcBorders>
          </w:tcPr>
          <w:p>
            <w:pPr>
              <w:spacing w:after="0"/>
              <w:rPr>
                <w:sz w:val="22"/>
                <w:szCs w:val="22"/>
                <w:color w:val="auto"/>
              </w:rPr>
            </w:pPr>
          </w:p>
        </w:tc>
        <w:tc>
          <w:tcPr>
            <w:tcW w:w="2500" w:type="dxa"/>
            <w:vAlign w:val="bottom"/>
            <w:tcBorders>
              <w:top w:val="single" w:sz="8" w:color="00000A"/>
              <w:right w:val="single" w:sz="8" w:color="00000A"/>
            </w:tcBorders>
          </w:tcPr>
          <w:p>
            <w:pPr>
              <w:jc w:val="center"/>
              <w:ind w:right="81"/>
              <w:spacing w:after="0"/>
              <w:rPr>
                <w:sz w:val="20"/>
                <w:szCs w:val="20"/>
                <w:color w:val="auto"/>
              </w:rPr>
            </w:pPr>
            <w:r>
              <w:rPr>
                <w:rFonts w:ascii="Arial" w:cs="Arial" w:eastAsia="Arial" w:hAnsi="Arial"/>
                <w:sz w:val="20"/>
                <w:szCs w:val="20"/>
                <w:color w:val="auto"/>
                <w:w w:val="92"/>
              </w:rPr>
              <w:t>Amount of Commitments</w:t>
            </w:r>
          </w:p>
        </w:tc>
        <w:tc>
          <w:tcPr>
            <w:tcW w:w="2820" w:type="dxa"/>
            <w:vAlign w:val="bottom"/>
            <w:tcBorders>
              <w:top w:val="single" w:sz="8" w:color="00000A"/>
              <w:right w:val="single" w:sz="8" w:color="00000A"/>
            </w:tcBorders>
          </w:tcPr>
          <w:p>
            <w:pPr>
              <w:jc w:val="right"/>
              <w:ind w:right="361"/>
              <w:spacing w:after="0"/>
              <w:rPr>
                <w:sz w:val="20"/>
                <w:szCs w:val="20"/>
                <w:color w:val="auto"/>
              </w:rPr>
            </w:pPr>
            <w:r>
              <w:rPr>
                <w:rFonts w:ascii="Arial" w:cs="Arial" w:eastAsia="Arial" w:hAnsi="Arial"/>
                <w:sz w:val="20"/>
                <w:szCs w:val="20"/>
                <w:color w:val="auto"/>
              </w:rPr>
              <w:t>Percentage Assigned of</w:t>
            </w:r>
          </w:p>
        </w:tc>
      </w:tr>
      <w:tr>
        <w:trPr>
          <w:trHeight w:val="230"/>
        </w:trPr>
        <w:tc>
          <w:tcPr>
            <w:tcW w:w="100" w:type="dxa"/>
            <w:vAlign w:val="bottom"/>
            <w:tcBorders>
              <w:right w:val="single" w:sz="8" w:color="00000A"/>
            </w:tcBorders>
          </w:tcPr>
          <w:p>
            <w:pPr>
              <w:spacing w:after="0"/>
              <w:rPr>
                <w:sz w:val="19"/>
                <w:szCs w:val="19"/>
                <w:color w:val="auto"/>
              </w:rPr>
            </w:pPr>
          </w:p>
        </w:tc>
        <w:tc>
          <w:tcPr>
            <w:tcW w:w="1380" w:type="dxa"/>
            <w:vAlign w:val="bottom"/>
          </w:tcPr>
          <w:p>
            <w:pPr>
              <w:spacing w:after="0"/>
              <w:rPr>
                <w:sz w:val="19"/>
                <w:szCs w:val="19"/>
                <w:color w:val="auto"/>
              </w:rPr>
            </w:pPr>
          </w:p>
        </w:tc>
        <w:tc>
          <w:tcPr>
            <w:tcW w:w="1360" w:type="dxa"/>
            <w:vAlign w:val="bottom"/>
            <w:tcBorders>
              <w:right w:val="single" w:sz="8" w:color="00000A"/>
            </w:tcBorders>
          </w:tcPr>
          <w:p>
            <w:pPr>
              <w:spacing w:after="0"/>
              <w:rPr>
                <w:sz w:val="19"/>
                <w:szCs w:val="19"/>
                <w:color w:val="auto"/>
              </w:rPr>
            </w:pPr>
          </w:p>
        </w:tc>
        <w:tc>
          <w:tcPr>
            <w:tcW w:w="3060" w:type="dxa"/>
            <w:vAlign w:val="bottom"/>
            <w:tcBorders>
              <w:right w:val="single" w:sz="8" w:color="00000A"/>
            </w:tcBorders>
            <w:gridSpan w:val="2"/>
          </w:tcPr>
          <w:p>
            <w:pPr>
              <w:jc w:val="center"/>
              <w:spacing w:after="0"/>
              <w:rPr>
                <w:sz w:val="20"/>
                <w:szCs w:val="20"/>
                <w:color w:val="auto"/>
              </w:rPr>
            </w:pPr>
            <w:r>
              <w:rPr>
                <w:rFonts w:ascii="Arial" w:cs="Arial" w:eastAsia="Arial" w:hAnsi="Arial"/>
                <w:sz w:val="20"/>
                <w:szCs w:val="20"/>
                <w:color w:val="auto"/>
                <w:w w:val="91"/>
              </w:rPr>
              <w:t>Commitments/Loans for all Lenders</w:t>
            </w:r>
          </w:p>
        </w:tc>
        <w:tc>
          <w:tcPr>
            <w:tcW w:w="220" w:type="dxa"/>
            <w:vAlign w:val="bottom"/>
          </w:tcPr>
          <w:p>
            <w:pPr>
              <w:spacing w:after="0"/>
              <w:rPr>
                <w:sz w:val="19"/>
                <w:szCs w:val="19"/>
                <w:color w:val="auto"/>
              </w:rPr>
            </w:pPr>
          </w:p>
        </w:tc>
        <w:tc>
          <w:tcPr>
            <w:tcW w:w="2500" w:type="dxa"/>
            <w:vAlign w:val="bottom"/>
            <w:tcBorders>
              <w:right w:val="single" w:sz="8" w:color="00000A"/>
            </w:tcBorders>
          </w:tcPr>
          <w:p>
            <w:pPr>
              <w:jc w:val="center"/>
              <w:ind w:right="81"/>
              <w:spacing w:after="0"/>
              <w:rPr>
                <w:sz w:val="20"/>
                <w:szCs w:val="20"/>
                <w:color w:val="auto"/>
              </w:rPr>
            </w:pPr>
            <w:r>
              <w:rPr>
                <w:rFonts w:ascii="Arial" w:cs="Arial" w:eastAsia="Arial" w:hAnsi="Arial"/>
                <w:sz w:val="20"/>
                <w:szCs w:val="20"/>
                <w:color w:val="auto"/>
                <w:w w:val="88"/>
              </w:rPr>
              <w:t>/Loans Assigned under such</w:t>
            </w:r>
          </w:p>
        </w:tc>
        <w:tc>
          <w:tcPr>
            <w:tcW w:w="2820" w:type="dxa"/>
            <w:vAlign w:val="bottom"/>
            <w:tcBorders>
              <w:right w:val="single" w:sz="8" w:color="00000A"/>
            </w:tcBorders>
          </w:tcPr>
          <w:p>
            <w:pPr>
              <w:jc w:val="right"/>
              <w:ind w:right="461"/>
              <w:spacing w:after="0"/>
              <w:rPr>
                <w:sz w:val="20"/>
                <w:szCs w:val="20"/>
                <w:color w:val="auto"/>
              </w:rPr>
            </w:pPr>
            <w:r>
              <w:rPr>
                <w:rFonts w:ascii="Arial" w:cs="Arial" w:eastAsia="Arial" w:hAnsi="Arial"/>
                <w:sz w:val="20"/>
                <w:szCs w:val="20"/>
                <w:color w:val="auto"/>
              </w:rPr>
              <w:t>Commitments/Loans</w:t>
            </w:r>
          </w:p>
        </w:tc>
      </w:tr>
      <w:tr>
        <w:trPr>
          <w:trHeight w:val="327"/>
        </w:trPr>
        <w:tc>
          <w:tcPr>
            <w:tcW w:w="100" w:type="dxa"/>
            <w:vAlign w:val="bottom"/>
            <w:tcBorders>
              <w:right w:val="single" w:sz="8" w:color="00000A"/>
            </w:tcBorders>
          </w:tcPr>
          <w:p>
            <w:pPr>
              <w:spacing w:after="0"/>
              <w:rPr>
                <w:sz w:val="24"/>
                <w:szCs w:val="24"/>
                <w:color w:val="auto"/>
              </w:rPr>
            </w:pPr>
          </w:p>
        </w:tc>
        <w:tc>
          <w:tcPr>
            <w:tcW w:w="138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480" w:type="dxa"/>
            <w:vAlign w:val="bottom"/>
            <w:tcBorders>
              <w:bottom w:val="single" w:sz="8" w:color="00000A"/>
            </w:tcBorders>
          </w:tcPr>
          <w:p>
            <w:pPr>
              <w:spacing w:after="0"/>
              <w:rPr>
                <w:sz w:val="24"/>
                <w:szCs w:val="24"/>
                <w:color w:val="auto"/>
              </w:rPr>
            </w:pPr>
          </w:p>
        </w:tc>
        <w:tc>
          <w:tcPr>
            <w:tcW w:w="2580" w:type="dxa"/>
            <w:vAlign w:val="bottom"/>
            <w:tcBorders>
              <w:bottom w:val="single" w:sz="8" w:color="00000A"/>
              <w:right w:val="single" w:sz="8" w:color="00000A"/>
            </w:tcBorders>
          </w:tcPr>
          <w:p>
            <w:pPr>
              <w:jc w:val="center"/>
              <w:ind w:right="361"/>
              <w:spacing w:after="0"/>
              <w:rPr>
                <w:sz w:val="20"/>
                <w:szCs w:val="20"/>
                <w:color w:val="auto"/>
              </w:rPr>
            </w:pPr>
            <w:r>
              <w:rPr>
                <w:rFonts w:ascii="Arial" w:cs="Arial" w:eastAsia="Arial" w:hAnsi="Arial"/>
                <w:sz w:val="20"/>
                <w:szCs w:val="20"/>
                <w:color w:val="auto"/>
                <w:w w:val="91"/>
              </w:rPr>
              <w:t>under such Facility</w:t>
            </w:r>
          </w:p>
        </w:tc>
        <w:tc>
          <w:tcPr>
            <w:tcW w:w="220" w:type="dxa"/>
            <w:vAlign w:val="bottom"/>
            <w:tcBorders>
              <w:bottom w:val="single" w:sz="8" w:color="00000A"/>
            </w:tcBorders>
          </w:tcPr>
          <w:p>
            <w:pPr>
              <w:spacing w:after="0"/>
              <w:rPr>
                <w:sz w:val="24"/>
                <w:szCs w:val="24"/>
                <w:color w:val="auto"/>
              </w:rPr>
            </w:pPr>
          </w:p>
        </w:tc>
        <w:tc>
          <w:tcPr>
            <w:tcW w:w="2500" w:type="dxa"/>
            <w:vAlign w:val="bottom"/>
            <w:tcBorders>
              <w:bottom w:val="single" w:sz="8" w:color="00000A"/>
              <w:right w:val="single" w:sz="8" w:color="00000A"/>
            </w:tcBorders>
          </w:tcPr>
          <w:p>
            <w:pPr>
              <w:jc w:val="center"/>
              <w:ind w:right="101"/>
              <w:spacing w:after="0"/>
              <w:rPr>
                <w:sz w:val="20"/>
                <w:szCs w:val="20"/>
                <w:color w:val="auto"/>
              </w:rPr>
            </w:pPr>
            <w:r>
              <w:rPr>
                <w:rFonts w:ascii="Arial" w:cs="Arial" w:eastAsia="Arial" w:hAnsi="Arial"/>
                <w:sz w:val="20"/>
                <w:szCs w:val="20"/>
                <w:color w:val="auto"/>
                <w:w w:val="92"/>
              </w:rPr>
              <w:t>Facility</w:t>
            </w:r>
            <w:r>
              <w:rPr>
                <w:rFonts w:ascii="Arial" w:cs="Arial" w:eastAsia="Arial" w:hAnsi="Arial"/>
                <w:sz w:val="25"/>
                <w:szCs w:val="25"/>
                <w:color w:val="auto"/>
                <w:w w:val="92"/>
                <w:vertAlign w:val="superscript"/>
              </w:rPr>
              <w:t>2</w:t>
            </w:r>
          </w:p>
        </w:tc>
        <w:tc>
          <w:tcPr>
            <w:tcW w:w="2820" w:type="dxa"/>
            <w:vAlign w:val="bottom"/>
            <w:tcBorders>
              <w:bottom w:val="single" w:sz="8" w:color="00000A"/>
              <w:right w:val="single" w:sz="8" w:color="00000A"/>
            </w:tcBorders>
          </w:tcPr>
          <w:p>
            <w:pPr>
              <w:spacing w:after="0"/>
              <w:rPr>
                <w:sz w:val="24"/>
                <w:szCs w:val="24"/>
                <w:color w:val="auto"/>
              </w:rPr>
            </w:pPr>
          </w:p>
        </w:tc>
      </w:tr>
      <w:tr>
        <w:trPr>
          <w:trHeight w:val="254"/>
        </w:trPr>
        <w:tc>
          <w:tcPr>
            <w:tcW w:w="100" w:type="dxa"/>
            <w:vAlign w:val="bottom"/>
            <w:tcBorders>
              <w:right w:val="single" w:sz="8" w:color="00000A"/>
            </w:tcBorders>
          </w:tcPr>
          <w:p>
            <w:pPr>
              <w:spacing w:after="0"/>
              <w:rPr>
                <w:sz w:val="22"/>
                <w:szCs w:val="22"/>
                <w:color w:val="auto"/>
              </w:rPr>
            </w:pPr>
          </w:p>
        </w:tc>
        <w:tc>
          <w:tcPr>
            <w:tcW w:w="1380" w:type="dxa"/>
            <w:vAlign w:val="bottom"/>
          </w:tcPr>
          <w:p>
            <w:pPr>
              <w:spacing w:after="0"/>
              <w:rPr>
                <w:sz w:val="22"/>
                <w:szCs w:val="22"/>
                <w:color w:val="auto"/>
              </w:rPr>
            </w:pPr>
          </w:p>
        </w:tc>
        <w:tc>
          <w:tcPr>
            <w:tcW w:w="1360" w:type="dxa"/>
            <w:vAlign w:val="bottom"/>
            <w:tcBorders>
              <w:right w:val="single" w:sz="8" w:color="00000A"/>
            </w:tcBorders>
          </w:tcPr>
          <w:p>
            <w:pPr>
              <w:spacing w:after="0"/>
              <w:rPr>
                <w:sz w:val="22"/>
                <w:szCs w:val="22"/>
                <w:color w:val="auto"/>
              </w:rPr>
            </w:pPr>
          </w:p>
        </w:tc>
        <w:tc>
          <w:tcPr>
            <w:tcW w:w="48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2580" w:type="dxa"/>
            <w:vAlign w:val="bottom"/>
            <w:tcBorders>
              <w:right w:val="single" w:sz="8" w:color="00000A"/>
            </w:tcBorders>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2500" w:type="dxa"/>
            <w:vAlign w:val="bottom"/>
            <w:tcBorders>
              <w:right w:val="single" w:sz="8" w:color="00000A"/>
            </w:tcBorders>
          </w:tcPr>
          <w:p>
            <w:pPr>
              <w:spacing w:after="0"/>
              <w:rPr>
                <w:sz w:val="22"/>
                <w:szCs w:val="22"/>
                <w:color w:val="auto"/>
              </w:rPr>
            </w:pPr>
          </w:p>
        </w:tc>
        <w:tc>
          <w:tcPr>
            <w:tcW w:w="2820" w:type="dxa"/>
            <w:vAlign w:val="bottom"/>
            <w:tcBorders>
              <w:right w:val="single" w:sz="8" w:color="00000A"/>
            </w:tcBorders>
          </w:tcPr>
          <w:p>
            <w:pPr>
              <w:jc w:val="right"/>
              <w:ind w:right="1881"/>
              <w:spacing w:after="0"/>
              <w:rPr>
                <w:sz w:val="20"/>
                <w:szCs w:val="20"/>
                <w:color w:val="auto"/>
              </w:rPr>
            </w:pPr>
            <w:r>
              <w:rPr>
                <w:rFonts w:ascii="Arial" w:cs="Arial" w:eastAsia="Arial" w:hAnsi="Arial"/>
                <w:sz w:val="20"/>
                <w:szCs w:val="20"/>
                <w:color w:val="auto"/>
              </w:rPr>
              <w:t>%</w:t>
            </w:r>
          </w:p>
        </w:tc>
      </w:tr>
      <w:tr>
        <w:trPr>
          <w:trHeight w:val="374"/>
        </w:trPr>
        <w:tc>
          <w:tcPr>
            <w:tcW w:w="100" w:type="dxa"/>
            <w:vAlign w:val="bottom"/>
            <w:tcBorders>
              <w:right w:val="single" w:sz="8" w:color="00000A"/>
            </w:tcBorders>
          </w:tcPr>
          <w:p>
            <w:pPr>
              <w:spacing w:after="0"/>
              <w:rPr>
                <w:sz w:val="24"/>
                <w:szCs w:val="24"/>
                <w:color w:val="auto"/>
              </w:rPr>
            </w:pPr>
          </w:p>
        </w:tc>
        <w:tc>
          <w:tcPr>
            <w:tcW w:w="138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480" w:type="dxa"/>
            <w:vAlign w:val="bottom"/>
            <w:tcBorders>
              <w:bottom w:val="single" w:sz="8" w:color="00000A"/>
            </w:tcBorders>
          </w:tcPr>
          <w:p>
            <w:pPr>
              <w:spacing w:after="0"/>
              <w:rPr>
                <w:sz w:val="24"/>
                <w:szCs w:val="24"/>
                <w:color w:val="auto"/>
              </w:rPr>
            </w:pPr>
          </w:p>
        </w:tc>
        <w:tc>
          <w:tcPr>
            <w:tcW w:w="2580" w:type="dxa"/>
            <w:vAlign w:val="bottom"/>
            <w:tcBorders>
              <w:bottom w:val="single" w:sz="8" w:color="00000A"/>
              <w:right w:val="single" w:sz="8" w:color="00000A"/>
            </w:tcBorders>
          </w:tcPr>
          <w:p>
            <w:pPr>
              <w:spacing w:after="0"/>
              <w:rPr>
                <w:sz w:val="24"/>
                <w:szCs w:val="24"/>
                <w:color w:val="auto"/>
              </w:rPr>
            </w:pPr>
          </w:p>
        </w:tc>
        <w:tc>
          <w:tcPr>
            <w:tcW w:w="220" w:type="dxa"/>
            <w:vAlign w:val="bottom"/>
            <w:tcBorders>
              <w:bottom w:val="single" w:sz="8" w:color="00000A"/>
            </w:tcBorders>
          </w:tcPr>
          <w:p>
            <w:pPr>
              <w:spacing w:after="0"/>
              <w:rPr>
                <w:sz w:val="24"/>
                <w:szCs w:val="24"/>
                <w:color w:val="auto"/>
              </w:rPr>
            </w:pPr>
          </w:p>
        </w:tc>
        <w:tc>
          <w:tcPr>
            <w:tcW w:w="2500" w:type="dxa"/>
            <w:vAlign w:val="bottom"/>
            <w:tcBorders>
              <w:bottom w:val="single" w:sz="8" w:color="00000A"/>
              <w:right w:val="single" w:sz="8" w:color="00000A"/>
            </w:tcBorders>
          </w:tcPr>
          <w:p>
            <w:pPr>
              <w:spacing w:after="0"/>
              <w:rPr>
                <w:sz w:val="24"/>
                <w:szCs w:val="24"/>
                <w:color w:val="auto"/>
              </w:rPr>
            </w:pPr>
          </w:p>
        </w:tc>
        <w:tc>
          <w:tcPr>
            <w:tcW w:w="2820" w:type="dxa"/>
            <w:vAlign w:val="bottom"/>
            <w:tcBorders>
              <w:bottom w:val="single" w:sz="8" w:color="00000A"/>
              <w:right w:val="single" w:sz="8" w:color="00000A"/>
            </w:tcBorders>
          </w:tcPr>
          <w:p>
            <w:pPr>
              <w:spacing w:after="0"/>
              <w:rPr>
                <w:sz w:val="24"/>
                <w:szCs w:val="24"/>
                <w:color w:val="auto"/>
              </w:rPr>
            </w:pPr>
          </w:p>
        </w:tc>
      </w:tr>
      <w:tr>
        <w:trPr>
          <w:trHeight w:val="254"/>
        </w:trPr>
        <w:tc>
          <w:tcPr>
            <w:tcW w:w="100" w:type="dxa"/>
            <w:vAlign w:val="bottom"/>
            <w:tcBorders>
              <w:right w:val="single" w:sz="8" w:color="00000A"/>
            </w:tcBorders>
          </w:tcPr>
          <w:p>
            <w:pPr>
              <w:spacing w:after="0"/>
              <w:rPr>
                <w:sz w:val="22"/>
                <w:szCs w:val="22"/>
                <w:color w:val="auto"/>
              </w:rPr>
            </w:pPr>
          </w:p>
        </w:tc>
        <w:tc>
          <w:tcPr>
            <w:tcW w:w="1380" w:type="dxa"/>
            <w:vAlign w:val="bottom"/>
          </w:tcPr>
          <w:p>
            <w:pPr>
              <w:spacing w:after="0"/>
              <w:rPr>
                <w:sz w:val="22"/>
                <w:szCs w:val="22"/>
                <w:color w:val="auto"/>
              </w:rPr>
            </w:pPr>
          </w:p>
        </w:tc>
        <w:tc>
          <w:tcPr>
            <w:tcW w:w="1360" w:type="dxa"/>
            <w:vAlign w:val="bottom"/>
            <w:tcBorders>
              <w:right w:val="single" w:sz="8" w:color="00000A"/>
            </w:tcBorders>
          </w:tcPr>
          <w:p>
            <w:pPr>
              <w:spacing w:after="0"/>
              <w:rPr>
                <w:sz w:val="22"/>
                <w:szCs w:val="22"/>
                <w:color w:val="auto"/>
              </w:rPr>
            </w:pPr>
          </w:p>
        </w:tc>
        <w:tc>
          <w:tcPr>
            <w:tcW w:w="48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2580" w:type="dxa"/>
            <w:vAlign w:val="bottom"/>
            <w:tcBorders>
              <w:right w:val="single" w:sz="8" w:color="00000A"/>
            </w:tcBorders>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2500" w:type="dxa"/>
            <w:vAlign w:val="bottom"/>
            <w:tcBorders>
              <w:right w:val="single" w:sz="8" w:color="00000A"/>
            </w:tcBorders>
          </w:tcPr>
          <w:p>
            <w:pPr>
              <w:spacing w:after="0"/>
              <w:rPr>
                <w:sz w:val="22"/>
                <w:szCs w:val="22"/>
                <w:color w:val="auto"/>
              </w:rPr>
            </w:pPr>
          </w:p>
        </w:tc>
        <w:tc>
          <w:tcPr>
            <w:tcW w:w="2820" w:type="dxa"/>
            <w:vAlign w:val="bottom"/>
            <w:tcBorders>
              <w:right w:val="single" w:sz="8" w:color="00000A"/>
            </w:tcBorders>
          </w:tcPr>
          <w:p>
            <w:pPr>
              <w:jc w:val="right"/>
              <w:ind w:right="1881"/>
              <w:spacing w:after="0"/>
              <w:rPr>
                <w:sz w:val="20"/>
                <w:szCs w:val="20"/>
                <w:color w:val="auto"/>
              </w:rPr>
            </w:pPr>
            <w:r>
              <w:rPr>
                <w:rFonts w:ascii="Arial" w:cs="Arial" w:eastAsia="Arial" w:hAnsi="Arial"/>
                <w:sz w:val="20"/>
                <w:szCs w:val="20"/>
                <w:color w:val="auto"/>
              </w:rPr>
              <w:t>%</w:t>
            </w:r>
          </w:p>
        </w:tc>
      </w:tr>
      <w:tr>
        <w:trPr>
          <w:trHeight w:val="374"/>
        </w:trPr>
        <w:tc>
          <w:tcPr>
            <w:tcW w:w="100" w:type="dxa"/>
            <w:vAlign w:val="bottom"/>
            <w:tcBorders>
              <w:right w:val="single" w:sz="8" w:color="00000A"/>
            </w:tcBorders>
          </w:tcPr>
          <w:p>
            <w:pPr>
              <w:spacing w:after="0"/>
              <w:rPr>
                <w:sz w:val="24"/>
                <w:szCs w:val="24"/>
                <w:color w:val="auto"/>
              </w:rPr>
            </w:pPr>
          </w:p>
        </w:tc>
        <w:tc>
          <w:tcPr>
            <w:tcW w:w="138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480" w:type="dxa"/>
            <w:vAlign w:val="bottom"/>
            <w:tcBorders>
              <w:bottom w:val="single" w:sz="8" w:color="00000A"/>
            </w:tcBorders>
          </w:tcPr>
          <w:p>
            <w:pPr>
              <w:spacing w:after="0"/>
              <w:rPr>
                <w:sz w:val="24"/>
                <w:szCs w:val="24"/>
                <w:color w:val="auto"/>
              </w:rPr>
            </w:pPr>
          </w:p>
        </w:tc>
        <w:tc>
          <w:tcPr>
            <w:tcW w:w="2580" w:type="dxa"/>
            <w:vAlign w:val="bottom"/>
            <w:tcBorders>
              <w:bottom w:val="single" w:sz="8" w:color="00000A"/>
              <w:right w:val="single" w:sz="8" w:color="00000A"/>
            </w:tcBorders>
          </w:tcPr>
          <w:p>
            <w:pPr>
              <w:spacing w:after="0"/>
              <w:rPr>
                <w:sz w:val="24"/>
                <w:szCs w:val="24"/>
                <w:color w:val="auto"/>
              </w:rPr>
            </w:pPr>
          </w:p>
        </w:tc>
        <w:tc>
          <w:tcPr>
            <w:tcW w:w="220" w:type="dxa"/>
            <w:vAlign w:val="bottom"/>
            <w:tcBorders>
              <w:bottom w:val="single" w:sz="8" w:color="00000A"/>
            </w:tcBorders>
          </w:tcPr>
          <w:p>
            <w:pPr>
              <w:spacing w:after="0"/>
              <w:rPr>
                <w:sz w:val="24"/>
                <w:szCs w:val="24"/>
                <w:color w:val="auto"/>
              </w:rPr>
            </w:pPr>
          </w:p>
        </w:tc>
        <w:tc>
          <w:tcPr>
            <w:tcW w:w="2500" w:type="dxa"/>
            <w:vAlign w:val="bottom"/>
            <w:tcBorders>
              <w:bottom w:val="single" w:sz="8" w:color="00000A"/>
              <w:right w:val="single" w:sz="8" w:color="00000A"/>
            </w:tcBorders>
          </w:tcPr>
          <w:p>
            <w:pPr>
              <w:spacing w:after="0"/>
              <w:rPr>
                <w:sz w:val="24"/>
                <w:szCs w:val="24"/>
                <w:color w:val="auto"/>
              </w:rPr>
            </w:pPr>
          </w:p>
        </w:tc>
        <w:tc>
          <w:tcPr>
            <w:tcW w:w="2820" w:type="dxa"/>
            <w:vAlign w:val="bottom"/>
            <w:tcBorders>
              <w:bottom w:val="single" w:sz="8" w:color="00000A"/>
              <w:right w:val="single" w:sz="8" w:color="00000A"/>
            </w:tcBorders>
          </w:tcPr>
          <w:p>
            <w:pPr>
              <w:spacing w:after="0"/>
              <w:rPr>
                <w:sz w:val="24"/>
                <w:szCs w:val="24"/>
                <w:color w:val="auto"/>
              </w:rPr>
            </w:pPr>
          </w:p>
        </w:tc>
      </w:tr>
      <w:tr>
        <w:trPr>
          <w:trHeight w:val="254"/>
        </w:trPr>
        <w:tc>
          <w:tcPr>
            <w:tcW w:w="100" w:type="dxa"/>
            <w:vAlign w:val="bottom"/>
            <w:tcBorders>
              <w:right w:val="single" w:sz="8" w:color="00000A"/>
            </w:tcBorders>
          </w:tcPr>
          <w:p>
            <w:pPr>
              <w:spacing w:after="0"/>
              <w:rPr>
                <w:sz w:val="22"/>
                <w:szCs w:val="22"/>
                <w:color w:val="auto"/>
              </w:rPr>
            </w:pPr>
          </w:p>
        </w:tc>
        <w:tc>
          <w:tcPr>
            <w:tcW w:w="1380" w:type="dxa"/>
            <w:vAlign w:val="bottom"/>
          </w:tcPr>
          <w:p>
            <w:pPr>
              <w:spacing w:after="0"/>
              <w:rPr>
                <w:sz w:val="22"/>
                <w:szCs w:val="22"/>
                <w:color w:val="auto"/>
              </w:rPr>
            </w:pPr>
          </w:p>
        </w:tc>
        <w:tc>
          <w:tcPr>
            <w:tcW w:w="1360" w:type="dxa"/>
            <w:vAlign w:val="bottom"/>
            <w:tcBorders>
              <w:right w:val="single" w:sz="8" w:color="00000A"/>
            </w:tcBorders>
          </w:tcPr>
          <w:p>
            <w:pPr>
              <w:spacing w:after="0"/>
              <w:rPr>
                <w:sz w:val="22"/>
                <w:szCs w:val="22"/>
                <w:color w:val="auto"/>
              </w:rPr>
            </w:pPr>
          </w:p>
        </w:tc>
        <w:tc>
          <w:tcPr>
            <w:tcW w:w="48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2580" w:type="dxa"/>
            <w:vAlign w:val="bottom"/>
            <w:tcBorders>
              <w:right w:val="single" w:sz="8" w:color="00000A"/>
            </w:tcBorders>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2500" w:type="dxa"/>
            <w:vAlign w:val="bottom"/>
            <w:tcBorders>
              <w:right w:val="single" w:sz="8" w:color="00000A"/>
            </w:tcBorders>
          </w:tcPr>
          <w:p>
            <w:pPr>
              <w:spacing w:after="0"/>
              <w:rPr>
                <w:sz w:val="22"/>
                <w:szCs w:val="22"/>
                <w:color w:val="auto"/>
              </w:rPr>
            </w:pPr>
          </w:p>
        </w:tc>
        <w:tc>
          <w:tcPr>
            <w:tcW w:w="2820" w:type="dxa"/>
            <w:vAlign w:val="bottom"/>
            <w:tcBorders>
              <w:right w:val="single" w:sz="8" w:color="00000A"/>
            </w:tcBorders>
          </w:tcPr>
          <w:p>
            <w:pPr>
              <w:jc w:val="right"/>
              <w:ind w:right="1881"/>
              <w:spacing w:after="0"/>
              <w:rPr>
                <w:sz w:val="20"/>
                <w:szCs w:val="20"/>
                <w:color w:val="auto"/>
              </w:rPr>
            </w:pPr>
            <w:r>
              <w:rPr>
                <w:rFonts w:ascii="Arial" w:cs="Arial" w:eastAsia="Arial" w:hAnsi="Arial"/>
                <w:sz w:val="20"/>
                <w:szCs w:val="20"/>
                <w:color w:val="auto"/>
              </w:rPr>
              <w:t>%</w:t>
            </w:r>
          </w:p>
        </w:tc>
      </w:tr>
      <w:tr>
        <w:trPr>
          <w:trHeight w:val="374"/>
        </w:trPr>
        <w:tc>
          <w:tcPr>
            <w:tcW w:w="100" w:type="dxa"/>
            <w:vAlign w:val="bottom"/>
            <w:tcBorders>
              <w:right w:val="single" w:sz="8" w:color="00000A"/>
            </w:tcBorders>
          </w:tcPr>
          <w:p>
            <w:pPr>
              <w:spacing w:after="0"/>
              <w:rPr>
                <w:sz w:val="24"/>
                <w:szCs w:val="24"/>
                <w:color w:val="auto"/>
              </w:rPr>
            </w:pPr>
          </w:p>
        </w:tc>
        <w:tc>
          <w:tcPr>
            <w:tcW w:w="138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480" w:type="dxa"/>
            <w:vAlign w:val="bottom"/>
            <w:tcBorders>
              <w:bottom w:val="single" w:sz="8" w:color="00000A"/>
            </w:tcBorders>
          </w:tcPr>
          <w:p>
            <w:pPr>
              <w:spacing w:after="0"/>
              <w:rPr>
                <w:sz w:val="24"/>
                <w:szCs w:val="24"/>
                <w:color w:val="auto"/>
              </w:rPr>
            </w:pPr>
          </w:p>
        </w:tc>
        <w:tc>
          <w:tcPr>
            <w:tcW w:w="2580" w:type="dxa"/>
            <w:vAlign w:val="bottom"/>
            <w:tcBorders>
              <w:bottom w:val="single" w:sz="8" w:color="00000A"/>
              <w:right w:val="single" w:sz="8" w:color="00000A"/>
            </w:tcBorders>
          </w:tcPr>
          <w:p>
            <w:pPr>
              <w:spacing w:after="0"/>
              <w:rPr>
                <w:sz w:val="24"/>
                <w:szCs w:val="24"/>
                <w:color w:val="auto"/>
              </w:rPr>
            </w:pPr>
          </w:p>
        </w:tc>
        <w:tc>
          <w:tcPr>
            <w:tcW w:w="220" w:type="dxa"/>
            <w:vAlign w:val="bottom"/>
            <w:tcBorders>
              <w:bottom w:val="single" w:sz="8" w:color="00000A"/>
            </w:tcBorders>
          </w:tcPr>
          <w:p>
            <w:pPr>
              <w:spacing w:after="0"/>
              <w:rPr>
                <w:sz w:val="24"/>
                <w:szCs w:val="24"/>
                <w:color w:val="auto"/>
              </w:rPr>
            </w:pPr>
          </w:p>
        </w:tc>
        <w:tc>
          <w:tcPr>
            <w:tcW w:w="2500" w:type="dxa"/>
            <w:vAlign w:val="bottom"/>
            <w:tcBorders>
              <w:bottom w:val="single" w:sz="8" w:color="00000A"/>
              <w:right w:val="single" w:sz="8" w:color="00000A"/>
            </w:tcBorders>
          </w:tcPr>
          <w:p>
            <w:pPr>
              <w:spacing w:after="0"/>
              <w:rPr>
                <w:sz w:val="24"/>
                <w:szCs w:val="24"/>
                <w:color w:val="auto"/>
              </w:rPr>
            </w:pPr>
          </w:p>
        </w:tc>
        <w:tc>
          <w:tcPr>
            <w:tcW w:w="2820" w:type="dxa"/>
            <w:vAlign w:val="bottom"/>
            <w:tcBorders>
              <w:bottom w:val="single" w:sz="8" w:color="00000A"/>
              <w:right w:val="single" w:sz="8" w:color="00000A"/>
            </w:tcBorders>
          </w:tcPr>
          <w:p>
            <w:pPr>
              <w:spacing w:after="0"/>
              <w:rPr>
                <w:sz w:val="24"/>
                <w:szCs w:val="24"/>
                <w:color w:val="auto"/>
              </w:rPr>
            </w:pPr>
          </w:p>
        </w:tc>
      </w:tr>
      <w:tr>
        <w:trPr>
          <w:trHeight w:val="727"/>
        </w:trPr>
        <w:tc>
          <w:tcPr>
            <w:tcW w:w="1480" w:type="dxa"/>
            <w:vAlign w:val="bottom"/>
            <w:gridSpan w:val="2"/>
          </w:tcPr>
          <w:p>
            <w:pPr>
              <w:spacing w:after="0"/>
              <w:rPr>
                <w:sz w:val="20"/>
                <w:szCs w:val="20"/>
                <w:color w:val="auto"/>
              </w:rPr>
            </w:pPr>
            <w:r>
              <w:rPr>
                <w:rFonts w:ascii="Arial" w:cs="Arial" w:eastAsia="Arial" w:hAnsi="Arial"/>
                <w:sz w:val="20"/>
                <w:szCs w:val="20"/>
                <w:color w:val="auto"/>
              </w:rPr>
              <w:t>7.  Trade Date:</w:t>
            </w:r>
          </w:p>
        </w:tc>
        <w:tc>
          <w:tcPr>
            <w:tcW w:w="1840" w:type="dxa"/>
            <w:vAlign w:val="bottom"/>
            <w:gridSpan w:val="2"/>
          </w:tcPr>
          <w:p>
            <w:pPr>
              <w:jc w:val="right"/>
              <w:ind w:right="101"/>
              <w:spacing w:after="0"/>
              <w:rPr>
                <w:sz w:val="20"/>
                <w:szCs w:val="20"/>
                <w:color w:val="auto"/>
              </w:rPr>
            </w:pPr>
            <w:r>
              <w:rPr>
                <w:rFonts w:ascii="Arial" w:cs="Arial" w:eastAsia="Arial" w:hAnsi="Arial"/>
                <w:sz w:val="20"/>
                <w:szCs w:val="20"/>
                <w:color w:val="auto"/>
                <w:w w:val="99"/>
              </w:rPr>
              <w:t>______________</w:t>
            </w:r>
            <w:r>
              <w:rPr>
                <w:rFonts w:ascii="Arial" w:cs="Arial" w:eastAsia="Arial" w:hAnsi="Arial"/>
                <w:sz w:val="12"/>
                <w:szCs w:val="12"/>
                <w:color w:val="auto"/>
                <w:w w:val="99"/>
              </w:rPr>
              <w:t>4</w:t>
            </w: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820" w:type="dxa"/>
            <w:vAlign w:val="bottom"/>
          </w:tcPr>
          <w:p>
            <w:pPr>
              <w:spacing w:after="0"/>
              <w:rPr>
                <w:sz w:val="24"/>
                <w:szCs w:val="24"/>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_____________ ___, 20___ [TO BE INSERTED BY ADMINISTRATIVE AGENT AND WHICH SHALL BE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OF RECORDATION OF TRANSFER IN THE REGISTER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1955800</wp:posOffset>
            </wp:positionV>
            <wp:extent cx="1790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90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0" w:hanging="92"/>
        <w:spacing w:after="0"/>
        <w:tabs>
          <w:tab w:leader="none" w:pos="100" w:val="left"/>
        </w:tabs>
        <w:numPr>
          <w:ilvl w:val="0"/>
          <w:numId w:val="272"/>
        </w:numPr>
        <w:rPr>
          <w:rFonts w:ascii="Arial" w:cs="Arial" w:eastAsia="Arial" w:hAnsi="Arial"/>
          <w:sz w:val="24"/>
          <w:szCs w:val="24"/>
          <w:color w:val="auto"/>
          <w:vertAlign w:val="superscript"/>
        </w:rPr>
      </w:pPr>
      <w:r>
        <w:rPr>
          <w:rFonts w:ascii="Arial" w:cs="Arial" w:eastAsia="Arial" w:hAnsi="Arial"/>
          <w:sz w:val="16"/>
          <w:szCs w:val="16"/>
          <w:color w:val="auto"/>
        </w:rPr>
        <w:t>Amount to be adjusted by the counterparties to take into account any payments or prepayments made between the Trade Date and the Effective Date.</w:t>
      </w:r>
    </w:p>
    <w:p>
      <w:pPr>
        <w:spacing w:after="0" w:line="158" w:lineRule="exact"/>
        <w:rPr>
          <w:sz w:val="20"/>
          <w:szCs w:val="20"/>
          <w:color w:val="auto"/>
        </w:rPr>
      </w:pPr>
    </w:p>
    <w:p>
      <w:pPr>
        <w:ind w:left="120" w:hanging="112"/>
        <w:spacing w:after="0"/>
        <w:tabs>
          <w:tab w:leader="none" w:pos="120" w:val="left"/>
        </w:tabs>
        <w:numPr>
          <w:ilvl w:val="0"/>
          <w:numId w:val="273"/>
        </w:numPr>
        <w:rPr>
          <w:rFonts w:ascii="Arial" w:cs="Arial" w:eastAsia="Arial" w:hAnsi="Arial"/>
          <w:sz w:val="25"/>
          <w:szCs w:val="25"/>
          <w:color w:val="auto"/>
          <w:vertAlign w:val="superscript"/>
        </w:rPr>
      </w:pPr>
      <w:r>
        <w:rPr>
          <w:rFonts w:ascii="Arial" w:cs="Arial" w:eastAsia="Arial" w:hAnsi="Arial"/>
          <w:sz w:val="16"/>
          <w:szCs w:val="16"/>
          <w:color w:val="auto"/>
        </w:rPr>
        <w:t>Set forth to at least 9 decimals as a percentage of the Commitments/Loans of all Lenders under such Facility/Subfacility.</w:t>
      </w:r>
    </w:p>
    <w:p>
      <w:pPr>
        <w:spacing w:after="0" w:line="145" w:lineRule="exact"/>
        <w:rPr>
          <w:sz w:val="20"/>
          <w:szCs w:val="20"/>
          <w:color w:val="auto"/>
        </w:rPr>
      </w:pPr>
    </w:p>
    <w:p>
      <w:pPr>
        <w:ind w:left="120" w:hanging="112"/>
        <w:spacing w:after="0"/>
        <w:tabs>
          <w:tab w:leader="none" w:pos="120" w:val="left"/>
        </w:tabs>
        <w:numPr>
          <w:ilvl w:val="0"/>
          <w:numId w:val="274"/>
        </w:numPr>
        <w:rPr>
          <w:rFonts w:ascii="Arial" w:cs="Arial" w:eastAsia="Arial" w:hAnsi="Arial"/>
          <w:sz w:val="25"/>
          <w:szCs w:val="25"/>
          <w:color w:val="auto"/>
          <w:vertAlign w:val="superscript"/>
        </w:rPr>
      </w:pPr>
      <w:r>
        <w:rPr>
          <w:rFonts w:ascii="Arial" w:cs="Arial" w:eastAsia="Arial" w:hAnsi="Arial"/>
          <w:sz w:val="16"/>
          <w:szCs w:val="16"/>
          <w:color w:val="auto"/>
        </w:rPr>
        <w:t>To be completed if the Assignor and the Assignee intend that the minimum assignment amount is to be determined as of the Trade Date.</w:t>
      </w:r>
    </w:p>
    <w:p>
      <w:pPr>
        <w:sectPr>
          <w:pgSz w:w="11900" w:h="16838" w:orient="portrait"/>
          <w:cols w:equalWidth="0" w:num="1">
            <w:col w:w="11440"/>
          </w:cols>
          <w:pgMar w:left="240" w:top="1365" w:right="219" w:bottom="1440" w:gutter="0" w:footer="0" w:header="0"/>
        </w:sectPr>
      </w:pPr>
    </w:p>
    <w:bookmarkStart w:id="244" w:name="page245"/>
    <w:bookmarkEnd w:id="244"/>
    <w:p>
      <w:pPr>
        <w:spacing w:after="0"/>
        <w:rPr>
          <w:sz w:val="20"/>
          <w:szCs w:val="20"/>
          <w:color w:val="auto"/>
        </w:rPr>
      </w:pPr>
      <w:r>
        <w:rPr>
          <w:rFonts w:ascii="Arial" w:cs="Arial" w:eastAsia="Arial" w:hAnsi="Arial"/>
          <w:sz w:val="16"/>
          <w:szCs w:val="16"/>
          <w:color w:val="auto"/>
        </w:rPr>
        <w:t>The terms set forth in this Assignment and Assumption are hereby agreed to:</w:t>
      </w:r>
    </w:p>
    <w:p>
      <w:pPr>
        <w:sectPr>
          <w:pgSz w:w="11900" w:h="16838" w:orient="portrait"/>
          <w:cols w:equalWidth="0" w:num="1">
            <w:col w:w="10219"/>
          </w:cols>
          <w:pgMar w:left="240" w:top="650" w:right="1440" w:bottom="1440" w:gutter="0" w:footer="0" w:header="0"/>
        </w:sectPr>
      </w:pPr>
    </w:p>
    <w:p>
      <w:pPr>
        <w:spacing w:after="0" w:line="256"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ASSIGNOR:</w:t>
      </w:r>
    </w:p>
    <w:p>
      <w:pPr>
        <w:spacing w:after="0" w:line="23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[Name of Assignor]</w:t>
      </w:r>
    </w:p>
    <w:p>
      <w:pPr>
        <w:spacing w:after="0" w:line="200" w:lineRule="exact"/>
        <w:rPr>
          <w:sz w:val="20"/>
          <w:szCs w:val="20"/>
          <w:color w:val="auto"/>
        </w:rPr>
      </w:pPr>
    </w:p>
    <w:p>
      <w:pPr>
        <w:spacing w:after="0" w:line="282"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-14605</wp:posOffset>
            </wp:positionV>
            <wp:extent cx="7543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color w:val="auto"/>
        </w:rPr>
        <w:t>Name:</w:t>
      </w:r>
    </w:p>
    <w:p>
      <w:pPr>
        <w:ind w:left="45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37"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ASSIGNEE:</w:t>
      </w:r>
    </w:p>
    <w:p>
      <w:pPr>
        <w:spacing w:after="0" w:line="23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[Name of Assignee]</w:t>
      </w:r>
    </w:p>
    <w:p>
      <w:pPr>
        <w:spacing w:after="0" w:line="200" w:lineRule="exact"/>
        <w:rPr>
          <w:sz w:val="20"/>
          <w:szCs w:val="20"/>
          <w:color w:val="auto"/>
        </w:rPr>
      </w:pPr>
    </w:p>
    <w:p>
      <w:pPr>
        <w:spacing w:after="0" w:line="282"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-14605</wp:posOffset>
            </wp:positionV>
            <wp:extent cx="7543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color w:val="auto"/>
        </w:rPr>
        <w:t>Name:</w:t>
      </w:r>
    </w:p>
    <w:p>
      <w:pPr>
        <w:ind w:left="454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0219"/>
          </w:cols>
          <w:pgMar w:left="240" w:top="650" w:right="1440" w:bottom="1440" w:gutter="0" w:footer="0" w:header="0"/>
          <w:type w:val="continuous"/>
        </w:sectPr>
      </w:pPr>
    </w:p>
    <w:bookmarkStart w:id="245" w:name="page246"/>
    <w:bookmarkEnd w:id="245"/>
    <w:p>
      <w:pPr>
        <w:spacing w:after="0"/>
        <w:rPr>
          <w:sz w:val="20"/>
          <w:szCs w:val="20"/>
          <w:color w:val="auto"/>
        </w:rPr>
      </w:pPr>
      <w:r>
        <w:rPr>
          <w:rFonts w:ascii="Arial" w:cs="Arial" w:eastAsia="Arial" w:hAnsi="Arial"/>
          <w:sz w:val="20"/>
          <w:szCs w:val="20"/>
          <w:color w:val="auto"/>
        </w:rPr>
        <w:t>[Consented to and]</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Accepted:</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BANK OF AMERICA, N.A., as Administrative Agent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7543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Name:</w:t>
      </w:r>
    </w:p>
    <w:p>
      <w:pPr>
        <w:ind w:left="660"/>
        <w:spacing w:after="0"/>
        <w:rPr>
          <w:sz w:val="20"/>
          <w:szCs w:val="20"/>
          <w:color w:val="auto"/>
        </w:rPr>
      </w:pPr>
      <w:r>
        <w:rPr>
          <w:rFonts w:ascii="Arial" w:cs="Arial" w:eastAsia="Arial" w:hAnsi="Arial"/>
          <w:sz w:val="20"/>
          <w:szCs w:val="20"/>
          <w:color w:val="auto"/>
        </w:rPr>
        <w:t>Title: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[Consented to:]</w:t>
      </w:r>
      <w:r>
        <w:rPr>
          <w:rFonts w:ascii="Arial" w:cs="Arial" w:eastAsia="Arial" w:hAnsi="Arial"/>
          <w:sz w:val="25"/>
          <w:szCs w:val="25"/>
          <w:color w:val="auto"/>
          <w:vertAlign w:val="superscript"/>
        </w:rPr>
        <w:t>2</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L/C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24193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193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7543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Name:</w:t>
      </w:r>
    </w:p>
    <w:p>
      <w:pPr>
        <w:ind w:left="660"/>
        <w:spacing w:after="0"/>
        <w:rPr>
          <w:sz w:val="20"/>
          <w:szCs w:val="20"/>
          <w:color w:val="auto"/>
        </w:rPr>
      </w:pPr>
      <w:r>
        <w:rPr>
          <w:rFonts w:ascii="Arial" w:cs="Arial" w:eastAsia="Arial" w:hAnsi="Arial"/>
          <w:sz w:val="20"/>
          <w:szCs w:val="20"/>
          <w:color w:val="auto"/>
        </w:rPr>
        <w:t>Title: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L/C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24193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193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7543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Name:</w:t>
      </w:r>
    </w:p>
    <w:p>
      <w:pPr>
        <w:ind w:left="6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SWING 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24193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193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7543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Name:</w:t>
      </w:r>
    </w:p>
    <w:p>
      <w:pPr>
        <w:ind w:left="660"/>
        <w:spacing w:after="0"/>
        <w:rPr>
          <w:sz w:val="20"/>
          <w:szCs w:val="20"/>
          <w:color w:val="auto"/>
        </w:rPr>
      </w:pPr>
      <w:r>
        <w:rPr>
          <w:rFonts w:ascii="Arial" w:cs="Arial" w:eastAsia="Arial" w:hAnsi="Arial"/>
          <w:sz w:val="20"/>
          <w:szCs w:val="20"/>
          <w:color w:val="auto"/>
        </w:rPr>
        <w:t>Title: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SWING 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24193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193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713740</wp:posOffset>
            </wp:positionV>
            <wp:extent cx="18535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535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hanging="112"/>
        <w:spacing w:after="0"/>
        <w:tabs>
          <w:tab w:leader="none" w:pos="120" w:val="left"/>
        </w:tabs>
        <w:numPr>
          <w:ilvl w:val="0"/>
          <w:numId w:val="275"/>
        </w:numPr>
        <w:rPr>
          <w:rFonts w:ascii="Arial" w:cs="Arial" w:eastAsia="Arial" w:hAnsi="Arial"/>
          <w:sz w:val="25"/>
          <w:szCs w:val="25"/>
          <w:color w:val="auto"/>
          <w:vertAlign w:val="superscript"/>
        </w:rPr>
      </w:pPr>
      <w:r>
        <w:rPr>
          <w:rFonts w:ascii="Arial" w:cs="Arial" w:eastAsia="Arial" w:hAnsi="Arial"/>
          <w:sz w:val="16"/>
          <w:szCs w:val="16"/>
          <w:color w:val="auto"/>
        </w:rPr>
        <w:t>To be added only if the consent of the Administrative Agent is required by the terms of the Credit Agreement.</w:t>
      </w:r>
    </w:p>
    <w:p>
      <w:pPr>
        <w:spacing w:after="0" w:line="206" w:lineRule="exact"/>
        <w:rPr>
          <w:sz w:val="20"/>
          <w:szCs w:val="20"/>
          <w:color w:val="auto"/>
        </w:rPr>
      </w:pPr>
    </w:p>
    <w:p>
      <w:pPr>
        <w:ind w:left="100" w:hanging="92"/>
        <w:spacing w:after="0"/>
        <w:tabs>
          <w:tab w:leader="none" w:pos="100" w:val="left"/>
        </w:tabs>
        <w:numPr>
          <w:ilvl w:val="0"/>
          <w:numId w:val="276"/>
        </w:numPr>
        <w:rPr>
          <w:rFonts w:ascii="Arial" w:cs="Arial" w:eastAsia="Arial" w:hAnsi="Arial"/>
          <w:sz w:val="22"/>
          <w:szCs w:val="22"/>
          <w:color w:val="auto"/>
          <w:vertAlign w:val="superscript"/>
        </w:rPr>
      </w:pPr>
      <w:r>
        <w:rPr>
          <w:rFonts w:ascii="Arial" w:cs="Arial" w:eastAsia="Arial" w:hAnsi="Arial"/>
          <w:sz w:val="14"/>
          <w:szCs w:val="14"/>
          <w:color w:val="auto"/>
        </w:rPr>
        <w:t>To be added only if the consent of the L/C Issuers, Swing Line Lenders, and/or Borrower is required by the terms of the Credit Agreement.</w:t>
      </w:r>
    </w:p>
    <w:p>
      <w:pPr>
        <w:sectPr>
          <w:pgSz w:w="11900" w:h="16838" w:orient="portrait"/>
          <w:cols w:equalWidth="0" w:num="1">
            <w:col w:w="10219"/>
          </w:cols>
          <w:pgMar w:left="240" w:top="649" w:right="1440" w:bottom="1440" w:gutter="0" w:footer="0" w:header="0"/>
        </w:sectPr>
      </w:pPr>
    </w:p>
    <w:bookmarkStart w:id="246" w:name="page247"/>
    <w:bookmarkEnd w:id="246"/>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7543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6"/>
          <w:szCs w:val="16"/>
          <w:color w:val="auto"/>
        </w:rPr>
        <w:t>Name: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Title: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24193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193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7543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6"/>
          <w:szCs w:val="16"/>
          <w:color w:val="auto"/>
        </w:rPr>
        <w:t>Name: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0219"/>
          </w:cols>
          <w:pgMar w:left="240" w:top="649" w:right="1440" w:bottom="1440" w:gutter="0" w:footer="0" w:header="0"/>
        </w:sectPr>
      </w:pPr>
    </w:p>
    <w:bookmarkStart w:id="247" w:name="page248"/>
    <w:bookmarkEnd w:id="247"/>
    <w:p>
      <w:pPr>
        <w:jc w:val="center"/>
        <w:spacing w:after="0"/>
        <w:rPr>
          <w:sz w:val="20"/>
          <w:szCs w:val="20"/>
          <w:color w:val="auto"/>
        </w:rPr>
      </w:pPr>
      <w:r>
        <w:rPr>
          <w:rFonts w:ascii="Arial" w:cs="Arial" w:eastAsia="Arial" w:hAnsi="Arial"/>
          <w:sz w:val="20"/>
          <w:szCs w:val="20"/>
          <w:b w:val="1"/>
          <w:bCs w:val="1"/>
          <w:i w:val="1"/>
          <w:iCs w:val="1"/>
          <w:color w:val="auto"/>
        </w:rPr>
        <w:t>ANNEX 1 TO ASSIGNMENT AND ASSUMPTION AGREEMENT</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STANDARD TERMS AND CONDITIONS FOR</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ASSIGNMENT AND ASSUMPTION</w:t>
      </w:r>
    </w:p>
    <w:p>
      <w:pPr>
        <w:spacing w:after="0" w:line="277" w:lineRule="exact"/>
        <w:rPr>
          <w:sz w:val="20"/>
          <w:szCs w:val="20"/>
          <w:color w:val="auto"/>
        </w:rPr>
      </w:pPr>
    </w:p>
    <w:p>
      <w:pPr>
        <w:ind w:left="800" w:hanging="792"/>
        <w:spacing w:after="0"/>
        <w:tabs>
          <w:tab w:leader="none" w:pos="800" w:val="left"/>
        </w:tabs>
        <w:numPr>
          <w:ilvl w:val="0"/>
          <w:numId w:val="277"/>
        </w:numPr>
        <w:rPr>
          <w:rFonts w:ascii="Arial" w:cs="Arial" w:eastAsia="Arial" w:hAnsi="Arial"/>
          <w:sz w:val="20"/>
          <w:szCs w:val="20"/>
          <w:color w:val="auto"/>
        </w:rPr>
      </w:pPr>
      <w:r>
        <w:rPr>
          <w:rFonts w:ascii="Arial" w:cs="Arial" w:eastAsia="Arial" w:hAnsi="Arial"/>
          <w:sz w:val="20"/>
          <w:szCs w:val="20"/>
          <w:b w:val="1"/>
          <w:bCs w:val="1"/>
          <w:color w:val="auto"/>
        </w:rPr>
        <w:t>Representations and Warranties</w:t>
      </w:r>
      <w:r>
        <w:rPr>
          <w:rFonts w:ascii="Arial" w:cs="Arial" w:eastAsia="Arial" w:hAnsi="Arial"/>
          <w:sz w:val="20"/>
          <w:szCs w:val="20"/>
          <w:color w:val="auto"/>
        </w:rPr>
        <w:t>.</w:t>
      </w:r>
    </w:p>
    <w:p>
      <w:pPr>
        <w:spacing w:after="0" w:line="28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b w:val="1"/>
          <w:bCs w:val="1"/>
          <w:color w:val="auto"/>
        </w:rPr>
        <w:t>Assignor</w:t>
      </w:r>
      <w:r>
        <w:rPr>
          <w:rFonts w:ascii="Arial" w:cs="Arial" w:eastAsia="Arial" w:hAnsi="Arial"/>
          <w:sz w:val="19"/>
          <w:szCs w:val="19"/>
          <w:color w:val="auto"/>
        </w:rPr>
        <w:t>. The Assignor: (a) represents and warrants that: (i) it is the legal and beneficial owner of the Assigned Interest, (ii) the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Credit Agreement or any other Loan Paper, (ii) the execution, legality, validity, enforceability, genuineness, sufficiency or value of the Loan Papers or any collateral thereunder, (iii) the financial condition of Borrower, any of its Subsidiaries or Affiliates or any other Person obligated in respect of any Loan Paper, or (iv) the performance or observance by Borrower, any of its Subsidiaries or Affiliates or any other Person of any of their respective obligations under any Loan Paper.</w:t>
      </w:r>
    </w:p>
    <w:p>
      <w:pPr>
        <w:spacing w:after="0" w:line="176" w:lineRule="exact"/>
        <w:rPr>
          <w:sz w:val="20"/>
          <w:szCs w:val="20"/>
          <w:color w:val="auto"/>
        </w:rPr>
      </w:pPr>
    </w:p>
    <w:p>
      <w:pPr>
        <w:jc w:val="both"/>
        <w:ind w:firstLine="648"/>
        <w:spacing w:after="0" w:line="379"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b w:val="1"/>
          <w:bCs w:val="1"/>
          <w:color w:val="auto"/>
        </w:rPr>
        <w:t>Assignee</w:t>
      </w:r>
      <w:r>
        <w:rPr>
          <w:rFonts w:ascii="Arial" w:cs="Arial" w:eastAsia="Arial" w:hAnsi="Arial"/>
          <w:sz w:val="16"/>
          <w:szCs w:val="16"/>
          <w:color w:val="auto"/>
        </w:rPr>
        <w:t xml:space="preserve">. The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requirements of an Eligible Assignee under the Credit Agreement (subject to receipt of such consents as may be required under the Credit Agreement),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w:t>
      </w:r>
      <w:r>
        <w:rPr>
          <w:rFonts w:ascii="Arial" w:cs="Arial" w:eastAsia="Arial" w:hAnsi="Arial"/>
          <w:sz w:val="16"/>
          <w:szCs w:val="16"/>
          <w:i w:val="1"/>
          <w:iCs w:val="1"/>
          <w:color w:val="auto"/>
        </w:rPr>
        <w:t>Section 9.1(a)</w:t>
      </w:r>
      <w:r>
        <w:rPr>
          <w:rFonts w:ascii="Arial" w:cs="Arial" w:eastAsia="Arial" w:hAnsi="Arial"/>
          <w:sz w:val="16"/>
          <w:szCs w:val="16"/>
          <w:color w:val="auto"/>
        </w:rPr>
        <w:t xml:space="preserve"> and </w:t>
      </w:r>
      <w:r>
        <w:rPr>
          <w:rFonts w:ascii="Arial" w:cs="Arial" w:eastAsia="Arial" w:hAnsi="Arial"/>
          <w:sz w:val="16"/>
          <w:szCs w:val="16"/>
          <w:i w:val="1"/>
          <w:iCs w:val="1"/>
          <w:color w:val="auto"/>
        </w:rPr>
        <w:t>9.1(b)</w:t>
      </w:r>
      <w:r>
        <w:rPr>
          <w:rFonts w:ascii="Arial" w:cs="Arial" w:eastAsia="Arial" w:hAnsi="Arial"/>
          <w:sz w:val="16"/>
          <w:szCs w:val="16"/>
          <w:color w:val="auto"/>
        </w:rPr>
        <w:t xml:space="preserve"> thereof, as applicable, and such other documents and information as it deems appropriate to make its own credit analysis and decision to enter into this Assignment and Assumption and to purchase the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 Assigned Interest, and</w:t>
      </w:r>
    </w:p>
    <w:p>
      <w:pPr>
        <w:spacing w:after="0" w:line="213" w:lineRule="exact"/>
        <w:rPr>
          <w:sz w:val="20"/>
          <w:szCs w:val="20"/>
          <w:color w:val="auto"/>
        </w:rPr>
      </w:pPr>
    </w:p>
    <w:p>
      <w:pPr>
        <w:jc w:val="both"/>
        <w:ind w:firstLine="8"/>
        <w:spacing w:after="0" w:line="345" w:lineRule="auto"/>
        <w:tabs>
          <w:tab w:leader="none" w:pos="40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if it is a Foreign Lender, attached to the Assignment and Assumption is any documentation required to be delivered by it pursuant to the terms of the Credit Agreement, duly completed and executed by the Assignee; and (b) agrees that: (i) it will, independently and without reliance upon the Administrative Agent, the Assignor or any other Lender, and based on such documents and information as it shall deem appropriate at the time, continue to make its own credit decisions in taking or not taking action under the Loan Papers, and (ii) it will perform in accordance</w:t>
      </w:r>
    </w:p>
    <w:p>
      <w:pPr>
        <w:sectPr>
          <w:pgSz w:w="11900" w:h="16838" w:orient="portrait"/>
          <w:cols w:equalWidth="0" w:num="1">
            <w:col w:w="11420"/>
          </w:cols>
          <w:pgMar w:left="240" w:top="650" w:right="239" w:bottom="1440" w:gutter="0" w:footer="0" w:header="0"/>
        </w:sectPr>
      </w:pPr>
    </w:p>
    <w:bookmarkStart w:id="248" w:name="page249"/>
    <w:bookmarkEnd w:id="248"/>
    <w:p>
      <w:pPr>
        <w:spacing w:after="0"/>
        <w:rPr>
          <w:sz w:val="20"/>
          <w:szCs w:val="20"/>
          <w:color w:val="auto"/>
        </w:rPr>
      </w:pPr>
      <w:r>
        <w:rPr>
          <w:rFonts w:ascii="Arial" w:cs="Arial" w:eastAsia="Arial" w:hAnsi="Arial"/>
          <w:sz w:val="20"/>
          <w:szCs w:val="20"/>
          <w:color w:val="auto"/>
        </w:rPr>
        <w:t>with their terms all of the obligations which by the terms of the Loan Papers are required to be performed by it as a Lender.</w:t>
      </w:r>
    </w:p>
    <w:p>
      <w:pPr>
        <w:spacing w:after="0" w:line="277" w:lineRule="exact"/>
        <w:rPr>
          <w:sz w:val="20"/>
          <w:szCs w:val="20"/>
          <w:color w:val="auto"/>
        </w:rPr>
      </w:pPr>
    </w:p>
    <w:p>
      <w:pPr>
        <w:jc w:val="both"/>
        <w:ind w:firstLine="8"/>
        <w:spacing w:after="0" w:line="337" w:lineRule="auto"/>
        <w:tabs>
          <w:tab w:leader="none" w:pos="797" w:val="left"/>
        </w:tabs>
        <w:numPr>
          <w:ilvl w:val="0"/>
          <w:numId w:val="279"/>
        </w:numPr>
        <w:rPr>
          <w:rFonts w:ascii="Arial" w:cs="Arial" w:eastAsia="Arial" w:hAnsi="Arial"/>
          <w:sz w:val="20"/>
          <w:szCs w:val="20"/>
          <w:color w:val="auto"/>
        </w:rPr>
      </w:pPr>
      <w:r>
        <w:rPr>
          <w:rFonts w:ascii="Arial" w:cs="Arial" w:eastAsia="Arial" w:hAnsi="Arial"/>
          <w:sz w:val="20"/>
          <w:szCs w:val="20"/>
          <w:b w:val="1"/>
          <w:bCs w:val="1"/>
          <w:color w:val="auto"/>
        </w:rPr>
        <w:t>Payments</w:t>
      </w:r>
      <w:r>
        <w:rPr>
          <w:rFonts w:ascii="Arial" w:cs="Arial" w:eastAsia="Arial" w:hAnsi="Arial"/>
          <w:sz w:val="20"/>
          <w:szCs w:val="20"/>
          <w:color w:val="auto"/>
        </w:rPr>
        <w:t>. From and after the Effective Date, Administrative Agent shall make all payments in respect of the Assigned Interest</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payments of principal, interest, fees and other amounts) to the Assignor for amounts which have accrued to but excluding the Effective Date and to the Assignee for amounts which have accrued from and after the Effective Date.</w:t>
      </w:r>
    </w:p>
    <w:p>
      <w:pPr>
        <w:spacing w:after="0" w:line="179" w:lineRule="exact"/>
        <w:rPr>
          <w:rFonts w:ascii="Arial" w:cs="Arial" w:eastAsia="Arial" w:hAnsi="Arial"/>
          <w:sz w:val="20"/>
          <w:szCs w:val="20"/>
          <w:color w:val="auto"/>
        </w:rPr>
      </w:pPr>
    </w:p>
    <w:p>
      <w:pPr>
        <w:jc w:val="both"/>
        <w:ind w:firstLine="8"/>
        <w:spacing w:after="0" w:line="351" w:lineRule="auto"/>
        <w:tabs>
          <w:tab w:leader="none" w:pos="797" w:val="left"/>
        </w:tabs>
        <w:numPr>
          <w:ilvl w:val="0"/>
          <w:numId w:val="279"/>
        </w:numPr>
        <w:rPr>
          <w:rFonts w:ascii="Arial" w:cs="Arial" w:eastAsia="Arial" w:hAnsi="Arial"/>
          <w:sz w:val="19"/>
          <w:szCs w:val="19"/>
          <w:color w:val="auto"/>
        </w:rPr>
      </w:pPr>
      <w:r>
        <w:rPr>
          <w:rFonts w:ascii="Arial" w:cs="Arial" w:eastAsia="Arial" w:hAnsi="Arial"/>
          <w:sz w:val="19"/>
          <w:szCs w:val="19"/>
          <w:b w:val="1"/>
          <w:bCs w:val="1"/>
          <w:color w:val="auto"/>
        </w:rPr>
        <w:t>General Provisions</w:t>
      </w:r>
      <w:r>
        <w:rPr>
          <w:rFonts w:ascii="Arial" w:cs="Arial" w:eastAsia="Arial" w:hAnsi="Arial"/>
          <w:sz w:val="19"/>
          <w:szCs w:val="19"/>
          <w:color w:val="auto"/>
        </w:rPr>
        <w:t>. This Assignment and Assumption shall be binding upon, and inure to the benefit of, the parties hereto and their</w:t>
      </w:r>
      <w:r>
        <w:rPr>
          <w:rFonts w:ascii="Arial" w:cs="Arial" w:eastAsia="Arial" w:hAnsi="Arial"/>
          <w:sz w:val="19"/>
          <w:szCs w:val="19"/>
          <w:b w:val="1"/>
          <w:bCs w:val="1"/>
          <w:color w:val="auto"/>
        </w:rPr>
        <w:t xml:space="preserve"> </w:t>
      </w:r>
      <w:r>
        <w:rPr>
          <w:rFonts w:ascii="Arial" w:cs="Arial" w:eastAsia="Arial" w:hAnsi="Arial"/>
          <w:sz w:val="19"/>
          <w:szCs w:val="19"/>
          <w:color w:val="auto"/>
        </w:rPr>
        <w:t>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1420"/>
          </w:cols>
          <w:pgMar w:left="240" w:top="677" w:right="239" w:bottom="1440" w:gutter="0" w:footer="0" w:header="0"/>
        </w:sectPr>
      </w:pPr>
    </w:p>
    <w:bookmarkStart w:id="249" w:name="page250"/>
    <w:bookmarkEnd w:id="249"/>
    <w:p>
      <w:pPr>
        <w:jc w:val="center"/>
        <w:spacing w:after="0"/>
        <w:rPr>
          <w:sz w:val="20"/>
          <w:szCs w:val="20"/>
          <w:color w:val="auto"/>
        </w:rPr>
      </w:pPr>
      <w:r>
        <w:rPr>
          <w:rFonts w:ascii="Arial" w:cs="Arial" w:eastAsia="Arial" w:hAnsi="Arial"/>
          <w:sz w:val="20"/>
          <w:szCs w:val="20"/>
          <w:b w:val="1"/>
          <w:bCs w:val="1"/>
          <w:u w:val="single" w:color="auto"/>
          <w:color w:val="auto"/>
        </w:rPr>
        <w:t>EXHIBIT F-1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PLEDGE AGREEMENT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THIS PLEDGE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entered into as of ___________, between _____________________, a</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_____________ _____________ (with its successors, “</w:t>
      </w:r>
      <w:r>
        <w:rPr>
          <w:rFonts w:ascii="Arial" w:cs="Arial" w:eastAsia="Arial" w:hAnsi="Arial"/>
          <w:sz w:val="19"/>
          <w:szCs w:val="19"/>
          <w:b w:val="1"/>
          <w:bCs w:val="1"/>
          <w:i w:val="1"/>
          <w:iCs w:val="1"/>
          <w:color w:val="auto"/>
        </w:rPr>
        <w:t>Debtor</w:t>
      </w:r>
      <w:r>
        <w:rPr>
          <w:rFonts w:ascii="Arial" w:cs="Arial" w:eastAsia="Arial" w:hAnsi="Arial"/>
          <w:sz w:val="19"/>
          <w:szCs w:val="19"/>
          <w:color w:val="auto"/>
        </w:rPr>
        <w:t>”), and BANK OF AMERICA, N.A., a national banking association, as</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for the ratable benefit of the Lenders (“</w:t>
      </w:r>
      <w:r>
        <w:rPr>
          <w:rFonts w:ascii="Arial" w:cs="Arial" w:eastAsia="Arial" w:hAnsi="Arial"/>
          <w:sz w:val="20"/>
          <w:szCs w:val="20"/>
          <w:b w:val="1"/>
          <w:bCs w:val="1"/>
          <w:i w:val="1"/>
          <w:iCs w:val="1"/>
          <w:color w:val="auto"/>
        </w:rPr>
        <w:t>Secured Party</w:t>
      </w:r>
      <w:r>
        <w:rPr>
          <w:rFonts w:ascii="Arial" w:cs="Arial" w:eastAsia="Arial" w:hAnsi="Arial"/>
          <w:sz w:val="20"/>
          <w:szCs w:val="20"/>
          <w:color w:val="auto"/>
        </w:rPr>
        <w:t>”).</w:t>
      </w:r>
    </w:p>
    <w:p>
      <w:pPr>
        <w:spacing w:after="0" w:line="200" w:lineRule="exact"/>
        <w:rPr>
          <w:sz w:val="20"/>
          <w:szCs w:val="20"/>
          <w:color w:val="auto"/>
        </w:rPr>
      </w:pPr>
    </w:p>
    <w:p>
      <w:pPr>
        <w:jc w:val="both"/>
        <w:ind w:firstLine="656"/>
        <w:spacing w:after="0" w:line="246" w:lineRule="auto"/>
        <w:tabs>
          <w:tab w:leader="none" w:pos="1102" w:val="left"/>
        </w:tabs>
        <w:numPr>
          <w:ilvl w:val="0"/>
          <w:numId w:val="280"/>
        </w:numPr>
        <w:rPr>
          <w:rFonts w:ascii="Arial" w:cs="Arial" w:eastAsia="Arial" w:hAnsi="Arial"/>
          <w:sz w:val="20"/>
          <w:szCs w:val="20"/>
          <w:color w:val="auto"/>
        </w:rPr>
      </w:pPr>
      <w:r>
        <w:rPr>
          <w:rFonts w:ascii="Arial" w:cs="Arial" w:eastAsia="Arial" w:hAnsi="Arial"/>
          <w:sz w:val="20"/>
          <w:szCs w:val="20"/>
          <w:color w:val="auto"/>
        </w:rPr>
        <w:t>Vail Holdings, Inc., a Colorado corporation (the “</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the various financial institutions party to the Credit Agreement (defined below) (collectively, and as they may change from time to time in accordance with the terms of the Credit Agreement, the “</w:t>
      </w:r>
      <w:r>
        <w:rPr>
          <w:rFonts w:ascii="Arial" w:cs="Arial" w:eastAsia="Arial" w:hAnsi="Arial"/>
          <w:sz w:val="20"/>
          <w:szCs w:val="20"/>
          <w:b w:val="1"/>
          <w:bCs w:val="1"/>
          <w:i w:val="1"/>
          <w:iCs w:val="1"/>
          <w:color w:val="auto"/>
        </w:rPr>
        <w:t>Lenders</w:t>
      </w:r>
      <w:r>
        <w:rPr>
          <w:rFonts w:ascii="Arial" w:cs="Arial" w:eastAsia="Arial" w:hAnsi="Arial"/>
          <w:sz w:val="20"/>
          <w:szCs w:val="20"/>
          <w:color w:val="auto"/>
        </w:rPr>
        <w:t>”), and Secured Party have entered into that certain Eighth Amended and Restated Credit Agreement dated as of August 15, 2018 (as amended, restated, extended, or supplemented from time to time, the “</w:t>
      </w:r>
      <w:r>
        <w:rPr>
          <w:rFonts w:ascii="Arial" w:cs="Arial" w:eastAsia="Arial" w:hAnsi="Arial"/>
          <w:sz w:val="20"/>
          <w:szCs w:val="20"/>
          <w:b w:val="1"/>
          <w:bCs w:val="1"/>
          <w:i w:val="1"/>
          <w:iCs w:val="1"/>
          <w:color w:val="auto"/>
        </w:rPr>
        <w:t>Credit Agreement</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right="20" w:firstLine="656"/>
        <w:spacing w:after="0" w:line="260" w:lineRule="auto"/>
        <w:tabs>
          <w:tab w:leader="none" w:pos="105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Under the terms of the Credit Agreement, the Lenders have agreed, from time to time, to make loans to the Borrower and issue letters of credit for the account of Borrower.</w:t>
      </w:r>
    </w:p>
    <w:p>
      <w:pPr>
        <w:spacing w:after="0" w:line="176" w:lineRule="exact"/>
        <w:rPr>
          <w:rFonts w:ascii="Arial" w:cs="Arial" w:eastAsia="Arial" w:hAnsi="Arial"/>
          <w:sz w:val="20"/>
          <w:szCs w:val="20"/>
          <w:color w:val="auto"/>
        </w:rPr>
      </w:pPr>
    </w:p>
    <w:p>
      <w:pPr>
        <w:jc w:val="both"/>
        <w:ind w:firstLine="656"/>
        <w:spacing w:after="0" w:line="246" w:lineRule="auto"/>
        <w:tabs>
          <w:tab w:leader="none" w:pos="1118" w:val="left"/>
        </w:tabs>
        <w:numPr>
          <w:ilvl w:val="0"/>
          <w:numId w:val="280"/>
        </w:numPr>
        <w:rPr>
          <w:rFonts w:ascii="Arial" w:cs="Arial" w:eastAsia="Arial" w:hAnsi="Arial"/>
          <w:sz w:val="20"/>
          <w:szCs w:val="20"/>
          <w:color w:val="auto"/>
        </w:rPr>
      </w:pPr>
      <w:r>
        <w:rPr>
          <w:rFonts w:ascii="Arial" w:cs="Arial" w:eastAsia="Arial" w:hAnsi="Arial"/>
          <w:sz w:val="20"/>
          <w:szCs w:val="20"/>
          <w:color w:val="auto"/>
        </w:rPr>
        <w:t>Debtor is an Affiliate of Borrower. Borrower and Debtor are engaged in the same or substantially similar or related lines of business, have close business and financial transactions, and connections with each other, and use common senior management and executive personnel and overall planning programs. The Credit Agreement will be a material benefit to the Debtor and Borrower and will result in direct business benefits to the Debtor.</w:t>
      </w:r>
    </w:p>
    <w:p>
      <w:pPr>
        <w:spacing w:after="0" w:line="191" w:lineRule="exact"/>
        <w:rPr>
          <w:rFonts w:ascii="Arial" w:cs="Arial" w:eastAsia="Arial" w:hAnsi="Arial"/>
          <w:sz w:val="20"/>
          <w:szCs w:val="20"/>
          <w:color w:val="auto"/>
        </w:rPr>
      </w:pPr>
    </w:p>
    <w:p>
      <w:pPr>
        <w:ind w:firstLine="656"/>
        <w:spacing w:after="0" w:line="260" w:lineRule="auto"/>
        <w:tabs>
          <w:tab w:leader="none" w:pos="1061" w:val="left"/>
        </w:tabs>
        <w:numPr>
          <w:ilvl w:val="0"/>
          <w:numId w:val="280"/>
        </w:numPr>
        <w:rPr>
          <w:rFonts w:ascii="Arial" w:cs="Arial" w:eastAsia="Arial" w:hAnsi="Arial"/>
          <w:sz w:val="20"/>
          <w:szCs w:val="20"/>
          <w:color w:val="auto"/>
        </w:rPr>
      </w:pPr>
      <w:r>
        <w:rPr>
          <w:rFonts w:ascii="Arial" w:cs="Arial" w:eastAsia="Arial" w:hAnsi="Arial"/>
          <w:sz w:val="20"/>
          <w:szCs w:val="20"/>
          <w:color w:val="auto"/>
        </w:rPr>
        <w:t>Debtor has executed a Guaranty in favor of Secured Party, for the benefit of Lenders, guaranteeing the Obligation under, and as defined in, the Credit Agreement (as amended, restated, or supplemented from time to time, the “</w:t>
      </w:r>
      <w:r>
        <w:rPr>
          <w:rFonts w:ascii="Arial" w:cs="Arial" w:eastAsia="Arial" w:hAnsi="Arial"/>
          <w:sz w:val="20"/>
          <w:szCs w:val="20"/>
          <w:b w:val="1"/>
          <w:bCs w:val="1"/>
          <w:i w:val="1"/>
          <w:iCs w:val="1"/>
          <w:color w:val="auto"/>
        </w:rPr>
        <w:t>Guaranty</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firstLine="656"/>
        <w:spacing w:after="0" w:line="235" w:lineRule="auto"/>
        <w:tabs>
          <w:tab w:leader="none" w:pos="1066" w:val="left"/>
        </w:tabs>
        <w:numPr>
          <w:ilvl w:val="0"/>
          <w:numId w:val="280"/>
        </w:numPr>
        <w:rPr>
          <w:rFonts w:ascii="Arial" w:cs="Arial" w:eastAsia="Arial" w:hAnsi="Arial"/>
          <w:sz w:val="20"/>
          <w:szCs w:val="20"/>
          <w:color w:val="auto"/>
        </w:rPr>
      </w:pPr>
      <w:r>
        <w:rPr>
          <w:rFonts w:ascii="Arial" w:cs="Arial" w:eastAsia="Arial" w:hAnsi="Arial"/>
          <w:sz w:val="20"/>
          <w:szCs w:val="20"/>
          <w:color w:val="auto"/>
        </w:rPr>
        <w:t>[The execution and delivery of this Agreement is an integral part of the transactions contemplated by the Loan Papers and is a condition precedent to Lenders’ obligations to extend credit under the Credit Agreement.]</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[Debtor is required to deliver this Agreement pursuant to </w:t>
      </w:r>
      <w:r>
        <w:rPr>
          <w:rFonts w:ascii="Arial" w:cs="Arial" w:eastAsia="Arial" w:hAnsi="Arial"/>
          <w:sz w:val="20"/>
          <w:szCs w:val="20"/>
          <w:i w:val="1"/>
          <w:iCs w:val="1"/>
          <w:color w:val="auto"/>
        </w:rPr>
        <w:t>Section [9.10] [9.11]</w:t>
      </w:r>
      <w:r>
        <w:rPr>
          <w:rFonts w:ascii="Arial" w:cs="Arial" w:eastAsia="Arial" w:hAnsi="Arial"/>
          <w:sz w:val="20"/>
          <w:szCs w:val="20"/>
          <w:color w:val="auto"/>
        </w:rPr>
        <w:t xml:space="preserve"> of the Credit Agreement.]</w:t>
      </w:r>
      <w:r>
        <w:rPr>
          <w:rFonts w:ascii="Arial" w:cs="Arial" w:eastAsia="Arial" w:hAnsi="Arial"/>
          <w:sz w:val="25"/>
          <w:szCs w:val="25"/>
          <w:color w:val="auto"/>
          <w:vertAlign w:val="superscript"/>
        </w:rPr>
        <w:t>2</w:t>
      </w:r>
    </w:p>
    <w:p>
      <w:pPr>
        <w:spacing w:after="0" w:line="11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NOW THEREFORE, in consideration of the premises and other good and valuable consideration, the receipt and sufficiency of which are hereby acknowledged, the parties hereto agree as follows:</w:t>
      </w:r>
    </w:p>
    <w:p>
      <w:pPr>
        <w:spacing w:after="0" w:line="177" w:lineRule="exact"/>
        <w:rPr>
          <w:sz w:val="20"/>
          <w:szCs w:val="20"/>
          <w:color w:val="auto"/>
        </w:rPr>
      </w:pPr>
    </w:p>
    <w:p>
      <w:pPr>
        <w:jc w:val="both"/>
        <w:ind w:firstLine="656"/>
        <w:spacing w:after="0" w:line="278" w:lineRule="auto"/>
        <w:tabs>
          <w:tab w:leader="none" w:pos="1098"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 “</w:t>
      </w:r>
      <w:r>
        <w:rPr>
          <w:rFonts w:ascii="Arial" w:cs="Arial" w:eastAsia="Arial" w:hAnsi="Arial"/>
          <w:sz w:val="18"/>
          <w:szCs w:val="18"/>
          <w:b w:val="1"/>
          <w:bCs w:val="1"/>
          <w:i w:val="1"/>
          <w:iCs w:val="1"/>
          <w:color w:val="auto"/>
        </w:rPr>
        <w:t>Debtor</w:t>
      </w:r>
      <w:r>
        <w:rPr>
          <w:rFonts w:ascii="Arial" w:cs="Arial" w:eastAsia="Arial" w:hAnsi="Arial"/>
          <w:sz w:val="18"/>
          <w:szCs w:val="18"/>
          <w:color w:val="auto"/>
        </w:rPr>
        <w:t>,” “</w:t>
      </w:r>
      <w:r>
        <w:rPr>
          <w:rFonts w:ascii="Arial" w:cs="Arial" w:eastAsia="Arial" w:hAnsi="Arial"/>
          <w:sz w:val="18"/>
          <w:szCs w:val="18"/>
          <w:b w:val="1"/>
          <w:bCs w:val="1"/>
          <w:i w:val="1"/>
          <w:iCs w:val="1"/>
          <w:color w:val="auto"/>
        </w:rPr>
        <w:t>Guaranty</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Lenders</w:t>
      </w:r>
      <w:r>
        <w:rPr>
          <w:rFonts w:ascii="Arial" w:cs="Arial" w:eastAsia="Arial" w:hAnsi="Arial"/>
          <w:sz w:val="18"/>
          <w:szCs w:val="18"/>
          <w:color w:val="auto"/>
        </w:rPr>
        <w:t>,” and “</w:t>
      </w:r>
      <w:r>
        <w:rPr>
          <w:rFonts w:ascii="Arial" w:cs="Arial" w:eastAsia="Arial" w:hAnsi="Arial"/>
          <w:sz w:val="18"/>
          <w:szCs w:val="18"/>
          <w:b w:val="1"/>
          <w:bCs w:val="1"/>
          <w:i w:val="1"/>
          <w:iCs w:val="1"/>
          <w:color w:val="auto"/>
        </w:rPr>
        <w:t>Secured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have the respective meanings indicated above. Other capitalized terms used, but not defined, in this Agreement and which are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Credit Agreement, have the respective meanings given them in the Credit Agreement. Except as otherwise defined in this Agreement or in the Credit Agreement, all terms used in this Agreement which are defined in the UCC (as defined below and as in effect on the date of this Agreement) shall have the respective meanings given them in </w:t>
      </w:r>
      <w:r>
        <w:rPr>
          <w:rFonts w:ascii="Arial" w:cs="Arial" w:eastAsia="Arial" w:hAnsi="Arial"/>
          <w:sz w:val="18"/>
          <w:szCs w:val="18"/>
          <w:i w:val="1"/>
          <w:iCs w:val="1"/>
          <w:color w:val="auto"/>
        </w:rPr>
        <w:t>Articles 8</w:t>
      </w:r>
      <w:r>
        <w:rPr>
          <w:rFonts w:ascii="Arial" w:cs="Arial" w:eastAsia="Arial" w:hAnsi="Arial"/>
          <w:sz w:val="18"/>
          <w:szCs w:val="18"/>
          <w:color w:val="auto"/>
        </w:rPr>
        <w:t xml:space="preserve"> and </w:t>
      </w:r>
      <w:r>
        <w:rPr>
          <w:rFonts w:ascii="Arial" w:cs="Arial" w:eastAsia="Arial" w:hAnsi="Arial"/>
          <w:sz w:val="18"/>
          <w:szCs w:val="18"/>
          <w:i w:val="1"/>
          <w:iCs w:val="1"/>
          <w:color w:val="auto"/>
        </w:rPr>
        <w:t>9</w:t>
      </w:r>
      <w:r>
        <w:rPr>
          <w:rFonts w:ascii="Arial" w:cs="Arial" w:eastAsia="Arial" w:hAnsi="Arial"/>
          <w:sz w:val="18"/>
          <w:szCs w:val="18"/>
          <w:color w:val="auto"/>
        </w:rPr>
        <w:t xml:space="preserve"> of the UCC. In addition, as used in this Agreement:</w:t>
      </w:r>
    </w:p>
    <w:p>
      <w:pPr>
        <w:spacing w:after="0" w:line="200" w:lineRule="exact"/>
        <w:rPr>
          <w:sz w:val="20"/>
          <w:szCs w:val="20"/>
          <w:color w:val="auto"/>
        </w:rPr>
      </w:pPr>
    </w:p>
    <w:p>
      <w:pPr>
        <w:spacing w:after="0" w:line="366" w:lineRule="exact"/>
        <w:rPr>
          <w:sz w:val="20"/>
          <w:szCs w:val="20"/>
          <w:color w:val="auto"/>
        </w:rPr>
      </w:pPr>
    </w:p>
    <w:p>
      <w:pPr>
        <w:ind w:left="120" w:hanging="112"/>
        <w:spacing w:after="0"/>
        <w:tabs>
          <w:tab w:leader="none" w:pos="120" w:val="left"/>
        </w:tabs>
        <w:numPr>
          <w:ilvl w:val="0"/>
          <w:numId w:val="282"/>
        </w:numPr>
        <w:rPr>
          <w:rFonts w:ascii="Arial" w:cs="Arial" w:eastAsia="Arial" w:hAnsi="Arial"/>
          <w:sz w:val="25"/>
          <w:szCs w:val="25"/>
          <w:color w:val="auto"/>
          <w:vertAlign w:val="superscript"/>
        </w:rPr>
      </w:pPr>
      <w:r>
        <w:rPr>
          <w:rFonts w:ascii="Arial" w:cs="Arial" w:eastAsia="Arial" w:hAnsi="Arial"/>
          <w:sz w:val="20"/>
          <w:szCs w:val="20"/>
          <w:color w:val="auto"/>
        </w:rPr>
        <w:t>Use if the Pledge Agreement is required to be delivered on the Closing Date.</w:t>
      </w:r>
    </w:p>
    <w:p>
      <w:pPr>
        <w:ind w:left="120" w:hanging="112"/>
        <w:spacing w:after="0" w:line="198" w:lineRule="auto"/>
        <w:tabs>
          <w:tab w:leader="none" w:pos="120" w:val="left"/>
        </w:tabs>
        <w:numPr>
          <w:ilvl w:val="0"/>
          <w:numId w:val="283"/>
        </w:numPr>
        <w:rPr>
          <w:rFonts w:ascii="Arial" w:cs="Arial" w:eastAsia="Arial" w:hAnsi="Arial"/>
          <w:sz w:val="25"/>
          <w:szCs w:val="25"/>
          <w:color w:val="auto"/>
          <w:vertAlign w:val="superscript"/>
        </w:rPr>
      </w:pPr>
      <w:r>
        <w:rPr>
          <w:rFonts w:ascii="Arial" w:cs="Arial" w:eastAsia="Arial" w:hAnsi="Arial"/>
          <w:sz w:val="20"/>
          <w:szCs w:val="20"/>
          <w:color w:val="auto"/>
        </w:rPr>
        <w:t xml:space="preserve">Use if the Pledge Agreement is required to be delivered pursuant to </w:t>
      </w:r>
      <w:r>
        <w:rPr>
          <w:rFonts w:ascii="Arial" w:cs="Arial" w:eastAsia="Arial" w:hAnsi="Arial"/>
          <w:sz w:val="20"/>
          <w:szCs w:val="20"/>
          <w:i w:val="1"/>
          <w:iCs w:val="1"/>
          <w:color w:val="auto"/>
        </w:rPr>
        <w:t>Sections 9.10</w:t>
      </w:r>
      <w:r>
        <w:rPr>
          <w:rFonts w:ascii="Arial" w:cs="Arial" w:eastAsia="Arial" w:hAnsi="Arial"/>
          <w:sz w:val="20"/>
          <w:szCs w:val="20"/>
          <w:color w:val="auto"/>
        </w:rPr>
        <w:t xml:space="preserve"> or </w:t>
      </w:r>
      <w:r>
        <w:rPr>
          <w:rFonts w:ascii="Arial" w:cs="Arial" w:eastAsia="Arial" w:hAnsi="Arial"/>
          <w:sz w:val="20"/>
          <w:szCs w:val="20"/>
          <w:i w:val="1"/>
          <w:iCs w:val="1"/>
          <w:color w:val="auto"/>
        </w:rPr>
        <w:t>9.11</w:t>
      </w:r>
      <w:r>
        <w:rPr>
          <w:rFonts w:ascii="Arial" w:cs="Arial" w:eastAsia="Arial" w:hAnsi="Arial"/>
          <w:sz w:val="20"/>
          <w:szCs w:val="20"/>
          <w:color w:val="auto"/>
        </w:rPr>
        <w:t xml:space="preserve"> of the Credit Agreement.</w:t>
      </w:r>
    </w:p>
    <w:p>
      <w:pPr>
        <w:sectPr>
          <w:pgSz w:w="11900" w:h="16838" w:orient="portrait"/>
          <w:cols w:equalWidth="0" w:num="1">
            <w:col w:w="11420"/>
          </w:cols>
          <w:pgMar w:left="240" w:top="644" w:right="239" w:bottom="1440" w:gutter="0" w:footer="0" w:header="0"/>
        </w:sectPr>
      </w:pPr>
    </w:p>
    <w:bookmarkStart w:id="250" w:name="page251"/>
    <w:bookmarkEnd w:id="250"/>
    <w:p>
      <w:pPr>
        <w:spacing w:after="0"/>
        <w:rPr>
          <w:sz w:val="20"/>
          <w:szCs w:val="20"/>
          <w:color w:val="auto"/>
        </w:rPr>
      </w:pPr>
      <w:r>
        <w:rPr>
          <w:rFonts w:ascii="Arial" w:cs="Arial" w:eastAsia="Arial" w:hAnsi="Arial"/>
          <w:sz w:val="20"/>
          <w:szCs w:val="20"/>
          <w:b w:val="1"/>
          <w:bCs w:val="1"/>
          <w:i w:val="1"/>
          <w:iCs w:val="1"/>
          <w:color w:val="auto"/>
        </w:rPr>
        <w:t xml:space="preserve">Collateral </w:t>
      </w:r>
      <w:r>
        <w:rPr>
          <w:rFonts w:ascii="Arial" w:cs="Arial" w:eastAsia="Arial" w:hAnsi="Arial"/>
          <w:sz w:val="20"/>
          <w:szCs w:val="20"/>
          <w:color w:val="auto"/>
        </w:rPr>
        <w:t>means all of the property referred to in</w:t>
      </w:r>
      <w:r>
        <w:rPr>
          <w:rFonts w:ascii="Arial" w:cs="Arial" w:eastAsia="Arial" w:hAnsi="Arial"/>
          <w:sz w:val="20"/>
          <w:szCs w:val="20"/>
          <w:b w:val="1"/>
          <w:bCs w:val="1"/>
          <w:i w:val="1"/>
          <w:iCs w:val="1"/>
          <w:color w:val="auto"/>
        </w:rPr>
        <w:t xml:space="preserve"> Section 3(a)</w:t>
      </w: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Foreign Subsidiary </w:t>
      </w:r>
      <w:r>
        <w:rPr>
          <w:rFonts w:ascii="Arial" w:cs="Arial" w:eastAsia="Arial" w:hAnsi="Arial"/>
          <w:sz w:val="20"/>
          <w:szCs w:val="20"/>
          <w:color w:val="auto"/>
        </w:rPr>
        <w:t>means any Subsidiary organized under the laws of any jurisdiction outside the United States of America.</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Issuer </w:t>
      </w:r>
      <w:r>
        <w:rPr>
          <w:rFonts w:ascii="Arial" w:cs="Arial" w:eastAsia="Arial" w:hAnsi="Arial"/>
          <w:sz w:val="20"/>
          <w:szCs w:val="20"/>
          <w:color w:val="auto"/>
        </w:rPr>
        <w:t>means an issuer of Pledged Securities.</w:t>
      </w:r>
    </w:p>
    <w:p>
      <w:pPr>
        <w:spacing w:after="0" w:line="216" w:lineRule="exact"/>
        <w:rPr>
          <w:sz w:val="20"/>
          <w:szCs w:val="20"/>
          <w:color w:val="auto"/>
        </w:rPr>
      </w:pPr>
    </w:p>
    <w:p>
      <w:pPr>
        <w:jc w:val="both"/>
        <w:spacing w:after="0" w:line="316" w:lineRule="auto"/>
        <w:rPr>
          <w:sz w:val="20"/>
          <w:szCs w:val="20"/>
          <w:color w:val="auto"/>
        </w:rPr>
      </w:pPr>
      <w:r>
        <w:rPr>
          <w:rFonts w:ascii="Arial" w:cs="Arial" w:eastAsia="Arial" w:hAnsi="Arial"/>
          <w:sz w:val="18"/>
          <w:szCs w:val="18"/>
          <w:b w:val="1"/>
          <w:bCs w:val="1"/>
          <w:i w:val="1"/>
          <w:iCs w:val="1"/>
          <w:color w:val="auto"/>
        </w:rPr>
        <w:t xml:space="preserve">Organizational Documents </w:t>
      </w:r>
      <w:r>
        <w:rPr>
          <w:rFonts w:ascii="Arial" w:cs="Arial" w:eastAsia="Arial" w:hAnsi="Arial"/>
          <w:sz w:val="18"/>
          <w:szCs w:val="18"/>
          <w:color w:val="auto"/>
        </w:rPr>
        <w:t>means the articles of incorporation or organization, bylaws, regulations, and operating agreements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documents equivalent to the foregoing (together with any modifications, amendments, or restatements thereof), as applicable, of each Issuer.</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b w:val="1"/>
          <w:bCs w:val="1"/>
          <w:i w:val="1"/>
          <w:iCs w:val="1"/>
          <w:color w:val="auto"/>
        </w:rPr>
        <w:t xml:space="preserve">Partnership Agreements </w:t>
      </w:r>
      <w:r>
        <w:rPr>
          <w:rFonts w:ascii="Arial" w:cs="Arial" w:eastAsia="Arial" w:hAnsi="Arial"/>
          <w:sz w:val="19"/>
          <w:szCs w:val="19"/>
          <w:color w:val="auto"/>
        </w:rPr>
        <w:t>means (a) those agreements listed on</w:t>
      </w:r>
      <w:r>
        <w:rPr>
          <w:rFonts w:ascii="Arial" w:cs="Arial" w:eastAsia="Arial" w:hAnsi="Arial"/>
          <w:sz w:val="19"/>
          <w:szCs w:val="19"/>
          <w:b w:val="1"/>
          <w:bCs w:val="1"/>
          <w:i w:val="1"/>
          <w:iCs w:val="1"/>
          <w:color w:val="auto"/>
        </w:rPr>
        <w:t xml:space="preserve"> Annex A </w:t>
      </w:r>
      <w:r>
        <w:rPr>
          <w:rFonts w:ascii="Arial" w:cs="Arial" w:eastAsia="Arial" w:hAnsi="Arial"/>
          <w:sz w:val="19"/>
          <w:szCs w:val="19"/>
          <w:color w:val="auto"/>
        </w:rPr>
        <w:t>attached hereto and incorporated herein by reference (together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any modifications, amendments, or restatements thereof), and (b) partnership agreements or joint venture agreements for any of the partnerships or joint ventures described in </w:t>
      </w:r>
      <w:r>
        <w:rPr>
          <w:rFonts w:ascii="Arial" w:cs="Arial" w:eastAsia="Arial" w:hAnsi="Arial"/>
          <w:sz w:val="19"/>
          <w:szCs w:val="19"/>
          <w:b w:val="1"/>
          <w:bCs w:val="1"/>
          <w:i w:val="1"/>
          <w:iCs w:val="1"/>
          <w:color w:val="auto"/>
        </w:rPr>
        <w:t>clause (b)</w:t>
      </w:r>
      <w:r>
        <w:rPr>
          <w:rFonts w:ascii="Arial" w:cs="Arial" w:eastAsia="Arial" w:hAnsi="Arial"/>
          <w:sz w:val="19"/>
          <w:szCs w:val="19"/>
          <w:color w:val="auto"/>
        </w:rPr>
        <w:t xml:space="preserve"> of the definition of </w:t>
      </w:r>
      <w:r>
        <w:rPr>
          <w:rFonts w:ascii="Arial" w:cs="Arial" w:eastAsia="Arial" w:hAnsi="Arial"/>
          <w:sz w:val="19"/>
          <w:szCs w:val="19"/>
          <w:i w:val="1"/>
          <w:iCs w:val="1"/>
          <w:color w:val="auto"/>
        </w:rPr>
        <w:t>“Partnerships”</w:t>
      </w:r>
      <w:r>
        <w:rPr>
          <w:rFonts w:ascii="Arial" w:cs="Arial" w:eastAsia="Arial" w:hAnsi="Arial"/>
          <w:sz w:val="19"/>
          <w:szCs w:val="19"/>
          <w:color w:val="auto"/>
        </w:rPr>
        <w:t xml:space="preserve"> below (together with any modifications, amendments or restatements thereof), and </w:t>
      </w:r>
      <w:r>
        <w:rPr>
          <w:rFonts w:ascii="Arial" w:cs="Arial" w:eastAsia="Arial" w:hAnsi="Arial"/>
          <w:sz w:val="19"/>
          <w:szCs w:val="19"/>
          <w:b w:val="1"/>
          <w:bCs w:val="1"/>
          <w:i w:val="1"/>
          <w:iCs w:val="1"/>
          <w:color w:val="auto"/>
        </w:rPr>
        <w:t>Partnership Agreement</w:t>
      </w:r>
      <w:r>
        <w:rPr>
          <w:rFonts w:ascii="Arial" w:cs="Arial" w:eastAsia="Arial" w:hAnsi="Arial"/>
          <w:sz w:val="19"/>
          <w:szCs w:val="19"/>
          <w:color w:val="auto"/>
        </w:rPr>
        <w:t xml:space="preserve"> means one of the Partnership Agreements.</w:t>
      </w:r>
    </w:p>
    <w:p>
      <w:pPr>
        <w:spacing w:after="0" w:line="17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 xml:space="preserve">Partnership Interests </w:t>
      </w:r>
      <w:r>
        <w:rPr>
          <w:rFonts w:ascii="Arial" w:cs="Arial" w:eastAsia="Arial" w:hAnsi="Arial"/>
          <w:sz w:val="18"/>
          <w:szCs w:val="18"/>
          <w:color w:val="auto"/>
        </w:rPr>
        <w:t>means all of Debtor’s Right, title and interest now or hereafter accruing under the Partnership Agreements with respect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all distributions, allocations, proceeds, fees, preferences, payments, or other benefits, which Debtor now is or may hereafter become entitled to receive with respect to such interests in the Partnerships and with respect to the repayment of all loans now or hereafter made by Debtor to the Partnerships;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in no event shall more than sixty-five percent (65%) of the total outstanding equity interests of any Foreign Subsidiary be pledged hereunder, even though all of the outstanding equity interest of each Foreign Subsidiary may be described on </w:t>
      </w:r>
      <w:r>
        <w:rPr>
          <w:rFonts w:ascii="Arial" w:cs="Arial" w:eastAsia="Arial" w:hAnsi="Arial"/>
          <w:sz w:val="18"/>
          <w:szCs w:val="18"/>
          <w:b w:val="1"/>
          <w:bCs w:val="1"/>
          <w:i w:val="1"/>
          <w:iCs w:val="1"/>
          <w:color w:val="auto"/>
        </w:rPr>
        <w:t>Annex A</w:t>
      </w:r>
      <w:r>
        <w:rPr>
          <w:rFonts w:ascii="Arial" w:cs="Arial" w:eastAsia="Arial" w:hAnsi="Arial"/>
          <w:sz w:val="18"/>
          <w:szCs w:val="18"/>
          <w:color w:val="auto"/>
        </w:rPr>
        <w:t>.</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 xml:space="preserve">Partnerships </w:t>
      </w:r>
      <w:r>
        <w:rPr>
          <w:rFonts w:ascii="Arial" w:cs="Arial" w:eastAsia="Arial" w:hAnsi="Arial"/>
          <w:sz w:val="20"/>
          <w:szCs w:val="20"/>
          <w:color w:val="auto"/>
        </w:rPr>
        <w:t>means (a) those partnerships and joint ventures listed on</w:t>
      </w:r>
      <w:r>
        <w:rPr>
          <w:rFonts w:ascii="Arial" w:cs="Arial" w:eastAsia="Arial" w:hAnsi="Arial"/>
          <w:sz w:val="20"/>
          <w:szCs w:val="20"/>
          <w:b w:val="1"/>
          <w:bCs w:val="1"/>
          <w:i w:val="1"/>
          <w:iCs w:val="1"/>
          <w:color w:val="auto"/>
        </w:rPr>
        <w:t xml:space="preserve"> Annex A </w:t>
      </w:r>
      <w:r>
        <w:rPr>
          <w:rFonts w:ascii="Arial" w:cs="Arial" w:eastAsia="Arial" w:hAnsi="Arial"/>
          <w:sz w:val="20"/>
          <w:szCs w:val="20"/>
          <w:color w:val="auto"/>
        </w:rPr>
        <w:t>attached hereto and incorporated herein by reference, as such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partnerships exist or may hereinafter be restated, amended, or restructured, (b) any partnership or joint venture in which Debtor shall, at any time, become a limited or general partner or venturer, or (c) any partnership, joint venture, or corporation formed as a result of the restructure, reorganization, or amendment of the Partnerships.</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 xml:space="preserve">Person </w:t>
      </w:r>
      <w:r>
        <w:rPr>
          <w:rFonts w:ascii="Arial" w:cs="Arial" w:eastAsia="Arial" w:hAnsi="Arial"/>
          <w:sz w:val="20"/>
          <w:szCs w:val="20"/>
          <w:color w:val="auto"/>
        </w:rPr>
        <w:t>means any individual, trustee, corporation, general partnership, limited partnership, limited liability company, joint stock company,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trust, unincorporated organization, bank, business association, firm, joint venture, or Governmental Authority.</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i w:val="1"/>
          <w:iCs w:val="1"/>
          <w:color w:val="auto"/>
        </w:rPr>
        <w:t xml:space="preserve">Pledged Securities </w:t>
      </w:r>
      <w:r>
        <w:rPr>
          <w:rFonts w:ascii="Arial" w:cs="Arial" w:eastAsia="Arial" w:hAnsi="Arial"/>
          <w:sz w:val="18"/>
          <w:szCs w:val="18"/>
          <w:color w:val="auto"/>
        </w:rPr>
        <w:t>means (a) the Securities identified on</w:t>
      </w:r>
      <w:r>
        <w:rPr>
          <w:rFonts w:ascii="Arial" w:cs="Arial" w:eastAsia="Arial" w:hAnsi="Arial"/>
          <w:sz w:val="18"/>
          <w:szCs w:val="18"/>
          <w:b w:val="1"/>
          <w:bCs w:val="1"/>
          <w:i w:val="1"/>
          <w:iCs w:val="1"/>
          <w:color w:val="auto"/>
        </w:rPr>
        <w:t xml:space="preserve"> Annex A </w:t>
      </w:r>
      <w:r>
        <w:rPr>
          <w:rFonts w:ascii="Arial" w:cs="Arial" w:eastAsia="Arial" w:hAnsi="Arial"/>
          <w:sz w:val="18"/>
          <w:szCs w:val="18"/>
          <w:color w:val="auto"/>
        </w:rPr>
        <w:t>(and the certificates or instruments, if any, representing such Securities),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Securities issued to Debtor by any Issuer listed on </w:t>
      </w:r>
      <w:r>
        <w:rPr>
          <w:rFonts w:ascii="Arial" w:cs="Arial" w:eastAsia="Arial" w:hAnsi="Arial"/>
          <w:sz w:val="18"/>
          <w:szCs w:val="18"/>
          <w:b w:val="1"/>
          <w:bCs w:val="1"/>
          <w:i w:val="1"/>
          <w:iCs w:val="1"/>
          <w:color w:val="auto"/>
        </w:rPr>
        <w:t>Annex A</w:t>
      </w:r>
      <w:r>
        <w:rPr>
          <w:rFonts w:ascii="Arial" w:cs="Arial" w:eastAsia="Arial" w:hAnsi="Arial"/>
          <w:sz w:val="18"/>
          <w:szCs w:val="18"/>
          <w:color w:val="auto"/>
        </w:rPr>
        <w:t xml:space="preserve"> or any other Person which becomes a Restricted Subsidiary, (c) any additional or substitute Securities issued to Debtor by any Issuer listed on </w:t>
      </w:r>
      <w:r>
        <w:rPr>
          <w:rFonts w:ascii="Arial" w:cs="Arial" w:eastAsia="Arial" w:hAnsi="Arial"/>
          <w:sz w:val="18"/>
          <w:szCs w:val="18"/>
          <w:b w:val="1"/>
          <w:bCs w:val="1"/>
          <w:i w:val="1"/>
          <w:iCs w:val="1"/>
          <w:color w:val="auto"/>
        </w:rPr>
        <w:t>Annex A</w:t>
      </w:r>
      <w:r>
        <w:rPr>
          <w:rFonts w:ascii="Arial" w:cs="Arial" w:eastAsia="Arial" w:hAnsi="Arial"/>
          <w:sz w:val="18"/>
          <w:szCs w:val="18"/>
          <w:color w:val="auto"/>
        </w:rPr>
        <w:t xml:space="preserve"> or any other Person which becomes a Restricted Subsidiary after the date of this Agreement, and (d) all Securities required to be included in this definition pursuant to the provisions of </w:t>
      </w:r>
      <w:r>
        <w:rPr>
          <w:rFonts w:ascii="Arial" w:cs="Arial" w:eastAsia="Arial" w:hAnsi="Arial"/>
          <w:sz w:val="18"/>
          <w:szCs w:val="18"/>
          <w:b w:val="1"/>
          <w:bCs w:val="1"/>
          <w:i w:val="1"/>
          <w:iCs w:val="1"/>
          <w:color w:val="auto"/>
        </w:rPr>
        <w:t>Section 2(b)(vi)</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in no event shall more than sixty-five percent (65%) of the total outstanding Securities of any Foreign Subsidiary be pledged hereunder, even though all of the outstanding Securities of each Foreign Subsidiary may be described on </w:t>
      </w:r>
      <w:r>
        <w:rPr>
          <w:rFonts w:ascii="Arial" w:cs="Arial" w:eastAsia="Arial" w:hAnsi="Arial"/>
          <w:sz w:val="18"/>
          <w:szCs w:val="18"/>
          <w:b w:val="1"/>
          <w:bCs w:val="1"/>
          <w:i w:val="1"/>
          <w:iCs w:val="1"/>
          <w:color w:val="auto"/>
        </w:rPr>
        <w:t>Annex A</w:t>
      </w:r>
      <w:r>
        <w:rPr>
          <w:rFonts w:ascii="Arial" w:cs="Arial" w:eastAsia="Arial" w:hAnsi="Arial"/>
          <w:sz w:val="18"/>
          <w:szCs w:val="18"/>
          <w:color w:val="auto"/>
        </w:rPr>
        <w:t xml:space="preserve"> and included in one stock certificate subject to any stock power delivered hereunder. Notwithstanding anything to the contrary contained in this Agreement, Pledged Securities shall not include, and shall not be required to include, the Securities issued to Debtor by any Concessioner Subsidiary.</w:t>
      </w:r>
    </w:p>
    <w:p>
      <w:pPr>
        <w:sectPr>
          <w:pgSz w:w="11900" w:h="16838" w:orient="portrait"/>
          <w:cols w:equalWidth="0" w:num="1">
            <w:col w:w="11420"/>
          </w:cols>
          <w:pgMar w:left="240" w:top="649" w:right="239" w:bottom="1440" w:gutter="0" w:footer="0" w:header="0"/>
        </w:sectPr>
      </w:pPr>
    </w:p>
    <w:bookmarkStart w:id="251" w:name="page252"/>
    <w:bookmarkEnd w:id="251"/>
    <w:p>
      <w:pPr>
        <w:jc w:val="both"/>
        <w:ind w:right="20"/>
        <w:spacing w:after="0" w:line="316" w:lineRule="auto"/>
        <w:rPr>
          <w:sz w:val="20"/>
          <w:szCs w:val="20"/>
          <w:color w:val="auto"/>
        </w:rPr>
      </w:pPr>
      <w:r>
        <w:rPr>
          <w:rFonts w:ascii="Arial" w:cs="Arial" w:eastAsia="Arial" w:hAnsi="Arial"/>
          <w:sz w:val="18"/>
          <w:szCs w:val="18"/>
          <w:b w:val="1"/>
          <w:bCs w:val="1"/>
          <w:i w:val="1"/>
          <w:iCs w:val="1"/>
          <w:color w:val="auto"/>
        </w:rPr>
        <w:t xml:space="preserve">Proceeds </w:t>
      </w:r>
      <w:r>
        <w:rPr>
          <w:rFonts w:ascii="Arial" w:cs="Arial" w:eastAsia="Arial" w:hAnsi="Arial"/>
          <w:sz w:val="18"/>
          <w:szCs w:val="18"/>
          <w:color w:val="auto"/>
        </w:rPr>
        <w:t>means all proceeds of, and all other profits, products, rentals, and receipts, in whatever form, arising from the collection, sale, lease,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 assignment, licensing, or other disposition of, or other realization upon, the Collateral, whether now existing or hereafter arising.</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Secured Obligation </w:t>
      </w:r>
      <w:r>
        <w:rPr>
          <w:rFonts w:ascii="Arial" w:cs="Arial" w:eastAsia="Arial" w:hAnsi="Arial"/>
          <w:sz w:val="18"/>
          <w:szCs w:val="18"/>
          <w:color w:val="auto"/>
        </w:rPr>
        <w:t>means (a) all obligations of Debtor under the Guaranty or this Agreement, and (b) all present and future indebtedness,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obligations and liabilities, absolute or contingent, whether voluntary or involuntary, due or not due, incurred directly or indirectly, or acquired by a Lender by assumption or otherwise (including, without limitation, interest accruing after the maturity of such debts, obligations, or liabilities), and all renewals, increases, and extensions thereof, or any part thereof, now or hereafter owed to Secured Party or Lenders by Borrower under the Loan Papers to which it is a party (including the “</w:t>
      </w:r>
      <w:r>
        <w:rPr>
          <w:rFonts w:ascii="Arial" w:cs="Arial" w:eastAsia="Arial" w:hAnsi="Arial"/>
          <w:sz w:val="18"/>
          <w:szCs w:val="18"/>
          <w:i w:val="1"/>
          <w:iCs w:val="1"/>
          <w:color w:val="auto"/>
        </w:rPr>
        <w:t>Obligation</w:t>
      </w:r>
      <w:r>
        <w:rPr>
          <w:rFonts w:ascii="Arial" w:cs="Arial" w:eastAsia="Arial" w:hAnsi="Arial"/>
          <w:sz w:val="18"/>
          <w:szCs w:val="18"/>
          <w:color w:val="auto"/>
        </w:rPr>
        <w:t>” as defined in the Credit Agreement), together with all interest accruing thereon, fees, costs, and expenses (including, without limitation, (i) all Attorney Costs incurred in the enforcement or collection thereof payable under the Loan Papers, or in connection with the protection of Rights under, the Loan Papers to which Borrower is a party, and</w:t>
      </w:r>
    </w:p>
    <w:p>
      <w:pPr>
        <w:spacing w:after="0" w:line="5" w:lineRule="exact"/>
        <w:rPr>
          <w:sz w:val="20"/>
          <w:szCs w:val="20"/>
          <w:color w:val="auto"/>
        </w:rPr>
      </w:pPr>
    </w:p>
    <w:p>
      <w:pPr>
        <w:jc w:val="both"/>
        <w:ind w:firstLine="8"/>
        <w:spacing w:after="0"/>
        <w:tabs>
          <w:tab w:leader="none" w:pos="293" w:val="left"/>
        </w:tabs>
        <w:numPr>
          <w:ilvl w:val="0"/>
          <w:numId w:val="284"/>
        </w:numPr>
        <w:rPr>
          <w:rFonts w:ascii="Arial" w:cs="Arial" w:eastAsia="Arial" w:hAnsi="Arial"/>
          <w:sz w:val="20"/>
          <w:szCs w:val="20"/>
          <w:color w:val="auto"/>
        </w:rPr>
      </w:pPr>
      <w:r>
        <w:rPr>
          <w:rFonts w:ascii="Arial" w:cs="Arial" w:eastAsia="Arial" w:hAnsi="Arial"/>
          <w:sz w:val="20"/>
          <w:szCs w:val="20"/>
          <w:color w:val="auto"/>
        </w:rPr>
        <w:t xml:space="preserve">amounts that would become due but for operation of Section 502, 506, or any other applicable provision of Title 11 of the Bankruptcy Code of the United States), </w:t>
      </w:r>
      <w:r>
        <w:rPr>
          <w:rFonts w:ascii="Arial" w:cs="Arial" w:eastAsia="Arial" w:hAnsi="Arial"/>
          <w:sz w:val="20"/>
          <w:szCs w:val="20"/>
          <w:i w:val="1"/>
          <w:iCs w:val="1"/>
          <w:color w:val="auto"/>
        </w:rPr>
        <w:t>together with</w:t>
      </w:r>
      <w:r>
        <w:rPr>
          <w:rFonts w:ascii="Arial" w:cs="Arial" w:eastAsia="Arial" w:hAnsi="Arial"/>
          <w:sz w:val="20"/>
          <w:szCs w:val="20"/>
          <w:color w:val="auto"/>
        </w:rPr>
        <w:t xml:space="preserve"> all pre- and post-maturity interest thereon (including, without limitation, all post-petition interest if Debtor or Borrower voluntarily or involuntarily files for bankruptcy protection, whether or not a claim for post-filing or post-petition interest is allowed in such bankruptcy proceeding) and any and all costs, Attorney Costs, and expenses reasonably incurred by Secured Party or any Lender to enforce payment of any of the foregoing indebtedness.</w:t>
      </w:r>
    </w:p>
    <w:p>
      <w:pPr>
        <w:spacing w:after="0" w:line="198" w:lineRule="exact"/>
        <w:rPr>
          <w:sz w:val="20"/>
          <w:szCs w:val="20"/>
          <w:color w:val="auto"/>
        </w:rPr>
      </w:pPr>
    </w:p>
    <w:p>
      <w:pPr>
        <w:spacing w:after="0" w:line="260" w:lineRule="auto"/>
        <w:rPr>
          <w:sz w:val="20"/>
          <w:szCs w:val="20"/>
          <w:color w:val="auto"/>
        </w:rPr>
      </w:pPr>
      <w:r>
        <w:rPr>
          <w:rFonts w:ascii="Arial" w:cs="Arial" w:eastAsia="Arial" w:hAnsi="Arial"/>
          <w:sz w:val="20"/>
          <w:szCs w:val="20"/>
          <w:b w:val="1"/>
          <w:bCs w:val="1"/>
          <w:i w:val="1"/>
          <w:iCs w:val="1"/>
          <w:color w:val="auto"/>
        </w:rPr>
        <w:t xml:space="preserve">Security </w:t>
      </w:r>
      <w:r>
        <w:rPr>
          <w:rFonts w:ascii="Arial" w:cs="Arial" w:eastAsia="Arial" w:hAnsi="Arial"/>
          <w:sz w:val="20"/>
          <w:szCs w:val="20"/>
          <w:color w:val="auto"/>
        </w:rPr>
        <w:t>means (a) a share of capital stock issued by a Person, (b) a membership interest issued by a Person, and (c) any other equity,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ownership, or voting interest issued by a Person, and “</w:t>
      </w:r>
      <w:r>
        <w:rPr>
          <w:rFonts w:ascii="Arial" w:cs="Arial" w:eastAsia="Arial" w:hAnsi="Arial"/>
          <w:sz w:val="20"/>
          <w:szCs w:val="20"/>
          <w:b w:val="1"/>
          <w:bCs w:val="1"/>
          <w:i w:val="1"/>
          <w:iCs w:val="1"/>
          <w:color w:val="auto"/>
        </w:rPr>
        <w:t>Securities</w:t>
      </w:r>
      <w:r>
        <w:rPr>
          <w:rFonts w:ascii="Arial" w:cs="Arial" w:eastAsia="Arial" w:hAnsi="Arial"/>
          <w:sz w:val="20"/>
          <w:szCs w:val="20"/>
          <w:color w:val="auto"/>
        </w:rPr>
        <w:t>” means more than one Security.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Security Interests </w:t>
      </w:r>
      <w:r>
        <w:rPr>
          <w:rFonts w:ascii="Arial" w:cs="Arial" w:eastAsia="Arial" w:hAnsi="Arial"/>
          <w:sz w:val="20"/>
          <w:szCs w:val="20"/>
          <w:color w:val="auto"/>
        </w:rPr>
        <w:t>means the security interests granted under this Agreement securing the Secured Obligation.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UCC </w:t>
      </w:r>
      <w:r>
        <w:rPr>
          <w:rFonts w:ascii="Arial" w:cs="Arial" w:eastAsia="Arial" w:hAnsi="Arial"/>
          <w:sz w:val="20"/>
          <w:szCs w:val="20"/>
          <w:color w:val="auto"/>
        </w:rPr>
        <w:t>means the Uniform Commercial Code as in effect from time to time in any applicable jurisdiction.</w:t>
      </w:r>
    </w:p>
    <w:p>
      <w:pPr>
        <w:spacing w:after="0" w:line="216" w:lineRule="exact"/>
        <w:rPr>
          <w:sz w:val="20"/>
          <w:szCs w:val="20"/>
          <w:color w:val="auto"/>
        </w:rPr>
      </w:pPr>
    </w:p>
    <w:p>
      <w:pPr>
        <w:ind w:left="980" w:hanging="324"/>
        <w:spacing w:after="0"/>
        <w:tabs>
          <w:tab w:leader="none" w:pos="980" w:val="left"/>
        </w:tabs>
        <w:numPr>
          <w:ilvl w:val="0"/>
          <w:numId w:val="285"/>
        </w:numPr>
        <w:rPr>
          <w:rFonts w:ascii="Arial" w:cs="Arial" w:eastAsia="Arial" w:hAnsi="Arial"/>
          <w:sz w:val="20"/>
          <w:szCs w:val="20"/>
          <w:color w:val="auto"/>
        </w:rPr>
      </w:pPr>
      <w:r>
        <w:rPr>
          <w:rFonts w:ascii="Arial" w:cs="Arial" w:eastAsia="Arial" w:hAnsi="Arial"/>
          <w:sz w:val="20"/>
          <w:szCs w:val="20"/>
          <w:u w:val="single" w:color="auto"/>
          <w:color w:val="auto"/>
        </w:rPr>
        <w:t>Representations, Warranties and Certain Agreements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700" w:hanging="395"/>
        <w:spacing w:after="0"/>
        <w:tabs>
          <w:tab w:leader="none" w:pos="1700" w:val="left"/>
        </w:tabs>
        <w:numPr>
          <w:ilvl w:val="1"/>
          <w:numId w:val="285"/>
        </w:numPr>
        <w:rPr>
          <w:rFonts w:ascii="Arial" w:cs="Arial" w:eastAsia="Arial" w:hAnsi="Arial"/>
          <w:sz w:val="20"/>
          <w:szCs w:val="20"/>
          <w:color w:val="auto"/>
        </w:rPr>
      </w:pPr>
      <w:r>
        <w:rPr>
          <w:rFonts w:ascii="Arial" w:cs="Arial" w:eastAsia="Arial" w:hAnsi="Arial"/>
          <w:sz w:val="20"/>
          <w:szCs w:val="20"/>
          <w:color w:val="auto"/>
        </w:rPr>
        <w:t>Debtor represents and warrants as follows:</w:t>
      </w:r>
    </w:p>
    <w:p>
      <w:pPr>
        <w:spacing w:after="0" w:line="215" w:lineRule="exact"/>
        <w:rPr>
          <w:rFonts w:ascii="Arial" w:cs="Arial" w:eastAsia="Arial" w:hAnsi="Arial"/>
          <w:sz w:val="20"/>
          <w:szCs w:val="20"/>
          <w:color w:val="auto"/>
        </w:rPr>
      </w:pPr>
    </w:p>
    <w:p>
      <w:pPr>
        <w:jc w:val="both"/>
        <w:ind w:left="1300" w:firstLine="653"/>
        <w:spacing w:after="0" w:line="255" w:lineRule="auto"/>
        <w:tabs>
          <w:tab w:leader="none" w:pos="2355" w:val="left"/>
        </w:tabs>
        <w:numPr>
          <w:ilvl w:val="2"/>
          <w:numId w:val="285"/>
        </w:numPr>
        <w:rPr>
          <w:rFonts w:ascii="Arial" w:cs="Arial" w:eastAsia="Arial" w:hAnsi="Arial"/>
          <w:sz w:val="19"/>
          <w:szCs w:val="19"/>
          <w:color w:val="auto"/>
        </w:rPr>
      </w:pPr>
      <w:r>
        <w:rPr>
          <w:rFonts w:ascii="Arial" w:cs="Arial" w:eastAsia="Arial" w:hAnsi="Arial"/>
          <w:sz w:val="19"/>
          <w:szCs w:val="19"/>
          <w:color w:val="auto"/>
        </w:rPr>
        <w:t xml:space="preserve">Debtor has good title to all of the Collateral purported to be owned by it, free and clear of any Liens (other than Permitted Liens), and will keep the Collateral free and clear of all Liens (other than Permitted Liens). The Pledged Securities described on </w:t>
      </w:r>
      <w:r>
        <w:rPr>
          <w:rFonts w:ascii="Arial" w:cs="Arial" w:eastAsia="Arial" w:hAnsi="Arial"/>
          <w:sz w:val="19"/>
          <w:szCs w:val="19"/>
          <w:b w:val="1"/>
          <w:bCs w:val="1"/>
          <w:i w:val="1"/>
          <w:iCs w:val="1"/>
          <w:color w:val="auto"/>
        </w:rPr>
        <w:t>Annex A</w:t>
      </w:r>
      <w:r>
        <w:rPr>
          <w:rFonts w:ascii="Arial" w:cs="Arial" w:eastAsia="Arial" w:hAnsi="Arial"/>
          <w:sz w:val="19"/>
          <w:szCs w:val="19"/>
          <w:color w:val="auto"/>
        </w:rPr>
        <w:t xml:space="preserve"> include all Securities issued by each such Issuer to Debtor or, in the case of Securities of a Foreign Subsidiary, all Securities issued by such Foreign Subsidiary are described on </w:t>
      </w:r>
      <w:r>
        <w:rPr>
          <w:rFonts w:ascii="Arial" w:cs="Arial" w:eastAsia="Arial" w:hAnsi="Arial"/>
          <w:sz w:val="19"/>
          <w:szCs w:val="19"/>
          <w:b w:val="1"/>
          <w:bCs w:val="1"/>
          <w:i w:val="1"/>
          <w:iCs w:val="1"/>
          <w:color w:val="auto"/>
        </w:rPr>
        <w:t>Annex A</w:t>
      </w:r>
      <w:r>
        <w:rPr>
          <w:rFonts w:ascii="Arial" w:cs="Arial" w:eastAsia="Arial" w:hAnsi="Arial"/>
          <w:sz w:val="19"/>
          <w:szCs w:val="19"/>
          <w:color w:val="auto"/>
        </w:rPr>
        <w:t>, but only sixty-five percent (65%) of the outstanding Securities of such Foreign Subsidiary are Pledged Securities hereunder. All of the Pledged Securities have been duly authorized and validly issued, are fully paid and non-assessable, and are subject to no option to purchase or similar Rights of any Person. As of the date of this Agreement, Debtor is not a party to or otherwise bound by any agreement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this Agreement) which restrict in any manner the Rights of any present or future holder of any of the Pledged Securities with respect to transfers thereof or payments of dividends or distributions thereon. The Pledged Securities are not subject to any restrictions on transfer or manner of sale, any holding period, or any notice requirements, other than restrictions and requirements under applicable securities Laws.</w:t>
      </w:r>
    </w:p>
    <w:p>
      <w:pPr>
        <w:sectPr>
          <w:pgSz w:w="11900" w:h="16838" w:orient="portrait"/>
          <w:cols w:equalWidth="0" w:num="1">
            <w:col w:w="11420"/>
          </w:cols>
          <w:pgMar w:left="240" w:top="650" w:right="239" w:bottom="1440" w:gutter="0" w:footer="0" w:header="0"/>
        </w:sectPr>
      </w:pPr>
    </w:p>
    <w:bookmarkStart w:id="252" w:name="page253"/>
    <w:bookmarkEnd w:id="252"/>
    <w:p>
      <w:pPr>
        <w:jc w:val="both"/>
        <w:ind w:left="100" w:firstLine="653"/>
        <w:spacing w:after="0" w:line="273" w:lineRule="auto"/>
        <w:tabs>
          <w:tab w:leader="none" w:pos="12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Except as expressly permitted by the Credit Agreement, each Issuer and each Partnership issuing a Partnership Interest is duly organized, currently existing, and in good standing under all applicable Laws; there have been no amendments, modifications, or supplements to any Partnership Agreement, any other agreement or certificate creating any Partnership, any Organizational Document, or any material contract relating to the Partnerships or any Issuer, of which Secured Party has not been advised in writing; no default or breach or potential default or breach has occurred and is continuing under any Partnership Agreement or any Organizational Document; and no approval or consent of the partners of any Partnership or any equityholder of any Issuer is required as a condition to the validity and enforceability of the Security Interest created hereby or the consummation of the transactions contemplated hereby which has not been duly obtained by Debtor.</w:t>
      </w:r>
    </w:p>
    <w:p>
      <w:pPr>
        <w:spacing w:after="0" w:line="169" w:lineRule="exact"/>
        <w:rPr>
          <w:rFonts w:ascii="Arial" w:cs="Arial" w:eastAsia="Arial" w:hAnsi="Arial"/>
          <w:sz w:val="18"/>
          <w:szCs w:val="18"/>
          <w:color w:val="auto"/>
        </w:rPr>
      </w:pPr>
    </w:p>
    <w:p>
      <w:pPr>
        <w:jc w:val="both"/>
        <w:ind w:left="100" w:firstLine="653"/>
        <w:spacing w:after="0" w:line="244" w:lineRule="auto"/>
        <w:tabs>
          <w:tab w:leader="none" w:pos="1292" w:val="left"/>
        </w:tabs>
        <w:numPr>
          <w:ilvl w:val="0"/>
          <w:numId w:val="286"/>
        </w:numPr>
        <w:rPr>
          <w:rFonts w:ascii="Arial" w:cs="Arial" w:eastAsia="Arial" w:hAnsi="Arial"/>
          <w:sz w:val="20"/>
          <w:szCs w:val="20"/>
          <w:color w:val="auto"/>
        </w:rPr>
      </w:pPr>
      <w:r>
        <w:rPr>
          <w:rFonts w:ascii="Arial" w:cs="Arial" w:eastAsia="Arial" w:hAnsi="Arial"/>
          <w:sz w:val="20"/>
          <w:szCs w:val="20"/>
          <w:color w:val="auto"/>
        </w:rPr>
        <w:t xml:space="preserve">Debtor has good title to the Partnership Interests free and clear of all Liens (other than Permitted Liens). The Partnership Interests are validly issued, fully paid, and nonassessable and are not subject to statutory, contractual, or other restrictions governing their transfer, ownership, or control, </w:t>
      </w:r>
      <w:r>
        <w:rPr>
          <w:rFonts w:ascii="Arial" w:cs="Arial" w:eastAsia="Arial" w:hAnsi="Arial"/>
          <w:sz w:val="20"/>
          <w:szCs w:val="20"/>
          <w:i w:val="1"/>
          <w:iCs w:val="1"/>
          <w:color w:val="auto"/>
        </w:rPr>
        <w:t>except</w:t>
      </w:r>
      <w:r>
        <w:rPr>
          <w:rFonts w:ascii="Arial" w:cs="Arial" w:eastAsia="Arial" w:hAnsi="Arial"/>
          <w:sz w:val="20"/>
          <w:szCs w:val="20"/>
          <w:color w:val="auto"/>
        </w:rPr>
        <w:t xml:space="preserve"> as set forth in the applicable Partnership Agreements or applicable securities Laws. All capital contributions required to be made by the terms of the Partnership Agreements for each Partnership have been made.</w:t>
      </w:r>
    </w:p>
    <w:p>
      <w:pPr>
        <w:spacing w:after="0" w:line="194" w:lineRule="exact"/>
        <w:rPr>
          <w:rFonts w:ascii="Arial" w:cs="Arial" w:eastAsia="Arial" w:hAnsi="Arial"/>
          <w:sz w:val="20"/>
          <w:szCs w:val="20"/>
          <w:color w:val="auto"/>
        </w:rPr>
      </w:pPr>
    </w:p>
    <w:p>
      <w:pPr>
        <w:jc w:val="both"/>
        <w:ind w:left="100" w:firstLine="653"/>
        <w:spacing w:after="0" w:line="246" w:lineRule="auto"/>
        <w:tabs>
          <w:tab w:leader="none" w:pos="1214" w:val="left"/>
        </w:tabs>
        <w:numPr>
          <w:ilvl w:val="0"/>
          <w:numId w:val="286"/>
        </w:numPr>
        <w:rPr>
          <w:rFonts w:ascii="Arial" w:cs="Arial" w:eastAsia="Arial" w:hAnsi="Arial"/>
          <w:sz w:val="20"/>
          <w:szCs w:val="20"/>
          <w:color w:val="auto"/>
        </w:rPr>
      </w:pPr>
      <w:r>
        <w:rPr>
          <w:rFonts w:ascii="Arial" w:cs="Arial" w:eastAsia="Arial" w:hAnsi="Arial"/>
          <w:sz w:val="20"/>
          <w:szCs w:val="20"/>
          <w:color w:val="auto"/>
        </w:rPr>
        <w:t xml:space="preserve">Contemporaneously with the execution and delivery of this Agreement, Debtor has delivered to Secured Party all certificates evidencing the Pledged Securities described on </w:t>
      </w:r>
      <w:r>
        <w:rPr>
          <w:rFonts w:ascii="Arial" w:cs="Arial" w:eastAsia="Arial" w:hAnsi="Arial"/>
          <w:sz w:val="20"/>
          <w:szCs w:val="20"/>
          <w:b w:val="1"/>
          <w:bCs w:val="1"/>
          <w:i w:val="1"/>
          <w:iCs w:val="1"/>
          <w:color w:val="auto"/>
        </w:rPr>
        <w:t>Annex A</w:t>
      </w:r>
      <w:r>
        <w:rPr>
          <w:rFonts w:ascii="Arial" w:cs="Arial" w:eastAsia="Arial" w:hAnsi="Arial"/>
          <w:sz w:val="20"/>
          <w:szCs w:val="20"/>
          <w:color w:val="auto"/>
        </w:rPr>
        <w:t xml:space="preserve">. No Collateral is in the possession of any Person asserting any claim thereto or security interest therein that is not permitted under the Loan Papers, </w:t>
      </w:r>
      <w:r>
        <w:rPr>
          <w:rFonts w:ascii="Arial" w:cs="Arial" w:eastAsia="Arial" w:hAnsi="Arial"/>
          <w:sz w:val="20"/>
          <w:szCs w:val="20"/>
          <w:i w:val="1"/>
          <w:iCs w:val="1"/>
          <w:color w:val="auto"/>
        </w:rPr>
        <w:t>except</w:t>
      </w:r>
      <w:r>
        <w:rPr>
          <w:rFonts w:ascii="Arial" w:cs="Arial" w:eastAsia="Arial" w:hAnsi="Arial"/>
          <w:sz w:val="20"/>
          <w:szCs w:val="20"/>
          <w:color w:val="auto"/>
        </w:rPr>
        <w:t xml:space="preserve"> that Secured Party or its designee may have possession of the Collateral.</w:t>
      </w:r>
    </w:p>
    <w:p>
      <w:pPr>
        <w:spacing w:after="0" w:line="191" w:lineRule="exact"/>
        <w:rPr>
          <w:rFonts w:ascii="Arial" w:cs="Arial" w:eastAsia="Arial" w:hAnsi="Arial"/>
          <w:sz w:val="20"/>
          <w:szCs w:val="20"/>
          <w:color w:val="auto"/>
        </w:rPr>
      </w:pPr>
    </w:p>
    <w:p>
      <w:pPr>
        <w:jc w:val="both"/>
        <w:ind w:left="100" w:firstLine="653"/>
        <w:spacing w:after="0" w:line="256" w:lineRule="auto"/>
        <w:tabs>
          <w:tab w:leader="none" w:pos="1253" w:val="left"/>
        </w:tabs>
        <w:numPr>
          <w:ilvl w:val="0"/>
          <w:numId w:val="286"/>
        </w:numPr>
        <w:rPr>
          <w:rFonts w:ascii="Arial" w:cs="Arial" w:eastAsia="Arial" w:hAnsi="Arial"/>
          <w:sz w:val="19"/>
          <w:szCs w:val="19"/>
          <w:color w:val="auto"/>
        </w:rPr>
      </w:pPr>
      <w:r>
        <w:rPr>
          <w:rFonts w:ascii="Arial" w:cs="Arial" w:eastAsia="Arial" w:hAnsi="Arial"/>
          <w:sz w:val="19"/>
          <w:szCs w:val="19"/>
          <w:color w:val="auto"/>
        </w:rPr>
        <w:t xml:space="preserve">Assuming that Secured Party is in continuous possession of all certificates evidencing the Pledged Securities which constitute securities under </w:t>
      </w:r>
      <w:r>
        <w:rPr>
          <w:rFonts w:ascii="Arial" w:cs="Arial" w:eastAsia="Arial" w:hAnsi="Arial"/>
          <w:sz w:val="19"/>
          <w:szCs w:val="19"/>
          <w:i w:val="1"/>
          <w:iCs w:val="1"/>
          <w:color w:val="auto"/>
        </w:rPr>
        <w:t>Articles 8</w:t>
      </w:r>
      <w:r>
        <w:rPr>
          <w:rFonts w:ascii="Arial" w:cs="Arial" w:eastAsia="Arial" w:hAnsi="Arial"/>
          <w:sz w:val="19"/>
          <w:szCs w:val="19"/>
          <w:color w:val="auto"/>
        </w:rPr>
        <w:t xml:space="preserve"> and </w:t>
      </w:r>
      <w:r>
        <w:rPr>
          <w:rFonts w:ascii="Arial" w:cs="Arial" w:eastAsia="Arial" w:hAnsi="Arial"/>
          <w:sz w:val="19"/>
          <w:szCs w:val="19"/>
          <w:i w:val="1"/>
          <w:iCs w:val="1"/>
          <w:color w:val="auto"/>
        </w:rPr>
        <w:t>9</w:t>
      </w:r>
      <w:r>
        <w:rPr>
          <w:rFonts w:ascii="Arial" w:cs="Arial" w:eastAsia="Arial" w:hAnsi="Arial"/>
          <w:sz w:val="19"/>
          <w:szCs w:val="19"/>
          <w:color w:val="auto"/>
        </w:rPr>
        <w:t xml:space="preserve"> of the UCC, the Security Interests will constitute valid and perfected security interests in such Pledged Securities prior to all other Liens. Appropriate financing statements have been filed in the necessary jurisdictions with respect to all other Collateral, and the Security Interests, to the extent they may be perfected by filing financing statements in the necessary jurisdictions, constitute valid and continuing perfected security interests in such other Collateral to the extent a security interest can be created therein under the UCC, securing the payment of the Secured Obligation. All other actions necessary to perfect the Security Interests in each item of such Collateral have been duly taken to the extent a security interest can be created therein under the UCC as in effect in the applicable jurisdictions of the United States.</w:t>
      </w:r>
    </w:p>
    <w:p>
      <w:pPr>
        <w:spacing w:after="0" w:line="184" w:lineRule="exact"/>
        <w:rPr>
          <w:rFonts w:ascii="Arial" w:cs="Arial" w:eastAsia="Arial" w:hAnsi="Arial"/>
          <w:sz w:val="19"/>
          <w:szCs w:val="19"/>
          <w:color w:val="auto"/>
        </w:rPr>
      </w:pPr>
    </w:p>
    <w:p>
      <w:pPr>
        <w:ind w:left="100" w:firstLine="653"/>
        <w:spacing w:after="0" w:line="260" w:lineRule="auto"/>
        <w:tabs>
          <w:tab w:leader="none" w:pos="1241" w:val="left"/>
        </w:tabs>
        <w:numPr>
          <w:ilvl w:val="0"/>
          <w:numId w:val="286"/>
        </w:numPr>
        <w:rPr>
          <w:rFonts w:ascii="Arial" w:cs="Arial" w:eastAsia="Arial" w:hAnsi="Arial"/>
          <w:sz w:val="20"/>
          <w:szCs w:val="20"/>
          <w:color w:val="auto"/>
        </w:rPr>
      </w:pPr>
      <w:r>
        <w:rPr>
          <w:rFonts w:ascii="Arial" w:cs="Arial" w:eastAsia="Arial" w:hAnsi="Arial"/>
          <w:sz w:val="20"/>
          <w:szCs w:val="20"/>
          <w:color w:val="auto"/>
        </w:rPr>
        <w:t>Debtor’s exact legal name is correctly set forth on the signature page hereof. Debtor will provide Secured Party with at least thirty (30) days prior written notice of any change in Debtor’s name or identity.</w:t>
      </w:r>
    </w:p>
    <w:p>
      <w:pPr>
        <w:spacing w:after="0" w:line="176" w:lineRule="exact"/>
        <w:rPr>
          <w:rFonts w:ascii="Arial" w:cs="Arial" w:eastAsia="Arial" w:hAnsi="Arial"/>
          <w:sz w:val="20"/>
          <w:szCs w:val="20"/>
          <w:color w:val="auto"/>
        </w:rPr>
      </w:pPr>
    </w:p>
    <w:p>
      <w:pPr>
        <w:jc w:val="both"/>
        <w:ind w:left="100" w:firstLine="653"/>
        <w:spacing w:after="0" w:line="282" w:lineRule="auto"/>
        <w:tabs>
          <w:tab w:leader="none" w:pos="1282" w:val="left"/>
        </w:tabs>
        <w:numPr>
          <w:ilvl w:val="0"/>
          <w:numId w:val="286"/>
        </w:numPr>
        <w:rPr>
          <w:rFonts w:ascii="Arial" w:cs="Arial" w:eastAsia="Arial" w:hAnsi="Arial"/>
          <w:sz w:val="18"/>
          <w:szCs w:val="18"/>
          <w:color w:val="auto"/>
        </w:rPr>
      </w:pPr>
      <w:r>
        <w:rPr>
          <w:rFonts w:ascii="Arial" w:cs="Arial" w:eastAsia="Arial" w:hAnsi="Arial"/>
          <w:sz w:val="18"/>
          <w:szCs w:val="18"/>
          <w:color w:val="auto"/>
        </w:rPr>
        <w:t>Debtor’s principal place of business or, if Debtor has more than one principal place of business, chief executive office, is, and has been for the four-month period preceding the date hereof (or, if less, the entire period of the existence of Debtor), located in the state specified on the signature page hereof. In addition, Debtor is an organization of the type and (if not an unregistered entity) is incorporated in or organized under the Laws of the state specified on such signature page.</w:t>
      </w:r>
    </w:p>
    <w:p>
      <w:pPr>
        <w:sectPr>
          <w:pgSz w:w="11900" w:h="16838" w:orient="portrait"/>
          <w:cols w:equalWidth="0" w:num="1">
            <w:col w:w="10220"/>
          </w:cols>
          <w:pgMar w:left="1440" w:top="650" w:right="239" w:bottom="1440" w:gutter="0" w:footer="0" w:header="0"/>
        </w:sectPr>
      </w:pPr>
    </w:p>
    <w:bookmarkStart w:id="253" w:name="page254"/>
    <w:bookmarkEnd w:id="253"/>
    <w:p>
      <w:pPr>
        <w:ind w:left="520" w:hanging="415"/>
        <w:spacing w:after="0"/>
        <w:tabs>
          <w:tab w:leader="none" w:pos="520" w:val="left"/>
        </w:tabs>
        <w:numPr>
          <w:ilvl w:val="0"/>
          <w:numId w:val="287"/>
        </w:numPr>
        <w:rPr>
          <w:rFonts w:ascii="Arial" w:cs="Arial" w:eastAsia="Arial" w:hAnsi="Arial"/>
          <w:sz w:val="20"/>
          <w:szCs w:val="20"/>
          <w:color w:val="auto"/>
        </w:rPr>
      </w:pPr>
      <w:r>
        <w:rPr>
          <w:rFonts w:ascii="Arial" w:cs="Arial" w:eastAsia="Arial" w:hAnsi="Arial"/>
          <w:sz w:val="20"/>
          <w:szCs w:val="20"/>
          <w:color w:val="auto"/>
        </w:rPr>
        <w:t>Debtor agrees as follows:</w:t>
      </w:r>
    </w:p>
    <w:p>
      <w:pPr>
        <w:spacing w:after="0" w:line="215" w:lineRule="exact"/>
        <w:rPr>
          <w:rFonts w:ascii="Arial" w:cs="Arial" w:eastAsia="Arial" w:hAnsi="Arial"/>
          <w:sz w:val="20"/>
          <w:szCs w:val="20"/>
          <w:color w:val="auto"/>
        </w:rPr>
      </w:pPr>
    </w:p>
    <w:p>
      <w:pPr>
        <w:jc w:val="both"/>
        <w:ind w:left="100" w:firstLine="653"/>
        <w:spacing w:after="0" w:line="255" w:lineRule="auto"/>
        <w:tabs>
          <w:tab w:leader="none" w:pos="1169" w:val="left"/>
        </w:tabs>
        <w:numPr>
          <w:ilvl w:val="1"/>
          <w:numId w:val="287"/>
        </w:numPr>
        <w:rPr>
          <w:rFonts w:ascii="Arial" w:cs="Arial" w:eastAsia="Arial" w:hAnsi="Arial"/>
          <w:sz w:val="19"/>
          <w:szCs w:val="19"/>
          <w:color w:val="auto"/>
        </w:rPr>
      </w:pPr>
      <w:r>
        <w:rPr>
          <w:rFonts w:ascii="Arial" w:cs="Arial" w:eastAsia="Arial" w:hAnsi="Arial"/>
          <w:sz w:val="19"/>
          <w:szCs w:val="19"/>
          <w:color w:val="auto"/>
        </w:rPr>
        <w:t xml:space="preserve">Debtor shall, at Debtor’s expense, take all actions necessary or advisable from time to time to maintain the first priority and perfection of said security interest and shall not take any actions that would alter, impair or eliminate said priority or perfection. Debtor will not change the location of its chief executive office or principal place of business or change its jurisdiction of organization unless it shall have given Secured Party at least thirty (30) days prior notice thereof and (at Debtor’s cost and expense) delivered an opinion of counsel with respect thereto prior to taking such action in customary form confirming the continued validity and perfection under the UCC (to the extent such Security Interests may be perfected under the UCC) of the Security Interests (which opinion may contain such exceptions and assumptions as are customary in a legal opinion of such type). Debtor shall at all times maintain its chief executive office or principal place of business, as applicable, within one of the 48 contiguous states in which </w:t>
      </w:r>
      <w:r>
        <w:rPr>
          <w:rFonts w:ascii="Arial" w:cs="Arial" w:eastAsia="Arial" w:hAnsi="Arial"/>
          <w:sz w:val="19"/>
          <w:szCs w:val="19"/>
          <w:i w:val="1"/>
          <w:iCs w:val="1"/>
          <w:color w:val="auto"/>
        </w:rPr>
        <w:t>Article 9</w:t>
      </w:r>
      <w:r>
        <w:rPr>
          <w:rFonts w:ascii="Arial" w:cs="Arial" w:eastAsia="Arial" w:hAnsi="Arial"/>
          <w:sz w:val="19"/>
          <w:szCs w:val="19"/>
          <w:color w:val="auto"/>
        </w:rPr>
        <w:t xml:space="preserve"> of the UCC is in effect. Debtor shall not in any event change the location of any Collateral if such change would cause the Security Interests in such Collateral to lapse or cease to be perfected unless prior to taking such action it shall have taken such actions as may be necessary to prevent such lapse in perfection or failure to be perfected.</w:t>
      </w:r>
    </w:p>
    <w:p>
      <w:pPr>
        <w:spacing w:after="0" w:line="185" w:lineRule="exact"/>
        <w:rPr>
          <w:rFonts w:ascii="Arial" w:cs="Arial" w:eastAsia="Arial" w:hAnsi="Arial"/>
          <w:sz w:val="19"/>
          <w:szCs w:val="19"/>
          <w:color w:val="auto"/>
        </w:rPr>
      </w:pPr>
    </w:p>
    <w:p>
      <w:pPr>
        <w:jc w:val="both"/>
        <w:ind w:left="100" w:firstLine="653"/>
        <w:spacing w:after="0" w:line="307" w:lineRule="auto"/>
        <w:tabs>
          <w:tab w:leader="none" w:pos="1291" w:val="left"/>
        </w:tabs>
        <w:numPr>
          <w:ilvl w:val="1"/>
          <w:numId w:val="287"/>
        </w:numPr>
        <w:rPr>
          <w:rFonts w:ascii="Arial" w:cs="Arial" w:eastAsia="Arial" w:hAnsi="Arial"/>
          <w:sz w:val="16"/>
          <w:szCs w:val="16"/>
          <w:color w:val="auto"/>
        </w:rPr>
      </w:pPr>
      <w:r>
        <w:rPr>
          <w:rFonts w:ascii="Arial" w:cs="Arial" w:eastAsia="Arial" w:hAnsi="Arial"/>
          <w:sz w:val="16"/>
          <w:szCs w:val="16"/>
          <w:color w:val="auto"/>
        </w:rPr>
        <w:t xml:space="preserve">Debtor shall (A) except as expressly permitted by the Credit Agreement, do or cause to be done all things necessary or appropriate to keep the Partnerships and each Issuer in full force and effect and the Rights of Debtor and Secured Party thereunder unimpaired; (B) except as expressly permitted by the Credit Agreement, not consent to any Partnership or Issuer selling, leasing, or disposing of substantially all of its assets in a single transaction or a series of transactions; (C) notify Secured Party of the occurrence of any default or breach under any contract or agreement creating or governing the Partnerships or Issuers; (D) except as permitted by the Credit Agreement, not transfer, sell, or assign any of the Partnership Interests or Pledged Securities, or any part thereof; (E) pledge hereunder, immediately upon Debtor’s acquisition (directly or indirectly) thereof, any and all additional Partnership Interests of any Partnership or Pledged Securities of any Issuer granted to Debtor; and any and all additional shares of stock or other securities of each; (F) deliver to Secured Party a fully-executed Acknowledgment of Pledge, substantially in the form of </w:t>
      </w:r>
      <w:r>
        <w:rPr>
          <w:rFonts w:ascii="Arial" w:cs="Arial" w:eastAsia="Arial" w:hAnsi="Arial"/>
          <w:sz w:val="16"/>
          <w:szCs w:val="16"/>
          <w:b w:val="1"/>
          <w:bCs w:val="1"/>
          <w:i w:val="1"/>
          <w:iCs w:val="1"/>
          <w:color w:val="auto"/>
        </w:rPr>
        <w:t>Annex B</w:t>
      </w:r>
      <w:r>
        <w:rPr>
          <w:rFonts w:ascii="Arial" w:cs="Arial" w:eastAsia="Arial" w:hAnsi="Arial"/>
          <w:sz w:val="16"/>
          <w:szCs w:val="16"/>
          <w:color w:val="auto"/>
        </w:rPr>
        <w:t>, for each Partnership Interest and each uncertificated Pledged Security; and (G) take any commercially reasonable action necessary, required, or requested by Secured Party to allow Secured Party to fully enforce its Security Interest in the Partnership Interests and Pledged Securities, including, without limitation, the filing of any claims with any court, liquidator, trustee, custodian, receiver, or other like person or party.</w:t>
      </w:r>
    </w:p>
    <w:p>
      <w:pPr>
        <w:spacing w:after="0" w:line="376" w:lineRule="exact"/>
        <w:rPr>
          <w:rFonts w:ascii="Arial" w:cs="Arial" w:eastAsia="Arial" w:hAnsi="Arial"/>
          <w:sz w:val="16"/>
          <w:szCs w:val="16"/>
          <w:color w:val="auto"/>
        </w:rPr>
      </w:pPr>
    </w:p>
    <w:p>
      <w:pPr>
        <w:jc w:val="both"/>
        <w:ind w:left="100" w:firstLine="653"/>
        <w:spacing w:after="0" w:line="244" w:lineRule="auto"/>
        <w:tabs>
          <w:tab w:leader="none" w:pos="1265" w:val="left"/>
        </w:tabs>
        <w:numPr>
          <w:ilvl w:val="1"/>
          <w:numId w:val="287"/>
        </w:numPr>
        <w:rPr>
          <w:rFonts w:ascii="Arial" w:cs="Arial" w:eastAsia="Arial" w:hAnsi="Arial"/>
          <w:sz w:val="20"/>
          <w:szCs w:val="20"/>
          <w:color w:val="auto"/>
        </w:rPr>
      </w:pPr>
      <w:r>
        <w:rPr>
          <w:rFonts w:ascii="Arial" w:cs="Arial" w:eastAsia="Arial" w:hAnsi="Arial"/>
          <w:sz w:val="20"/>
          <w:szCs w:val="20"/>
          <w:color w:val="auto"/>
        </w:rPr>
        <w:t>Debtor may not change its name or corporate structure in any manner unless it shall have given Secured Party prior notice thereof and delivered an opinion of counsel in customary form with respect thereto prior to taking such action confirming the continued validity and perfection under the UCC (to the extent such Security Interests may be perfected under the UCC) of the Security Interests (which opinion may contain such exceptions and assumptions as are customary in a legal opinion of such type).</w:t>
      </w:r>
    </w:p>
    <w:p>
      <w:pPr>
        <w:spacing w:after="0" w:line="194" w:lineRule="exact"/>
        <w:rPr>
          <w:rFonts w:ascii="Arial" w:cs="Arial" w:eastAsia="Arial" w:hAnsi="Arial"/>
          <w:sz w:val="20"/>
          <w:szCs w:val="20"/>
          <w:color w:val="auto"/>
        </w:rPr>
      </w:pPr>
    </w:p>
    <w:p>
      <w:pPr>
        <w:ind w:left="100" w:firstLine="653"/>
        <w:spacing w:after="0" w:line="316" w:lineRule="auto"/>
        <w:tabs>
          <w:tab w:leader="none" w:pos="1281" w:val="left"/>
        </w:tabs>
        <w:numPr>
          <w:ilvl w:val="1"/>
          <w:numId w:val="287"/>
        </w:numPr>
        <w:rPr>
          <w:rFonts w:ascii="Arial" w:cs="Arial" w:eastAsia="Arial" w:hAnsi="Arial"/>
          <w:sz w:val="18"/>
          <w:szCs w:val="18"/>
          <w:color w:val="auto"/>
        </w:rPr>
      </w:pPr>
      <w:r>
        <w:rPr>
          <w:rFonts w:ascii="Arial" w:cs="Arial" w:eastAsia="Arial" w:hAnsi="Arial"/>
          <w:sz w:val="18"/>
          <w:szCs w:val="18"/>
          <w:color w:val="auto"/>
        </w:rPr>
        <w:t>Debtor shall keep full and accurate books and records relating to the Collateral, and stamp or otherwise mark such books and records in such manner as Required Lenders may reasonably require in order to reflect the Security Interests.</w:t>
      </w:r>
    </w:p>
    <w:p>
      <w:pPr>
        <w:sectPr>
          <w:pgSz w:w="11900" w:h="16838" w:orient="portrait"/>
          <w:cols w:equalWidth="0" w:num="1">
            <w:col w:w="10220"/>
          </w:cols>
          <w:pgMar w:left="1440" w:top="649" w:right="239" w:bottom="1440" w:gutter="0" w:footer="0" w:header="0"/>
        </w:sectPr>
      </w:pPr>
    </w:p>
    <w:bookmarkStart w:id="254" w:name="page255"/>
    <w:bookmarkEnd w:id="254"/>
    <w:p>
      <w:pPr>
        <w:jc w:val="both"/>
        <w:ind w:left="644" w:firstLine="653"/>
        <w:spacing w:after="0" w:line="244" w:lineRule="auto"/>
        <w:tabs>
          <w:tab w:leader="none" w:pos="1743" w:val="left"/>
        </w:tabs>
        <w:numPr>
          <w:ilvl w:val="2"/>
          <w:numId w:val="288"/>
        </w:numPr>
        <w:rPr>
          <w:rFonts w:ascii="Arial" w:cs="Arial" w:eastAsia="Arial" w:hAnsi="Arial"/>
          <w:sz w:val="20"/>
          <w:szCs w:val="20"/>
          <w:color w:val="auto"/>
        </w:rPr>
      </w:pPr>
      <w:r>
        <w:rPr>
          <w:rFonts w:ascii="Arial" w:cs="Arial" w:eastAsia="Arial" w:hAnsi="Arial"/>
          <w:sz w:val="20"/>
          <w:szCs w:val="20"/>
          <w:color w:val="auto"/>
        </w:rPr>
        <w:t>Debtor agrees to pay prior to delinquency all taxes, charges, Liens and assessments against the Collateral, other than taxes, charges and assessments which are being contested in good faith by lawful proceedings diligently conducted, against which reserve or other provision required by GAAP has been made; and, except as otherwise provided herein, upon the failure of Debtor to do so, Secured Party may pay any of them in such amount as it reasonably deems necessary to discharge the same.</w:t>
      </w:r>
    </w:p>
    <w:p>
      <w:pPr>
        <w:spacing w:after="0" w:line="194" w:lineRule="exact"/>
        <w:rPr>
          <w:rFonts w:ascii="Arial" w:cs="Arial" w:eastAsia="Arial" w:hAnsi="Arial"/>
          <w:sz w:val="20"/>
          <w:szCs w:val="20"/>
          <w:color w:val="auto"/>
        </w:rPr>
      </w:pPr>
    </w:p>
    <w:p>
      <w:pPr>
        <w:jc w:val="both"/>
        <w:ind w:left="644" w:firstLine="653"/>
        <w:spacing w:after="0" w:line="250" w:lineRule="auto"/>
        <w:tabs>
          <w:tab w:leader="none" w:pos="1879" w:val="left"/>
        </w:tabs>
        <w:numPr>
          <w:ilvl w:val="2"/>
          <w:numId w:val="288"/>
        </w:numPr>
        <w:rPr>
          <w:rFonts w:ascii="Arial" w:cs="Arial" w:eastAsia="Arial" w:hAnsi="Arial"/>
          <w:sz w:val="20"/>
          <w:szCs w:val="20"/>
          <w:color w:val="auto"/>
        </w:rPr>
      </w:pPr>
      <w:r>
        <w:rPr>
          <w:rFonts w:ascii="Arial" w:cs="Arial" w:eastAsia="Arial" w:hAnsi="Arial"/>
          <w:sz w:val="20"/>
          <w:szCs w:val="20"/>
          <w:color w:val="auto"/>
        </w:rPr>
        <w:t xml:space="preserve">The Pledged Securities will at all times include not less than the percentage of the issued and outstanding Securities of each Issuer shown on </w:t>
      </w:r>
      <w:r>
        <w:rPr>
          <w:rFonts w:ascii="Arial" w:cs="Arial" w:eastAsia="Arial" w:hAnsi="Arial"/>
          <w:sz w:val="20"/>
          <w:szCs w:val="20"/>
          <w:b w:val="1"/>
          <w:bCs w:val="1"/>
          <w:i w:val="1"/>
          <w:iCs w:val="1"/>
          <w:color w:val="auto"/>
        </w:rPr>
        <w:t>Annex A</w:t>
      </w:r>
      <w:r>
        <w:rPr>
          <w:rFonts w:ascii="Arial" w:cs="Arial" w:eastAsia="Arial" w:hAnsi="Arial"/>
          <w:sz w:val="20"/>
          <w:szCs w:val="20"/>
          <w:color w:val="auto"/>
        </w:rPr>
        <w:t xml:space="preserve">, except to the extent any such Pledged Security shall have been released in accordance with the provisions of </w:t>
      </w:r>
      <w:r>
        <w:rPr>
          <w:rFonts w:ascii="Arial" w:cs="Arial" w:eastAsia="Arial" w:hAnsi="Arial"/>
          <w:sz w:val="20"/>
          <w:szCs w:val="20"/>
          <w:b w:val="1"/>
          <w:bCs w:val="1"/>
          <w:i w:val="1"/>
          <w:iCs w:val="1"/>
          <w:color w:val="auto"/>
        </w:rPr>
        <w:t>Section 11</w:t>
      </w:r>
      <w:r>
        <w:rPr>
          <w:rFonts w:ascii="Arial" w:cs="Arial" w:eastAsia="Arial" w:hAnsi="Arial"/>
          <w:sz w:val="20"/>
          <w:szCs w:val="20"/>
          <w:color w:val="auto"/>
        </w:rPr>
        <w:t xml:space="preserve"> below.</w:t>
      </w:r>
    </w:p>
    <w:p>
      <w:pPr>
        <w:spacing w:after="0" w:line="186" w:lineRule="exact"/>
        <w:rPr>
          <w:rFonts w:ascii="Arial" w:cs="Arial" w:eastAsia="Arial" w:hAnsi="Arial"/>
          <w:sz w:val="20"/>
          <w:szCs w:val="20"/>
          <w:color w:val="auto"/>
        </w:rPr>
      </w:pPr>
    </w:p>
    <w:p>
      <w:pPr>
        <w:ind w:left="1824" w:hanging="527"/>
        <w:spacing w:after="0"/>
        <w:tabs>
          <w:tab w:leader="none" w:pos="1824" w:val="left"/>
        </w:tabs>
        <w:numPr>
          <w:ilvl w:val="2"/>
          <w:numId w:val="288"/>
        </w:numPr>
        <w:rPr>
          <w:rFonts w:ascii="Arial" w:cs="Arial" w:eastAsia="Arial" w:hAnsi="Arial"/>
          <w:sz w:val="19"/>
          <w:szCs w:val="19"/>
          <w:color w:val="auto"/>
        </w:rPr>
      </w:pPr>
      <w:r>
        <w:rPr>
          <w:rFonts w:ascii="Arial" w:cs="Arial" w:eastAsia="Arial" w:hAnsi="Arial"/>
          <w:sz w:val="19"/>
          <w:szCs w:val="19"/>
          <w:color w:val="auto"/>
        </w:rPr>
        <w:t xml:space="preserve">Debtor shall not become a party to any agreement prohibited by the fourth sentence of </w:t>
      </w:r>
      <w:r>
        <w:rPr>
          <w:rFonts w:ascii="Arial" w:cs="Arial" w:eastAsia="Arial" w:hAnsi="Arial"/>
          <w:sz w:val="19"/>
          <w:szCs w:val="19"/>
          <w:b w:val="1"/>
          <w:bCs w:val="1"/>
          <w:i w:val="1"/>
          <w:iCs w:val="1"/>
          <w:color w:val="auto"/>
        </w:rPr>
        <w:t>Section 2(a)(i)</w:t>
      </w:r>
      <w:r>
        <w:rPr>
          <w:rFonts w:ascii="Arial" w:cs="Arial" w:eastAsia="Arial" w:hAnsi="Arial"/>
          <w:sz w:val="19"/>
          <w:szCs w:val="19"/>
          <w:color w:val="auto"/>
        </w:rPr>
        <w:t>.</w:t>
      </w:r>
    </w:p>
    <w:p>
      <w:pPr>
        <w:spacing w:after="0" w:line="227" w:lineRule="exact"/>
        <w:rPr>
          <w:rFonts w:ascii="Arial" w:cs="Arial" w:eastAsia="Arial" w:hAnsi="Arial"/>
          <w:sz w:val="19"/>
          <w:szCs w:val="19"/>
          <w:color w:val="auto"/>
        </w:rPr>
      </w:pPr>
    </w:p>
    <w:p>
      <w:pPr>
        <w:ind w:left="644" w:right="20" w:firstLine="653"/>
        <w:spacing w:after="0" w:line="260" w:lineRule="auto"/>
        <w:tabs>
          <w:tab w:leader="none" w:pos="1868" w:val="left"/>
        </w:tabs>
        <w:numPr>
          <w:ilvl w:val="2"/>
          <w:numId w:val="288"/>
        </w:numPr>
        <w:rPr>
          <w:rFonts w:ascii="Arial" w:cs="Arial" w:eastAsia="Arial" w:hAnsi="Arial"/>
          <w:sz w:val="20"/>
          <w:szCs w:val="20"/>
          <w:color w:val="auto"/>
        </w:rPr>
      </w:pPr>
      <w:r>
        <w:rPr>
          <w:rFonts w:ascii="Arial" w:cs="Arial" w:eastAsia="Arial" w:hAnsi="Arial"/>
          <w:sz w:val="20"/>
          <w:szCs w:val="20"/>
          <w:color w:val="auto"/>
        </w:rPr>
        <w:t>Debtor shall promptly notify Secured Party in writing in the event that any of the representations and warranties set forth herein is no longer true and correct.</w:t>
      </w:r>
    </w:p>
    <w:p>
      <w:pPr>
        <w:spacing w:after="0" w:line="176" w:lineRule="exact"/>
        <w:rPr>
          <w:rFonts w:ascii="Arial" w:cs="Arial" w:eastAsia="Arial" w:hAnsi="Arial"/>
          <w:sz w:val="20"/>
          <w:szCs w:val="20"/>
          <w:color w:val="auto"/>
        </w:rPr>
      </w:pPr>
    </w:p>
    <w:p>
      <w:pPr>
        <w:ind w:left="324" w:hanging="324"/>
        <w:spacing w:after="0"/>
        <w:tabs>
          <w:tab w:leader="none" w:pos="324" w:val="left"/>
        </w:tabs>
        <w:numPr>
          <w:ilvl w:val="0"/>
          <w:numId w:val="289"/>
        </w:numPr>
        <w:rPr>
          <w:rFonts w:ascii="Arial" w:cs="Arial" w:eastAsia="Arial" w:hAnsi="Arial"/>
          <w:sz w:val="20"/>
          <w:szCs w:val="20"/>
          <w:color w:val="auto"/>
        </w:rPr>
      </w:pPr>
      <w:r>
        <w:rPr>
          <w:rFonts w:ascii="Arial" w:cs="Arial" w:eastAsia="Arial" w:hAnsi="Arial"/>
          <w:sz w:val="20"/>
          <w:szCs w:val="20"/>
          <w:u w:val="single" w:color="auto"/>
          <w:color w:val="auto"/>
        </w:rPr>
        <w:t>The Security Interests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4" w:firstLine="645"/>
        <w:spacing w:after="0" w:line="246" w:lineRule="auto"/>
        <w:tabs>
          <w:tab w:leader="none" w:pos="1119" w:val="left"/>
        </w:tabs>
        <w:numPr>
          <w:ilvl w:val="1"/>
          <w:numId w:val="289"/>
        </w:numPr>
        <w:rPr>
          <w:rFonts w:ascii="Arial" w:cs="Arial" w:eastAsia="Arial" w:hAnsi="Arial"/>
          <w:sz w:val="20"/>
          <w:szCs w:val="20"/>
          <w:color w:val="auto"/>
        </w:rPr>
      </w:pPr>
      <w:r>
        <w:rPr>
          <w:rFonts w:ascii="Arial" w:cs="Arial" w:eastAsia="Arial" w:hAnsi="Arial"/>
          <w:sz w:val="20"/>
          <w:szCs w:val="20"/>
          <w:color w:val="auto"/>
        </w:rPr>
        <w:t xml:space="preserve">Debtor, to secure the full and punctual payment and performance of the Secured Obligation, and to induce Lenders to extend Debt under the Credit Agreement, hereby irrevocably and unconditionally grants to Secured Party, for the benefit of Lenders, a continuing first priority security interest in and to all of the following property, whether now owned or existing or hereafter acquired or arising and regardless of where located (collectively, the </w:t>
      </w:r>
      <w:r>
        <w:rPr>
          <w:rFonts w:ascii="Arial" w:cs="Arial" w:eastAsia="Arial" w:hAnsi="Arial"/>
          <w:sz w:val="20"/>
          <w:szCs w:val="20"/>
          <w:b w:val="1"/>
          <w:bCs w:val="1"/>
          <w:i w:val="1"/>
          <w:iCs w:val="1"/>
          <w:color w:val="auto"/>
        </w:rPr>
        <w:t>“Collateral”</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left="1664" w:hanging="367"/>
        <w:spacing w:after="0"/>
        <w:tabs>
          <w:tab w:leader="none" w:pos="1664" w:val="left"/>
        </w:tabs>
        <w:numPr>
          <w:ilvl w:val="2"/>
          <w:numId w:val="289"/>
        </w:numPr>
        <w:rPr>
          <w:rFonts w:ascii="Arial" w:cs="Arial" w:eastAsia="Arial" w:hAnsi="Arial"/>
          <w:sz w:val="20"/>
          <w:szCs w:val="20"/>
          <w:color w:val="auto"/>
        </w:rPr>
      </w:pPr>
      <w:r>
        <w:rPr>
          <w:rFonts w:ascii="Arial" w:cs="Arial" w:eastAsia="Arial" w:hAnsi="Arial"/>
          <w:sz w:val="20"/>
          <w:szCs w:val="20"/>
          <w:color w:val="auto"/>
        </w:rPr>
        <w:t xml:space="preserve">all books and records of Debtor pertaining to any of the property described in this </w:t>
      </w:r>
      <w:r>
        <w:rPr>
          <w:rFonts w:ascii="Arial" w:cs="Arial" w:eastAsia="Arial" w:hAnsi="Arial"/>
          <w:sz w:val="20"/>
          <w:szCs w:val="20"/>
          <w:b w:val="1"/>
          <w:bCs w:val="1"/>
          <w:i w:val="1"/>
          <w:iCs w:val="1"/>
          <w:color w:val="auto"/>
        </w:rPr>
        <w:t>Section 3(a)</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44" w:firstLine="653"/>
        <w:spacing w:after="0" w:line="250" w:lineRule="auto"/>
        <w:tabs>
          <w:tab w:leader="none" w:pos="1862" w:val="left"/>
        </w:tabs>
        <w:numPr>
          <w:ilvl w:val="2"/>
          <w:numId w:val="289"/>
        </w:numPr>
        <w:rPr>
          <w:rFonts w:ascii="Arial" w:cs="Arial" w:eastAsia="Arial" w:hAnsi="Arial"/>
          <w:sz w:val="20"/>
          <w:szCs w:val="20"/>
          <w:color w:val="auto"/>
        </w:rPr>
      </w:pPr>
      <w:r>
        <w:rPr>
          <w:rFonts w:ascii="Arial" w:cs="Arial" w:eastAsia="Arial" w:hAnsi="Arial"/>
          <w:sz w:val="20"/>
          <w:szCs w:val="20"/>
          <w:color w:val="auto"/>
        </w:rPr>
        <w:t>the Pledged Securities owned or held by Debtor and all of its Rights and privileges with respect thereto, including, without limitation, all dividends, interest, principal, and other payments and distributions made upon or with respect to the Pledged Securities;</w:t>
      </w:r>
    </w:p>
    <w:p>
      <w:pPr>
        <w:spacing w:after="0" w:line="186" w:lineRule="exact"/>
        <w:rPr>
          <w:rFonts w:ascii="Arial" w:cs="Arial" w:eastAsia="Arial" w:hAnsi="Arial"/>
          <w:sz w:val="20"/>
          <w:szCs w:val="20"/>
          <w:color w:val="auto"/>
        </w:rPr>
      </w:pPr>
    </w:p>
    <w:p>
      <w:pPr>
        <w:jc w:val="both"/>
        <w:ind w:left="644" w:firstLine="653"/>
        <w:spacing w:after="0" w:line="291" w:lineRule="auto"/>
        <w:tabs>
          <w:tab w:leader="none" w:pos="1944" w:val="left"/>
        </w:tabs>
        <w:numPr>
          <w:ilvl w:val="2"/>
          <w:numId w:val="289"/>
        </w:numPr>
        <w:rPr>
          <w:rFonts w:ascii="Arial" w:cs="Arial" w:eastAsia="Arial" w:hAnsi="Arial"/>
          <w:sz w:val="18"/>
          <w:szCs w:val="18"/>
          <w:color w:val="auto"/>
        </w:rPr>
      </w:pPr>
      <w:r>
        <w:rPr>
          <w:rFonts w:ascii="Arial" w:cs="Arial" w:eastAsia="Arial" w:hAnsi="Arial"/>
          <w:sz w:val="18"/>
          <w:szCs w:val="18"/>
          <w:color w:val="auto"/>
        </w:rPr>
        <w:t xml:space="preserve">the Partnership Interests and all Rights of Debtor with respect thereto, including, without limitation, all Partnership Interests set forth on </w:t>
      </w:r>
      <w:r>
        <w:rPr>
          <w:rFonts w:ascii="Arial" w:cs="Arial" w:eastAsia="Arial" w:hAnsi="Arial"/>
          <w:sz w:val="18"/>
          <w:szCs w:val="18"/>
          <w:b w:val="1"/>
          <w:bCs w:val="1"/>
          <w:i w:val="1"/>
          <w:iCs w:val="1"/>
          <w:color w:val="auto"/>
        </w:rPr>
        <w:t>Annex A</w:t>
      </w:r>
      <w:r>
        <w:rPr>
          <w:rFonts w:ascii="Arial" w:cs="Arial" w:eastAsia="Arial" w:hAnsi="Arial"/>
          <w:sz w:val="18"/>
          <w:szCs w:val="18"/>
          <w:color w:val="auto"/>
        </w:rPr>
        <w:t xml:space="preserve"> and all of Debtor’s distribution Rights, income Rights, liquidation interest, accounts, contract Rights, general intangibles, notes, instruments, drafts, and documents relating to the Partnership Interests; and</w:t>
      </w:r>
    </w:p>
    <w:p>
      <w:pPr>
        <w:spacing w:after="0" w:line="151" w:lineRule="exact"/>
        <w:rPr>
          <w:rFonts w:ascii="Arial" w:cs="Arial" w:eastAsia="Arial" w:hAnsi="Arial"/>
          <w:sz w:val="18"/>
          <w:szCs w:val="18"/>
          <w:color w:val="auto"/>
        </w:rPr>
      </w:pPr>
    </w:p>
    <w:p>
      <w:pPr>
        <w:jc w:val="both"/>
        <w:ind w:left="644" w:firstLine="653"/>
        <w:spacing w:after="0" w:line="275" w:lineRule="auto"/>
        <w:tabs>
          <w:tab w:leader="none" w:pos="1785" w:val="left"/>
        </w:tabs>
        <w:numPr>
          <w:ilvl w:val="2"/>
          <w:numId w:val="289"/>
        </w:numPr>
        <w:rPr>
          <w:rFonts w:ascii="Arial" w:cs="Arial" w:eastAsia="Arial" w:hAnsi="Arial"/>
          <w:sz w:val="18"/>
          <w:szCs w:val="18"/>
          <w:color w:val="auto"/>
        </w:rPr>
      </w:pPr>
      <w:r>
        <w:rPr>
          <w:rFonts w:ascii="Arial" w:cs="Arial" w:eastAsia="Arial" w:hAnsi="Arial"/>
          <w:sz w:val="18"/>
          <w:szCs w:val="18"/>
          <w:color w:val="auto"/>
        </w:rPr>
        <w:t xml:space="preserve">all Proceeds of all or any of the property described in </w:t>
      </w:r>
      <w:r>
        <w:rPr>
          <w:rFonts w:ascii="Arial" w:cs="Arial" w:eastAsia="Arial" w:hAnsi="Arial"/>
          <w:sz w:val="18"/>
          <w:szCs w:val="18"/>
          <w:b w:val="1"/>
          <w:bCs w:val="1"/>
          <w:i w:val="1"/>
          <w:iCs w:val="1"/>
          <w:color w:val="auto"/>
        </w:rPr>
        <w:t>clauses (i)</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(ii)</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(iii)</w:t>
      </w:r>
      <w:r>
        <w:rPr>
          <w:rFonts w:ascii="Arial" w:cs="Arial" w:eastAsia="Arial" w:hAnsi="Arial"/>
          <w:sz w:val="18"/>
          <w:szCs w:val="18"/>
          <w:color w:val="auto"/>
        </w:rPr>
        <w:t xml:space="preserve"> of this </w:t>
      </w:r>
      <w:r>
        <w:rPr>
          <w:rFonts w:ascii="Arial" w:cs="Arial" w:eastAsia="Arial" w:hAnsi="Arial"/>
          <w:sz w:val="18"/>
          <w:szCs w:val="18"/>
          <w:b w:val="1"/>
          <w:bCs w:val="1"/>
          <w:i w:val="1"/>
          <w:iCs w:val="1"/>
          <w:color w:val="auto"/>
        </w:rPr>
        <w:t>Section 3(a)</w:t>
      </w:r>
      <w:r>
        <w:rPr>
          <w:rFonts w:ascii="Arial" w:cs="Arial" w:eastAsia="Arial" w:hAnsi="Arial"/>
          <w:sz w:val="18"/>
          <w:szCs w:val="18"/>
          <w:color w:val="auto"/>
        </w:rPr>
        <w:t xml:space="preserve"> to the extent that such Proceeds consist of cash or other property which would constitute Collateral pursuant to such </w:t>
      </w:r>
      <w:r>
        <w:rPr>
          <w:rFonts w:ascii="Arial" w:cs="Arial" w:eastAsia="Arial" w:hAnsi="Arial"/>
          <w:sz w:val="18"/>
          <w:szCs w:val="18"/>
          <w:b w:val="1"/>
          <w:bCs w:val="1"/>
          <w:i w:val="1"/>
          <w:iCs w:val="1"/>
          <w:color w:val="auto"/>
        </w:rPr>
        <w:t>clauses (i)</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(ii)</w:t>
      </w:r>
      <w:r>
        <w:rPr>
          <w:rFonts w:ascii="Arial" w:cs="Arial" w:eastAsia="Arial" w:hAnsi="Arial"/>
          <w:sz w:val="18"/>
          <w:szCs w:val="18"/>
          <w:color w:val="auto"/>
        </w:rPr>
        <w:t>, and</w:t>
      </w:r>
    </w:p>
    <w:p>
      <w:pPr>
        <w:spacing w:after="0"/>
        <w:tabs>
          <w:tab w:leader="none" w:pos="0" w:val="left"/>
        </w:tabs>
        <w:numPr>
          <w:ilvl w:val="1"/>
          <w:numId w:val="290"/>
        </w:numPr>
        <w:rPr>
          <w:rFonts w:ascii="Arial" w:cs="Arial" w:eastAsia="Arial" w:hAnsi="Arial"/>
          <w:sz w:val="20"/>
          <w:szCs w:val="20"/>
          <w:b w:val="1"/>
          <w:bCs w:val="1"/>
          <w:i w:val="1"/>
          <w:iCs w:val="1"/>
          <w:color w:val="auto"/>
        </w:rPr>
      </w:pPr>
    </w:p>
    <w:p>
      <w:pPr>
        <w:spacing w:after="0" w:line="199" w:lineRule="exact"/>
        <w:rPr>
          <w:rFonts w:ascii="Arial" w:cs="Arial" w:eastAsia="Arial" w:hAnsi="Arial"/>
          <w:sz w:val="20"/>
          <w:szCs w:val="20"/>
          <w:b w:val="1"/>
          <w:bCs w:val="1"/>
          <w:i w:val="1"/>
          <w:iCs w:val="1"/>
          <w:color w:val="auto"/>
        </w:rPr>
      </w:pPr>
    </w:p>
    <w:p>
      <w:pPr>
        <w:jc w:val="both"/>
        <w:ind w:left="4" w:firstLine="645"/>
        <w:spacing w:after="0" w:line="316" w:lineRule="auto"/>
        <w:tabs>
          <w:tab w:leader="none" w:pos="1076" w:val="left"/>
        </w:tabs>
        <w:numPr>
          <w:ilvl w:val="1"/>
          <w:numId w:val="291"/>
        </w:numPr>
        <w:rPr>
          <w:rFonts w:ascii="Arial" w:cs="Arial" w:eastAsia="Arial" w:hAnsi="Arial"/>
          <w:sz w:val="18"/>
          <w:szCs w:val="18"/>
          <w:color w:val="auto"/>
        </w:rPr>
      </w:pPr>
      <w:r>
        <w:rPr>
          <w:rFonts w:ascii="Arial" w:cs="Arial" w:eastAsia="Arial" w:hAnsi="Arial"/>
          <w:sz w:val="18"/>
          <w:szCs w:val="18"/>
          <w:color w:val="auto"/>
        </w:rPr>
        <w:t>The Security Interests are granted as security only and shall not subject Secured Party to, or transfer or in any way affect or modify, any obligation or liability of the undersigned with respect to any of the Collateral or any transaction in connection therewith.</w:t>
      </w:r>
    </w:p>
    <w:p>
      <w:pPr>
        <w:spacing w:after="0" w:line="130" w:lineRule="exact"/>
        <w:rPr>
          <w:rFonts w:ascii="Arial" w:cs="Arial" w:eastAsia="Arial" w:hAnsi="Arial"/>
          <w:sz w:val="18"/>
          <w:szCs w:val="18"/>
          <w:color w:val="auto"/>
        </w:rPr>
      </w:pPr>
    </w:p>
    <w:p>
      <w:pPr>
        <w:ind w:left="-656" w:firstLine="656"/>
        <w:spacing w:after="0" w:line="260" w:lineRule="auto"/>
        <w:tabs>
          <w:tab w:leader="none" w:pos="415" w:val="left"/>
        </w:tabs>
        <w:numPr>
          <w:ilvl w:val="0"/>
          <w:numId w:val="292"/>
        </w:numPr>
        <w:rPr>
          <w:rFonts w:ascii="Arial" w:cs="Arial" w:eastAsia="Arial" w:hAnsi="Arial"/>
          <w:sz w:val="20"/>
          <w:szCs w:val="20"/>
          <w:color w:val="auto"/>
        </w:rPr>
      </w:pPr>
      <w:r>
        <w:rPr>
          <w:rFonts w:ascii="Arial" w:cs="Arial" w:eastAsia="Arial" w:hAnsi="Arial"/>
          <w:sz w:val="20"/>
          <w:szCs w:val="20"/>
          <w:u w:val="single" w:color="auto"/>
          <w:color w:val="auto"/>
        </w:rPr>
        <w:t>Delivery of Pledged Securities</w:t>
      </w:r>
      <w:r>
        <w:rPr>
          <w:rFonts w:ascii="Arial" w:cs="Arial" w:eastAsia="Arial" w:hAnsi="Arial"/>
          <w:sz w:val="20"/>
          <w:szCs w:val="20"/>
          <w:color w:val="auto"/>
        </w:rPr>
        <w:t>. If at any time or from time to time after the date of this Agreement Debtor shall receive any Security required to be pledged hereunder, it shall promptly:</w:t>
      </w:r>
    </w:p>
    <w:p>
      <w:pPr>
        <w:sectPr>
          <w:pgSz w:w="11900" w:h="16838" w:orient="portrait"/>
          <w:cols w:equalWidth="0" w:num="1">
            <w:col w:w="10764"/>
          </w:cols>
          <w:pgMar w:left="896" w:top="650" w:right="239" w:bottom="1440" w:gutter="0" w:footer="0" w:header="0"/>
        </w:sectPr>
      </w:pPr>
    </w:p>
    <w:bookmarkStart w:id="255" w:name="page256"/>
    <w:bookmarkEnd w:id="255"/>
    <w:p>
      <w:pPr>
        <w:jc w:val="both"/>
        <w:ind w:left="660" w:firstLine="645"/>
        <w:spacing w:after="0" w:line="250" w:lineRule="auto"/>
        <w:tabs>
          <w:tab w:leader="none" w:pos="1722" w:val="left"/>
        </w:tabs>
        <w:numPr>
          <w:ilvl w:val="1"/>
          <w:numId w:val="293"/>
        </w:numPr>
        <w:rPr>
          <w:rFonts w:ascii="Arial" w:cs="Arial" w:eastAsia="Arial" w:hAnsi="Arial"/>
          <w:sz w:val="20"/>
          <w:szCs w:val="20"/>
          <w:color w:val="auto"/>
        </w:rPr>
      </w:pPr>
      <w:r>
        <w:rPr>
          <w:rFonts w:ascii="Arial" w:cs="Arial" w:eastAsia="Arial" w:hAnsi="Arial"/>
          <w:sz w:val="20"/>
          <w:szCs w:val="20"/>
          <w:color w:val="auto"/>
        </w:rPr>
        <w:t>deliver to Secured Party any certificate or other instrument evidencing each such Security, accompanied by control letters and stock powers or any other instruments of transfer or assignment duly executed in blank, to be held by Secured Party for the benefit of Lenders as collateral for the Secured Obligation in accordance with this agreement; and</w:t>
      </w:r>
    </w:p>
    <w:p>
      <w:pPr>
        <w:spacing w:after="0" w:line="186" w:lineRule="exact"/>
        <w:rPr>
          <w:rFonts w:ascii="Arial" w:cs="Arial" w:eastAsia="Arial" w:hAnsi="Arial"/>
          <w:sz w:val="20"/>
          <w:szCs w:val="20"/>
          <w:color w:val="auto"/>
        </w:rPr>
      </w:pPr>
    </w:p>
    <w:p>
      <w:pPr>
        <w:jc w:val="both"/>
        <w:ind w:left="660" w:firstLine="645"/>
        <w:spacing w:after="0" w:line="269" w:lineRule="auto"/>
        <w:tabs>
          <w:tab w:leader="none" w:pos="1854" w:val="left"/>
        </w:tabs>
        <w:numPr>
          <w:ilvl w:val="1"/>
          <w:numId w:val="293"/>
        </w:numPr>
        <w:rPr>
          <w:rFonts w:ascii="Arial" w:cs="Arial" w:eastAsia="Arial" w:hAnsi="Arial"/>
          <w:sz w:val="19"/>
          <w:szCs w:val="19"/>
          <w:color w:val="auto"/>
        </w:rPr>
      </w:pPr>
      <w:r>
        <w:rPr>
          <w:rFonts w:ascii="Arial" w:cs="Arial" w:eastAsia="Arial" w:hAnsi="Arial"/>
          <w:sz w:val="19"/>
          <w:szCs w:val="19"/>
          <w:color w:val="auto"/>
        </w:rPr>
        <w:t>execute, deliver, file, and record any and all instruments, assignments, agreements, financing statements, and other documents necessary, to the extent determined by and in form and substance satisfactory to Secured Party in its reasonable judgment, to perfect or continue the perfection of a security interest in such stock for the benefit of Lenders.</w:t>
      </w:r>
    </w:p>
    <w:p>
      <w:pPr>
        <w:spacing w:after="0" w:line="170" w:lineRule="exact"/>
        <w:rPr>
          <w:rFonts w:ascii="Arial" w:cs="Arial" w:eastAsia="Arial" w:hAnsi="Arial"/>
          <w:sz w:val="19"/>
          <w:szCs w:val="19"/>
          <w:color w:val="auto"/>
        </w:rPr>
      </w:pPr>
    </w:p>
    <w:p>
      <w:pPr>
        <w:jc w:val="both"/>
        <w:ind w:firstLine="656"/>
        <w:spacing w:after="0" w:line="244" w:lineRule="auto"/>
        <w:tabs>
          <w:tab w:leader="none" w:pos="1004" w:val="left"/>
        </w:tabs>
        <w:numPr>
          <w:ilvl w:val="0"/>
          <w:numId w:val="294"/>
        </w:numPr>
        <w:rPr>
          <w:rFonts w:ascii="Arial" w:cs="Arial" w:eastAsia="Arial" w:hAnsi="Arial"/>
          <w:sz w:val="20"/>
          <w:szCs w:val="20"/>
          <w:color w:val="auto"/>
        </w:rPr>
      </w:pPr>
      <w:r>
        <w:rPr>
          <w:rFonts w:ascii="Arial" w:cs="Arial" w:eastAsia="Arial" w:hAnsi="Arial"/>
          <w:sz w:val="20"/>
          <w:szCs w:val="20"/>
          <w:u w:val="single" w:color="auto"/>
          <w:color w:val="auto"/>
        </w:rPr>
        <w:t>General Authority</w:t>
      </w:r>
      <w:r>
        <w:rPr>
          <w:rFonts w:ascii="Arial" w:cs="Arial" w:eastAsia="Arial" w:hAnsi="Arial"/>
          <w:sz w:val="20"/>
          <w:szCs w:val="20"/>
          <w:color w:val="auto"/>
        </w:rPr>
        <w:t>. Debtor hereby irrevocably appoints Secured Party its true and lawful attorney, with full power of substitution, in the name of the Debtor, Secured Party, Lenders, or otherwise, for the sole use and benefit of Secured Party and Lenders, but at Debtor’s expense, to the extent permitted by Law to exercise, at any time and from time to time while a Default exists, all or any of the following powers (in addition to the powers specified in the Credit Agreement) with respect to all or any of the Collateral, but only to the extent directed to do so by Required Lenders:</w:t>
      </w:r>
    </w:p>
    <w:p>
      <w:pPr>
        <w:spacing w:after="0" w:line="194" w:lineRule="exact"/>
        <w:rPr>
          <w:rFonts w:ascii="Arial" w:cs="Arial" w:eastAsia="Arial" w:hAnsi="Arial"/>
          <w:sz w:val="20"/>
          <w:szCs w:val="20"/>
          <w:color w:val="auto"/>
        </w:rPr>
      </w:pPr>
    </w:p>
    <w:p>
      <w:pPr>
        <w:ind w:left="660" w:firstLine="645"/>
        <w:spacing w:after="0" w:line="260" w:lineRule="auto"/>
        <w:tabs>
          <w:tab w:leader="none" w:pos="1803" w:val="left"/>
        </w:tabs>
        <w:numPr>
          <w:ilvl w:val="1"/>
          <w:numId w:val="294"/>
        </w:numPr>
        <w:rPr>
          <w:rFonts w:ascii="Arial" w:cs="Arial" w:eastAsia="Arial" w:hAnsi="Arial"/>
          <w:sz w:val="20"/>
          <w:szCs w:val="20"/>
          <w:color w:val="auto"/>
        </w:rPr>
      </w:pPr>
      <w:r>
        <w:rPr>
          <w:rFonts w:ascii="Arial" w:cs="Arial" w:eastAsia="Arial" w:hAnsi="Arial"/>
          <w:sz w:val="20"/>
          <w:szCs w:val="20"/>
          <w:color w:val="auto"/>
        </w:rPr>
        <w:t>to ask for, demand, sue for, collect, endorse, receive, receipt, and give acquittance for any and all moneys due or to become due thereon or by virtue thereof;</w:t>
      </w:r>
    </w:p>
    <w:p>
      <w:pPr>
        <w:spacing w:after="0" w:line="176" w:lineRule="exact"/>
        <w:rPr>
          <w:rFonts w:ascii="Arial" w:cs="Arial" w:eastAsia="Arial" w:hAnsi="Arial"/>
          <w:sz w:val="20"/>
          <w:szCs w:val="20"/>
          <w:color w:val="auto"/>
        </w:rPr>
      </w:pPr>
    </w:p>
    <w:p>
      <w:pPr>
        <w:ind w:left="660" w:firstLine="645"/>
        <w:spacing w:after="0" w:line="260" w:lineRule="auto"/>
        <w:tabs>
          <w:tab w:leader="none" w:pos="1800" w:val="left"/>
        </w:tabs>
        <w:numPr>
          <w:ilvl w:val="1"/>
          <w:numId w:val="294"/>
        </w:numPr>
        <w:rPr>
          <w:rFonts w:ascii="Arial" w:cs="Arial" w:eastAsia="Arial" w:hAnsi="Arial"/>
          <w:sz w:val="20"/>
          <w:szCs w:val="20"/>
          <w:color w:val="auto"/>
        </w:rPr>
      </w:pPr>
      <w:r>
        <w:rPr>
          <w:rFonts w:ascii="Arial" w:cs="Arial" w:eastAsia="Arial" w:hAnsi="Arial"/>
          <w:sz w:val="20"/>
          <w:szCs w:val="20"/>
          <w:color w:val="auto"/>
        </w:rPr>
        <w:t>to commence, settle, compromise, compound, adjust, prosecute, or defend any claim, suit, action, or proceeding with respect thereto;</w:t>
      </w:r>
    </w:p>
    <w:p>
      <w:pPr>
        <w:spacing w:after="0" w:line="176" w:lineRule="exact"/>
        <w:rPr>
          <w:rFonts w:ascii="Arial" w:cs="Arial" w:eastAsia="Arial" w:hAnsi="Arial"/>
          <w:sz w:val="20"/>
          <w:szCs w:val="20"/>
          <w:color w:val="auto"/>
        </w:rPr>
      </w:pPr>
    </w:p>
    <w:p>
      <w:pPr>
        <w:jc w:val="both"/>
        <w:ind w:left="660" w:firstLine="645"/>
        <w:spacing w:after="0" w:line="250" w:lineRule="auto"/>
        <w:tabs>
          <w:tab w:leader="none" w:pos="1810" w:val="left"/>
        </w:tabs>
        <w:numPr>
          <w:ilvl w:val="1"/>
          <w:numId w:val="294"/>
        </w:numPr>
        <w:rPr>
          <w:rFonts w:ascii="Arial" w:cs="Arial" w:eastAsia="Arial" w:hAnsi="Arial"/>
          <w:sz w:val="20"/>
          <w:szCs w:val="20"/>
          <w:color w:val="auto"/>
        </w:rPr>
      </w:pPr>
      <w:r>
        <w:rPr>
          <w:rFonts w:ascii="Arial" w:cs="Arial" w:eastAsia="Arial" w:hAnsi="Arial"/>
          <w:sz w:val="20"/>
          <w:szCs w:val="20"/>
          <w:color w:val="auto"/>
        </w:rPr>
        <w:t>to exercise as to the Collateral all Rights, powers, and remedies of an owner necessary to exercise its Rights under this Agreement, including, without limitation, the Right to sell, transfer, assign, or otherwise deal in or with the same or any party thereof or the Proceeds or avails thereof;</w:t>
      </w:r>
    </w:p>
    <w:p>
      <w:pPr>
        <w:spacing w:after="0" w:line="186" w:lineRule="exact"/>
        <w:rPr>
          <w:rFonts w:ascii="Arial" w:cs="Arial" w:eastAsia="Arial" w:hAnsi="Arial"/>
          <w:sz w:val="20"/>
          <w:szCs w:val="20"/>
          <w:color w:val="auto"/>
        </w:rPr>
      </w:pPr>
    </w:p>
    <w:p>
      <w:pPr>
        <w:ind w:left="1800" w:hanging="495"/>
        <w:spacing w:after="0"/>
        <w:tabs>
          <w:tab w:leader="none" w:pos="180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to extend the time of payment of any or all thereof and to make any allowance and other adjustments with reference</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thereof;</w:t>
      </w:r>
    </w:p>
    <w:p>
      <w:pPr>
        <w:spacing w:after="0" w:line="199" w:lineRule="exact"/>
        <w:rPr>
          <w:rFonts w:ascii="Arial" w:cs="Arial" w:eastAsia="Arial" w:hAnsi="Arial"/>
          <w:sz w:val="18"/>
          <w:szCs w:val="18"/>
          <w:color w:val="auto"/>
        </w:rPr>
      </w:pPr>
    </w:p>
    <w:p>
      <w:pPr>
        <w:ind w:left="1700" w:hanging="395"/>
        <w:spacing w:after="0"/>
        <w:tabs>
          <w:tab w:leader="none" w:pos="1700" w:val="left"/>
        </w:tabs>
        <w:numPr>
          <w:ilvl w:val="1"/>
          <w:numId w:val="294"/>
        </w:numPr>
        <w:rPr>
          <w:rFonts w:ascii="Arial" w:cs="Arial" w:eastAsia="Arial" w:hAnsi="Arial"/>
          <w:sz w:val="20"/>
          <w:szCs w:val="20"/>
          <w:color w:val="auto"/>
        </w:rPr>
      </w:pPr>
      <w:r>
        <w:rPr>
          <w:rFonts w:ascii="Arial" w:cs="Arial" w:eastAsia="Arial" w:hAnsi="Arial"/>
          <w:sz w:val="20"/>
          <w:szCs w:val="20"/>
          <w:color w:val="auto"/>
        </w:rPr>
        <w:t>to insure, process and preserve the Collateral;</w:t>
      </w:r>
    </w:p>
    <w:p>
      <w:pPr>
        <w:spacing w:after="0" w:line="215" w:lineRule="exact"/>
        <w:rPr>
          <w:rFonts w:ascii="Arial" w:cs="Arial" w:eastAsia="Arial" w:hAnsi="Arial"/>
          <w:sz w:val="20"/>
          <w:szCs w:val="20"/>
          <w:color w:val="auto"/>
        </w:rPr>
      </w:pPr>
    </w:p>
    <w:p>
      <w:pPr>
        <w:jc w:val="both"/>
        <w:ind w:left="660" w:firstLine="645"/>
        <w:spacing w:after="0" w:line="244" w:lineRule="auto"/>
        <w:tabs>
          <w:tab w:leader="none" w:pos="1767" w:val="left"/>
        </w:tabs>
        <w:numPr>
          <w:ilvl w:val="1"/>
          <w:numId w:val="294"/>
        </w:numPr>
        <w:rPr>
          <w:rFonts w:ascii="Arial" w:cs="Arial" w:eastAsia="Arial" w:hAnsi="Arial"/>
          <w:sz w:val="20"/>
          <w:szCs w:val="20"/>
          <w:color w:val="auto"/>
        </w:rPr>
      </w:pPr>
      <w:r>
        <w:rPr>
          <w:rFonts w:ascii="Arial" w:cs="Arial" w:eastAsia="Arial" w:hAnsi="Arial"/>
          <w:sz w:val="20"/>
          <w:szCs w:val="20"/>
          <w:color w:val="auto"/>
        </w:rPr>
        <w:t>to participate in any recapitalization, reclassification, reorganization, consolidation, redemption, stock split, merger, or liquidation of any Issuer or Partnership, and in connection therewith to deposit or surrender control of the Collateral, accept money or other property in exchange for the Collateral, and to take such action as it deems proper in connection therewith, and any money or property received on account of or in exchange for the Collateral shall be applied to the Secured Obligation or held by Secured Party thereafter as Collateral pursuant to the provisions hereof; and</w:t>
      </w:r>
    </w:p>
    <w:p>
      <w:pPr>
        <w:spacing w:after="0" w:line="194" w:lineRule="exact"/>
        <w:rPr>
          <w:rFonts w:ascii="Arial" w:cs="Arial" w:eastAsia="Arial" w:hAnsi="Arial"/>
          <w:sz w:val="20"/>
          <w:szCs w:val="20"/>
          <w:color w:val="auto"/>
        </w:rPr>
      </w:pPr>
    </w:p>
    <w:p>
      <w:pPr>
        <w:ind w:left="660" w:firstLine="645"/>
        <w:spacing w:after="0" w:line="260" w:lineRule="auto"/>
        <w:tabs>
          <w:tab w:leader="none" w:pos="1746" w:val="left"/>
        </w:tabs>
        <w:numPr>
          <w:ilvl w:val="1"/>
          <w:numId w:val="294"/>
        </w:numPr>
        <w:rPr>
          <w:rFonts w:ascii="Arial" w:cs="Arial" w:eastAsia="Arial" w:hAnsi="Arial"/>
          <w:sz w:val="20"/>
          <w:szCs w:val="20"/>
          <w:color w:val="auto"/>
        </w:rPr>
      </w:pPr>
      <w:r>
        <w:rPr>
          <w:rFonts w:ascii="Arial" w:cs="Arial" w:eastAsia="Arial" w:hAnsi="Arial"/>
          <w:sz w:val="20"/>
          <w:szCs w:val="20"/>
          <w:color w:val="auto"/>
        </w:rPr>
        <w:t>to obtain from any custodian or securities intermediary (if any) holding the Collateral all information with respect to the Collateral, without any further consent of or notice to Debtor;</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provided, however, that </w:t>
      </w:r>
      <w:r>
        <w:rPr>
          <w:rFonts w:ascii="Arial" w:cs="Arial" w:eastAsia="Arial" w:hAnsi="Arial"/>
          <w:sz w:val="20"/>
          <w:szCs w:val="20"/>
          <w:color w:val="auto"/>
        </w:rPr>
        <w:t>Secured Party shall give Debtor not less than ten days prior written notice of the time and place of any sale or other</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intended disposition of any of the Collateral pursuant to </w:t>
      </w:r>
      <w:r>
        <w:rPr>
          <w:rFonts w:ascii="Arial" w:cs="Arial" w:eastAsia="Arial" w:hAnsi="Arial"/>
          <w:sz w:val="20"/>
          <w:szCs w:val="20"/>
          <w:b w:val="1"/>
          <w:bCs w:val="1"/>
          <w:i w:val="1"/>
          <w:iCs w:val="1"/>
          <w:color w:val="auto"/>
        </w:rPr>
        <w:t>clause (c)</w:t>
      </w:r>
      <w:r>
        <w:rPr>
          <w:rFonts w:ascii="Arial" w:cs="Arial" w:eastAsia="Arial" w:hAnsi="Arial"/>
          <w:sz w:val="20"/>
          <w:szCs w:val="20"/>
          <w:color w:val="auto"/>
        </w:rPr>
        <w:t xml:space="preserve"> of this </w:t>
      </w:r>
      <w:r>
        <w:rPr>
          <w:rFonts w:ascii="Arial" w:cs="Arial" w:eastAsia="Arial" w:hAnsi="Arial"/>
          <w:sz w:val="20"/>
          <w:szCs w:val="20"/>
          <w:b w:val="1"/>
          <w:bCs w:val="1"/>
          <w:i w:val="1"/>
          <w:iCs w:val="1"/>
          <w:color w:val="auto"/>
        </w:rPr>
        <w:t>Section 5</w:t>
      </w:r>
      <w:r>
        <w:rPr>
          <w:rFonts w:ascii="Arial" w:cs="Arial" w:eastAsia="Arial" w:hAnsi="Arial"/>
          <w:sz w:val="20"/>
          <w:szCs w:val="20"/>
          <w:color w:val="auto"/>
        </w:rPr>
        <w:t xml:space="preserve"> and that Debtor agrees that such notice shall constitute “</w:t>
      </w:r>
      <w:r>
        <w:rPr>
          <w:rFonts w:ascii="Arial" w:cs="Arial" w:eastAsia="Arial" w:hAnsi="Arial"/>
          <w:sz w:val="20"/>
          <w:szCs w:val="20"/>
          <w:i w:val="1"/>
          <w:iCs w:val="1"/>
          <w:color w:val="auto"/>
        </w:rPr>
        <w:t>reasonable notice</w:t>
      </w:r>
      <w:r>
        <w:rPr>
          <w:rFonts w:ascii="Arial" w:cs="Arial" w:eastAsia="Arial" w:hAnsi="Arial"/>
          <w:sz w:val="20"/>
          <w:szCs w:val="20"/>
          <w:color w:val="auto"/>
        </w:rPr>
        <w:t>” thereof. The foregoing appointments shall be deemed coupled with an interest of Secured Party and shall not be revoked without Secured Party’s written consent. To the extent permitted by Law, Debtor hereby ratifies all said attorney-in-fact shall lawfully do by virtue hereof.</w:t>
      </w:r>
    </w:p>
    <w:p>
      <w:pPr>
        <w:sectPr>
          <w:pgSz w:w="11900" w:h="16838" w:orient="portrait"/>
          <w:cols w:equalWidth="0" w:num="1">
            <w:col w:w="11420"/>
          </w:cols>
          <w:pgMar w:left="240" w:top="649" w:right="239" w:bottom="1440" w:gutter="0" w:footer="0" w:header="0"/>
        </w:sectPr>
      </w:pPr>
    </w:p>
    <w:bookmarkStart w:id="256" w:name="page257"/>
    <w:bookmarkEnd w:id="256"/>
    <w:p>
      <w:pPr>
        <w:ind w:left="324" w:hanging="324"/>
        <w:spacing w:after="0"/>
        <w:tabs>
          <w:tab w:leader="none" w:pos="324" w:val="left"/>
        </w:tabs>
        <w:numPr>
          <w:ilvl w:val="0"/>
          <w:numId w:val="295"/>
        </w:numPr>
        <w:rPr>
          <w:rFonts w:ascii="Arial" w:cs="Arial" w:eastAsia="Arial" w:hAnsi="Arial"/>
          <w:sz w:val="20"/>
          <w:szCs w:val="20"/>
          <w:color w:val="auto"/>
        </w:rPr>
      </w:pPr>
      <w:r>
        <w:rPr>
          <w:rFonts w:ascii="Arial" w:cs="Arial" w:eastAsia="Arial" w:hAnsi="Arial"/>
          <w:sz w:val="20"/>
          <w:szCs w:val="20"/>
          <w:u w:val="single" w:color="auto"/>
          <w:color w:val="auto"/>
        </w:rPr>
        <w:t>Record Ownership of Pledged Securities and Partnership Interests; Notices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4" w:firstLine="645"/>
        <w:spacing w:after="0" w:line="259" w:lineRule="auto"/>
        <w:tabs>
          <w:tab w:leader="none" w:pos="1092" w:val="left"/>
        </w:tabs>
        <w:numPr>
          <w:ilvl w:val="1"/>
          <w:numId w:val="295"/>
        </w:numPr>
        <w:rPr>
          <w:rFonts w:ascii="Arial" w:cs="Arial" w:eastAsia="Arial" w:hAnsi="Arial"/>
          <w:sz w:val="19"/>
          <w:szCs w:val="19"/>
          <w:color w:val="auto"/>
        </w:rPr>
      </w:pPr>
      <w:r>
        <w:rPr>
          <w:rFonts w:ascii="Arial" w:cs="Arial" w:eastAsia="Arial" w:hAnsi="Arial"/>
          <w:sz w:val="19"/>
          <w:szCs w:val="19"/>
          <w:color w:val="auto"/>
        </w:rPr>
        <w:t>While a Default exists, Secured Party may at any time or from time to time at the direction of Required Lenders, cause any or all of the Pledged Securities and Partnership Interests to be transferred of record into the name of Secured Party or its nominee. If Secured Party transfers any Pledged Security or Partnership Interest into its name or the name of its nominee, Secured Party will thereafter promptly give Debtor copies of any notices and communications received by Secured Party with respect to any Pledged Security and Partnership Interests. If such Default is cured or waived, Secured Party shall then cause any Pledged Security and Partnership Interest so transferred into its name to be transferred into Debtor’s name.</w:t>
      </w:r>
    </w:p>
    <w:p>
      <w:pPr>
        <w:spacing w:after="0" w:line="178" w:lineRule="exact"/>
        <w:rPr>
          <w:rFonts w:ascii="Arial" w:cs="Arial" w:eastAsia="Arial" w:hAnsi="Arial"/>
          <w:sz w:val="19"/>
          <w:szCs w:val="19"/>
          <w:color w:val="auto"/>
        </w:rPr>
      </w:pPr>
    </w:p>
    <w:p>
      <w:pPr>
        <w:ind w:left="4" w:right="20" w:firstLine="645"/>
        <w:spacing w:after="0" w:line="260" w:lineRule="auto"/>
        <w:tabs>
          <w:tab w:leader="none" w:pos="1090" w:val="left"/>
        </w:tabs>
        <w:numPr>
          <w:ilvl w:val="1"/>
          <w:numId w:val="295"/>
        </w:numPr>
        <w:rPr>
          <w:rFonts w:ascii="Arial" w:cs="Arial" w:eastAsia="Arial" w:hAnsi="Arial"/>
          <w:sz w:val="20"/>
          <w:szCs w:val="20"/>
          <w:color w:val="auto"/>
        </w:rPr>
      </w:pPr>
      <w:r>
        <w:rPr>
          <w:rFonts w:ascii="Arial" w:cs="Arial" w:eastAsia="Arial" w:hAnsi="Arial"/>
          <w:sz w:val="20"/>
          <w:szCs w:val="20"/>
          <w:color w:val="auto"/>
        </w:rPr>
        <w:t>If a Default exists, Debtor will promptly give to Secured Party copies of any notices and communications received by it with respect to any Pledged Security or Partnership Interest.</w:t>
      </w:r>
    </w:p>
    <w:p>
      <w:pPr>
        <w:spacing w:after="0" w:line="176" w:lineRule="exact"/>
        <w:rPr>
          <w:rFonts w:ascii="Arial" w:cs="Arial" w:eastAsia="Arial" w:hAnsi="Arial"/>
          <w:sz w:val="20"/>
          <w:szCs w:val="20"/>
          <w:color w:val="auto"/>
        </w:rPr>
      </w:pPr>
    </w:p>
    <w:p>
      <w:pPr>
        <w:ind w:left="324" w:hanging="324"/>
        <w:spacing w:after="0"/>
        <w:tabs>
          <w:tab w:leader="none" w:pos="324" w:val="left"/>
        </w:tabs>
        <w:numPr>
          <w:ilvl w:val="0"/>
          <w:numId w:val="295"/>
        </w:numPr>
        <w:rPr>
          <w:rFonts w:ascii="Arial" w:cs="Arial" w:eastAsia="Arial" w:hAnsi="Arial"/>
          <w:sz w:val="20"/>
          <w:szCs w:val="20"/>
          <w:color w:val="auto"/>
        </w:rPr>
      </w:pPr>
      <w:r>
        <w:rPr>
          <w:rFonts w:ascii="Arial" w:cs="Arial" w:eastAsia="Arial" w:hAnsi="Arial"/>
          <w:sz w:val="20"/>
          <w:szCs w:val="20"/>
          <w:u w:val="single" w:color="auto"/>
          <w:color w:val="auto"/>
        </w:rPr>
        <w:t>Right to Receive Distributions on Pledged Securities and Partnership Interests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4" w:firstLine="645"/>
        <w:spacing w:after="0" w:line="256" w:lineRule="auto"/>
        <w:tabs>
          <w:tab w:leader="none" w:pos="1160" w:val="left"/>
        </w:tabs>
        <w:numPr>
          <w:ilvl w:val="1"/>
          <w:numId w:val="295"/>
        </w:numPr>
        <w:rPr>
          <w:rFonts w:ascii="Arial" w:cs="Arial" w:eastAsia="Arial" w:hAnsi="Arial"/>
          <w:sz w:val="19"/>
          <w:szCs w:val="19"/>
          <w:color w:val="auto"/>
        </w:rPr>
      </w:pPr>
      <w:r>
        <w:rPr>
          <w:rFonts w:ascii="Arial" w:cs="Arial" w:eastAsia="Arial" w:hAnsi="Arial"/>
          <w:sz w:val="19"/>
          <w:szCs w:val="19"/>
          <w:color w:val="auto"/>
        </w:rPr>
        <w:t>While a Default exists, Secured Party shall have the Right to receive and retain as additional security hereunder all dividends, interest, principal, and other payments and distributions made upon or with respect to the Pledged Securities and Partnership Interests. Debtor shall take all such action necessary or appropriate, or as Secured Party may reasonably request, to give effect to such Right. Any dividends, interest, principal, and other payments and distributions which are received in respect of the Pledged Securities or Partnership Interests by Debtor while a Default exists shall be received in trust for the benefit of Required Lenders, and shall be segregated from other funds of Debtor and shall (to the extent so directed by Secured Party at the direction of Required Lenders) forthwith be paid over to Secured Party (with any necessary endorsement). Secured Party will not exercise its Rights under this subsection unless directed to do so by Required Lenders. All such dividends, interest, principal, and other payments and distributions shall be delivered to Secured Party upon demand.</w:t>
      </w:r>
    </w:p>
    <w:p>
      <w:pPr>
        <w:spacing w:after="0" w:line="184" w:lineRule="exact"/>
        <w:rPr>
          <w:rFonts w:ascii="Arial" w:cs="Arial" w:eastAsia="Arial" w:hAnsi="Arial"/>
          <w:sz w:val="19"/>
          <w:szCs w:val="19"/>
          <w:color w:val="auto"/>
        </w:rPr>
      </w:pPr>
    </w:p>
    <w:p>
      <w:pPr>
        <w:ind w:left="4" w:firstLine="645"/>
        <w:spacing w:after="0" w:line="316" w:lineRule="auto"/>
        <w:tabs>
          <w:tab w:leader="none" w:pos="109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So long as no Default exists, Debtor shall have full power and authority to receive and retain all dividends, distributions, and other payments in respect of the Pledged Securities and Partnership Interests pledged to Secured Party hereunder.</w:t>
      </w:r>
    </w:p>
    <w:p>
      <w:pPr>
        <w:spacing w:after="0" w:line="130" w:lineRule="exact"/>
        <w:rPr>
          <w:rFonts w:ascii="Arial" w:cs="Arial" w:eastAsia="Arial" w:hAnsi="Arial"/>
          <w:sz w:val="18"/>
          <w:szCs w:val="18"/>
          <w:color w:val="auto"/>
        </w:rPr>
      </w:pPr>
    </w:p>
    <w:p>
      <w:pPr>
        <w:ind w:left="324" w:hanging="324"/>
        <w:spacing w:after="0"/>
        <w:tabs>
          <w:tab w:leader="none" w:pos="324" w:val="left"/>
        </w:tabs>
        <w:numPr>
          <w:ilvl w:val="0"/>
          <w:numId w:val="295"/>
        </w:numPr>
        <w:rPr>
          <w:rFonts w:ascii="Arial" w:cs="Arial" w:eastAsia="Arial" w:hAnsi="Arial"/>
          <w:sz w:val="20"/>
          <w:szCs w:val="20"/>
          <w:color w:val="auto"/>
        </w:rPr>
      </w:pPr>
      <w:r>
        <w:rPr>
          <w:rFonts w:ascii="Arial" w:cs="Arial" w:eastAsia="Arial" w:hAnsi="Arial"/>
          <w:sz w:val="20"/>
          <w:szCs w:val="20"/>
          <w:u w:val="single" w:color="auto"/>
          <w:color w:val="auto"/>
        </w:rPr>
        <w:t>Right to Vote Pledged Securities and Partnership Interests; Releases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4" w:firstLine="645"/>
        <w:spacing w:after="0" w:line="276" w:lineRule="auto"/>
        <w:tabs>
          <w:tab w:leader="none" w:pos="1092" w:val="left"/>
        </w:tabs>
        <w:numPr>
          <w:ilvl w:val="1"/>
          <w:numId w:val="295"/>
        </w:numPr>
        <w:rPr>
          <w:rFonts w:ascii="Arial" w:cs="Arial" w:eastAsia="Arial" w:hAnsi="Arial"/>
          <w:sz w:val="18"/>
          <w:szCs w:val="18"/>
          <w:color w:val="auto"/>
        </w:rPr>
      </w:pPr>
      <w:r>
        <w:rPr>
          <w:rFonts w:ascii="Arial" w:cs="Arial" w:eastAsia="Arial" w:hAnsi="Arial"/>
          <w:sz w:val="18"/>
          <w:szCs w:val="18"/>
          <w:color w:val="auto"/>
        </w:rPr>
        <w:t>Unless a Default exists and Required Lenders have directed Secured Party not to permit Debtor to exercise such Rights, Debtor shall have the Right, from time to time, to vote and to give consents, ratifications and waivers with respect to the Pledged Securities and Partnership Interests and other Collateral that it owns and Secured Party shall, upon receiving a written request from an authorized financial officer of Debtor deliver to Debtor or as specified in such request, such proxies, powers of attorney, consents, ratifications and waivers as shall be reasonably requested by Debtor in respect of any of the Pledged Securities and Partnership Interests owned by it which are registered in the name of Secured Party or its nominee and any other Collateral owned by Debtor.</w:t>
      </w:r>
    </w:p>
    <w:p>
      <w:pPr>
        <w:spacing w:after="0" w:line="165" w:lineRule="exact"/>
        <w:rPr>
          <w:rFonts w:ascii="Arial" w:cs="Arial" w:eastAsia="Arial" w:hAnsi="Arial"/>
          <w:sz w:val="18"/>
          <w:szCs w:val="18"/>
          <w:color w:val="auto"/>
        </w:rPr>
      </w:pPr>
    </w:p>
    <w:p>
      <w:pPr>
        <w:jc w:val="both"/>
        <w:ind w:left="4" w:firstLine="645"/>
        <w:spacing w:after="0" w:line="244" w:lineRule="auto"/>
        <w:tabs>
          <w:tab w:leader="none" w:pos="1144" w:val="left"/>
        </w:tabs>
        <w:numPr>
          <w:ilvl w:val="1"/>
          <w:numId w:val="295"/>
        </w:numPr>
        <w:rPr>
          <w:rFonts w:ascii="Arial" w:cs="Arial" w:eastAsia="Arial" w:hAnsi="Arial"/>
          <w:sz w:val="20"/>
          <w:szCs w:val="20"/>
          <w:color w:val="auto"/>
        </w:rPr>
      </w:pPr>
      <w:r>
        <w:rPr>
          <w:rFonts w:ascii="Arial" w:cs="Arial" w:eastAsia="Arial" w:hAnsi="Arial"/>
          <w:sz w:val="20"/>
          <w:szCs w:val="20"/>
          <w:color w:val="auto"/>
        </w:rPr>
        <w:t>If a Default exists, Secured Party shall have the Right, to the extent permitted by Law, to vote and to give consents, ratifications, and waivers and take any other action with respect to all the Pledged Securities and Partnership Interests with the same force and effect as if Secured Party were the absolute and sole owner thereof. Debtor shall, at the request of Secured Party, take all such action as may be necessary or appropriate to give effect to the Rights granted to Secured Party pursuant to the immediate preceding sentence.</w:t>
      </w:r>
    </w:p>
    <w:p>
      <w:pPr>
        <w:sectPr>
          <w:pgSz w:w="11900" w:h="16838" w:orient="portrait"/>
          <w:cols w:equalWidth="0" w:num="1">
            <w:col w:w="10764"/>
          </w:cols>
          <w:pgMar w:left="896" w:top="649" w:right="239" w:bottom="1440" w:gutter="0" w:footer="0" w:header="0"/>
        </w:sectPr>
      </w:pPr>
    </w:p>
    <w:bookmarkStart w:id="257" w:name="page258"/>
    <w:bookmarkEnd w:id="257"/>
    <w:p>
      <w:pPr>
        <w:ind w:left="324" w:hanging="324"/>
        <w:spacing w:after="0"/>
        <w:tabs>
          <w:tab w:leader="none" w:pos="324" w:val="left"/>
        </w:tabs>
        <w:numPr>
          <w:ilvl w:val="0"/>
          <w:numId w:val="296"/>
        </w:numPr>
        <w:rPr>
          <w:rFonts w:ascii="Arial" w:cs="Arial" w:eastAsia="Arial" w:hAnsi="Arial"/>
          <w:sz w:val="20"/>
          <w:szCs w:val="20"/>
          <w:color w:val="auto"/>
        </w:rPr>
      </w:pPr>
      <w:r>
        <w:rPr>
          <w:rFonts w:ascii="Arial" w:cs="Arial" w:eastAsia="Arial" w:hAnsi="Arial"/>
          <w:sz w:val="20"/>
          <w:szCs w:val="20"/>
          <w:u w:val="single" w:color="auto"/>
          <w:color w:val="auto"/>
        </w:rPr>
        <w:t>Remedies Upon Enforcement Notice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4" w:firstLine="645"/>
        <w:spacing w:after="0" w:line="273" w:lineRule="auto"/>
        <w:tabs>
          <w:tab w:leader="none" w:pos="1079" w:val="left"/>
        </w:tabs>
        <w:numPr>
          <w:ilvl w:val="1"/>
          <w:numId w:val="296"/>
        </w:numPr>
        <w:rPr>
          <w:rFonts w:ascii="Arial" w:cs="Arial" w:eastAsia="Arial" w:hAnsi="Arial"/>
          <w:sz w:val="18"/>
          <w:szCs w:val="18"/>
          <w:color w:val="auto"/>
        </w:rPr>
      </w:pPr>
      <w:r>
        <w:rPr>
          <w:rFonts w:ascii="Arial" w:cs="Arial" w:eastAsia="Arial" w:hAnsi="Arial"/>
          <w:sz w:val="18"/>
          <w:szCs w:val="18"/>
          <w:color w:val="auto"/>
        </w:rPr>
        <w:t xml:space="preserve">If a Default exists, Secured Party may (to the extent so directed by Required Lenders) exercise, on behalf of Lenders, all Rights of a secured party under the UCC (whether or not in effect in the jurisdiction where such Rights are exercised) and, without limiting the foregoing, Secured Party may, at the direction of Required Lenders, without being required to give any notice, </w:t>
      </w:r>
      <w:r>
        <w:rPr>
          <w:rFonts w:ascii="Arial" w:cs="Arial" w:eastAsia="Arial" w:hAnsi="Arial"/>
          <w:sz w:val="18"/>
          <w:szCs w:val="18"/>
          <w:i w:val="1"/>
          <w:iCs w:val="1"/>
          <w:color w:val="auto"/>
        </w:rPr>
        <w:t>except</w:t>
      </w:r>
      <w:r>
        <w:rPr>
          <w:rFonts w:ascii="Arial" w:cs="Arial" w:eastAsia="Arial" w:hAnsi="Arial"/>
          <w:sz w:val="18"/>
          <w:szCs w:val="18"/>
          <w:color w:val="auto"/>
        </w:rPr>
        <w:t xml:space="preserve"> as herein provided or as may be required by Law: (i) sell the Collateral or any part thereof at public or private sale, for cash, upon credit or for future delivery, and at such price or prices as Secured Party may deem satisfactory; (ii) declare the Secured Obligation immediately due and payable, without notice or demand; (iii) exercise as to any or all of the Collateral all the Rights, powers and remedies of an owner; (iv) enforce the security interest given hereunder pursuant to the UCC; (v) exercise any other remedy provided under this Agreement or by any applicable Law; or (vi) sell the Collateral without giving any warranties as to the Collateral.</w:t>
      </w:r>
    </w:p>
    <w:p>
      <w:pPr>
        <w:spacing w:after="0" w:line="169" w:lineRule="exact"/>
        <w:rPr>
          <w:rFonts w:ascii="Arial" w:cs="Arial" w:eastAsia="Arial" w:hAnsi="Arial"/>
          <w:sz w:val="18"/>
          <w:szCs w:val="18"/>
          <w:color w:val="auto"/>
        </w:rPr>
      </w:pPr>
    </w:p>
    <w:p>
      <w:pPr>
        <w:jc w:val="both"/>
        <w:ind w:left="4" w:firstLine="645"/>
        <w:spacing w:after="0" w:line="268" w:lineRule="auto"/>
        <w:tabs>
          <w:tab w:leader="none" w:pos="1157" w:val="left"/>
        </w:tabs>
        <w:numPr>
          <w:ilvl w:val="1"/>
          <w:numId w:val="296"/>
        </w:numPr>
        <w:rPr>
          <w:rFonts w:ascii="Arial" w:cs="Arial" w:eastAsia="Arial" w:hAnsi="Arial"/>
          <w:sz w:val="18"/>
          <w:szCs w:val="18"/>
          <w:color w:val="auto"/>
        </w:rPr>
      </w:pPr>
      <w:r>
        <w:rPr>
          <w:rFonts w:ascii="Arial" w:cs="Arial" w:eastAsia="Arial" w:hAnsi="Arial"/>
          <w:sz w:val="18"/>
          <w:szCs w:val="18"/>
          <w:color w:val="auto"/>
        </w:rPr>
        <w:t xml:space="preserve">Secured Party or any Lender may be the purchaser of any or all of the Collateral sold pursuant to </w:t>
      </w:r>
      <w:r>
        <w:rPr>
          <w:rFonts w:ascii="Arial" w:cs="Arial" w:eastAsia="Arial" w:hAnsi="Arial"/>
          <w:sz w:val="18"/>
          <w:szCs w:val="18"/>
          <w:b w:val="1"/>
          <w:bCs w:val="1"/>
          <w:i w:val="1"/>
          <w:iCs w:val="1"/>
          <w:color w:val="auto"/>
        </w:rPr>
        <w:t>Section 9(a)(i)</w:t>
      </w:r>
      <w:r>
        <w:rPr>
          <w:rFonts w:ascii="Arial" w:cs="Arial" w:eastAsia="Arial" w:hAnsi="Arial"/>
          <w:sz w:val="18"/>
          <w:szCs w:val="18"/>
          <w:color w:val="auto"/>
        </w:rPr>
        <w:t xml:space="preserve"> at any public sale (or, if the Collateral is of a type customarily sold in a recognized market or is of a type which is the subject of widely distributed standard price quotations, at any private sale). Debtor will execute and deliver such documents and take such other lawful actions Secured Party deems necessary or advisable in order that any such sale may be made in compliance with Law. Upon any such sale Secured Party shall have the Right to deliver, assign, and transfer to the purchaser thereof the Collateral so sold. Each purchaser at any such sale shall hold the Collateral so sold to it absolutely and free from any claim or Right of whatsoever kind, including any equity or Right of redemption of Debtor which may be waived, and Debtor to the extent permitted by Law, hereby specifically waives all Rights of redemption, stay or appraisal which it has or may have under any Law now existing or hereafter adopted. The notice (if any) of such sale required by </w:t>
      </w:r>
      <w:r>
        <w:rPr>
          <w:rFonts w:ascii="Arial" w:cs="Arial" w:eastAsia="Arial" w:hAnsi="Arial"/>
          <w:sz w:val="18"/>
          <w:szCs w:val="18"/>
          <w:b w:val="1"/>
          <w:bCs w:val="1"/>
          <w:i w:val="1"/>
          <w:iCs w:val="1"/>
          <w:color w:val="auto"/>
        </w:rPr>
        <w:t>Section 5</w:t>
      </w:r>
      <w:r>
        <w:rPr>
          <w:rFonts w:ascii="Arial" w:cs="Arial" w:eastAsia="Arial" w:hAnsi="Arial"/>
          <w:sz w:val="18"/>
          <w:szCs w:val="18"/>
          <w:color w:val="auto"/>
        </w:rPr>
        <w:t xml:space="preserve"> shall (1) in case of a public sale, state the time and place fixed for such sale, and (2) in the case of a private sale, state the day after which such sale may be consummated. Any such public sale shall be held at such time or times within ordinary business hours and at such place or places as Secured Party may fix in the notice of such sale. At any such sale the Collateral may be sold in one lot as an entirety or in separate parcels, as Secured Party may determine. Secured Party shall not be obligated to make any such sale pursuant to any such notice. Secured Party may, without notice or publication, adjourn any public or private sale or cause the same to be adjourned from time to time by announcement at the time and place fixed for the sale, and such sale may be made at any time or place to which the same may be so adjourned. In case of any sale of all or any part of the Collateral on credit or for future delivery, the Collateral so sold may be retained by Secured Party until the selling price is paid by the purchaser thereof, but Secured Party shall not incur any liability in case of the failure of such purchaser to take up and pay for the Collateral so sold and, in case of any such failure, such Collateral may again be sold upon like notice. Secured Party, instead of exercising the power of sale herein conferred upon it, may proceed by a suit or suits at Law or in equity to foreclose the Security Interests and sell the Collateral, or any portion thereof, under a judgment or decree of a court or courts of competent jurisdiction.</w:t>
      </w:r>
    </w:p>
    <w:p>
      <w:pPr>
        <w:spacing w:after="0" w:line="185" w:lineRule="exact"/>
        <w:rPr>
          <w:rFonts w:ascii="Arial" w:cs="Arial" w:eastAsia="Arial" w:hAnsi="Arial"/>
          <w:sz w:val="18"/>
          <w:szCs w:val="18"/>
          <w:color w:val="auto"/>
        </w:rPr>
      </w:pPr>
    </w:p>
    <w:p>
      <w:pPr>
        <w:jc w:val="both"/>
        <w:ind w:left="4" w:firstLine="645"/>
        <w:spacing w:after="0" w:line="243" w:lineRule="auto"/>
        <w:tabs>
          <w:tab w:leader="none" w:pos="1173" w:val="left"/>
        </w:tabs>
        <w:numPr>
          <w:ilvl w:val="1"/>
          <w:numId w:val="296"/>
        </w:numPr>
        <w:rPr>
          <w:rFonts w:ascii="Arial" w:cs="Arial" w:eastAsia="Arial" w:hAnsi="Arial"/>
          <w:sz w:val="20"/>
          <w:szCs w:val="20"/>
          <w:color w:val="auto"/>
        </w:rPr>
      </w:pPr>
      <w:r>
        <w:rPr>
          <w:rFonts w:ascii="Arial" w:cs="Arial" w:eastAsia="Arial" w:hAnsi="Arial"/>
          <w:sz w:val="20"/>
          <w:szCs w:val="20"/>
          <w:color w:val="auto"/>
        </w:rPr>
        <w:t>Debtor recognizes that, by reason of certain prohibitions contained in the Securities Act of 1933, as amended, and applicable state securities Laws, Secured Party may be compelled, with respect to any sale of all or any part of the Pledged Securities, to limit purchasers to those who will agree, among other things, to acquire the Pledged Securities for their own account, for investment and not with a view to the distribution or resale thereof. Debtor acknowledges that any such private sales may be at prices and on terms less favorable to Secured Party than those obtainable through a public sale without such restrictions, and, notwithstanding such circumstances, agree that</w:t>
      </w:r>
    </w:p>
    <w:p>
      <w:pPr>
        <w:sectPr>
          <w:pgSz w:w="11900" w:h="16838" w:orient="portrait"/>
          <w:cols w:equalWidth="0" w:num="1">
            <w:col w:w="10764"/>
          </w:cols>
          <w:pgMar w:left="896" w:top="650" w:right="239" w:bottom="1440" w:gutter="0" w:footer="0" w:header="0"/>
        </w:sectPr>
      </w:pPr>
    </w:p>
    <w:bookmarkStart w:id="258" w:name="page259"/>
    <w:bookmarkEnd w:id="258"/>
    <w:p>
      <w:pPr>
        <w:jc w:val="both"/>
        <w:ind w:left="4"/>
        <w:spacing w:after="0" w:line="250" w:lineRule="auto"/>
        <w:rPr>
          <w:sz w:val="20"/>
          <w:szCs w:val="20"/>
          <w:color w:val="auto"/>
        </w:rPr>
      </w:pPr>
      <w:r>
        <w:rPr>
          <w:rFonts w:ascii="Arial" w:cs="Arial" w:eastAsia="Arial" w:hAnsi="Arial"/>
          <w:sz w:val="20"/>
          <w:szCs w:val="20"/>
          <w:color w:val="auto"/>
        </w:rPr>
        <w:t>any such private sale shall be deemed to have been made in a commercially reasonable manner and that Secured Party shall have no obligation to engage in public sales and no obligation to delay the sale of any Pledged Securities for the period of time necessary to permit the issuer thereof to register it for public sale.</w:t>
      </w:r>
    </w:p>
    <w:p>
      <w:pPr>
        <w:spacing w:after="0" w:line="186" w:lineRule="exact"/>
        <w:rPr>
          <w:sz w:val="20"/>
          <w:szCs w:val="20"/>
          <w:color w:val="auto"/>
        </w:rPr>
      </w:pPr>
    </w:p>
    <w:p>
      <w:pPr>
        <w:ind w:left="4" w:firstLine="645"/>
        <w:spacing w:after="0" w:line="287" w:lineRule="auto"/>
        <w:tabs>
          <w:tab w:leader="none" w:pos="1117" w:val="left"/>
        </w:tabs>
        <w:numPr>
          <w:ilvl w:val="1"/>
          <w:numId w:val="297"/>
        </w:numPr>
        <w:rPr>
          <w:rFonts w:ascii="Arial" w:cs="Arial" w:eastAsia="Arial" w:hAnsi="Arial"/>
          <w:sz w:val="19"/>
          <w:szCs w:val="19"/>
          <w:color w:val="auto"/>
        </w:rPr>
      </w:pPr>
      <w:r>
        <w:rPr>
          <w:rFonts w:ascii="Arial" w:cs="Arial" w:eastAsia="Arial" w:hAnsi="Arial"/>
          <w:sz w:val="19"/>
          <w:szCs w:val="19"/>
          <w:color w:val="auto"/>
        </w:rPr>
        <w:t>For the purpose of enforcing any and all Rights and remedies under this Agreement, Secured Party may, subject to the provisions of the Credit Agreement, have access to and use Debtor’s books and records relating to the Collateral.</w:t>
      </w:r>
    </w:p>
    <w:p>
      <w:pPr>
        <w:spacing w:after="0" w:line="152" w:lineRule="exact"/>
        <w:rPr>
          <w:rFonts w:ascii="Arial" w:cs="Arial" w:eastAsia="Arial" w:hAnsi="Arial"/>
          <w:sz w:val="19"/>
          <w:szCs w:val="19"/>
          <w:color w:val="auto"/>
        </w:rPr>
      </w:pPr>
    </w:p>
    <w:p>
      <w:pPr>
        <w:jc w:val="both"/>
        <w:ind w:left="4" w:firstLine="645"/>
        <w:spacing w:after="0" w:line="246" w:lineRule="auto"/>
        <w:tabs>
          <w:tab w:leader="none" w:pos="1079" w:val="left"/>
        </w:tabs>
        <w:numPr>
          <w:ilvl w:val="1"/>
          <w:numId w:val="297"/>
        </w:numPr>
        <w:rPr>
          <w:rFonts w:ascii="Arial" w:cs="Arial" w:eastAsia="Arial" w:hAnsi="Arial"/>
          <w:sz w:val="20"/>
          <w:szCs w:val="20"/>
          <w:color w:val="auto"/>
        </w:rPr>
      </w:pPr>
      <w:r>
        <w:rPr>
          <w:rFonts w:ascii="Arial" w:cs="Arial" w:eastAsia="Arial" w:hAnsi="Arial"/>
          <w:sz w:val="20"/>
          <w:szCs w:val="20"/>
          <w:color w:val="auto"/>
        </w:rPr>
        <w:t>All Rights and remedies herein provided are cumulative and not exclusive of any Rights or remedies otherwise provided by Law. Any single or partial exercise of any Right or remedy shall not preclude the further exercise of any other Right or remedy. Debtor and Borrower acknowledge that compliance with applicable state and federal Law shall not be considered to adversely affect the commercial reasonableness of any sale of the Collateral.</w:t>
      </w:r>
    </w:p>
    <w:p>
      <w:pPr>
        <w:spacing w:after="0" w:line="191" w:lineRule="exact"/>
        <w:rPr>
          <w:rFonts w:ascii="Arial" w:cs="Arial" w:eastAsia="Arial" w:hAnsi="Arial"/>
          <w:sz w:val="20"/>
          <w:szCs w:val="20"/>
          <w:color w:val="auto"/>
        </w:rPr>
      </w:pPr>
    </w:p>
    <w:p>
      <w:pPr>
        <w:ind w:left="-656" w:right="20" w:firstLine="656"/>
        <w:spacing w:after="0" w:line="260" w:lineRule="auto"/>
        <w:tabs>
          <w:tab w:leader="none" w:pos="433" w:val="left"/>
        </w:tabs>
        <w:numPr>
          <w:ilvl w:val="0"/>
          <w:numId w:val="298"/>
        </w:numPr>
        <w:rPr>
          <w:rFonts w:ascii="Arial" w:cs="Arial" w:eastAsia="Arial" w:hAnsi="Arial"/>
          <w:sz w:val="20"/>
          <w:szCs w:val="20"/>
          <w:color w:val="auto"/>
        </w:rPr>
      </w:pPr>
      <w:r>
        <w:rPr>
          <w:rFonts w:ascii="Arial" w:cs="Arial" w:eastAsia="Arial" w:hAnsi="Arial"/>
          <w:sz w:val="20"/>
          <w:szCs w:val="20"/>
          <w:u w:val="single" w:color="auto"/>
          <w:color w:val="auto"/>
        </w:rPr>
        <w:t>Application of Proceeds</w:t>
      </w:r>
      <w:r>
        <w:rPr>
          <w:rFonts w:ascii="Arial" w:cs="Arial" w:eastAsia="Arial" w:hAnsi="Arial"/>
          <w:sz w:val="20"/>
          <w:szCs w:val="20"/>
          <w:color w:val="auto"/>
        </w:rPr>
        <w:t>. During the time a Default exists, the proceeds of any sale of, or other realization upon, all or any part of the Collateral shall be delivered to Secured Party for the benefit of Lenders.</w:t>
      </w:r>
    </w:p>
    <w:p>
      <w:pPr>
        <w:spacing w:after="0" w:line="176" w:lineRule="exact"/>
        <w:rPr>
          <w:rFonts w:ascii="Arial" w:cs="Arial" w:eastAsia="Arial" w:hAnsi="Arial"/>
          <w:sz w:val="20"/>
          <w:szCs w:val="20"/>
          <w:color w:val="auto"/>
        </w:rPr>
      </w:pPr>
    </w:p>
    <w:p>
      <w:pPr>
        <w:ind w:left="424" w:hanging="424"/>
        <w:spacing w:after="0"/>
        <w:tabs>
          <w:tab w:leader="none" w:pos="424" w:val="left"/>
        </w:tabs>
        <w:numPr>
          <w:ilvl w:val="0"/>
          <w:numId w:val="298"/>
        </w:numPr>
        <w:rPr>
          <w:rFonts w:ascii="Arial" w:cs="Arial" w:eastAsia="Arial" w:hAnsi="Arial"/>
          <w:sz w:val="20"/>
          <w:szCs w:val="20"/>
          <w:color w:val="auto"/>
        </w:rPr>
      </w:pPr>
      <w:r>
        <w:rPr>
          <w:rFonts w:ascii="Arial" w:cs="Arial" w:eastAsia="Arial" w:hAnsi="Arial"/>
          <w:sz w:val="20"/>
          <w:szCs w:val="20"/>
          <w:u w:val="single" w:color="auto"/>
          <w:color w:val="auto"/>
        </w:rPr>
        <w:t>Termination of Security Interests; Release of Collateral</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4" w:firstLine="645"/>
        <w:spacing w:after="0" w:line="244" w:lineRule="auto"/>
        <w:tabs>
          <w:tab w:leader="none" w:pos="1052" w:val="left"/>
        </w:tabs>
        <w:numPr>
          <w:ilvl w:val="1"/>
          <w:numId w:val="298"/>
        </w:numPr>
        <w:rPr>
          <w:rFonts w:ascii="Arial" w:cs="Arial" w:eastAsia="Arial" w:hAnsi="Arial"/>
          <w:sz w:val="20"/>
          <w:szCs w:val="20"/>
          <w:color w:val="auto"/>
        </w:rPr>
      </w:pPr>
      <w:r>
        <w:rPr>
          <w:rFonts w:ascii="Arial" w:cs="Arial" w:eastAsia="Arial" w:hAnsi="Arial"/>
          <w:sz w:val="20"/>
          <w:szCs w:val="20"/>
          <w:color w:val="auto"/>
        </w:rPr>
        <w:t>Secured Party shall be under no obligation to permit any trading, redemption, exchange, distribution, or substitution of the Collateral or, except as otherwise provided in the Credit Agreement, to permit the release of any Collateral or the proceeds thereof until the Secured Obligation has been paid in full. In no event shall any trading, withdrawal, or substitution be allowed of any Collateral which is the subject of a Financial Hedge with a Lender or any Affiliate of a Lender without the prior consent of such Lender or an Affiliate of any Lender.</w:t>
      </w:r>
    </w:p>
    <w:p>
      <w:pPr>
        <w:spacing w:after="0" w:line="194" w:lineRule="exact"/>
        <w:rPr>
          <w:rFonts w:ascii="Arial" w:cs="Arial" w:eastAsia="Arial" w:hAnsi="Arial"/>
          <w:sz w:val="20"/>
          <w:szCs w:val="20"/>
          <w:color w:val="auto"/>
        </w:rPr>
      </w:pPr>
    </w:p>
    <w:p>
      <w:pPr>
        <w:jc w:val="both"/>
        <w:ind w:left="4" w:firstLine="645"/>
        <w:spacing w:after="0" w:line="246" w:lineRule="auto"/>
        <w:tabs>
          <w:tab w:leader="none" w:pos="1103" w:val="left"/>
        </w:tabs>
        <w:numPr>
          <w:ilvl w:val="1"/>
          <w:numId w:val="298"/>
        </w:numPr>
        <w:rPr>
          <w:rFonts w:ascii="Arial" w:cs="Arial" w:eastAsia="Arial" w:hAnsi="Arial"/>
          <w:sz w:val="20"/>
          <w:szCs w:val="20"/>
          <w:color w:val="auto"/>
        </w:rPr>
      </w:pPr>
      <w:r>
        <w:rPr>
          <w:rFonts w:ascii="Arial" w:cs="Arial" w:eastAsia="Arial" w:hAnsi="Arial"/>
          <w:sz w:val="20"/>
          <w:szCs w:val="20"/>
          <w:color w:val="auto"/>
        </w:rPr>
        <w:t xml:space="preserve">At the time specified in </w:t>
      </w:r>
      <w:r>
        <w:rPr>
          <w:rFonts w:ascii="Arial" w:cs="Arial" w:eastAsia="Arial" w:hAnsi="Arial"/>
          <w:sz w:val="20"/>
          <w:szCs w:val="20"/>
          <w:i w:val="1"/>
          <w:iCs w:val="1"/>
          <w:color w:val="auto"/>
        </w:rPr>
        <w:t>Section 14.9(e)</w:t>
      </w:r>
      <w:r>
        <w:rPr>
          <w:rFonts w:ascii="Arial" w:cs="Arial" w:eastAsia="Arial" w:hAnsi="Arial"/>
          <w:sz w:val="20"/>
          <w:szCs w:val="20"/>
          <w:color w:val="auto"/>
        </w:rPr>
        <w:t xml:space="preserve"> of the Credit Agreement for the reversion or release of the Collateral to Debtor, the Security Interests shall terminate and all Rights to the Collateral shall revert and be released to it. At any time and from time to time prior to such termination of the Security Interests, Secured Party may release any of the Collateral pursuant to the terms of the Credit Agreement.</w:t>
      </w:r>
    </w:p>
    <w:p>
      <w:pPr>
        <w:spacing w:after="0" w:line="191" w:lineRule="exact"/>
        <w:rPr>
          <w:rFonts w:ascii="Arial" w:cs="Arial" w:eastAsia="Arial" w:hAnsi="Arial"/>
          <w:sz w:val="20"/>
          <w:szCs w:val="20"/>
          <w:color w:val="auto"/>
        </w:rPr>
      </w:pPr>
    </w:p>
    <w:p>
      <w:pPr>
        <w:jc w:val="both"/>
        <w:ind w:left="4" w:firstLine="645"/>
        <w:spacing w:after="0" w:line="250" w:lineRule="auto"/>
        <w:tabs>
          <w:tab w:leader="none" w:pos="1065" w:val="left"/>
        </w:tabs>
        <w:numPr>
          <w:ilvl w:val="1"/>
          <w:numId w:val="298"/>
        </w:numPr>
        <w:rPr>
          <w:rFonts w:ascii="Arial" w:cs="Arial" w:eastAsia="Arial" w:hAnsi="Arial"/>
          <w:sz w:val="20"/>
          <w:szCs w:val="20"/>
          <w:color w:val="auto"/>
        </w:rPr>
      </w:pPr>
      <w:r>
        <w:rPr>
          <w:rFonts w:ascii="Arial" w:cs="Arial" w:eastAsia="Arial" w:hAnsi="Arial"/>
          <w:sz w:val="20"/>
          <w:szCs w:val="20"/>
          <w:color w:val="auto"/>
        </w:rPr>
        <w:t>In the event that any Pledged Securities or Partnership Interests are sold or otherwise transferred in a transaction which is in compliance with the terms of the Credit Agreement, Secured Party will release its Security Interest in such Pledged Securities or Partnership Interests.</w:t>
      </w:r>
    </w:p>
    <w:p>
      <w:pPr>
        <w:spacing w:after="0" w:line="186" w:lineRule="exact"/>
        <w:rPr>
          <w:rFonts w:ascii="Arial" w:cs="Arial" w:eastAsia="Arial" w:hAnsi="Arial"/>
          <w:sz w:val="20"/>
          <w:szCs w:val="20"/>
          <w:color w:val="auto"/>
        </w:rPr>
      </w:pPr>
    </w:p>
    <w:p>
      <w:pPr>
        <w:jc w:val="both"/>
        <w:ind w:left="4" w:firstLine="645"/>
        <w:spacing w:after="0" w:line="246" w:lineRule="auto"/>
        <w:tabs>
          <w:tab w:leader="none" w:pos="1144" w:val="left"/>
        </w:tabs>
        <w:numPr>
          <w:ilvl w:val="1"/>
          <w:numId w:val="298"/>
        </w:numPr>
        <w:rPr>
          <w:rFonts w:ascii="Arial" w:cs="Arial" w:eastAsia="Arial" w:hAnsi="Arial"/>
          <w:sz w:val="20"/>
          <w:szCs w:val="20"/>
          <w:color w:val="auto"/>
        </w:rPr>
      </w:pPr>
      <w:r>
        <w:rPr>
          <w:rFonts w:ascii="Arial" w:cs="Arial" w:eastAsia="Arial" w:hAnsi="Arial"/>
          <w:sz w:val="20"/>
          <w:szCs w:val="20"/>
          <w:color w:val="auto"/>
        </w:rPr>
        <w:t>Upon any such termination or release of the Security Interests or Collateral, Secured Party will, at the expense of the Borrower or Debtor, deliver to Debtor any Collateral so released that is in its possession and execute and deliver such documents, certificates, or other instruments as the Borrower shall reasonably request to evidence the termination of the Security Interests or the release of such Collateral, as the case may be.</w:t>
      </w:r>
    </w:p>
    <w:p>
      <w:pPr>
        <w:spacing w:after="0" w:line="191" w:lineRule="exact"/>
        <w:rPr>
          <w:rFonts w:ascii="Arial" w:cs="Arial" w:eastAsia="Arial" w:hAnsi="Arial"/>
          <w:sz w:val="20"/>
          <w:szCs w:val="20"/>
          <w:color w:val="auto"/>
        </w:rPr>
      </w:pPr>
    </w:p>
    <w:p>
      <w:pPr>
        <w:jc w:val="both"/>
        <w:ind w:left="4" w:firstLine="645"/>
        <w:spacing w:after="0" w:line="250" w:lineRule="auto"/>
        <w:tabs>
          <w:tab w:leader="none" w:pos="1106" w:val="left"/>
        </w:tabs>
        <w:numPr>
          <w:ilvl w:val="1"/>
          <w:numId w:val="298"/>
        </w:numPr>
        <w:rPr>
          <w:rFonts w:ascii="Arial" w:cs="Arial" w:eastAsia="Arial" w:hAnsi="Arial"/>
          <w:sz w:val="20"/>
          <w:szCs w:val="20"/>
          <w:color w:val="auto"/>
        </w:rPr>
      </w:pPr>
      <w:r>
        <w:rPr>
          <w:rFonts w:ascii="Arial" w:cs="Arial" w:eastAsia="Arial" w:hAnsi="Arial"/>
          <w:sz w:val="20"/>
          <w:szCs w:val="20"/>
          <w:color w:val="auto"/>
        </w:rPr>
        <w:t>Secured Party may at any time deliver the Collateral or any part thereof to Debtor and the receipt of Debtor shall be a complete and full acquittance for the Collateral so delivered, and Secured Party shall thereafter be discharged from any liability or responsibility therefor.</w:t>
      </w:r>
    </w:p>
    <w:p>
      <w:pPr>
        <w:sectPr>
          <w:pgSz w:w="11900" w:h="16838" w:orient="portrait"/>
          <w:cols w:equalWidth="0" w:num="1">
            <w:col w:w="10764"/>
          </w:cols>
          <w:pgMar w:left="896" w:top="650" w:right="239" w:bottom="1440" w:gutter="0" w:footer="0" w:header="0"/>
        </w:sectPr>
      </w:pPr>
    </w:p>
    <w:bookmarkStart w:id="259" w:name="page260"/>
    <w:bookmarkEnd w:id="259"/>
    <w:p>
      <w:pPr>
        <w:ind w:left="424" w:hanging="424"/>
        <w:spacing w:after="0"/>
        <w:tabs>
          <w:tab w:leader="none" w:pos="424" w:val="left"/>
        </w:tabs>
        <w:numPr>
          <w:ilvl w:val="0"/>
          <w:numId w:val="299"/>
        </w:numPr>
        <w:rPr>
          <w:rFonts w:ascii="Arial" w:cs="Arial" w:eastAsia="Arial" w:hAnsi="Arial"/>
          <w:sz w:val="20"/>
          <w:szCs w:val="20"/>
          <w:color w:val="auto"/>
        </w:rPr>
      </w:pPr>
      <w:r>
        <w:rPr>
          <w:rFonts w:ascii="Arial" w:cs="Arial" w:eastAsia="Arial" w:hAnsi="Arial"/>
          <w:sz w:val="20"/>
          <w:szCs w:val="20"/>
          <w:u w:val="single" w:color="auto"/>
          <w:color w:val="auto"/>
        </w:rPr>
        <w:t>Waivers; Estoppel; Non-Exclusive Remedies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4" w:firstLine="645"/>
        <w:spacing w:after="0" w:line="269" w:lineRule="auto"/>
        <w:tabs>
          <w:tab w:leader="none" w:pos="1079" w:val="left"/>
        </w:tabs>
        <w:numPr>
          <w:ilvl w:val="1"/>
          <w:numId w:val="299"/>
        </w:numPr>
        <w:rPr>
          <w:rFonts w:ascii="Arial" w:cs="Arial" w:eastAsia="Arial" w:hAnsi="Arial"/>
          <w:sz w:val="19"/>
          <w:szCs w:val="19"/>
          <w:color w:val="auto"/>
        </w:rPr>
      </w:pPr>
      <w:r>
        <w:rPr>
          <w:rFonts w:ascii="Arial" w:cs="Arial" w:eastAsia="Arial" w:hAnsi="Arial"/>
          <w:sz w:val="19"/>
          <w:szCs w:val="19"/>
          <w:color w:val="auto"/>
        </w:rPr>
        <w:t>No failure on the part of Secured Party to exercise, no delay in exercising, and no course of dealing with respect to, any Right under this Agreement shall operate as a waiver thereof; nor shall any single or partial exercise by Secured Party of any Right under this Agreement preclude any other or further exercise thereof or the exercise of any other Right.</w:t>
      </w:r>
    </w:p>
    <w:p>
      <w:pPr>
        <w:spacing w:after="0" w:line="170" w:lineRule="exact"/>
        <w:rPr>
          <w:rFonts w:ascii="Arial" w:cs="Arial" w:eastAsia="Arial" w:hAnsi="Arial"/>
          <w:sz w:val="19"/>
          <w:szCs w:val="19"/>
          <w:color w:val="auto"/>
        </w:rPr>
      </w:pPr>
    </w:p>
    <w:p>
      <w:pPr>
        <w:ind w:left="4" w:firstLine="645"/>
        <w:spacing w:after="0" w:line="260" w:lineRule="auto"/>
        <w:tabs>
          <w:tab w:leader="none" w:pos="1076" w:val="left"/>
        </w:tabs>
        <w:numPr>
          <w:ilvl w:val="1"/>
          <w:numId w:val="299"/>
        </w:numPr>
        <w:rPr>
          <w:rFonts w:ascii="Arial" w:cs="Arial" w:eastAsia="Arial" w:hAnsi="Arial"/>
          <w:sz w:val="20"/>
          <w:szCs w:val="20"/>
          <w:color w:val="auto"/>
        </w:rPr>
      </w:pPr>
      <w:r>
        <w:rPr>
          <w:rFonts w:ascii="Arial" w:cs="Arial" w:eastAsia="Arial" w:hAnsi="Arial"/>
          <w:sz w:val="20"/>
          <w:szCs w:val="20"/>
          <w:color w:val="auto"/>
        </w:rPr>
        <w:t>No delay or failure by Secured Party to enforce any provision hereunder shall preclude Secured Party from enforcing any such provision thereafter.</w:t>
      </w:r>
    </w:p>
    <w:p>
      <w:pPr>
        <w:spacing w:after="0" w:line="176" w:lineRule="exact"/>
        <w:rPr>
          <w:rFonts w:ascii="Arial" w:cs="Arial" w:eastAsia="Arial" w:hAnsi="Arial"/>
          <w:sz w:val="20"/>
          <w:szCs w:val="20"/>
          <w:color w:val="auto"/>
        </w:rPr>
      </w:pPr>
    </w:p>
    <w:p>
      <w:pPr>
        <w:jc w:val="both"/>
        <w:ind w:left="4" w:firstLine="645"/>
        <w:spacing w:after="0" w:line="250" w:lineRule="auto"/>
        <w:tabs>
          <w:tab w:leader="none" w:pos="1092" w:val="left"/>
        </w:tabs>
        <w:numPr>
          <w:ilvl w:val="1"/>
          <w:numId w:val="299"/>
        </w:numPr>
        <w:rPr>
          <w:rFonts w:ascii="Arial" w:cs="Arial" w:eastAsia="Arial" w:hAnsi="Arial"/>
          <w:sz w:val="20"/>
          <w:szCs w:val="20"/>
          <w:color w:val="auto"/>
        </w:rPr>
      </w:pPr>
      <w:r>
        <w:rPr>
          <w:rFonts w:ascii="Arial" w:cs="Arial" w:eastAsia="Arial" w:hAnsi="Arial"/>
          <w:sz w:val="20"/>
          <w:szCs w:val="20"/>
          <w:color w:val="auto"/>
        </w:rPr>
        <w:t>Secured Party shall be under no duty or obligation whatsoever to give Debtor notice of, or to exercise, any subscription Rights or privileges, any Rights or privileges to exchange, convert, or redeem, or any other Rights or privileges relating to or affecting any Collateral.</w:t>
      </w:r>
    </w:p>
    <w:p>
      <w:pPr>
        <w:spacing w:after="0" w:line="186" w:lineRule="exact"/>
        <w:rPr>
          <w:rFonts w:ascii="Arial" w:cs="Arial" w:eastAsia="Arial" w:hAnsi="Arial"/>
          <w:sz w:val="20"/>
          <w:szCs w:val="20"/>
          <w:color w:val="auto"/>
        </w:rPr>
      </w:pPr>
    </w:p>
    <w:p>
      <w:pPr>
        <w:jc w:val="both"/>
        <w:ind w:left="4" w:firstLine="645"/>
        <w:spacing w:after="0" w:line="278" w:lineRule="auto"/>
        <w:tabs>
          <w:tab w:leader="none" w:pos="1076" w:val="left"/>
        </w:tabs>
        <w:numPr>
          <w:ilvl w:val="1"/>
          <w:numId w:val="299"/>
        </w:numPr>
        <w:rPr>
          <w:rFonts w:ascii="Arial" w:cs="Arial" w:eastAsia="Arial" w:hAnsi="Arial"/>
          <w:sz w:val="18"/>
          <w:szCs w:val="18"/>
          <w:color w:val="auto"/>
        </w:rPr>
      </w:pPr>
      <w:r>
        <w:rPr>
          <w:rFonts w:ascii="Arial" w:cs="Arial" w:eastAsia="Arial" w:hAnsi="Arial"/>
          <w:sz w:val="18"/>
          <w:szCs w:val="18"/>
          <w:color w:val="auto"/>
        </w:rPr>
        <w:t>Debtor, to the extent it may lawfully do so, (i) agrees that it will not at any time, in any manner whatsoever, claim or take the benefit or advantage of any appraisement, valuation, stay, extension, moratorium, turnover or redemption Law, or any Law permitting it to direct the order in which the Collateral shall be sold, now or at any time hereafter in force, which may delay, prevent, or otherwise affect the performance or enforcement of this Agreement, (ii) hereby waives all benefit or advantage of all such Laws and covenants, and (iii) agrees that it will suffer and permit the execution of every such power as though no such Law were in force.</w:t>
      </w:r>
    </w:p>
    <w:p>
      <w:pPr>
        <w:spacing w:after="0" w:line="165" w:lineRule="exact"/>
        <w:rPr>
          <w:rFonts w:ascii="Arial" w:cs="Arial" w:eastAsia="Arial" w:hAnsi="Arial"/>
          <w:sz w:val="18"/>
          <w:szCs w:val="18"/>
          <w:color w:val="auto"/>
        </w:rPr>
      </w:pPr>
    </w:p>
    <w:p>
      <w:pPr>
        <w:jc w:val="both"/>
        <w:ind w:left="4" w:firstLine="645"/>
        <w:spacing w:after="0" w:line="244" w:lineRule="auto"/>
        <w:tabs>
          <w:tab w:leader="none" w:pos="1092" w:val="left"/>
        </w:tabs>
        <w:numPr>
          <w:ilvl w:val="1"/>
          <w:numId w:val="299"/>
        </w:numPr>
        <w:rPr>
          <w:rFonts w:ascii="Arial" w:cs="Arial" w:eastAsia="Arial" w:hAnsi="Arial"/>
          <w:sz w:val="20"/>
          <w:szCs w:val="20"/>
          <w:color w:val="auto"/>
        </w:rPr>
      </w:pPr>
      <w:r>
        <w:rPr>
          <w:rFonts w:ascii="Arial" w:cs="Arial" w:eastAsia="Arial" w:hAnsi="Arial"/>
          <w:sz w:val="20"/>
          <w:szCs w:val="20"/>
          <w:color w:val="auto"/>
        </w:rPr>
        <w:t>Debtor, to the extent it may lawfully do so, on behalf of itself and all who claim through or under it, including, without limitation, any and all subsequent creditors, vendees, assignees, and lienors, waives and releases all Rights to demand or to have any marshalling of the Collateral upon any sale, whether made under any power of sale granted in this Agreement or pursuant to judicial proceedings or upon foreclosure or any enforcement of this Agreement and consents and agrees that all the Collateral may at any such sale be offered and sold as an entirety.</w:t>
      </w:r>
    </w:p>
    <w:p>
      <w:pPr>
        <w:spacing w:after="0" w:line="194" w:lineRule="exact"/>
        <w:rPr>
          <w:rFonts w:ascii="Arial" w:cs="Arial" w:eastAsia="Arial" w:hAnsi="Arial"/>
          <w:sz w:val="20"/>
          <w:szCs w:val="20"/>
          <w:color w:val="auto"/>
        </w:rPr>
      </w:pPr>
    </w:p>
    <w:p>
      <w:pPr>
        <w:jc w:val="both"/>
        <w:ind w:left="4" w:firstLine="645"/>
        <w:spacing w:after="0" w:line="250" w:lineRule="auto"/>
        <w:tabs>
          <w:tab w:leader="none" w:pos="1138" w:val="left"/>
        </w:tabs>
        <w:numPr>
          <w:ilvl w:val="1"/>
          <w:numId w:val="299"/>
        </w:numPr>
        <w:rPr>
          <w:rFonts w:ascii="Arial" w:cs="Arial" w:eastAsia="Arial" w:hAnsi="Arial"/>
          <w:sz w:val="20"/>
          <w:szCs w:val="20"/>
          <w:color w:val="auto"/>
        </w:rPr>
      </w:pPr>
      <w:r>
        <w:rPr>
          <w:rFonts w:ascii="Arial" w:cs="Arial" w:eastAsia="Arial" w:hAnsi="Arial"/>
          <w:sz w:val="20"/>
          <w:szCs w:val="20"/>
          <w:color w:val="auto"/>
        </w:rPr>
        <w:t>Debtor waives, to the extent permitted by applicable Law, presentment, demand, protest, and any notice of any kind (</w:t>
      </w:r>
      <w:r>
        <w:rPr>
          <w:rFonts w:ascii="Arial" w:cs="Arial" w:eastAsia="Arial" w:hAnsi="Arial"/>
          <w:sz w:val="20"/>
          <w:szCs w:val="20"/>
          <w:i w:val="1"/>
          <w:iCs w:val="1"/>
          <w:color w:val="auto"/>
        </w:rPr>
        <w:t>except</w:t>
      </w:r>
      <w:r>
        <w:rPr>
          <w:rFonts w:ascii="Arial" w:cs="Arial" w:eastAsia="Arial" w:hAnsi="Arial"/>
          <w:sz w:val="20"/>
          <w:szCs w:val="20"/>
          <w:color w:val="auto"/>
        </w:rPr>
        <w:t xml:space="preserve"> notices explicitly required under this Agreement) in connection with this agreement and any action taken by Secured Party with respect to the Collateral.</w:t>
      </w:r>
    </w:p>
    <w:p>
      <w:pPr>
        <w:spacing w:after="0" w:line="186" w:lineRule="exact"/>
        <w:rPr>
          <w:rFonts w:ascii="Arial" w:cs="Arial" w:eastAsia="Arial" w:hAnsi="Arial"/>
          <w:sz w:val="20"/>
          <w:szCs w:val="20"/>
          <w:color w:val="auto"/>
        </w:rPr>
      </w:pPr>
    </w:p>
    <w:p>
      <w:pPr>
        <w:ind w:left="1084" w:hanging="435"/>
        <w:spacing w:after="0"/>
        <w:tabs>
          <w:tab w:leader="none" w:pos="1084" w:val="left"/>
        </w:tabs>
        <w:numPr>
          <w:ilvl w:val="1"/>
          <w:numId w:val="299"/>
        </w:numPr>
        <w:rPr>
          <w:rFonts w:ascii="Arial" w:cs="Arial" w:eastAsia="Arial" w:hAnsi="Arial"/>
          <w:sz w:val="18"/>
          <w:szCs w:val="18"/>
          <w:color w:val="auto"/>
        </w:rPr>
      </w:pPr>
      <w:r>
        <w:rPr>
          <w:rFonts w:ascii="Arial" w:cs="Arial" w:eastAsia="Arial" w:hAnsi="Arial"/>
          <w:sz w:val="18"/>
          <w:szCs w:val="18"/>
          <w:color w:val="auto"/>
        </w:rPr>
        <w:t>The Rights in this Agreement are cumulative and are not exclusive of any other remedies provided by Law or any other</w:t>
      </w:r>
    </w:p>
    <w:p>
      <w:pPr>
        <w:spacing w:after="0" w:line="38"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20"/>
          <w:szCs w:val="20"/>
          <w:color w:val="auto"/>
        </w:rPr>
        <w:t>contract.</w:t>
      </w:r>
    </w:p>
    <w:p>
      <w:pPr>
        <w:spacing w:after="0" w:line="199" w:lineRule="exact"/>
        <w:rPr>
          <w:rFonts w:ascii="Arial" w:cs="Arial" w:eastAsia="Arial" w:hAnsi="Arial"/>
          <w:sz w:val="18"/>
          <w:szCs w:val="18"/>
          <w:color w:val="auto"/>
        </w:rPr>
      </w:pPr>
    </w:p>
    <w:p>
      <w:pPr>
        <w:jc w:val="both"/>
        <w:ind w:left="-656" w:firstLine="656"/>
        <w:spacing w:after="0" w:line="246" w:lineRule="auto"/>
        <w:tabs>
          <w:tab w:leader="none" w:pos="500" w:val="left"/>
        </w:tabs>
        <w:numPr>
          <w:ilvl w:val="0"/>
          <w:numId w:val="299"/>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This Agreement is for the benefit of Secured Party and Lenders and their respective successors and permitted assigns, and in the event of an assignment of all or any of the Secured Obligation, the Rights hereunder, to the extent applicable to the portion assigned, shall be transferred therewith. This Agreement shall be binding on the undersigned, Secured Party, Lenders, and their respective successors and permitted assigns.</w:t>
      </w:r>
    </w:p>
    <w:p>
      <w:pPr>
        <w:spacing w:after="0" w:line="191" w:lineRule="exact"/>
        <w:rPr>
          <w:rFonts w:ascii="Arial" w:cs="Arial" w:eastAsia="Arial" w:hAnsi="Arial"/>
          <w:sz w:val="20"/>
          <w:szCs w:val="20"/>
          <w:color w:val="auto"/>
        </w:rPr>
      </w:pPr>
    </w:p>
    <w:p>
      <w:pPr>
        <w:ind w:left="-656" w:firstLine="656"/>
        <w:spacing w:after="0" w:line="260" w:lineRule="auto"/>
        <w:tabs>
          <w:tab w:leader="none" w:pos="419" w:val="left"/>
        </w:tabs>
        <w:numPr>
          <w:ilvl w:val="0"/>
          <w:numId w:val="299"/>
        </w:numPr>
        <w:rPr>
          <w:rFonts w:ascii="Arial" w:cs="Arial" w:eastAsia="Arial" w:hAnsi="Arial"/>
          <w:sz w:val="20"/>
          <w:szCs w:val="20"/>
          <w:color w:val="auto"/>
        </w:rPr>
      </w:pPr>
      <w:r>
        <w:rPr>
          <w:rFonts w:ascii="Arial" w:cs="Arial" w:eastAsia="Arial" w:hAnsi="Arial"/>
          <w:sz w:val="20"/>
          <w:szCs w:val="20"/>
          <w:u w:val="single" w:color="auto"/>
          <w:color w:val="auto"/>
        </w:rPr>
        <w:t>Loan Paper</w:t>
      </w:r>
      <w:r>
        <w:rPr>
          <w:rFonts w:ascii="Arial" w:cs="Arial" w:eastAsia="Arial" w:hAnsi="Arial"/>
          <w:sz w:val="20"/>
          <w:szCs w:val="20"/>
          <w:color w:val="auto"/>
        </w:rPr>
        <w:t xml:space="preserve">. This Agreement is a Loan Paper and is subject to the applicable provisions of </w:t>
      </w:r>
      <w:r>
        <w:rPr>
          <w:rFonts w:ascii="Arial" w:cs="Arial" w:eastAsia="Arial" w:hAnsi="Arial"/>
          <w:sz w:val="20"/>
          <w:szCs w:val="20"/>
          <w:i w:val="1"/>
          <w:iCs w:val="1"/>
          <w:color w:val="auto"/>
        </w:rPr>
        <w:t>Section 15</w:t>
      </w:r>
      <w:r>
        <w:rPr>
          <w:rFonts w:ascii="Arial" w:cs="Arial" w:eastAsia="Arial" w:hAnsi="Arial"/>
          <w:sz w:val="20"/>
          <w:szCs w:val="20"/>
          <w:color w:val="auto"/>
        </w:rPr>
        <w:t xml:space="preserve"> of the Credit Agreement, all of which are incorporated into this Agreement by reference the same as if set forth in this Agreement verbatim.</w:t>
      </w:r>
    </w:p>
    <w:p>
      <w:pPr>
        <w:spacing w:after="0" w:line="176" w:lineRule="exact"/>
        <w:rPr>
          <w:rFonts w:ascii="Arial" w:cs="Arial" w:eastAsia="Arial" w:hAnsi="Arial"/>
          <w:sz w:val="20"/>
          <w:szCs w:val="20"/>
          <w:color w:val="auto"/>
        </w:rPr>
      </w:pPr>
    </w:p>
    <w:p>
      <w:pPr>
        <w:jc w:val="both"/>
        <w:ind w:left="-656" w:firstLine="656"/>
        <w:spacing w:after="0" w:line="246" w:lineRule="auto"/>
        <w:tabs>
          <w:tab w:leader="none" w:pos="500" w:val="left"/>
        </w:tabs>
        <w:numPr>
          <w:ilvl w:val="0"/>
          <w:numId w:val="299"/>
        </w:numPr>
        <w:rPr>
          <w:rFonts w:ascii="Arial" w:cs="Arial" w:eastAsia="Arial" w:hAnsi="Arial"/>
          <w:sz w:val="20"/>
          <w:szCs w:val="20"/>
          <w:color w:val="auto"/>
        </w:rPr>
      </w:pPr>
      <w:r>
        <w:rPr>
          <w:rFonts w:ascii="Arial" w:cs="Arial" w:eastAsia="Arial" w:hAnsi="Arial"/>
          <w:sz w:val="20"/>
          <w:szCs w:val="20"/>
          <w:u w:val="single" w:color="auto"/>
          <w:color w:val="auto"/>
        </w:rPr>
        <w:t>Costs</w:t>
      </w:r>
      <w:r>
        <w:rPr>
          <w:rFonts w:ascii="Arial" w:cs="Arial" w:eastAsia="Arial" w:hAnsi="Arial"/>
          <w:sz w:val="20"/>
          <w:szCs w:val="20"/>
          <w:color w:val="auto"/>
        </w:rPr>
        <w:t>. All advances, charges, costs, and expenses, including reasonable Attorney Costs, incurred or paid by Secured Party in exercising any Right, power, or remedy conferred by this Agreement or in the enforcement thereof, shall become a part of the Debt secured hereunder and shall be paid to Secured Party by Borrower and Debtor immediately and without demand, with interest thereon at an annual rate equal</w:t>
      </w:r>
    </w:p>
    <w:p>
      <w:pPr>
        <w:sectPr>
          <w:pgSz w:w="11900" w:h="16838" w:orient="portrait"/>
          <w:cols w:equalWidth="0" w:num="1">
            <w:col w:w="10764"/>
          </w:cols>
          <w:pgMar w:left="896" w:top="650" w:right="239" w:bottom="1440" w:gutter="0" w:footer="0" w:header="0"/>
        </w:sectPr>
      </w:pPr>
    </w:p>
    <w:bookmarkStart w:id="260" w:name="page261"/>
    <w:bookmarkEnd w:id="260"/>
    <w:p>
      <w:pPr>
        <w:spacing w:after="0" w:line="260" w:lineRule="auto"/>
        <w:rPr>
          <w:sz w:val="20"/>
          <w:szCs w:val="20"/>
          <w:color w:val="auto"/>
        </w:rPr>
      </w:pPr>
      <w:r>
        <w:rPr>
          <w:rFonts w:ascii="Arial" w:cs="Arial" w:eastAsia="Arial" w:hAnsi="Arial"/>
          <w:sz w:val="20"/>
          <w:szCs w:val="20"/>
          <w:color w:val="auto"/>
        </w:rPr>
        <w:t>to the highest rate of interest of any Debt secured by this Agreement (or, if there is no such interest rate, at the maximum interest rate permitted by Law for interest on judgments).</w:t>
      </w:r>
    </w:p>
    <w:p>
      <w:pPr>
        <w:spacing w:after="0" w:line="177" w:lineRule="exact"/>
        <w:rPr>
          <w:sz w:val="20"/>
          <w:szCs w:val="20"/>
          <w:color w:val="auto"/>
        </w:rPr>
      </w:pPr>
    </w:p>
    <w:p>
      <w:pPr>
        <w:ind w:left="1080" w:hanging="424"/>
        <w:spacing w:after="0"/>
        <w:tabs>
          <w:tab w:leader="none" w:pos="1080" w:val="left"/>
        </w:tabs>
        <w:numPr>
          <w:ilvl w:val="0"/>
          <w:numId w:val="300"/>
        </w:numPr>
        <w:rPr>
          <w:rFonts w:ascii="Arial" w:cs="Arial" w:eastAsia="Arial" w:hAnsi="Arial"/>
          <w:sz w:val="20"/>
          <w:szCs w:val="20"/>
          <w:color w:val="auto"/>
        </w:rPr>
      </w:pPr>
      <w:r>
        <w:rPr>
          <w:rFonts w:ascii="Arial" w:cs="Arial" w:eastAsia="Arial" w:hAnsi="Arial"/>
          <w:sz w:val="20"/>
          <w:szCs w:val="20"/>
          <w:u w:val="single" w:color="auto"/>
          <w:color w:val="auto"/>
        </w:rPr>
        <w:t>Authority to file Financing Statements; Further Assurances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5"/>
        <w:spacing w:after="0" w:line="243" w:lineRule="auto"/>
        <w:tabs>
          <w:tab w:leader="none" w:pos="1773" w:val="left"/>
        </w:tabs>
        <w:numPr>
          <w:ilvl w:val="1"/>
          <w:numId w:val="300"/>
        </w:numPr>
        <w:rPr>
          <w:rFonts w:ascii="Arial" w:cs="Arial" w:eastAsia="Arial" w:hAnsi="Arial"/>
          <w:sz w:val="20"/>
          <w:szCs w:val="20"/>
          <w:color w:val="auto"/>
        </w:rPr>
      </w:pPr>
      <w:r>
        <w:rPr>
          <w:rFonts w:ascii="Arial" w:cs="Arial" w:eastAsia="Arial" w:hAnsi="Arial"/>
          <w:sz w:val="20"/>
          <w:szCs w:val="20"/>
          <w:color w:val="auto"/>
        </w:rPr>
        <w:t>Debtor hereby authorizes Secured Party to file one or more financing statements describing all or part of the Collateral, and continuation statements, or amendments thereto, relative to all or part of the Collateral as authorized by applicable Law. Such financing statements, continuation statements, and amendments will contain any other information required by the UCC for the sufficiency or filing office acceptance of any financing statement, continuation statement or amendment, including whether Debtor is an organization, the type of organization, and any organizational identification number issued to Debtor. Debtor agrees to furnish any such information to Secured Party promptly upon request.</w:t>
      </w:r>
    </w:p>
    <w:p>
      <w:pPr>
        <w:spacing w:after="0" w:line="196" w:lineRule="exact"/>
        <w:rPr>
          <w:rFonts w:ascii="Arial" w:cs="Arial" w:eastAsia="Arial" w:hAnsi="Arial"/>
          <w:sz w:val="20"/>
          <w:szCs w:val="20"/>
          <w:color w:val="auto"/>
        </w:rPr>
      </w:pPr>
    </w:p>
    <w:p>
      <w:pPr>
        <w:jc w:val="both"/>
        <w:ind w:left="660" w:firstLine="645"/>
        <w:spacing w:after="0" w:line="291" w:lineRule="auto"/>
        <w:tabs>
          <w:tab w:leader="none" w:pos="1763" w:val="left"/>
        </w:tabs>
        <w:numPr>
          <w:ilvl w:val="1"/>
          <w:numId w:val="300"/>
        </w:numPr>
        <w:rPr>
          <w:rFonts w:ascii="Arial" w:cs="Arial" w:eastAsia="Arial" w:hAnsi="Arial"/>
          <w:sz w:val="18"/>
          <w:szCs w:val="18"/>
          <w:color w:val="auto"/>
        </w:rPr>
      </w:pPr>
      <w:r>
        <w:rPr>
          <w:rFonts w:ascii="Arial" w:cs="Arial" w:eastAsia="Arial" w:hAnsi="Arial"/>
          <w:sz w:val="18"/>
          <w:szCs w:val="18"/>
          <w:color w:val="auto"/>
        </w:rPr>
        <w:t>Debtor and Borrower shall, at the request of Secured Party, execute such other agreements, documents, or instruments in connection with this Agreement as Secured Party may reasonably deem necessary to evidence or perfect the security interests granted herein, to maintain the first priority of the security interests, or to effectuate the Rights granted to Secured Party herein.</w:t>
      </w:r>
    </w:p>
    <w:p>
      <w:pPr>
        <w:spacing w:after="0" w:line="151" w:lineRule="exact"/>
        <w:rPr>
          <w:rFonts w:ascii="Arial" w:cs="Arial" w:eastAsia="Arial" w:hAnsi="Arial"/>
          <w:sz w:val="18"/>
          <w:szCs w:val="18"/>
          <w:color w:val="auto"/>
        </w:rPr>
      </w:pPr>
    </w:p>
    <w:p>
      <w:pPr>
        <w:ind w:right="20" w:firstLine="656"/>
        <w:spacing w:after="0" w:line="260" w:lineRule="auto"/>
        <w:tabs>
          <w:tab w:leader="none" w:pos="1116" w:val="left"/>
        </w:tabs>
        <w:numPr>
          <w:ilvl w:val="0"/>
          <w:numId w:val="300"/>
        </w:numPr>
        <w:rPr>
          <w:rFonts w:ascii="Arial" w:cs="Arial" w:eastAsia="Arial" w:hAnsi="Arial"/>
          <w:sz w:val="20"/>
          <w:szCs w:val="20"/>
          <w:color w:val="auto"/>
        </w:rPr>
      </w:pPr>
      <w:r>
        <w:rPr>
          <w:rFonts w:ascii="Arial" w:cs="Arial" w:eastAsia="Arial" w:hAnsi="Arial"/>
          <w:sz w:val="20"/>
          <w:szCs w:val="20"/>
          <w:u w:val="single" w:color="auto"/>
          <w:color w:val="auto"/>
        </w:rPr>
        <w:t>UCC</w:t>
      </w:r>
      <w:r>
        <w:rPr>
          <w:rFonts w:ascii="Arial" w:cs="Arial" w:eastAsia="Arial" w:hAnsi="Arial"/>
          <w:sz w:val="20"/>
          <w:szCs w:val="20"/>
          <w:color w:val="auto"/>
        </w:rPr>
        <w:t>. Any term used or defined in the UCC and not defined in this Agreement has the meaning given to the term in the UCC, when used in this Agreement.</w:t>
      </w:r>
    </w:p>
    <w:p>
      <w:pPr>
        <w:spacing w:after="0" w:line="176" w:lineRule="exact"/>
        <w:rPr>
          <w:rFonts w:ascii="Arial" w:cs="Arial" w:eastAsia="Arial" w:hAnsi="Arial"/>
          <w:sz w:val="20"/>
          <w:szCs w:val="20"/>
          <w:color w:val="auto"/>
        </w:rPr>
      </w:pPr>
    </w:p>
    <w:p>
      <w:pPr>
        <w:jc w:val="both"/>
        <w:ind w:firstLine="656"/>
        <w:spacing w:after="0" w:line="246" w:lineRule="auto"/>
        <w:tabs>
          <w:tab w:leader="none" w:pos="1251" w:val="left"/>
        </w:tabs>
        <w:numPr>
          <w:ilvl w:val="0"/>
          <w:numId w:val="300"/>
        </w:numPr>
        <w:rPr>
          <w:rFonts w:ascii="Arial" w:cs="Arial" w:eastAsia="Arial" w:hAnsi="Arial"/>
          <w:sz w:val="20"/>
          <w:szCs w:val="20"/>
          <w:color w:val="auto"/>
        </w:rPr>
      </w:pPr>
      <w:r>
        <w:rPr>
          <w:rFonts w:ascii="Arial" w:cs="Arial" w:eastAsia="Arial" w:hAnsi="Arial"/>
          <w:sz w:val="20"/>
          <w:szCs w:val="20"/>
          <w:u w:val="single" w:color="auto"/>
          <w:color w:val="auto"/>
        </w:rPr>
        <w:t>NOTICE OF FINAL AGREEMENT</w:t>
      </w:r>
      <w:r>
        <w:rPr>
          <w:rFonts w:ascii="Arial" w:cs="Arial" w:eastAsia="Arial" w:hAnsi="Arial"/>
          <w:sz w:val="20"/>
          <w:szCs w:val="20"/>
          <w:color w:val="auto"/>
        </w:rPr>
        <w:t>. THIS WRITTEN SECURITY AGREEMENT AND ANY OTHER DOCUMENTS EXECUTED IN CONNECTION WITH THIS SECURITY AGREEMENT REPRESENT THE FINAL AGREEMENT BETWEEN THE PARTIES AND MAY NOT BE CONTRADICTED BY EVIDENCE OF PRIOR, CONTEMPORANEOUS OR SUBSEQUENT ORAL AGREEMENTS OF THE PARTIES. THERE ARE NO UNWRITTEN ORAL AGREEMENTS BETWEEN THE PARTIES.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[SIGNATURES BEGIN ON THE FOLLOWING PAGE]</w:t>
      </w:r>
    </w:p>
    <w:p>
      <w:pPr>
        <w:sectPr>
          <w:pgSz w:w="11900" w:h="16838" w:orient="portrait"/>
          <w:cols w:equalWidth="0" w:num="1">
            <w:col w:w="11420"/>
          </w:cols>
          <w:pgMar w:left="240" w:top="649" w:right="239" w:bottom="1440" w:gutter="0" w:footer="0" w:header="0"/>
        </w:sectPr>
      </w:pPr>
    </w:p>
    <w:bookmarkStart w:id="261" w:name="page262"/>
    <w:bookmarkEnd w:id="261"/>
    <w:p>
      <w:pPr>
        <w:ind w:left="660"/>
        <w:spacing w:after="0"/>
        <w:rPr>
          <w:sz w:val="20"/>
          <w:szCs w:val="20"/>
          <w:color w:val="auto"/>
        </w:rPr>
      </w:pPr>
      <w:r>
        <w:rPr>
          <w:rFonts w:ascii="Arial" w:cs="Arial" w:eastAsia="Arial" w:hAnsi="Arial"/>
          <w:sz w:val="20"/>
          <w:szCs w:val="20"/>
          <w:color w:val="auto"/>
        </w:rPr>
        <w:t>In Witness Whereof, Debtor has executed this Agreement by its duly authorized officer, as of the date first written above.</w:t>
      </w:r>
    </w:p>
    <w:p>
      <w:pPr>
        <w:spacing w:after="0" w:line="200" w:lineRule="exact"/>
        <w:rPr>
          <w:sz w:val="20"/>
          <w:szCs w:val="20"/>
          <w:color w:val="auto"/>
        </w:rPr>
      </w:pPr>
    </w:p>
    <w:p>
      <w:pPr>
        <w:spacing w:after="0" w:line="299" w:lineRule="exact"/>
        <w:rPr>
          <w:sz w:val="20"/>
          <w:szCs w:val="20"/>
          <w:color w:val="auto"/>
        </w:rPr>
      </w:pPr>
    </w:p>
    <w:p>
      <w:pPr>
        <w:ind w:left="140"/>
        <w:spacing w:after="0"/>
        <w:tabs>
          <w:tab w:leader="none" w:pos="5800" w:val="left"/>
        </w:tabs>
        <w:rPr>
          <w:sz w:val="20"/>
          <w:szCs w:val="20"/>
          <w:color w:val="auto"/>
        </w:rPr>
      </w:pPr>
      <w:r>
        <w:rPr>
          <w:rFonts w:ascii="Arial" w:cs="Arial" w:eastAsia="Arial" w:hAnsi="Arial"/>
          <w:sz w:val="20"/>
          <w:szCs w:val="20"/>
          <w:color w:val="auto"/>
        </w:rPr>
        <w:t>Debtor’s Principal Place of Business/Chief Executive Office:</w:t>
      </w:r>
      <w:r>
        <w:rPr>
          <w:sz w:val="20"/>
          <w:szCs w:val="20"/>
          <w:color w:val="auto"/>
        </w:rPr>
        <w:tab/>
      </w:r>
      <w:r>
        <w:rPr>
          <w:rFonts w:ascii="Arial" w:cs="Arial" w:eastAsia="Arial" w:hAnsi="Arial"/>
          <w:sz w:val="19"/>
          <w:szCs w:val="19"/>
          <w:b w:val="1"/>
          <w:bCs w:val="1"/>
          <w:color w:val="auto"/>
        </w:rPr>
        <w:t>DEBTOR</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190500</wp:posOffset>
            </wp:positionV>
            <wp:extent cx="20288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28825" cy="889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190500</wp:posOffset>
            </wp:positionV>
            <wp:extent cx="22860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86000" cy="8890"/>
                    </a:xfrm>
                    <a:prstGeom prst="rect">
                      <a:avLst/>
                    </a:prstGeom>
                    <a:noFill/>
                  </pic:spPr>
                </pic:pic>
              </a:graphicData>
            </a:graphic>
          </wp:anchor>
        </w:drawing>
      </w:r>
    </w:p>
    <w:p>
      <w:pPr>
        <w:spacing w:after="0" w:line="385" w:lineRule="exact"/>
        <w:rPr>
          <w:sz w:val="20"/>
          <w:szCs w:val="20"/>
          <w:color w:val="auto"/>
        </w:rPr>
      </w:pPr>
    </w:p>
    <w:p>
      <w:pPr>
        <w:ind w:left="140"/>
        <w:spacing w:after="0"/>
        <w:rPr>
          <w:sz w:val="20"/>
          <w:szCs w:val="20"/>
          <w:color w:val="auto"/>
        </w:rPr>
      </w:pPr>
      <w:r>
        <w:rPr>
          <w:rFonts w:ascii="Arial" w:cs="Arial" w:eastAsia="Arial" w:hAnsi="Arial"/>
          <w:sz w:val="20"/>
          <w:szCs w:val="20"/>
          <w:color w:val="auto"/>
        </w:rPr>
        <w:t>Street Address</w:t>
      </w:r>
    </w:p>
    <w:p>
      <w:pPr>
        <w:spacing w:after="0" w:line="81"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-14605</wp:posOffset>
            </wp:positionV>
            <wp:extent cx="20288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28825" cy="8890"/>
                    </a:xfrm>
                    <a:prstGeom prst="rect">
                      <a:avLst/>
                    </a:prstGeom>
                    <a:noFill/>
                  </pic:spPr>
                </pic:pic>
              </a:graphicData>
            </a:graphic>
          </wp:anchor>
        </w:drawing>
        <w:drawing>
          <wp:anchor simplePos="0" relativeHeight="251657728" behindDoc="1" locked="0" layoutInCell="0" allowOverlap="1">
            <wp:simplePos x="0" y="0"/>
            <wp:positionH relativeFrom="column">
              <wp:posOffset>3883025</wp:posOffset>
            </wp:positionH>
            <wp:positionV relativeFrom="paragraph">
              <wp:posOffset>-14605</wp:posOffset>
            </wp:positionV>
            <wp:extent cx="21050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05025" cy="8890"/>
                    </a:xfrm>
                    <a:prstGeom prst="rect">
                      <a:avLst/>
                    </a:prstGeom>
                    <a:noFill/>
                  </pic:spPr>
                </pic:pic>
              </a:graphicData>
            </a:graphic>
          </wp:anchor>
        </w:drawing>
      </w:r>
    </w:p>
    <w:p>
      <w:pPr>
        <w:spacing w:after="0" w:line="61" w:lineRule="exact"/>
        <w:rPr>
          <w:sz w:val="20"/>
          <w:szCs w:val="20"/>
          <w:color w:val="auto"/>
        </w:rPr>
      </w:pPr>
    </w:p>
    <w:p>
      <w:pPr>
        <w:ind w:left="140"/>
        <w:spacing w:after="0"/>
        <w:tabs>
          <w:tab w:leader="none" w:pos="740" w:val="left"/>
          <w:tab w:leader="none" w:pos="1400" w:val="left"/>
        </w:tabs>
        <w:rPr>
          <w:sz w:val="20"/>
          <w:szCs w:val="20"/>
          <w:color w:val="auto"/>
        </w:rPr>
      </w:pPr>
      <w:r>
        <w:rPr>
          <w:rFonts w:ascii="Arial" w:cs="Arial" w:eastAsia="Arial" w:hAnsi="Arial"/>
          <w:sz w:val="20"/>
          <w:szCs w:val="20"/>
          <w:color w:val="auto"/>
        </w:rPr>
        <w:t>City</w:t>
        <w:tab/>
        <w:t>State</w:t>
        <w:tab/>
        <w:t>Zip</w:t>
      </w:r>
    </w:p>
    <w:p>
      <w:pPr>
        <w:spacing w:after="0" w:line="310"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4000500</wp:posOffset>
            </wp:positionH>
            <wp:positionV relativeFrom="paragraph">
              <wp:posOffset>-14605</wp:posOffset>
            </wp:positionV>
            <wp:extent cx="19792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79295" cy="8890"/>
                    </a:xfrm>
                    <a:prstGeom prst="rect">
                      <a:avLst/>
                    </a:prstGeom>
                    <a:noFill/>
                  </pic:spPr>
                </pic:pic>
              </a:graphicData>
            </a:graphic>
          </wp:anchor>
        </w:drawing>
      </w:r>
    </w:p>
    <w:p>
      <w:pPr>
        <w:spacing w:after="0" w:line="317"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3973195</wp:posOffset>
            </wp:positionH>
            <wp:positionV relativeFrom="paragraph">
              <wp:posOffset>-14605</wp:posOffset>
            </wp:positionV>
            <wp:extent cx="20421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042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40" w:type="dxa"/>
            <w:vAlign w:val="bottom"/>
            <w:gridSpan w:val="2"/>
          </w:tcPr>
          <w:p>
            <w:pPr>
              <w:spacing w:after="0"/>
              <w:rPr>
                <w:sz w:val="20"/>
                <w:szCs w:val="20"/>
                <w:color w:val="auto"/>
              </w:rPr>
            </w:pPr>
            <w:r>
              <w:rPr>
                <w:rFonts w:ascii="Arial" w:cs="Arial" w:eastAsia="Arial" w:hAnsi="Arial"/>
                <w:sz w:val="20"/>
                <w:szCs w:val="20"/>
                <w:color w:val="auto"/>
                <w:w w:val="93"/>
              </w:rPr>
              <w:t>Debtor’s type of organization:</w:t>
            </w:r>
          </w:p>
        </w:tc>
        <w:tc>
          <w:tcPr>
            <w:tcW w:w="800" w:type="dxa"/>
            <w:vAlign w:val="bottom"/>
            <w:tcBorders>
              <w:bottom w:val="single" w:sz="8" w:color="auto"/>
            </w:tcBorders>
          </w:tcPr>
          <w:p>
            <w:pPr>
              <w:spacing w:after="0"/>
              <w:rPr>
                <w:sz w:val="19"/>
                <w:szCs w:val="19"/>
                <w:color w:val="auto"/>
              </w:rPr>
            </w:pPr>
          </w:p>
        </w:tc>
        <w:tc>
          <w:tcPr>
            <w:tcW w:w="248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760"/>
        </w:trPr>
        <w:tc>
          <w:tcPr>
            <w:tcW w:w="140" w:type="dxa"/>
            <w:vAlign w:val="bottom"/>
          </w:tcPr>
          <w:p>
            <w:pPr>
              <w:spacing w:after="0"/>
              <w:rPr>
                <w:sz w:val="24"/>
                <w:szCs w:val="24"/>
                <w:color w:val="auto"/>
              </w:rPr>
            </w:pPr>
          </w:p>
        </w:tc>
        <w:tc>
          <w:tcPr>
            <w:tcW w:w="5580" w:type="dxa"/>
            <w:vAlign w:val="bottom"/>
            <w:gridSpan w:val="4"/>
          </w:tcPr>
          <w:p>
            <w:pPr>
              <w:spacing w:after="0"/>
              <w:rPr>
                <w:sz w:val="20"/>
                <w:szCs w:val="20"/>
                <w:color w:val="auto"/>
              </w:rPr>
            </w:pPr>
            <w:r>
              <w:rPr>
                <w:rFonts w:ascii="Arial" w:cs="Arial" w:eastAsia="Arial" w:hAnsi="Arial"/>
                <w:sz w:val="20"/>
                <w:szCs w:val="20"/>
                <w:color w:val="auto"/>
                <w:w w:val="95"/>
              </w:rPr>
              <w:t>Debtor’s  state  of  incorporation  or  organization  (if  Debtor  is  a</w:t>
            </w:r>
          </w:p>
        </w:tc>
        <w:tc>
          <w:tcPr>
            <w:tcW w:w="5600" w:type="dxa"/>
            <w:vAlign w:val="bottom"/>
            <w:gridSpan w:val="3"/>
          </w:tcPr>
          <w:p>
            <w:pPr>
              <w:ind w:left="60"/>
              <w:spacing w:after="0"/>
              <w:rPr>
                <w:sz w:val="20"/>
                <w:szCs w:val="20"/>
                <w:color w:val="auto"/>
              </w:rPr>
            </w:pPr>
            <w:r>
              <w:rPr>
                <w:rFonts w:ascii="Arial" w:cs="Arial" w:eastAsia="Arial" w:hAnsi="Arial"/>
                <w:sz w:val="20"/>
                <w:szCs w:val="20"/>
                <w:color w:val="auto"/>
                <w:w w:val="91"/>
              </w:rPr>
              <w:t>Debtor’s organizational identification number, if any, assigned by the</w:t>
            </w:r>
          </w:p>
        </w:tc>
      </w:tr>
      <w:tr>
        <w:trPr>
          <w:trHeight w:val="230"/>
        </w:trPr>
        <w:tc>
          <w:tcPr>
            <w:tcW w:w="140" w:type="dxa"/>
            <w:vAlign w:val="bottom"/>
          </w:tcPr>
          <w:p>
            <w:pPr>
              <w:spacing w:after="0"/>
              <w:rPr>
                <w:sz w:val="19"/>
                <w:szCs w:val="19"/>
                <w:color w:val="auto"/>
              </w:rPr>
            </w:pPr>
          </w:p>
        </w:tc>
        <w:tc>
          <w:tcPr>
            <w:tcW w:w="5580" w:type="dxa"/>
            <w:vAlign w:val="bottom"/>
            <w:gridSpan w:val="4"/>
          </w:tcPr>
          <w:p>
            <w:pPr>
              <w:spacing w:after="0"/>
              <w:rPr>
                <w:sz w:val="20"/>
                <w:szCs w:val="20"/>
                <w:color w:val="auto"/>
              </w:rPr>
            </w:pPr>
            <w:r>
              <w:rPr>
                <w:rFonts w:ascii="Arial" w:cs="Arial" w:eastAsia="Arial" w:hAnsi="Arial"/>
                <w:sz w:val="20"/>
                <w:szCs w:val="20"/>
                <w:color w:val="auto"/>
                <w:w w:val="97"/>
              </w:rPr>
              <w:t>corporation, limited partnership, limited liability company or other</w:t>
            </w:r>
          </w:p>
        </w:tc>
        <w:tc>
          <w:tcPr>
            <w:tcW w:w="5600" w:type="dxa"/>
            <w:vAlign w:val="bottom"/>
            <w:gridSpan w:val="3"/>
          </w:tcPr>
          <w:p>
            <w:pPr>
              <w:ind w:left="60"/>
              <w:spacing w:after="0"/>
              <w:rPr>
                <w:sz w:val="20"/>
                <w:szCs w:val="20"/>
                <w:color w:val="auto"/>
              </w:rPr>
            </w:pPr>
            <w:r>
              <w:rPr>
                <w:rFonts w:ascii="Arial" w:cs="Arial" w:eastAsia="Arial" w:hAnsi="Arial"/>
                <w:sz w:val="20"/>
                <w:szCs w:val="20"/>
                <w:color w:val="auto"/>
              </w:rPr>
              <w:t>state  of  incorporation  or  organization  (if  no  organizational</w:t>
            </w:r>
          </w:p>
        </w:tc>
      </w:tr>
      <w:tr>
        <w:trPr>
          <w:trHeight w:val="250"/>
        </w:trPr>
        <w:tc>
          <w:tcPr>
            <w:tcW w:w="140" w:type="dxa"/>
            <w:vAlign w:val="bottom"/>
          </w:tcPr>
          <w:p>
            <w:pPr>
              <w:spacing w:after="0"/>
              <w:rPr>
                <w:sz w:val="21"/>
                <w:szCs w:val="21"/>
                <w:color w:val="auto"/>
              </w:rPr>
            </w:pPr>
          </w:p>
        </w:tc>
        <w:tc>
          <w:tcPr>
            <w:tcW w:w="5580" w:type="dxa"/>
            <w:vAlign w:val="bottom"/>
            <w:gridSpan w:val="4"/>
          </w:tcPr>
          <w:p>
            <w:pPr>
              <w:spacing w:after="0"/>
              <w:rPr>
                <w:sz w:val="20"/>
                <w:szCs w:val="20"/>
                <w:color w:val="auto"/>
              </w:rPr>
            </w:pPr>
            <w:r>
              <w:rPr>
                <w:rFonts w:ascii="Arial" w:cs="Arial" w:eastAsia="Arial" w:hAnsi="Arial"/>
                <w:sz w:val="20"/>
                <w:szCs w:val="20"/>
                <w:color w:val="auto"/>
              </w:rPr>
              <w:t>registered entity):</w:t>
            </w:r>
          </w:p>
        </w:tc>
        <w:tc>
          <w:tcPr>
            <w:tcW w:w="5600" w:type="dxa"/>
            <w:vAlign w:val="bottom"/>
            <w:gridSpan w:val="3"/>
          </w:tcPr>
          <w:p>
            <w:pPr>
              <w:ind w:left="60"/>
              <w:spacing w:after="0"/>
              <w:rPr>
                <w:sz w:val="20"/>
                <w:szCs w:val="20"/>
                <w:color w:val="auto"/>
              </w:rPr>
            </w:pPr>
            <w:r>
              <w:rPr>
                <w:rFonts w:ascii="Arial" w:cs="Arial" w:eastAsia="Arial" w:hAnsi="Arial"/>
                <w:sz w:val="20"/>
                <w:szCs w:val="20"/>
                <w:color w:val="auto"/>
              </w:rPr>
              <w:t>identification number has been assigned, enter “None”):</w:t>
            </w:r>
          </w:p>
        </w:tc>
      </w:tr>
      <w:tr>
        <w:trPr>
          <w:trHeight w:val="1360"/>
        </w:trPr>
        <w:tc>
          <w:tcPr>
            <w:tcW w:w="14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340" w:type="dxa"/>
            <w:vAlign w:val="bottom"/>
          </w:tcPr>
          <w:p>
            <w:pPr>
              <w:spacing w:after="0"/>
              <w:rPr>
                <w:sz w:val="24"/>
                <w:szCs w:val="24"/>
                <w:color w:val="auto"/>
              </w:rPr>
            </w:pPr>
          </w:p>
        </w:tc>
      </w:tr>
    </w:tbl>
    <w:p>
      <w:pPr>
        <w:sectPr>
          <w:pgSz w:w="11900" w:h="16838" w:orient="portrait"/>
          <w:cols w:equalWidth="0" w:num="1">
            <w:col w:w="11320"/>
          </w:cols>
          <w:pgMar w:left="240" w:top="649" w:right="339" w:bottom="1440" w:gutter="0" w:footer="0" w:header="0"/>
        </w:sectPr>
      </w:pPr>
    </w:p>
    <w:bookmarkStart w:id="262" w:name="page263"/>
    <w:bookmarkEnd w:id="262"/>
    <w:p>
      <w:pPr>
        <w:spacing w:after="0"/>
        <w:rPr>
          <w:sz w:val="20"/>
          <w:szCs w:val="20"/>
          <w:color w:val="auto"/>
        </w:rPr>
      </w:pPr>
      <w:r>
        <w:rPr>
          <w:rFonts w:ascii="Arial" w:cs="Arial" w:eastAsia="Arial" w:hAnsi="Arial"/>
          <w:sz w:val="20"/>
          <w:szCs w:val="20"/>
          <w:b w:val="1"/>
          <w:bCs w:val="1"/>
          <w:color w:val="auto"/>
        </w:rPr>
        <w:t>SECURED PARTY:</w:t>
      </w:r>
    </w:p>
    <w:p>
      <w:pPr>
        <w:spacing w:after="0" w:line="337" w:lineRule="exact"/>
        <w:rPr>
          <w:sz w:val="20"/>
          <w:szCs w:val="20"/>
          <w:color w:val="auto"/>
        </w:rPr>
      </w:pPr>
    </w:p>
    <w:p>
      <w:pPr>
        <w:spacing w:after="0"/>
        <w:rPr>
          <w:sz w:val="20"/>
          <w:szCs w:val="20"/>
          <w:color w:val="auto"/>
        </w:rPr>
      </w:pPr>
      <w:r>
        <w:rPr>
          <w:rFonts w:ascii="Arial" w:cs="Arial" w:eastAsia="Arial" w:hAnsi="Arial"/>
          <w:sz w:val="19"/>
          <w:szCs w:val="19"/>
          <w:color w:val="auto"/>
        </w:rPr>
        <w:t>BANK OF AMERICA, N.A</w:t>
      </w:r>
      <w:r>
        <w:rPr>
          <w:rFonts w:ascii="Arial" w:cs="Arial" w:eastAsia="Arial" w:hAnsi="Arial"/>
          <w:sz w:val="19"/>
          <w:szCs w:val="19"/>
          <w:b w:val="1"/>
          <w:bCs w:val="1"/>
          <w:color w:val="auto"/>
        </w:rPr>
        <w:t>.</w:t>
      </w:r>
      <w:r>
        <w:rPr>
          <w:rFonts w:ascii="Arial" w:cs="Arial" w:eastAsia="Arial" w:hAnsi="Arial"/>
          <w:sz w:val="19"/>
          <w:szCs w:val="19"/>
          <w:color w:val="auto"/>
        </w:rPr>
        <w:t>, as</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6286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-24765</wp:posOffset>
            </wp:positionV>
            <wp:extent cx="5340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3403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-24765</wp:posOffset>
            </wp:positionV>
            <wp:extent cx="6286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ectPr>
          <w:pgSz w:w="11900" w:h="16838" w:orient="portrait"/>
          <w:cols w:equalWidth="0" w:num="1">
            <w:col w:w="10219"/>
          </w:cols>
          <w:pgMar w:left="240" w:top="1238" w:right="1440" w:bottom="1440" w:gutter="0" w:footer="0" w:header="0"/>
        </w:sectPr>
      </w:pPr>
    </w:p>
    <w:bookmarkStart w:id="263" w:name="page264"/>
    <w:bookmarkEnd w:id="263"/>
    <w:p>
      <w:pPr>
        <w:jc w:val="center"/>
        <w:ind w:right="-19"/>
        <w:spacing w:after="0"/>
        <w:rPr>
          <w:sz w:val="20"/>
          <w:szCs w:val="20"/>
          <w:color w:val="auto"/>
        </w:rPr>
      </w:pPr>
      <w:r>
        <w:rPr>
          <w:rFonts w:ascii="Arial" w:cs="Arial" w:eastAsia="Arial" w:hAnsi="Arial"/>
          <w:sz w:val="20"/>
          <w:szCs w:val="20"/>
          <w:b w:val="1"/>
          <w:bCs w:val="1"/>
          <w:u w:val="single" w:color="auto"/>
          <w:color w:val="auto"/>
        </w:rPr>
        <w:t>ANNEX A TO PLEDGE AGREEMENT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PLEDGED SECURITIES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2380" w:type="dxa"/>
            <w:vAlign w:val="bottom"/>
          </w:tcPr>
          <w:p>
            <w:pPr>
              <w:jc w:val="center"/>
              <w:ind w:left="490"/>
              <w:spacing w:after="0"/>
              <w:rPr>
                <w:sz w:val="20"/>
                <w:szCs w:val="20"/>
                <w:color w:val="auto"/>
              </w:rPr>
            </w:pPr>
            <w:r>
              <w:rPr>
                <w:rFonts w:ascii="Arial" w:cs="Arial" w:eastAsia="Arial" w:hAnsi="Arial"/>
                <w:sz w:val="18"/>
                <w:szCs w:val="18"/>
                <w:b w:val="1"/>
                <w:bCs w:val="1"/>
                <w:color w:val="auto"/>
                <w:w w:val="91"/>
              </w:rPr>
              <w:t>Authorized and</w:t>
            </w:r>
          </w:p>
        </w:tc>
        <w:tc>
          <w:tcPr>
            <w:tcW w:w="1240" w:type="dxa"/>
            <w:vAlign w:val="bottom"/>
          </w:tcPr>
          <w:p>
            <w:pPr>
              <w:spacing w:after="0"/>
              <w:rPr>
                <w:sz w:val="18"/>
                <w:szCs w:val="18"/>
                <w:color w:val="auto"/>
              </w:rPr>
            </w:pPr>
          </w:p>
        </w:tc>
        <w:tc>
          <w:tcPr>
            <w:tcW w:w="110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5"/>
              </w:rPr>
              <w:t>Pledged</w:t>
            </w:r>
          </w:p>
        </w:tc>
        <w:tc>
          <w:tcPr>
            <w:tcW w:w="1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660" w:type="dxa"/>
            <w:vAlign w:val="bottom"/>
          </w:tcPr>
          <w:p>
            <w:pPr>
              <w:spacing w:after="0"/>
              <w:rPr>
                <w:sz w:val="10"/>
                <w:szCs w:val="10"/>
                <w:color w:val="auto"/>
              </w:rPr>
            </w:pPr>
          </w:p>
        </w:tc>
        <w:tc>
          <w:tcPr>
            <w:tcW w:w="2380" w:type="dxa"/>
            <w:vAlign w:val="bottom"/>
            <w:vMerge w:val="restart"/>
          </w:tcPr>
          <w:p>
            <w:pPr>
              <w:jc w:val="center"/>
              <w:ind w:left="490"/>
              <w:spacing w:after="0"/>
              <w:rPr>
                <w:sz w:val="20"/>
                <w:szCs w:val="20"/>
                <w:color w:val="auto"/>
              </w:rPr>
            </w:pPr>
            <w:r>
              <w:rPr>
                <w:rFonts w:ascii="Arial" w:cs="Arial" w:eastAsia="Arial" w:hAnsi="Arial"/>
                <w:sz w:val="18"/>
                <w:szCs w:val="18"/>
                <w:b w:val="1"/>
                <w:bCs w:val="1"/>
                <w:color w:val="auto"/>
                <w:w w:val="90"/>
              </w:rPr>
              <w:t>Outstanding</w:t>
            </w:r>
          </w:p>
        </w:tc>
        <w:tc>
          <w:tcPr>
            <w:tcW w:w="12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60" w:type="dxa"/>
            <w:vAlign w:val="bottom"/>
          </w:tcPr>
          <w:p>
            <w:pPr>
              <w:spacing w:after="0"/>
              <w:rPr>
                <w:sz w:val="8"/>
                <w:szCs w:val="8"/>
                <w:color w:val="auto"/>
              </w:rPr>
            </w:pPr>
          </w:p>
        </w:tc>
        <w:tc>
          <w:tcPr>
            <w:tcW w:w="238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10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8"/>
              </w:rPr>
              <w:t>Stock/</w:t>
            </w: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Certificate</w:t>
            </w:r>
          </w:p>
        </w:tc>
        <w:tc>
          <w:tcPr>
            <w:tcW w:w="1340" w:type="dxa"/>
            <w:vAlign w:val="bottom"/>
            <w:vMerge w:val="restart"/>
          </w:tcPr>
          <w:p>
            <w:pPr>
              <w:jc w:val="center"/>
              <w:ind w:left="30"/>
              <w:spacing w:after="0"/>
              <w:rPr>
                <w:sz w:val="20"/>
                <w:szCs w:val="20"/>
                <w:color w:val="auto"/>
              </w:rPr>
            </w:pPr>
            <w:r>
              <w:rPr>
                <w:rFonts w:ascii="Arial" w:cs="Arial" w:eastAsia="Arial" w:hAnsi="Arial"/>
                <w:sz w:val="18"/>
                <w:szCs w:val="18"/>
                <w:b w:val="1"/>
                <w:bCs w:val="1"/>
                <w:color w:val="auto"/>
                <w:w w:val="88"/>
              </w:rPr>
              <w:t>Percentage</w:t>
            </w: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60" w:type="dxa"/>
            <w:vAlign w:val="bottom"/>
          </w:tcPr>
          <w:p>
            <w:pPr>
              <w:spacing w:after="0"/>
              <w:rPr>
                <w:sz w:val="10"/>
                <w:szCs w:val="10"/>
                <w:color w:val="auto"/>
              </w:rPr>
            </w:pPr>
          </w:p>
        </w:tc>
        <w:tc>
          <w:tcPr>
            <w:tcW w:w="2380" w:type="dxa"/>
            <w:vAlign w:val="bottom"/>
            <w:vMerge w:val="restart"/>
          </w:tcPr>
          <w:p>
            <w:pPr>
              <w:jc w:val="center"/>
              <w:ind w:left="490"/>
              <w:spacing w:after="0"/>
              <w:rPr>
                <w:sz w:val="20"/>
                <w:szCs w:val="20"/>
                <w:color w:val="auto"/>
              </w:rPr>
            </w:pPr>
            <w:r>
              <w:rPr>
                <w:rFonts w:ascii="Arial" w:cs="Arial" w:eastAsia="Arial" w:hAnsi="Arial"/>
                <w:sz w:val="18"/>
                <w:szCs w:val="18"/>
                <w:b w:val="1"/>
                <w:bCs w:val="1"/>
                <w:color w:val="auto"/>
                <w:w w:val="88"/>
              </w:rPr>
              <w:t>Shares/Interests</w:t>
            </w:r>
          </w:p>
        </w:tc>
        <w:tc>
          <w:tcPr>
            <w:tcW w:w="124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Par Value</w:t>
            </w:r>
          </w:p>
        </w:tc>
        <w:tc>
          <w:tcPr>
            <w:tcW w:w="110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140" w:type="dxa"/>
            <w:vAlign w:val="bottom"/>
            <w:vMerge w:val="restart"/>
          </w:tcPr>
          <w:p>
            <w:pPr>
              <w:ind w:left="180"/>
              <w:spacing w:after="0"/>
              <w:rPr>
                <w:sz w:val="20"/>
                <w:szCs w:val="20"/>
                <w:color w:val="auto"/>
              </w:rPr>
            </w:pPr>
            <w:r>
              <w:rPr>
                <w:rFonts w:ascii="Arial" w:cs="Arial" w:eastAsia="Arial" w:hAnsi="Arial"/>
                <w:sz w:val="18"/>
                <w:szCs w:val="18"/>
                <w:b w:val="1"/>
                <w:bCs w:val="1"/>
                <w:color w:val="auto"/>
                <w:w w:val="93"/>
              </w:rPr>
              <w:t>Other Liens</w:t>
            </w:r>
          </w:p>
        </w:tc>
        <w:tc>
          <w:tcPr>
            <w:tcW w:w="0" w:type="dxa"/>
            <w:vAlign w:val="bottom"/>
          </w:tcPr>
          <w:p>
            <w:pPr>
              <w:spacing w:after="0"/>
              <w:rPr>
                <w:sz w:val="1"/>
                <w:szCs w:val="1"/>
                <w:color w:val="auto"/>
              </w:rPr>
            </w:pPr>
          </w:p>
        </w:tc>
      </w:tr>
      <w:tr>
        <w:trPr>
          <w:trHeight w:val="126"/>
        </w:trPr>
        <w:tc>
          <w:tcPr>
            <w:tcW w:w="2660" w:type="dxa"/>
            <w:vAlign w:val="bottom"/>
            <w:vMerge w:val="restart"/>
          </w:tcPr>
          <w:p>
            <w:pPr>
              <w:ind w:left="1320"/>
              <w:spacing w:after="0"/>
              <w:rPr>
                <w:sz w:val="20"/>
                <w:szCs w:val="20"/>
                <w:color w:val="auto"/>
              </w:rPr>
            </w:pPr>
            <w:r>
              <w:rPr>
                <w:rFonts w:ascii="Arial" w:cs="Arial" w:eastAsia="Arial" w:hAnsi="Arial"/>
                <w:sz w:val="18"/>
                <w:szCs w:val="18"/>
                <w:b w:val="1"/>
                <w:bCs w:val="1"/>
                <w:color w:val="auto"/>
              </w:rPr>
              <w:t>Issuer</w:t>
            </w:r>
          </w:p>
        </w:tc>
        <w:tc>
          <w:tcPr>
            <w:tcW w:w="23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0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2"/>
              </w:rPr>
              <w:t>Interest</w:t>
            </w: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340" w:type="dxa"/>
            <w:vAlign w:val="bottom"/>
            <w:vMerge w:val="restart"/>
          </w:tcPr>
          <w:p>
            <w:pPr>
              <w:jc w:val="center"/>
              <w:ind w:left="30"/>
              <w:spacing w:after="0"/>
              <w:rPr>
                <w:sz w:val="20"/>
                <w:szCs w:val="20"/>
                <w:color w:val="auto"/>
              </w:rPr>
            </w:pPr>
            <w:r>
              <w:rPr>
                <w:rFonts w:ascii="Arial" w:cs="Arial" w:eastAsia="Arial" w:hAnsi="Arial"/>
                <w:sz w:val="18"/>
                <w:szCs w:val="18"/>
                <w:b w:val="1"/>
                <w:bCs w:val="1"/>
                <w:color w:val="auto"/>
                <w:w w:val="89"/>
              </w:rPr>
              <w:t>Owned</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60" w:type="dxa"/>
            <w:vAlign w:val="bottom"/>
            <w:vMerge w:val="continue"/>
          </w:tcPr>
          <w:p>
            <w:pPr>
              <w:spacing w:after="0"/>
              <w:rPr>
                <w:sz w:val="9"/>
                <w:szCs w:val="9"/>
                <w:color w:val="auto"/>
              </w:rPr>
            </w:pPr>
          </w:p>
        </w:tc>
        <w:tc>
          <w:tcPr>
            <w:tcW w:w="2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66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PARTNERSHIPS/PARTNERSHIP AGREEMENTS/PARTERSHIP INTERESTS</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Partnerships: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[Describe, or if none, state “None”]</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Partnership Interests: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[Describe, or if none, state “None”]</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Partnership Agreements: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[Describe, or if none, state “None”]</w:t>
      </w:r>
    </w:p>
    <w:p>
      <w:pPr>
        <w:sectPr>
          <w:pgSz w:w="11900" w:h="16838" w:orient="portrait"/>
          <w:cols w:equalWidth="0" w:num="1">
            <w:col w:w="11400"/>
          </w:cols>
          <w:pgMar w:left="240" w:top="644" w:right="259" w:bottom="1440" w:gutter="0" w:footer="0" w:header="0"/>
        </w:sectPr>
      </w:pPr>
    </w:p>
    <w:bookmarkStart w:id="264" w:name="page265"/>
    <w:bookmarkEnd w:id="264"/>
    <w:p>
      <w:pPr>
        <w:jc w:val="center"/>
        <w:spacing w:after="0"/>
        <w:rPr>
          <w:sz w:val="20"/>
          <w:szCs w:val="20"/>
          <w:color w:val="auto"/>
        </w:rPr>
      </w:pPr>
      <w:r>
        <w:rPr>
          <w:rFonts w:ascii="Arial" w:cs="Arial" w:eastAsia="Arial" w:hAnsi="Arial"/>
          <w:sz w:val="20"/>
          <w:szCs w:val="20"/>
          <w:b w:val="1"/>
          <w:bCs w:val="1"/>
          <w:u w:val="single" w:color="auto"/>
          <w:color w:val="auto"/>
        </w:rPr>
        <w:t>ANNEX B TO PLEDGE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ACKNOWLEDGMENT OF PLEDGE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[PARTNERSHIP][ISSUER]: _______________INTEREST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3592830</wp:posOffset>
            </wp:positionH>
            <wp:positionV relativeFrom="paragraph">
              <wp:posOffset>-14605</wp:posOffset>
            </wp:positionV>
            <wp:extent cx="1257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BY  THIS  ACKNOWLEDGMENT  OF  PLEDGE,  dated  as  of  _________________,  ________  ,  ________________________  (the</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w:t>
      </w:r>
      <w:r>
        <w:rPr>
          <w:rFonts w:ascii="Arial" w:cs="Arial" w:eastAsia="Arial" w:hAnsi="Arial"/>
          <w:sz w:val="18"/>
          <w:szCs w:val="18"/>
          <w:b w:val="1"/>
          <w:bCs w:val="1"/>
          <w:i w:val="1"/>
          <w:iCs w:val="1"/>
          <w:color w:val="auto"/>
        </w:rPr>
        <w:t>Issuer</w:t>
      </w:r>
      <w:r>
        <w:rPr>
          <w:rFonts w:ascii="Arial" w:cs="Arial" w:eastAsia="Arial" w:hAnsi="Arial"/>
          <w:sz w:val="18"/>
          <w:szCs w:val="18"/>
          <w:color w:val="auto"/>
        </w:rPr>
        <w:t>]”) hereby acknowledges the pledge in favor of Bank of America, N.A. (“</w:t>
      </w:r>
      <w:r>
        <w:rPr>
          <w:rFonts w:ascii="Arial" w:cs="Arial" w:eastAsia="Arial" w:hAnsi="Arial"/>
          <w:sz w:val="18"/>
          <w:szCs w:val="18"/>
          <w:b w:val="1"/>
          <w:bCs w:val="1"/>
          <w:i w:val="1"/>
          <w:iCs w:val="1"/>
          <w:color w:val="auto"/>
        </w:rPr>
        <w:t>Pledgee</w:t>
      </w:r>
      <w:r>
        <w:rPr>
          <w:rFonts w:ascii="Arial" w:cs="Arial" w:eastAsia="Arial" w:hAnsi="Arial"/>
          <w:sz w:val="18"/>
          <w:szCs w:val="18"/>
          <w:color w:val="auto"/>
        </w:rPr>
        <w:t>”), in its capacity as Administrative Agent for certain Lenders and as Secured Party under that certain Pledge Agreement dated as of _________________, against, and a security</w:t>
      </w:r>
    </w:p>
    <w:p>
      <w:pPr>
        <w:spacing w:after="0"/>
        <w:tabs>
          <w:tab w:leader="none" w:pos="4040" w:val="left"/>
        </w:tabs>
        <w:rPr>
          <w:sz w:val="20"/>
          <w:szCs w:val="20"/>
          <w:color w:val="auto"/>
        </w:rPr>
      </w:pPr>
      <w:r>
        <w:rPr>
          <w:rFonts w:ascii="Arial" w:cs="Arial" w:eastAsia="Arial" w:hAnsi="Arial"/>
          <w:sz w:val="20"/>
          <w:szCs w:val="20"/>
          <w:color w:val="auto"/>
        </w:rPr>
        <w:t>interest in favor of Pledgee in, all of</w:t>
      </w:r>
      <w:r>
        <w:rPr>
          <w:sz w:val="20"/>
          <w:szCs w:val="20"/>
          <w:color w:val="auto"/>
        </w:rPr>
        <w:tab/>
      </w:r>
      <w:r>
        <w:rPr>
          <w:rFonts w:ascii="Arial" w:cs="Arial" w:eastAsia="Arial" w:hAnsi="Arial"/>
          <w:sz w:val="18"/>
          <w:szCs w:val="18"/>
          <w:color w:val="auto"/>
        </w:rPr>
        <w:t>‘s (the “</w:t>
      </w:r>
      <w:r>
        <w:rPr>
          <w:rFonts w:ascii="Arial" w:cs="Arial" w:eastAsia="Arial" w:hAnsi="Arial"/>
          <w:sz w:val="18"/>
          <w:szCs w:val="18"/>
          <w:b w:val="1"/>
          <w:bCs w:val="1"/>
          <w:i w:val="1"/>
          <w:iCs w:val="1"/>
          <w:color w:val="auto"/>
        </w:rPr>
        <w:t>Interest Owner</w:t>
      </w:r>
      <w:r>
        <w:rPr>
          <w:rFonts w:ascii="Arial" w:cs="Arial" w:eastAsia="Arial" w:hAnsi="Arial"/>
          <w:sz w:val="18"/>
          <w:szCs w:val="18"/>
          <w:color w:val="auto"/>
        </w:rPr>
        <w:t>”) Rights in connection with any equity interest in the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-24765</wp:posOffset>
            </wp:positionV>
            <wp:extent cx="6629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294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[Issuer] now and hereafter owned by the Interest Owner (“[</w:t>
      </w:r>
      <w:r>
        <w:rPr>
          <w:rFonts w:ascii="Arial" w:cs="Arial" w:eastAsia="Arial" w:hAnsi="Arial"/>
          <w:sz w:val="20"/>
          <w:szCs w:val="20"/>
          <w:b w:val="1"/>
          <w:bCs w:val="1"/>
          <w:i w:val="1"/>
          <w:iCs w:val="1"/>
          <w:color w:val="auto"/>
        </w:rPr>
        <w:t>Partnership Interest</w:t>
      </w:r>
      <w:r>
        <w:rPr>
          <w:rFonts w:ascii="Arial" w:cs="Arial" w:eastAsia="Arial" w:hAnsi="Arial"/>
          <w:sz w:val="20"/>
          <w:szCs w:val="20"/>
          <w:color w:val="auto"/>
        </w:rPr>
        <w:t>][</w:t>
      </w:r>
      <w:r>
        <w:rPr>
          <w:rFonts w:ascii="Arial" w:cs="Arial" w:eastAsia="Arial" w:hAnsi="Arial"/>
          <w:sz w:val="20"/>
          <w:szCs w:val="20"/>
          <w:b w:val="1"/>
          <w:bCs w:val="1"/>
          <w:i w:val="1"/>
          <w:iCs w:val="1"/>
          <w:color w:val="auto"/>
        </w:rPr>
        <w:t>Pledged Securities</w:t>
      </w:r>
      <w:r>
        <w:rPr>
          <w:rFonts w:ascii="Arial" w:cs="Arial" w:eastAsia="Arial" w:hAnsi="Arial"/>
          <w:sz w:val="20"/>
          <w:szCs w:val="20"/>
          <w:color w:val="auto"/>
        </w:rPr>
        <w:t>]”).</w:t>
      </w:r>
    </w:p>
    <w:p>
      <w:pPr>
        <w:spacing w:after="0" w:line="200" w:lineRule="exact"/>
        <w:rPr>
          <w:sz w:val="20"/>
          <w:szCs w:val="20"/>
          <w:color w:val="auto"/>
        </w:rPr>
      </w:pPr>
    </w:p>
    <w:p>
      <w:pPr>
        <w:jc w:val="both"/>
        <w:ind w:firstLine="8"/>
        <w:spacing w:after="0" w:line="250" w:lineRule="auto"/>
        <w:tabs>
          <w:tab w:leader="none" w:pos="404" w:val="left"/>
        </w:tabs>
        <w:numPr>
          <w:ilvl w:val="0"/>
          <w:numId w:val="301"/>
        </w:numPr>
        <w:rPr>
          <w:rFonts w:ascii="Arial" w:cs="Arial" w:eastAsia="Arial" w:hAnsi="Arial"/>
          <w:sz w:val="20"/>
          <w:szCs w:val="20"/>
          <w:color w:val="auto"/>
        </w:rPr>
      </w:pPr>
      <w:r>
        <w:rPr>
          <w:rFonts w:ascii="Arial" w:cs="Arial" w:eastAsia="Arial" w:hAnsi="Arial"/>
          <w:sz w:val="20"/>
          <w:szCs w:val="20"/>
          <w:u w:val="single" w:color="auto"/>
          <w:color w:val="auto"/>
        </w:rPr>
        <w:t>Pledge Records</w:t>
      </w:r>
      <w:r>
        <w:rPr>
          <w:rFonts w:ascii="Arial" w:cs="Arial" w:eastAsia="Arial" w:hAnsi="Arial"/>
          <w:sz w:val="20"/>
          <w:szCs w:val="20"/>
          <w:color w:val="auto"/>
        </w:rPr>
        <w:t>. The [Partnership][Issuer] has identified Pledgee’s interest in all of the Interest Owner’s Right, title, and interest in and to all of the Interest Owner’s [Partnership Interest][Pledged Securities] as subject to a pledge and security interest in favor of Pledgee in the books and records of the [Partnership][Issuer].</w:t>
      </w:r>
    </w:p>
    <w:p>
      <w:pPr>
        <w:spacing w:after="0" w:line="186" w:lineRule="exact"/>
        <w:rPr>
          <w:rFonts w:ascii="Arial" w:cs="Arial" w:eastAsia="Arial" w:hAnsi="Arial"/>
          <w:sz w:val="20"/>
          <w:szCs w:val="20"/>
          <w:color w:val="auto"/>
        </w:rPr>
      </w:pPr>
    </w:p>
    <w:p>
      <w:pPr>
        <w:jc w:val="both"/>
        <w:ind w:firstLine="8"/>
        <w:spacing w:after="0" w:line="273" w:lineRule="auto"/>
        <w:tabs>
          <w:tab w:leader="none" w:pos="393"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Distributions, Accounts, and Correspondence</w:t>
      </w:r>
      <w:r>
        <w:rPr>
          <w:rFonts w:ascii="Arial" w:cs="Arial" w:eastAsia="Arial" w:hAnsi="Arial"/>
          <w:sz w:val="18"/>
          <w:szCs w:val="18"/>
          <w:color w:val="auto"/>
        </w:rPr>
        <w:t>. The [Partnership][Issuer] hereby acknowledges that (i) all proceeds, distributions, and other amounts payable to the Interest Owner, including, without limitation, upon the termination, liquidation, and dissolution of the [Partnership] [Issuer] shall be paid and remitted to the Pledgee upon demand, (ii) all funds in deposit accounts shall be held for the benefit of Pledgee, and (iii) all future correspondence, accountings of distributions, and tax returns of the [Partnership][Issuer] shall be provided to the Pledgee. The [Partnership][Issuer] acknowledges and accepts such direction and hereby agrees that it shall, upon the written demand by Secured Party, pay directly to Secured Party at such address any and all distributions, income, and cash flow arising from the [Partnership Interests][Pledged Securities] whether payable in cash, property or otherwise, subject to and in accordance with the terms and conditions of the [Partnership] [Issuer]. The Pledgee may from time to time notify the [Partnership][Issuer] of any change of address to which such amounts are to be paid.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Remainder of Page Intentionally Blank.</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Signature Page to Follow.</w:t>
      </w:r>
    </w:p>
    <w:p>
      <w:pPr>
        <w:sectPr>
          <w:pgSz w:w="11900" w:h="16838" w:orient="portrait"/>
          <w:cols w:equalWidth="0" w:num="1">
            <w:col w:w="11420"/>
          </w:cols>
          <w:pgMar w:left="240" w:top="643" w:right="239" w:bottom="1440" w:gutter="0" w:footer="0" w:header="0"/>
        </w:sectPr>
      </w:pPr>
    </w:p>
    <w:bookmarkStart w:id="265" w:name="page266"/>
    <w:bookmarkEnd w:id="265"/>
    <w:p>
      <w:pPr>
        <w:spacing w:after="0"/>
        <w:rPr>
          <w:sz w:val="20"/>
          <w:szCs w:val="20"/>
          <w:color w:val="auto"/>
        </w:rPr>
      </w:pPr>
      <w:r>
        <w:rPr>
          <w:rFonts w:ascii="Arial" w:cs="Arial" w:eastAsia="Arial" w:hAnsi="Arial"/>
          <w:sz w:val="19"/>
          <w:szCs w:val="19"/>
          <w:color w:val="auto"/>
        </w:rPr>
        <w:t>EXECUTED as of the date first stated in this Acknowledgment of Pledge.</w:t>
      </w: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[PARTNERSHIP][ISSUER]</w:t>
      </w:r>
    </w:p>
    <w:p>
      <w:pPr>
        <w:spacing w:after="0" w:line="252"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-14605</wp:posOffset>
            </wp:positionV>
            <wp:extent cx="7543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-24765</wp:posOffset>
            </wp:positionV>
            <wp:extent cx="5340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4035" cy="889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2999740</wp:posOffset>
            </wp:positionH>
            <wp:positionV relativeFrom="paragraph">
              <wp:posOffset>-24765</wp:posOffset>
            </wp:positionV>
            <wp:extent cx="6286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266" w:name="page267"/>
    <w:bookmarkEnd w:id="266"/>
    <w:p>
      <w:pPr>
        <w:jc w:val="center"/>
        <w:spacing w:after="0"/>
        <w:rPr>
          <w:sz w:val="20"/>
          <w:szCs w:val="20"/>
          <w:color w:val="auto"/>
        </w:rPr>
      </w:pPr>
      <w:r>
        <w:rPr>
          <w:rFonts w:ascii="Arial" w:cs="Arial" w:eastAsia="Arial" w:hAnsi="Arial"/>
          <w:sz w:val="20"/>
          <w:szCs w:val="20"/>
          <w:b w:val="1"/>
          <w:bCs w:val="1"/>
          <w:u w:val="single" w:color="auto"/>
          <w:color w:val="auto"/>
        </w:rPr>
        <w:t>EXHIBIT F-2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CONFIRMATION OF PLEDGE AGREEMENT</w:t>
      </w:r>
    </w:p>
    <w:p>
      <w:pPr>
        <w:spacing w:after="0" w:line="276"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THIS CONFIRMATION OF PLEDGE AGREEMENT (this “</w:t>
      </w:r>
      <w:r>
        <w:rPr>
          <w:rFonts w:ascii="Arial" w:cs="Arial" w:eastAsia="Arial" w:hAnsi="Arial"/>
          <w:sz w:val="20"/>
          <w:szCs w:val="20"/>
          <w:b w:val="1"/>
          <w:bCs w:val="1"/>
          <w:i w:val="1"/>
          <w:iCs w:val="1"/>
          <w:color w:val="auto"/>
        </w:rPr>
        <w:t>Confirmation</w:t>
      </w:r>
      <w:r>
        <w:rPr>
          <w:rFonts w:ascii="Arial" w:cs="Arial" w:eastAsia="Arial" w:hAnsi="Arial"/>
          <w:sz w:val="20"/>
          <w:szCs w:val="20"/>
          <w:color w:val="auto"/>
        </w:rPr>
        <w:t>”) is executed as of August 15, 2018, by each of the undersigned (each, a “</w:t>
      </w:r>
      <w:r>
        <w:rPr>
          <w:rFonts w:ascii="Arial" w:cs="Arial" w:eastAsia="Arial" w:hAnsi="Arial"/>
          <w:sz w:val="20"/>
          <w:szCs w:val="20"/>
          <w:b w:val="1"/>
          <w:bCs w:val="1"/>
          <w:i w:val="1"/>
          <w:iCs w:val="1"/>
          <w:color w:val="auto"/>
        </w:rPr>
        <w:t>Debtor</w:t>
      </w:r>
      <w:r>
        <w:rPr>
          <w:rFonts w:ascii="Arial" w:cs="Arial" w:eastAsia="Arial" w:hAnsi="Arial"/>
          <w:sz w:val="20"/>
          <w:szCs w:val="20"/>
          <w:color w:val="auto"/>
        </w:rPr>
        <w:t>,” and collectively, the “</w:t>
      </w:r>
      <w:r>
        <w:rPr>
          <w:rFonts w:ascii="Arial" w:cs="Arial" w:eastAsia="Arial" w:hAnsi="Arial"/>
          <w:sz w:val="20"/>
          <w:szCs w:val="20"/>
          <w:b w:val="1"/>
          <w:bCs w:val="1"/>
          <w:i w:val="1"/>
          <w:iCs w:val="1"/>
          <w:color w:val="auto"/>
        </w:rPr>
        <w:t>Debtors</w:t>
      </w:r>
      <w:r>
        <w:rPr>
          <w:rFonts w:ascii="Arial" w:cs="Arial" w:eastAsia="Arial" w:hAnsi="Arial"/>
          <w:sz w:val="20"/>
          <w:szCs w:val="20"/>
          <w:color w:val="auto"/>
        </w:rPr>
        <w:t>”), in favor of Bank of America, N.A., as administrative agent (the “</w:t>
      </w:r>
      <w:r>
        <w:rPr>
          <w:rFonts w:ascii="Arial" w:cs="Arial" w:eastAsia="Arial" w:hAnsi="Arial"/>
          <w:sz w:val="20"/>
          <w:szCs w:val="20"/>
          <w:b w:val="1"/>
          <w:bCs w:val="1"/>
          <w:i w:val="1"/>
          <w:iCs w:val="1"/>
          <w:color w:val="auto"/>
        </w:rPr>
        <w:t>Administrative Agent</w:t>
      </w:r>
      <w:r>
        <w:rPr>
          <w:rFonts w:ascii="Arial" w:cs="Arial" w:eastAsia="Arial" w:hAnsi="Arial"/>
          <w:sz w:val="20"/>
          <w:szCs w:val="20"/>
          <w:color w:val="auto"/>
        </w:rPr>
        <w:t>”) for the Lenders and their respective successors and assigns (collectively, the “</w:t>
      </w:r>
      <w:r>
        <w:rPr>
          <w:rFonts w:ascii="Arial" w:cs="Arial" w:eastAsia="Arial" w:hAnsi="Arial"/>
          <w:sz w:val="20"/>
          <w:szCs w:val="20"/>
          <w:b w:val="1"/>
          <w:bCs w:val="1"/>
          <w:i w:val="1"/>
          <w:iCs w:val="1"/>
          <w:color w:val="auto"/>
        </w:rPr>
        <w:t>Lenders</w:t>
      </w:r>
      <w:r>
        <w:rPr>
          <w:rFonts w:ascii="Arial" w:cs="Arial" w:eastAsia="Arial" w:hAnsi="Arial"/>
          <w:sz w:val="20"/>
          <w:szCs w:val="20"/>
          <w:color w:val="auto"/>
        </w:rPr>
        <w:t>”) that are from time to time parties to the Credit Agreement (as hereinafter defined).</w:t>
      </w:r>
    </w:p>
    <w:p>
      <w:pPr>
        <w:spacing w:after="0" w:line="189"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Capitalized terms not otherwise defined in this Confirmation shall have the meanings ascribed to such terms in the Pledge Agreements (as hereinafter defined).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 E C I T A L S</w:t>
      </w:r>
    </w:p>
    <w:p>
      <w:pPr>
        <w:spacing w:after="0" w:line="270" w:lineRule="exact"/>
        <w:rPr>
          <w:sz w:val="20"/>
          <w:szCs w:val="20"/>
          <w:color w:val="auto"/>
        </w:rPr>
      </w:pPr>
    </w:p>
    <w:p>
      <w:pPr>
        <w:jc w:val="both"/>
        <w:ind w:firstLine="8"/>
        <w:spacing w:after="0" w:line="306" w:lineRule="auto"/>
        <w:tabs>
          <w:tab w:leader="none" w:pos="406" w:val="left"/>
        </w:tabs>
        <w:numPr>
          <w:ilvl w:val="0"/>
          <w:numId w:val="302"/>
        </w:numPr>
        <w:rPr>
          <w:rFonts w:ascii="Arial" w:cs="Arial" w:eastAsia="Arial" w:hAnsi="Arial"/>
          <w:sz w:val="20"/>
          <w:szCs w:val="20"/>
          <w:color w:val="auto"/>
        </w:rPr>
      </w:pPr>
      <w:r>
        <w:rPr>
          <w:rFonts w:ascii="Arial" w:cs="Arial" w:eastAsia="Arial" w:hAnsi="Arial"/>
          <w:sz w:val="20"/>
          <w:szCs w:val="20"/>
          <w:color w:val="auto"/>
        </w:rPr>
        <w:t>Vail Holdings, Inc., a Colorado corporation (the “</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certain lenders party thereto, and Bank of America, N.A., as administrative agent, are parties to that certain Seventh Amended and Restated Revolving Credit Agreement dated as of May 1, 2015 (as the same may have been amended from time to time prior to the date hereof, the “</w:t>
      </w:r>
      <w:r>
        <w:rPr>
          <w:rFonts w:ascii="Arial" w:cs="Arial" w:eastAsia="Arial" w:hAnsi="Arial"/>
          <w:sz w:val="20"/>
          <w:szCs w:val="20"/>
          <w:b w:val="1"/>
          <w:bCs w:val="1"/>
          <w:i w:val="1"/>
          <w:iCs w:val="1"/>
          <w:color w:val="auto"/>
        </w:rPr>
        <w:t>Existing Credit Agreement</w:t>
      </w:r>
      <w:r>
        <w:rPr>
          <w:rFonts w:ascii="Arial" w:cs="Arial" w:eastAsia="Arial" w:hAnsi="Arial"/>
          <w:sz w:val="20"/>
          <w:szCs w:val="20"/>
          <w:color w:val="auto"/>
        </w:rPr>
        <w:t>”).</w:t>
      </w:r>
    </w:p>
    <w:p>
      <w:pPr>
        <w:spacing w:after="0" w:line="187" w:lineRule="exact"/>
        <w:rPr>
          <w:rFonts w:ascii="Arial" w:cs="Arial" w:eastAsia="Arial" w:hAnsi="Arial"/>
          <w:sz w:val="20"/>
          <w:szCs w:val="20"/>
          <w:color w:val="auto"/>
        </w:rPr>
      </w:pPr>
    </w:p>
    <w:p>
      <w:pPr>
        <w:jc w:val="both"/>
        <w:ind w:firstLine="8"/>
        <w:spacing w:after="0" w:line="306" w:lineRule="auto"/>
        <w:tabs>
          <w:tab w:leader="none" w:pos="409" w:val="left"/>
        </w:tabs>
        <w:numPr>
          <w:ilvl w:val="0"/>
          <w:numId w:val="302"/>
        </w:numPr>
        <w:rPr>
          <w:rFonts w:ascii="Arial" w:cs="Arial" w:eastAsia="Arial" w:hAnsi="Arial"/>
          <w:sz w:val="20"/>
          <w:szCs w:val="20"/>
          <w:color w:val="auto"/>
        </w:rPr>
      </w:pPr>
      <w:r>
        <w:rPr>
          <w:rFonts w:ascii="Arial" w:cs="Arial" w:eastAsia="Arial" w:hAnsi="Arial"/>
          <w:sz w:val="20"/>
          <w:szCs w:val="20"/>
          <w:color w:val="auto"/>
        </w:rPr>
        <w:t xml:space="preserve">Each Debtor executed and delivered to Administrative Agent, for the benefit of Lenders, the Pledge Agreement identified on </w:t>
      </w:r>
      <w:r>
        <w:rPr>
          <w:rFonts w:ascii="Arial" w:cs="Arial" w:eastAsia="Arial" w:hAnsi="Arial"/>
          <w:sz w:val="20"/>
          <w:szCs w:val="20"/>
          <w:b w:val="1"/>
          <w:bCs w:val="1"/>
          <w:i w:val="1"/>
          <w:iCs w:val="1"/>
          <w:color w:val="auto"/>
        </w:rPr>
        <w:t>Schedule A</w:t>
      </w:r>
      <w:r>
        <w:rPr>
          <w:rFonts w:ascii="Arial" w:cs="Arial" w:eastAsia="Arial" w:hAnsi="Arial"/>
          <w:sz w:val="20"/>
          <w:szCs w:val="20"/>
          <w:color w:val="auto"/>
        </w:rPr>
        <w:t xml:space="preserve"> hereto (as the same have been or may hereafter be from time to time amended, each, a “</w:t>
      </w:r>
      <w:r>
        <w:rPr>
          <w:rFonts w:ascii="Arial" w:cs="Arial" w:eastAsia="Arial" w:hAnsi="Arial"/>
          <w:sz w:val="20"/>
          <w:szCs w:val="20"/>
          <w:b w:val="1"/>
          <w:bCs w:val="1"/>
          <w:i w:val="1"/>
          <w:iCs w:val="1"/>
          <w:color w:val="auto"/>
        </w:rPr>
        <w:t>Pledge Agreement</w:t>
      </w:r>
      <w:r>
        <w:rPr>
          <w:rFonts w:ascii="Arial" w:cs="Arial" w:eastAsia="Arial" w:hAnsi="Arial"/>
          <w:sz w:val="20"/>
          <w:szCs w:val="20"/>
          <w:color w:val="auto"/>
        </w:rPr>
        <w:t>,” and collectively, the “</w:t>
      </w:r>
      <w:r>
        <w:rPr>
          <w:rFonts w:ascii="Arial" w:cs="Arial" w:eastAsia="Arial" w:hAnsi="Arial"/>
          <w:sz w:val="20"/>
          <w:szCs w:val="20"/>
          <w:b w:val="1"/>
          <w:bCs w:val="1"/>
          <w:i w:val="1"/>
          <w:iCs w:val="1"/>
          <w:color w:val="auto"/>
        </w:rPr>
        <w:t>Pledge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Agreements</w:t>
      </w:r>
      <w:r>
        <w:rPr>
          <w:rFonts w:ascii="Arial" w:cs="Arial" w:eastAsia="Arial" w:hAnsi="Arial"/>
          <w:sz w:val="20"/>
          <w:szCs w:val="20"/>
          <w:color w:val="auto"/>
        </w:rPr>
        <w:t>”).</w:t>
      </w:r>
    </w:p>
    <w:p>
      <w:pPr>
        <w:spacing w:after="0" w:line="187" w:lineRule="exact"/>
        <w:rPr>
          <w:rFonts w:ascii="Arial" w:cs="Arial" w:eastAsia="Arial" w:hAnsi="Arial"/>
          <w:sz w:val="20"/>
          <w:szCs w:val="20"/>
          <w:color w:val="auto"/>
        </w:rPr>
      </w:pPr>
    </w:p>
    <w:p>
      <w:pPr>
        <w:jc w:val="both"/>
        <w:ind w:firstLine="8"/>
        <w:spacing w:after="0" w:line="323" w:lineRule="auto"/>
        <w:tabs>
          <w:tab w:leader="none" w:pos="453" w:val="left"/>
        </w:tabs>
        <w:numPr>
          <w:ilvl w:val="0"/>
          <w:numId w:val="302"/>
        </w:numPr>
        <w:rPr>
          <w:rFonts w:ascii="Arial" w:cs="Arial" w:eastAsia="Arial" w:hAnsi="Arial"/>
          <w:sz w:val="19"/>
          <w:szCs w:val="19"/>
          <w:color w:val="auto"/>
        </w:rPr>
      </w:pPr>
      <w:r>
        <w:rPr>
          <w:rFonts w:ascii="Arial" w:cs="Arial" w:eastAsia="Arial" w:hAnsi="Arial"/>
          <w:sz w:val="19"/>
          <w:szCs w:val="19"/>
          <w:color w:val="auto"/>
        </w:rPr>
        <w:t>Concurrently herewith, (a) the Existing Credit Agreement will be amended and restated pursuant to the Eighth Amended and Restated Credit Agreement (as the same may be restated, modified, amended, or supplemented from time to time, the “</w:t>
      </w:r>
      <w:r>
        <w:rPr>
          <w:rFonts w:ascii="Arial" w:cs="Arial" w:eastAsia="Arial" w:hAnsi="Arial"/>
          <w:sz w:val="19"/>
          <w:szCs w:val="19"/>
          <w:b w:val="1"/>
          <w:bCs w:val="1"/>
          <w:i w:val="1"/>
          <w:iCs w:val="1"/>
          <w:color w:val="auto"/>
        </w:rPr>
        <w:t>Credit Agreement</w:t>
      </w:r>
      <w:r>
        <w:rPr>
          <w:rFonts w:ascii="Arial" w:cs="Arial" w:eastAsia="Arial" w:hAnsi="Arial"/>
          <w:sz w:val="19"/>
          <w:szCs w:val="19"/>
          <w:color w:val="auto"/>
        </w:rPr>
        <w:t>”), by and among the Borrower, the Administrative Agent, and the Lenders, and (b) the Borrower, the Administrative Agent and the Lenders will execute an Amendment Agreement (the “</w:t>
      </w:r>
      <w:r>
        <w:rPr>
          <w:rFonts w:ascii="Arial" w:cs="Arial" w:eastAsia="Arial" w:hAnsi="Arial"/>
          <w:sz w:val="19"/>
          <w:szCs w:val="19"/>
          <w:b w:val="1"/>
          <w:bCs w:val="1"/>
          <w:i w:val="1"/>
          <w:iCs w:val="1"/>
          <w:color w:val="auto"/>
        </w:rPr>
        <w:t>Amendment</w:t>
      </w:r>
      <w:r>
        <w:rPr>
          <w:rFonts w:ascii="Arial" w:cs="Arial" w:eastAsia="Arial" w:hAnsi="Arial"/>
          <w:sz w:val="19"/>
          <w:szCs w:val="19"/>
          <w:color w:val="auto"/>
        </w:rPr>
        <w:t>”) pursuant to which the Credit Agreement will be effected.</w:t>
      </w:r>
    </w:p>
    <w:p>
      <w:pPr>
        <w:spacing w:after="0" w:line="174" w:lineRule="exact"/>
        <w:rPr>
          <w:rFonts w:ascii="Arial" w:cs="Arial" w:eastAsia="Arial" w:hAnsi="Arial"/>
          <w:sz w:val="19"/>
          <w:szCs w:val="19"/>
          <w:color w:val="auto"/>
        </w:rPr>
      </w:pPr>
    </w:p>
    <w:p>
      <w:pPr>
        <w:ind w:firstLine="8"/>
        <w:spacing w:after="0" w:line="317" w:lineRule="auto"/>
        <w:tabs>
          <w:tab w:leader="none" w:pos="406" w:val="left"/>
        </w:tabs>
        <w:numPr>
          <w:ilvl w:val="0"/>
          <w:numId w:val="302"/>
        </w:numPr>
        <w:rPr>
          <w:rFonts w:ascii="Arial" w:cs="Arial" w:eastAsia="Arial" w:hAnsi="Arial"/>
          <w:sz w:val="20"/>
          <w:szCs w:val="20"/>
          <w:color w:val="auto"/>
        </w:rPr>
      </w:pPr>
      <w:r>
        <w:rPr>
          <w:rFonts w:ascii="Arial" w:cs="Arial" w:eastAsia="Arial" w:hAnsi="Arial"/>
          <w:sz w:val="20"/>
          <w:szCs w:val="20"/>
          <w:color w:val="auto"/>
        </w:rPr>
        <w:t>The execution and delivery of this Confirmation is an integral part of the transactions contemplated by the Loan Papers and is a condition precedent to Lenders’ obligations to extend credit under the Credit Agreement.</w:t>
      </w:r>
    </w:p>
    <w:p>
      <w:pPr>
        <w:spacing w:after="0" w:line="175" w:lineRule="exact"/>
        <w:rPr>
          <w:rFonts w:ascii="Arial" w:cs="Arial" w:eastAsia="Arial" w:hAnsi="Arial"/>
          <w:sz w:val="20"/>
          <w:szCs w:val="20"/>
          <w:color w:val="auto"/>
        </w:rPr>
      </w:pPr>
    </w:p>
    <w:p>
      <w:pPr>
        <w:ind w:firstLine="8"/>
        <w:spacing w:after="0" w:line="317" w:lineRule="auto"/>
        <w:tabs>
          <w:tab w:leader="none" w:pos="401" w:val="left"/>
        </w:tabs>
        <w:numPr>
          <w:ilvl w:val="0"/>
          <w:numId w:val="302"/>
        </w:numPr>
        <w:rPr>
          <w:rFonts w:ascii="Arial" w:cs="Arial" w:eastAsia="Arial" w:hAnsi="Arial"/>
          <w:sz w:val="20"/>
          <w:szCs w:val="20"/>
          <w:color w:val="auto"/>
        </w:rPr>
      </w:pPr>
      <w:r>
        <w:rPr>
          <w:rFonts w:ascii="Arial" w:cs="Arial" w:eastAsia="Arial" w:hAnsi="Arial"/>
          <w:sz w:val="20"/>
          <w:szCs w:val="20"/>
          <w:color w:val="auto"/>
        </w:rPr>
        <w:t>In connection with the Credit Agreement and the Amendment, each Debtor has agreed to ratify and confirm its Pledge Agreement and to amend its Pledge Agreement as set forth herein.</w:t>
      </w:r>
    </w:p>
    <w:p>
      <w:pPr>
        <w:spacing w:after="0" w:line="176" w:lineRule="exact"/>
        <w:rPr>
          <w:sz w:val="20"/>
          <w:szCs w:val="20"/>
          <w:color w:val="auto"/>
        </w:rPr>
      </w:pPr>
    </w:p>
    <w:p>
      <w:pPr>
        <w:ind w:firstLine="648"/>
        <w:spacing w:after="0" w:line="317" w:lineRule="auto"/>
        <w:rPr>
          <w:sz w:val="20"/>
          <w:szCs w:val="20"/>
          <w:color w:val="auto"/>
        </w:rPr>
      </w:pPr>
      <w:r>
        <w:rPr>
          <w:rFonts w:ascii="Arial" w:cs="Arial" w:eastAsia="Arial" w:hAnsi="Arial"/>
          <w:sz w:val="20"/>
          <w:szCs w:val="20"/>
          <w:color w:val="auto"/>
        </w:rPr>
        <w:t>NOW, THEREFORE, for good and valuable consideration, the receipt and sufficiency of which are hereby acknowledged, the Debtors hereby agree as follows:</w:t>
      </w:r>
    </w:p>
    <w:p>
      <w:pPr>
        <w:spacing w:after="0" w:line="170" w:lineRule="exact"/>
        <w:rPr>
          <w:sz w:val="20"/>
          <w:szCs w:val="20"/>
          <w:color w:val="auto"/>
        </w:rPr>
      </w:pPr>
    </w:p>
    <w:p>
      <w:pPr>
        <w:jc w:val="both"/>
        <w:ind w:firstLine="8"/>
        <w:spacing w:after="0" w:line="309" w:lineRule="auto"/>
        <w:tabs>
          <w:tab w:leader="none" w:pos="414" w:val="left"/>
        </w:tabs>
        <w:numPr>
          <w:ilvl w:val="0"/>
          <w:numId w:val="30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Confirmation of Pledge</w:t>
      </w:r>
      <w:r>
        <w:rPr>
          <w:rFonts w:ascii="Arial" w:cs="Arial" w:eastAsia="Arial" w:hAnsi="Arial"/>
          <w:sz w:val="20"/>
          <w:szCs w:val="20"/>
          <w:b w:val="1"/>
          <w:bCs w:val="1"/>
          <w:color w:val="auto"/>
        </w:rPr>
        <w:t xml:space="preserve">. </w:t>
      </w:r>
      <w:r>
        <w:rPr>
          <w:rFonts w:ascii="Arial" w:cs="Arial" w:eastAsia="Arial" w:hAnsi="Arial"/>
          <w:sz w:val="20"/>
          <w:szCs w:val="20"/>
          <w:color w:val="auto"/>
        </w:rPr>
        <w:t>Each Debtor hereby (a) consents and agrees to the execution and delivery of the Amendment and the related</w:t>
      </w:r>
      <w:r>
        <w:rPr>
          <w:rFonts w:ascii="Arial" w:cs="Arial" w:eastAsia="Arial" w:hAnsi="Arial"/>
          <w:sz w:val="20"/>
          <w:szCs w:val="20"/>
          <w:b w:val="1"/>
          <w:bCs w:val="1"/>
          <w:color w:val="auto"/>
        </w:rPr>
        <w:t xml:space="preserve"> </w:t>
      </w:r>
      <w:r>
        <w:rPr>
          <w:rFonts w:ascii="Arial" w:cs="Arial" w:eastAsia="Arial" w:hAnsi="Arial"/>
          <w:sz w:val="20"/>
          <w:szCs w:val="20"/>
          <w:color w:val="auto"/>
        </w:rPr>
        <w:t>Loan Papers (as defined in the Credit Agreement), (b) ratifies and confirms that the Pledge Agreement executed by such Debtor, as amended hereby, is not released, diminished, impaired,</w:t>
      </w:r>
    </w:p>
    <w:p>
      <w:pPr>
        <w:sectPr>
          <w:pgSz w:w="11900" w:h="16838" w:orient="portrait"/>
          <w:cols w:equalWidth="0" w:num="1">
            <w:col w:w="11420"/>
          </w:cols>
          <w:pgMar w:left="240" w:top="576" w:right="239" w:bottom="1440" w:gutter="0" w:footer="0" w:header="0"/>
        </w:sectPr>
      </w:pPr>
    </w:p>
    <w:bookmarkStart w:id="267" w:name="page268"/>
    <w:bookmarkEnd w:id="267"/>
    <w:p>
      <w:pPr>
        <w:jc w:val="both"/>
        <w:spacing w:after="0" w:line="303" w:lineRule="auto"/>
        <w:rPr>
          <w:sz w:val="20"/>
          <w:szCs w:val="20"/>
          <w:color w:val="auto"/>
        </w:rPr>
      </w:pPr>
      <w:r>
        <w:rPr>
          <w:rFonts w:ascii="Arial" w:cs="Arial" w:eastAsia="Arial" w:hAnsi="Arial"/>
          <w:sz w:val="20"/>
          <w:szCs w:val="20"/>
          <w:color w:val="auto"/>
        </w:rPr>
        <w:t>reduced, or otherwise adversely affected by the Credit Agreement or the Amendment and continues to secure the full payment and performance of the Secured Obligation, (c) acknowledges the continuing existence and priority of the Liens granted, conveyed, and assigned to Administrative Agent, for the benefit of Lenders, under the Pledge Agreement, and (d) agrees that the Secured Obligation includes, without limitation, the Obligation (as defined in the Credit Agreement).</w:t>
      </w:r>
    </w:p>
    <w:p>
      <w:pPr>
        <w:spacing w:after="0" w:line="183" w:lineRule="exact"/>
        <w:rPr>
          <w:sz w:val="20"/>
          <w:szCs w:val="20"/>
          <w:color w:val="auto"/>
        </w:rPr>
      </w:pPr>
    </w:p>
    <w:p>
      <w:pPr>
        <w:jc w:val="both"/>
        <w:ind w:firstLine="8"/>
        <w:spacing w:after="0" w:line="315" w:lineRule="auto"/>
        <w:tabs>
          <w:tab w:leader="none" w:pos="373" w:val="left"/>
        </w:tabs>
        <w:numPr>
          <w:ilvl w:val="0"/>
          <w:numId w:val="30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Other Agreements</w:t>
      </w:r>
      <w:r>
        <w:rPr>
          <w:rFonts w:ascii="Arial" w:cs="Arial" w:eastAsia="Arial" w:hAnsi="Arial"/>
          <w:sz w:val="19"/>
          <w:szCs w:val="19"/>
          <w:b w:val="1"/>
          <w:bCs w:val="1"/>
          <w:color w:val="auto"/>
        </w:rPr>
        <w:t xml:space="preserve">. </w:t>
      </w:r>
      <w:r>
        <w:rPr>
          <w:rFonts w:ascii="Arial" w:cs="Arial" w:eastAsia="Arial" w:hAnsi="Arial"/>
          <w:sz w:val="19"/>
          <w:szCs w:val="19"/>
          <w:color w:val="auto"/>
        </w:rPr>
        <w:t>Each Debtor (a) agrees to perform such acts and duly authorize, execute, acknowledge, deliver, file, and record such</w:t>
      </w:r>
      <w:r>
        <w:rPr>
          <w:rFonts w:ascii="Arial" w:cs="Arial" w:eastAsia="Arial" w:hAnsi="Arial"/>
          <w:sz w:val="19"/>
          <w:szCs w:val="19"/>
          <w:b w:val="1"/>
          <w:bCs w:val="1"/>
          <w:color w:val="auto"/>
        </w:rPr>
        <w:t xml:space="preserve"> </w:t>
      </w:r>
      <w:r>
        <w:rPr>
          <w:rFonts w:ascii="Arial" w:cs="Arial" w:eastAsia="Arial" w:hAnsi="Arial"/>
          <w:sz w:val="19"/>
          <w:szCs w:val="19"/>
          <w:color w:val="auto"/>
        </w:rPr>
        <w:t>additional pledges, and other agreements, documents, instruments, and certificates as the Administrative Agent may reasonably deem necessary or appropriate in order to preserve and protect those Security Interests granted by such Debtor pursuant to the Pledge Agreement executed by such Debtor; (b) represents and warrants to the Administrative Agent that such liability and obligation may reasonably be expected to directly or indirectly benefit such Debtor; (c) waives notice of acceptance of this Confirmation; (d) represents and warrants to the Administrative Agent that such Debtor has the right and power, and has taken all necessary action to authorize it, to execute and deliver this Confirmation; and (e) represents and warrants to the Administrative Agent that the representations and warranties in the Pledge Agreement executed by such Debtor, after giving effect to this Confirmation, are true and correct on the date hereof in all material respects, as though made on the date hereof, except to the extent that such representations and warranties expressly relate solely to an earlier date (in which case such representations and warranties shall have been true and accurate in all material respects as of such earlier date) or as disclosed in writing to the Administrative Agent.</w:t>
      </w:r>
    </w:p>
    <w:p>
      <w:pPr>
        <w:spacing w:after="0" w:line="181" w:lineRule="exact"/>
        <w:rPr>
          <w:rFonts w:ascii="Arial" w:cs="Arial" w:eastAsia="Arial" w:hAnsi="Arial"/>
          <w:sz w:val="19"/>
          <w:szCs w:val="19"/>
          <w:b w:val="1"/>
          <w:bCs w:val="1"/>
          <w:color w:val="auto"/>
        </w:rPr>
      </w:pPr>
    </w:p>
    <w:p>
      <w:pPr>
        <w:jc w:val="both"/>
        <w:ind w:firstLine="8"/>
        <w:spacing w:after="0" w:line="464" w:lineRule="auto"/>
        <w:tabs>
          <w:tab w:leader="none" w:pos="427" w:val="left"/>
        </w:tabs>
        <w:numPr>
          <w:ilvl w:val="0"/>
          <w:numId w:val="30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Continued Effect</w:t>
      </w:r>
      <w:r>
        <w:rPr>
          <w:rFonts w:ascii="Arial" w:cs="Arial" w:eastAsia="Arial" w:hAnsi="Arial"/>
          <w:sz w:val="16"/>
          <w:szCs w:val="16"/>
          <w:b w:val="1"/>
          <w:bCs w:val="1"/>
          <w:color w:val="auto"/>
        </w:rPr>
        <w:t xml:space="preserve">. </w:t>
      </w:r>
      <w:r>
        <w:rPr>
          <w:rFonts w:ascii="Arial" w:cs="Arial" w:eastAsia="Arial" w:hAnsi="Arial"/>
          <w:sz w:val="16"/>
          <w:szCs w:val="16"/>
          <w:color w:val="auto"/>
        </w:rPr>
        <w:t>All terms, provisions, and conditions of the Pledge Agreement executed by such Debtor, as amended hereby,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continue in full force and effect and shall remain enforceable and binding in accordance with the terms of such Pledge Agreement, as amended.</w:t>
      </w:r>
    </w:p>
    <w:p>
      <w:pPr>
        <w:spacing w:after="0" w:line="71" w:lineRule="exact"/>
        <w:rPr>
          <w:rFonts w:ascii="Arial" w:cs="Arial" w:eastAsia="Arial" w:hAnsi="Arial"/>
          <w:sz w:val="16"/>
          <w:szCs w:val="16"/>
          <w:b w:val="1"/>
          <w:bCs w:val="1"/>
          <w:color w:val="auto"/>
        </w:rPr>
      </w:pPr>
    </w:p>
    <w:p>
      <w:pPr>
        <w:ind w:firstLine="8"/>
        <w:spacing w:after="0" w:line="323" w:lineRule="auto"/>
        <w:tabs>
          <w:tab w:leader="none" w:pos="400" w:val="left"/>
        </w:tabs>
        <w:numPr>
          <w:ilvl w:val="0"/>
          <w:numId w:val="30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Parties Bound</w:t>
      </w:r>
      <w:r>
        <w:rPr>
          <w:rFonts w:ascii="Arial" w:cs="Arial" w:eastAsia="Arial" w:hAnsi="Arial"/>
          <w:sz w:val="20"/>
          <w:szCs w:val="20"/>
          <w:b w:val="1"/>
          <w:bCs w:val="1"/>
          <w:color w:val="auto"/>
        </w:rPr>
        <w:t xml:space="preserve">. </w:t>
      </w:r>
      <w:r>
        <w:rPr>
          <w:rFonts w:ascii="Arial" w:cs="Arial" w:eastAsia="Arial" w:hAnsi="Arial"/>
          <w:sz w:val="20"/>
          <w:szCs w:val="20"/>
          <w:color w:val="auto"/>
        </w:rPr>
        <w:t>This Confirmation shall be binding upon and inure to the benefit of each Debtor and the Administrative Agent,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benefit of the Lenders, and their respective successors, permitted assigns, and legal representatives.</w:t>
      </w:r>
    </w:p>
    <w:p>
      <w:pPr>
        <w:spacing w:after="0" w:line="164" w:lineRule="exact"/>
        <w:rPr>
          <w:rFonts w:ascii="Arial" w:cs="Arial" w:eastAsia="Arial" w:hAnsi="Arial"/>
          <w:sz w:val="20"/>
          <w:szCs w:val="20"/>
          <w:b w:val="1"/>
          <w:bCs w:val="1"/>
          <w:color w:val="auto"/>
        </w:rPr>
      </w:pPr>
    </w:p>
    <w:p>
      <w:pPr>
        <w:ind w:left="360" w:hanging="352"/>
        <w:spacing w:after="0"/>
        <w:tabs>
          <w:tab w:leader="none" w:pos="360" w:val="left"/>
        </w:tabs>
        <w:numPr>
          <w:ilvl w:val="0"/>
          <w:numId w:val="30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Headings</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headings are for convenience of reference only and shall in no way affect the interpretation of this Confirmation.</w:t>
      </w:r>
    </w:p>
    <w:p>
      <w:pPr>
        <w:spacing w:after="0" w:line="281" w:lineRule="exact"/>
        <w:rPr>
          <w:rFonts w:ascii="Arial" w:cs="Arial" w:eastAsia="Arial" w:hAnsi="Arial"/>
          <w:sz w:val="19"/>
          <w:szCs w:val="19"/>
          <w:b w:val="1"/>
          <w:bCs w:val="1"/>
          <w:color w:val="auto"/>
        </w:rPr>
      </w:pPr>
    </w:p>
    <w:p>
      <w:pPr>
        <w:ind w:right="20" w:firstLine="8"/>
        <w:spacing w:after="0" w:line="323" w:lineRule="auto"/>
        <w:tabs>
          <w:tab w:leader="none" w:pos="670" w:val="left"/>
        </w:tabs>
        <w:numPr>
          <w:ilvl w:val="0"/>
          <w:numId w:val="30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b w:val="1"/>
          <w:bCs w:val="1"/>
          <w:color w:val="auto"/>
        </w:rPr>
        <w:t xml:space="preserve">. </w:t>
      </w:r>
      <w:r>
        <w:rPr>
          <w:rFonts w:ascii="Arial" w:cs="Arial" w:eastAsia="Arial" w:hAnsi="Arial"/>
          <w:sz w:val="20"/>
          <w:szCs w:val="20"/>
          <w:color w:val="auto"/>
        </w:rPr>
        <w:t>THE SUBSTANTIVE LAWS OF THE STATE OF NEW YORK SHALL GOVERN THE VALIDITY,</w:t>
      </w:r>
      <w:r>
        <w:rPr>
          <w:rFonts w:ascii="Arial" w:cs="Arial" w:eastAsia="Arial" w:hAnsi="Arial"/>
          <w:sz w:val="20"/>
          <w:szCs w:val="20"/>
          <w:b w:val="1"/>
          <w:bCs w:val="1"/>
          <w:color w:val="auto"/>
        </w:rPr>
        <w:t xml:space="preserve"> </w:t>
      </w:r>
      <w:r>
        <w:rPr>
          <w:rFonts w:ascii="Arial" w:cs="Arial" w:eastAsia="Arial" w:hAnsi="Arial"/>
          <w:sz w:val="20"/>
          <w:szCs w:val="20"/>
          <w:color w:val="auto"/>
        </w:rPr>
        <w:t>CONSTRUCTION, ENFORCEMENT, AND INTERPRETATION OF THIS CONFIRMATION.</w:t>
      </w:r>
    </w:p>
    <w:p>
      <w:pPr>
        <w:spacing w:after="0" w:line="164" w:lineRule="exact"/>
        <w:rPr>
          <w:rFonts w:ascii="Arial" w:cs="Arial" w:eastAsia="Arial" w:hAnsi="Arial"/>
          <w:sz w:val="20"/>
          <w:szCs w:val="20"/>
          <w:b w:val="1"/>
          <w:bCs w:val="1"/>
          <w:color w:val="auto"/>
        </w:rPr>
      </w:pPr>
    </w:p>
    <w:p>
      <w:pPr>
        <w:jc w:val="both"/>
        <w:ind w:firstLine="8"/>
        <w:spacing w:after="0" w:line="309" w:lineRule="auto"/>
        <w:tabs>
          <w:tab w:leader="none" w:pos="346" w:val="left"/>
        </w:tabs>
        <w:numPr>
          <w:ilvl w:val="0"/>
          <w:numId w:val="30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NOTICE OF FINAL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CONFIRMATION REPRESENTS THE FINAL AGREEMENT BETWEEN THE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AND MAY NOT BE CONTRADICTED BY EVIDENCE OF PRIOR, CONTEMPORANEOUS, OR SUBSEQUENT ORAL AGREEMENTS OF THE PARTIES.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THERE ARE NO ORAL AGREEMENTS BETWEEN THE PARTIES.</w:t>
      </w:r>
    </w:p>
    <w:p>
      <w:pPr>
        <w:sectPr>
          <w:pgSz w:w="11900" w:h="16838" w:orient="portrait"/>
          <w:cols w:equalWidth="0" w:num="1">
            <w:col w:w="11420"/>
          </w:cols>
          <w:pgMar w:left="240" w:top="677" w:right="239" w:bottom="1440" w:gutter="0" w:footer="0" w:header="0"/>
        </w:sectPr>
      </w:pPr>
    </w:p>
    <w:bookmarkStart w:id="268" w:name="page269"/>
    <w:bookmarkEnd w:id="268"/>
    <w:p>
      <w:pPr>
        <w:jc w:val="center"/>
        <w:spacing w:after="0"/>
        <w:rPr>
          <w:sz w:val="20"/>
          <w:szCs w:val="20"/>
          <w:color w:val="auto"/>
        </w:rPr>
      </w:pPr>
      <w:r>
        <w:rPr>
          <w:rFonts w:ascii="Arial" w:cs="Arial" w:eastAsia="Arial" w:hAnsi="Arial"/>
          <w:sz w:val="16"/>
          <w:szCs w:val="16"/>
          <w:b w:val="1"/>
          <w:bCs w:val="1"/>
          <w:i w:val="1"/>
          <w:iCs w:val="1"/>
          <w:color w:val="auto"/>
        </w:rPr>
        <w:t>Remainder of Page Intentionally Blank</w:t>
      </w:r>
    </w:p>
    <w:p>
      <w:pPr>
        <w:sectPr>
          <w:pgSz w:w="11900" w:h="16838" w:orient="portrait"/>
          <w:cols w:equalWidth="0" w:num="1">
            <w:col w:w="9019"/>
          </w:cols>
          <w:pgMar w:left="1440" w:top="677" w:right="1440" w:bottom="1440" w:gutter="0" w:footer="0" w:header="0"/>
        </w:sectPr>
      </w:pPr>
    </w:p>
    <w:p>
      <w:pPr>
        <w:spacing w:after="0" w:line="10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Signature Page to Follow</w:t>
      </w:r>
    </w:p>
    <w:p>
      <w:pPr>
        <w:sectPr>
          <w:pgSz w:w="11900" w:h="16838" w:orient="portrait"/>
          <w:cols w:equalWidth="0" w:num="1">
            <w:col w:w="9019"/>
          </w:cols>
          <w:pgMar w:left="1440" w:top="677" w:right="1440" w:bottom="1440" w:gutter="0" w:footer="0" w:header="0"/>
          <w:type w:val="continuous"/>
        </w:sectPr>
      </w:pPr>
    </w:p>
    <w:bookmarkStart w:id="269" w:name="page270"/>
    <w:bookmarkEnd w:id="269"/>
    <w:p>
      <w:pPr>
        <w:jc w:val="center"/>
        <w:spacing w:after="0"/>
        <w:rPr>
          <w:sz w:val="20"/>
          <w:szCs w:val="20"/>
          <w:color w:val="auto"/>
        </w:rPr>
      </w:pPr>
      <w:r>
        <w:rPr>
          <w:rFonts w:ascii="Arial" w:cs="Arial" w:eastAsia="Arial" w:hAnsi="Arial"/>
          <w:sz w:val="18"/>
          <w:szCs w:val="18"/>
          <w:color w:val="auto"/>
        </w:rPr>
        <w:t>EXECUTED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DEBTORS:</w:t>
      </w:r>
    </w:p>
    <w:p>
      <w:pPr>
        <w:spacing w:after="0" w:line="34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The Vail Corporation (d/b/a “Vail Associates, Inc.”)</w:t>
      </w:r>
    </w:p>
    <w:p>
      <w:pPr>
        <w:spacing w:after="0" w:line="7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Vail Resorts,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Vail Holdings,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Beaver Creek Associates,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Grand Teton Lodge Company</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Lodge Properties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Rockresorts International, LLC</w:t>
      </w:r>
    </w:p>
    <w:p>
      <w:pPr>
        <w:spacing w:after="0" w:line="54"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Teton Hospitality Services,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VA Rancho Mirage I,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VA Rancho Mirage II,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Vail Resorts Development Company</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Vail RR,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Vail Summit Resorts,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Vail/Arrowhead,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VR Heavenly I,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VR Heavenly II,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All Media Holdings,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Heavenly Valley, Limited Partnership</w:t>
      </w:r>
    </w:p>
    <w:p>
      <w:pPr>
        <w:spacing w:after="0" w:line="54"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VR Heavenly I,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National Park Hospitality Company</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SSV Holdings,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Vail Associates Holdings, Ltd.</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All Media Associates,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SSV Online Holdings,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VR CPC Holdings, Inc.</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VR US Holdings, Inc.</w:t>
      </w:r>
    </w:p>
    <w:p>
      <w:pPr>
        <w:spacing w:after="0" w:line="33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-14605</wp:posOffset>
            </wp:positionV>
            <wp:extent cx="6286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3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9019"/>
          </w:cols>
          <w:pgMar w:left="1440" w:top="649" w:right="1440" w:bottom="1440" w:gutter="0" w:footer="0" w:header="0"/>
        </w:sectPr>
      </w:pPr>
    </w:p>
    <w:bookmarkStart w:id="270" w:name="page271"/>
    <w:bookmarkEnd w:id="270"/>
    <w:p>
      <w:pPr>
        <w:spacing w:after="0"/>
        <w:rPr>
          <w:sz w:val="20"/>
          <w:szCs w:val="20"/>
          <w:color w:val="auto"/>
        </w:rPr>
      </w:pPr>
      <w:r>
        <w:rPr>
          <w:rFonts w:ascii="Arial" w:cs="Arial" w:eastAsia="Arial" w:hAnsi="Arial"/>
          <w:sz w:val="18"/>
          <w:szCs w:val="18"/>
          <w:color w:val="auto"/>
        </w:rPr>
        <w:t>The undersigned, as Administrative Agent for the benefit of the Lenders, hereby accepts the foregoing Confirmation.</w:t>
      </w:r>
    </w:p>
    <w:p>
      <w:pPr>
        <w:sectPr>
          <w:pgSz w:w="11900" w:h="16838" w:orient="portrait"/>
          <w:cols w:equalWidth="0" w:num="1">
            <w:col w:w="10219"/>
          </w:cols>
          <w:pgMar w:left="240" w:top="677" w:right="1440" w:bottom="1440" w:gutter="0" w:footer="0" w:header="0"/>
        </w:sectPr>
      </w:pPr>
    </w:p>
    <w:p>
      <w:pPr>
        <w:spacing w:after="0" w:line="354"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ADMINISTRATIVE AGENT:</w:t>
      </w:r>
    </w:p>
    <w:p>
      <w:pPr>
        <w:spacing w:after="0" w:line="343"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BANK OF AMERICA, N.A.</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-14605</wp:posOffset>
            </wp:positionV>
            <wp:extent cx="6286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3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0219"/>
          </w:cols>
          <w:pgMar w:left="240" w:top="677" w:right="1440" w:bottom="1440" w:gutter="0" w:footer="0" w:header="0"/>
          <w:type w:val="continuous"/>
        </w:sectPr>
      </w:pPr>
    </w:p>
    <w:bookmarkStart w:id="271" w:name="page272"/>
    <w:bookmarkEnd w:id="271"/>
    <w:p>
      <w:pPr>
        <w:jc w:val="center"/>
        <w:spacing w:after="0"/>
        <w:rPr>
          <w:sz w:val="20"/>
          <w:szCs w:val="20"/>
          <w:color w:val="auto"/>
        </w:rPr>
      </w:pPr>
      <w:r>
        <w:rPr>
          <w:rFonts w:ascii="Arial" w:cs="Arial" w:eastAsia="Arial" w:hAnsi="Arial"/>
          <w:sz w:val="20"/>
          <w:szCs w:val="20"/>
          <w:b w:val="1"/>
          <w:bCs w:val="1"/>
          <w:color w:val="auto"/>
        </w:rPr>
        <w:t>Schedule A</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Pledge Agreements</w:t>
      </w:r>
    </w:p>
    <w:p>
      <w:pPr>
        <w:spacing w:after="0" w:line="276" w:lineRule="exact"/>
        <w:rPr>
          <w:sz w:val="20"/>
          <w:szCs w:val="20"/>
          <w:color w:val="auto"/>
        </w:rPr>
      </w:pPr>
    </w:p>
    <w:p>
      <w:pPr>
        <w:ind w:left="660" w:hanging="652"/>
        <w:spacing w:after="0" w:line="317" w:lineRule="auto"/>
        <w:tabs>
          <w:tab w:leader="none" w:pos="66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Amended and Restated Pledge Agreement dated as of June 10, 2003, between The Vail Corporation (d/b/a “Vail Associates, Inc.”), and Bank of America, N.A., as Administrative Agent for the ratable benefit of the Lenders.</w:t>
      </w:r>
    </w:p>
    <w:p>
      <w:pPr>
        <w:spacing w:after="0" w:line="175" w:lineRule="exact"/>
        <w:rPr>
          <w:rFonts w:ascii="Arial" w:cs="Arial" w:eastAsia="Arial" w:hAnsi="Arial"/>
          <w:sz w:val="20"/>
          <w:szCs w:val="20"/>
          <w:color w:val="auto"/>
        </w:rPr>
      </w:pPr>
    </w:p>
    <w:p>
      <w:pPr>
        <w:ind w:left="660" w:right="20" w:hanging="652"/>
        <w:spacing w:after="0" w:line="317" w:lineRule="auto"/>
        <w:tabs>
          <w:tab w:leader="none" w:pos="66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Amended and Restated Pledge Agreement dated as of June 10, 2003, between Vail Resorts, Inc., and Bank of America, N.A., as Administrative Agent for the ratable benefit of the Lenders.</w:t>
      </w:r>
    </w:p>
    <w:p>
      <w:pPr>
        <w:spacing w:after="0" w:line="175" w:lineRule="exact"/>
        <w:rPr>
          <w:rFonts w:ascii="Arial" w:cs="Arial" w:eastAsia="Arial" w:hAnsi="Arial"/>
          <w:sz w:val="20"/>
          <w:szCs w:val="20"/>
          <w:color w:val="auto"/>
        </w:rPr>
      </w:pPr>
    </w:p>
    <w:p>
      <w:pPr>
        <w:ind w:left="660" w:hanging="652"/>
        <w:spacing w:after="0" w:line="317" w:lineRule="auto"/>
        <w:tabs>
          <w:tab w:leader="none" w:pos="66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Amended and Restated Pledge Agreement dated as of June 10, 2003, between Vail Holdings, Inc., and Bank of America, N.A., as Administrative Agent for the ratable benefit of the Lenders.</w:t>
      </w:r>
    </w:p>
    <w:p>
      <w:pPr>
        <w:spacing w:after="0" w:line="175" w:lineRule="exact"/>
        <w:rPr>
          <w:rFonts w:ascii="Arial" w:cs="Arial" w:eastAsia="Arial" w:hAnsi="Arial"/>
          <w:sz w:val="20"/>
          <w:szCs w:val="20"/>
          <w:color w:val="auto"/>
        </w:rPr>
      </w:pPr>
    </w:p>
    <w:p>
      <w:pPr>
        <w:ind w:left="660" w:hanging="652"/>
        <w:spacing w:after="0" w:line="317" w:lineRule="auto"/>
        <w:tabs>
          <w:tab w:leader="none" w:pos="66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Amended and Restated Pledge Agreement dated as of June 10, 2003, between Beaver Creek Associates, Inc., and Bank of America, N.A., as Administrative Agent for the ratable benefit of the Lenders.</w:t>
      </w:r>
    </w:p>
    <w:p>
      <w:pPr>
        <w:spacing w:after="0" w:line="175" w:lineRule="exact"/>
        <w:rPr>
          <w:rFonts w:ascii="Arial" w:cs="Arial" w:eastAsia="Arial" w:hAnsi="Arial"/>
          <w:sz w:val="20"/>
          <w:szCs w:val="20"/>
          <w:color w:val="auto"/>
        </w:rPr>
      </w:pPr>
    </w:p>
    <w:p>
      <w:pPr>
        <w:ind w:left="660" w:hanging="652"/>
        <w:spacing w:after="0" w:line="317" w:lineRule="auto"/>
        <w:tabs>
          <w:tab w:leader="none" w:pos="66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Amended and Restated Pledge Agreement dated as of June 10, 2003, between Grand Teton Lodge Company, and Bank of America, N.A., as Administrative Agent for the ratable benefit of the Lenders.</w:t>
      </w:r>
    </w:p>
    <w:p>
      <w:pPr>
        <w:spacing w:after="0" w:line="175" w:lineRule="exact"/>
        <w:rPr>
          <w:rFonts w:ascii="Arial" w:cs="Arial" w:eastAsia="Arial" w:hAnsi="Arial"/>
          <w:sz w:val="20"/>
          <w:szCs w:val="20"/>
          <w:color w:val="auto"/>
        </w:rPr>
      </w:pPr>
    </w:p>
    <w:p>
      <w:pPr>
        <w:ind w:left="660" w:hanging="652"/>
        <w:spacing w:after="0" w:line="317" w:lineRule="auto"/>
        <w:tabs>
          <w:tab w:leader="none" w:pos="66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Amended and Restated Pledge Agreement dated as of June 10, 2003, between Lodge Properties Inc., and Bank of America, N.A., as Administrative Agent for the ratable benefit of the Lenders.</w:t>
      </w:r>
    </w:p>
    <w:p>
      <w:pPr>
        <w:spacing w:after="0" w:line="175" w:lineRule="exact"/>
        <w:rPr>
          <w:rFonts w:ascii="Arial" w:cs="Arial" w:eastAsia="Arial" w:hAnsi="Arial"/>
          <w:sz w:val="20"/>
          <w:szCs w:val="20"/>
          <w:color w:val="auto"/>
        </w:rPr>
      </w:pPr>
    </w:p>
    <w:p>
      <w:pPr>
        <w:ind w:left="660" w:hanging="652"/>
        <w:spacing w:after="0" w:line="317" w:lineRule="auto"/>
        <w:tabs>
          <w:tab w:leader="none" w:pos="66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Amended and Restated Pledge Agreement dated as of June 10, 2003, between Teton Hospitality Services, Inc., and Bank of America, N.A., as Administrative Agent for the ratable benefit of the Lenders.</w:t>
      </w:r>
    </w:p>
    <w:p>
      <w:pPr>
        <w:spacing w:after="0" w:line="175" w:lineRule="exact"/>
        <w:rPr>
          <w:rFonts w:ascii="Arial" w:cs="Arial" w:eastAsia="Arial" w:hAnsi="Arial"/>
          <w:sz w:val="20"/>
          <w:szCs w:val="20"/>
          <w:color w:val="auto"/>
        </w:rPr>
      </w:pPr>
    </w:p>
    <w:p>
      <w:pPr>
        <w:ind w:left="660" w:right="20" w:hanging="652"/>
        <w:spacing w:after="0" w:line="317" w:lineRule="auto"/>
        <w:tabs>
          <w:tab w:leader="none" w:pos="66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Amended and Restated Pledge Agreement dated as of June 10, 2003, between VA Rancho Mirage I, Inc., and Bank of America, N.A., as Administrative Agent for the ratable benefit of the Lenders.</w:t>
      </w:r>
    </w:p>
    <w:p>
      <w:pPr>
        <w:spacing w:after="0" w:line="175" w:lineRule="exact"/>
        <w:rPr>
          <w:rFonts w:ascii="Arial" w:cs="Arial" w:eastAsia="Arial" w:hAnsi="Arial"/>
          <w:sz w:val="20"/>
          <w:szCs w:val="20"/>
          <w:color w:val="auto"/>
        </w:rPr>
      </w:pPr>
    </w:p>
    <w:p>
      <w:pPr>
        <w:ind w:left="660" w:right="20" w:hanging="652"/>
        <w:spacing w:after="0" w:line="317" w:lineRule="auto"/>
        <w:tabs>
          <w:tab w:leader="none" w:pos="66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Amended and Restated Pledge Agreement dated as of June 10, 2003, between VA Rancho Mirage II, Inc., and Bank of America, N.A., as Administrative Agent for the ratable benefit of the Lenders.</w:t>
      </w:r>
    </w:p>
    <w:p>
      <w:pPr>
        <w:spacing w:after="0" w:line="175" w:lineRule="exact"/>
        <w:rPr>
          <w:rFonts w:ascii="Arial" w:cs="Arial" w:eastAsia="Arial" w:hAnsi="Arial"/>
          <w:sz w:val="20"/>
          <w:szCs w:val="20"/>
          <w:color w:val="auto"/>
        </w:rPr>
      </w:pPr>
    </w:p>
    <w:p>
      <w:pPr>
        <w:ind w:left="660" w:right="20" w:hanging="652"/>
        <w:spacing w:after="0" w:line="317" w:lineRule="auto"/>
        <w:tabs>
          <w:tab w:leader="none" w:pos="66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Amended and Restated Pledge Agreement dated as of June 10, 2003, between Vail Resorts Development Company, and Bank of America, N.A., as Administrative Agent for the ratable benefit of the Lenders.</w:t>
      </w:r>
    </w:p>
    <w:p>
      <w:pPr>
        <w:spacing w:after="0" w:line="175" w:lineRule="exact"/>
        <w:rPr>
          <w:rFonts w:ascii="Arial" w:cs="Arial" w:eastAsia="Arial" w:hAnsi="Arial"/>
          <w:sz w:val="20"/>
          <w:szCs w:val="20"/>
          <w:color w:val="auto"/>
        </w:rPr>
      </w:pPr>
    </w:p>
    <w:p>
      <w:pPr>
        <w:ind w:left="660" w:hanging="652"/>
        <w:spacing w:after="0" w:line="317" w:lineRule="auto"/>
        <w:tabs>
          <w:tab w:leader="none" w:pos="66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Amended and Restated Pledge Agreement dated as of June 10, 2003, between Vail RR, Inc., and Bank of America, N.A., as Administrative Agent for the ratable benefit of the Lenders.</w:t>
      </w:r>
    </w:p>
    <w:p>
      <w:pPr>
        <w:spacing w:after="0" w:line="175" w:lineRule="exact"/>
        <w:rPr>
          <w:rFonts w:ascii="Arial" w:cs="Arial" w:eastAsia="Arial" w:hAnsi="Arial"/>
          <w:sz w:val="20"/>
          <w:szCs w:val="20"/>
          <w:color w:val="auto"/>
        </w:rPr>
      </w:pPr>
    </w:p>
    <w:p>
      <w:pPr>
        <w:ind w:left="660" w:hanging="652"/>
        <w:spacing w:after="0" w:line="317" w:lineRule="auto"/>
        <w:tabs>
          <w:tab w:leader="none" w:pos="66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Amended and Restated Pledge Agreement dated as of June 10, 2003, between Vail Summit Resorts, Inc., and Bank of America, N.A., as Administrative Agent for the ratable benefit of the Lenders.</w:t>
      </w:r>
    </w:p>
    <w:p>
      <w:pPr>
        <w:sectPr>
          <w:pgSz w:w="11900" w:h="16838" w:orient="portrait"/>
          <w:cols w:equalWidth="0" w:num="1">
            <w:col w:w="11420"/>
          </w:cols>
          <w:pgMar w:left="240" w:top="643" w:right="239" w:bottom="1440" w:gutter="0" w:footer="0" w:header="0"/>
        </w:sectPr>
      </w:pPr>
    </w:p>
    <w:bookmarkStart w:id="272" w:name="page273"/>
    <w:bookmarkEnd w:id="272"/>
    <w:p>
      <w:pPr>
        <w:ind w:left="652" w:hanging="652"/>
        <w:spacing w:after="0" w:line="317" w:lineRule="auto"/>
        <w:tabs>
          <w:tab w:leader="none" w:pos="652" w:val="left"/>
        </w:tabs>
        <w:numPr>
          <w:ilvl w:val="0"/>
          <w:numId w:val="306"/>
        </w:numPr>
        <w:rPr>
          <w:rFonts w:ascii="Arial" w:cs="Arial" w:eastAsia="Arial" w:hAnsi="Arial"/>
          <w:sz w:val="20"/>
          <w:szCs w:val="20"/>
          <w:color w:val="auto"/>
        </w:rPr>
      </w:pPr>
      <w:r>
        <w:rPr>
          <w:rFonts w:ascii="Arial" w:cs="Arial" w:eastAsia="Arial" w:hAnsi="Arial"/>
          <w:sz w:val="20"/>
          <w:szCs w:val="20"/>
          <w:color w:val="auto"/>
        </w:rPr>
        <w:t>Amended and Restated Pledge Agreement dated as of June 10, 2003, between Vail/Arrowhead, Inc., and Bank of America, N.A., as Administrative Agent for the ratable benefit of the Lenders.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75" w:lineRule="exact"/>
        <w:rPr>
          <w:rFonts w:ascii="Arial" w:cs="Arial" w:eastAsia="Arial" w:hAnsi="Arial"/>
          <w:sz w:val="20"/>
          <w:szCs w:val="20"/>
          <w:color w:val="auto"/>
        </w:rPr>
      </w:pPr>
    </w:p>
    <w:p>
      <w:pPr>
        <w:ind w:left="652" w:hanging="652"/>
        <w:spacing w:after="0" w:line="317" w:lineRule="auto"/>
        <w:tabs>
          <w:tab w:leader="none" w:pos="652" w:val="left"/>
        </w:tabs>
        <w:numPr>
          <w:ilvl w:val="0"/>
          <w:numId w:val="306"/>
        </w:numPr>
        <w:rPr>
          <w:rFonts w:ascii="Arial" w:cs="Arial" w:eastAsia="Arial" w:hAnsi="Arial"/>
          <w:sz w:val="20"/>
          <w:szCs w:val="20"/>
          <w:color w:val="auto"/>
        </w:rPr>
      </w:pPr>
      <w:r>
        <w:rPr>
          <w:rFonts w:ascii="Arial" w:cs="Arial" w:eastAsia="Arial" w:hAnsi="Arial"/>
          <w:sz w:val="20"/>
          <w:szCs w:val="20"/>
          <w:color w:val="auto"/>
        </w:rPr>
        <w:t>Amended and Restated Pledge Agreement dated as of June 10, 2003, between VR Heavenly I, Inc., and Bank of America, N.A., as Administrative Agent for the ratable benefit of the Lenders.</w:t>
      </w:r>
    </w:p>
    <w:p>
      <w:pPr>
        <w:spacing w:after="0" w:line="175" w:lineRule="exact"/>
        <w:rPr>
          <w:rFonts w:ascii="Arial" w:cs="Arial" w:eastAsia="Arial" w:hAnsi="Arial"/>
          <w:sz w:val="20"/>
          <w:szCs w:val="20"/>
          <w:color w:val="auto"/>
        </w:rPr>
      </w:pPr>
    </w:p>
    <w:p>
      <w:pPr>
        <w:ind w:left="652" w:hanging="652"/>
        <w:spacing w:after="0" w:line="317" w:lineRule="auto"/>
        <w:tabs>
          <w:tab w:leader="none" w:pos="652" w:val="left"/>
        </w:tabs>
        <w:numPr>
          <w:ilvl w:val="0"/>
          <w:numId w:val="306"/>
        </w:numPr>
        <w:rPr>
          <w:rFonts w:ascii="Arial" w:cs="Arial" w:eastAsia="Arial" w:hAnsi="Arial"/>
          <w:sz w:val="20"/>
          <w:szCs w:val="20"/>
          <w:color w:val="auto"/>
        </w:rPr>
      </w:pPr>
      <w:r>
        <w:rPr>
          <w:rFonts w:ascii="Arial" w:cs="Arial" w:eastAsia="Arial" w:hAnsi="Arial"/>
          <w:sz w:val="20"/>
          <w:szCs w:val="20"/>
          <w:color w:val="auto"/>
        </w:rPr>
        <w:t>Amended and Restated Pledge Agreement dated as of June 10, 2003, between VR Heavenly II, Inc., and Bank of America, N.A., as Administrative Agent for the ratable benefit of the Lenders.</w:t>
      </w:r>
    </w:p>
    <w:p>
      <w:pPr>
        <w:spacing w:after="0" w:line="175" w:lineRule="exact"/>
        <w:rPr>
          <w:rFonts w:ascii="Arial" w:cs="Arial" w:eastAsia="Arial" w:hAnsi="Arial"/>
          <w:sz w:val="20"/>
          <w:szCs w:val="20"/>
          <w:color w:val="auto"/>
        </w:rPr>
      </w:pPr>
    </w:p>
    <w:p>
      <w:pPr>
        <w:ind w:left="652" w:right="20" w:hanging="652"/>
        <w:spacing w:after="0" w:line="317" w:lineRule="auto"/>
        <w:tabs>
          <w:tab w:leader="none" w:pos="652" w:val="left"/>
        </w:tabs>
        <w:numPr>
          <w:ilvl w:val="0"/>
          <w:numId w:val="306"/>
        </w:numPr>
        <w:rPr>
          <w:rFonts w:ascii="Arial" w:cs="Arial" w:eastAsia="Arial" w:hAnsi="Arial"/>
          <w:sz w:val="20"/>
          <w:szCs w:val="20"/>
          <w:color w:val="auto"/>
        </w:rPr>
      </w:pPr>
      <w:r>
        <w:rPr>
          <w:rFonts w:ascii="Arial" w:cs="Arial" w:eastAsia="Arial" w:hAnsi="Arial"/>
          <w:sz w:val="20"/>
          <w:szCs w:val="20"/>
          <w:color w:val="auto"/>
        </w:rPr>
        <w:t>Second Amended and Restated Pledge Agreement dated as of April 16, 2008, between Rockresorts International, LLC, and Bank of America, N.A., as Administrative Agent for the ratable benefit of the Lenders.</w:t>
      </w:r>
    </w:p>
    <w:p>
      <w:pPr>
        <w:spacing w:after="0" w:line="175" w:lineRule="exact"/>
        <w:rPr>
          <w:rFonts w:ascii="Arial" w:cs="Arial" w:eastAsia="Arial" w:hAnsi="Arial"/>
          <w:sz w:val="20"/>
          <w:szCs w:val="20"/>
          <w:color w:val="auto"/>
        </w:rPr>
      </w:pPr>
    </w:p>
    <w:p>
      <w:pPr>
        <w:ind w:left="652" w:hanging="652"/>
        <w:spacing w:after="0" w:line="317" w:lineRule="auto"/>
        <w:tabs>
          <w:tab w:leader="none" w:pos="652" w:val="left"/>
        </w:tabs>
        <w:numPr>
          <w:ilvl w:val="0"/>
          <w:numId w:val="306"/>
        </w:numPr>
        <w:rPr>
          <w:rFonts w:ascii="Arial" w:cs="Arial" w:eastAsia="Arial" w:hAnsi="Arial"/>
          <w:sz w:val="20"/>
          <w:szCs w:val="20"/>
          <w:color w:val="auto"/>
        </w:rPr>
      </w:pPr>
      <w:r>
        <w:rPr>
          <w:rFonts w:ascii="Arial" w:cs="Arial" w:eastAsia="Arial" w:hAnsi="Arial"/>
          <w:sz w:val="20"/>
          <w:szCs w:val="20"/>
          <w:color w:val="auto"/>
        </w:rPr>
        <w:t>Pledge Agreement dated as of June 29, 2011, between SSV Holdings, Inc., and Bank of America, N.A., as Administrative Agent for the ratable benefit of the Lenders.</w:t>
      </w:r>
    </w:p>
    <w:p>
      <w:pPr>
        <w:spacing w:after="0" w:line="175" w:lineRule="exact"/>
        <w:rPr>
          <w:rFonts w:ascii="Arial" w:cs="Arial" w:eastAsia="Arial" w:hAnsi="Arial"/>
          <w:sz w:val="20"/>
          <w:szCs w:val="20"/>
          <w:color w:val="auto"/>
        </w:rPr>
      </w:pPr>
    </w:p>
    <w:p>
      <w:pPr>
        <w:ind w:left="652" w:hanging="652"/>
        <w:spacing w:after="0" w:line="317" w:lineRule="auto"/>
        <w:tabs>
          <w:tab w:leader="none" w:pos="652" w:val="left"/>
        </w:tabs>
        <w:numPr>
          <w:ilvl w:val="0"/>
          <w:numId w:val="306"/>
        </w:numPr>
        <w:rPr>
          <w:rFonts w:ascii="Arial" w:cs="Arial" w:eastAsia="Arial" w:hAnsi="Arial"/>
          <w:sz w:val="20"/>
          <w:szCs w:val="20"/>
          <w:color w:val="auto"/>
        </w:rPr>
      </w:pPr>
      <w:r>
        <w:rPr>
          <w:rFonts w:ascii="Arial" w:cs="Arial" w:eastAsia="Arial" w:hAnsi="Arial"/>
          <w:sz w:val="20"/>
          <w:szCs w:val="20"/>
          <w:color w:val="auto"/>
        </w:rPr>
        <w:t>Pledge Agreement dated as of January 25, 2006, between Vail Associates Holdings, Ltd., and Bank of America, N.A., as Administrative Agent for the ratable benefit of the Lenders.</w:t>
      </w:r>
    </w:p>
    <w:p>
      <w:pPr>
        <w:spacing w:after="0" w:line="175" w:lineRule="exact"/>
        <w:rPr>
          <w:rFonts w:ascii="Arial" w:cs="Arial" w:eastAsia="Arial" w:hAnsi="Arial"/>
          <w:sz w:val="20"/>
          <w:szCs w:val="20"/>
          <w:color w:val="auto"/>
        </w:rPr>
      </w:pPr>
    </w:p>
    <w:p>
      <w:pPr>
        <w:ind w:left="652" w:hanging="652"/>
        <w:spacing w:after="0" w:line="317" w:lineRule="auto"/>
        <w:tabs>
          <w:tab w:leader="none" w:pos="652" w:val="left"/>
        </w:tabs>
        <w:numPr>
          <w:ilvl w:val="0"/>
          <w:numId w:val="306"/>
        </w:numPr>
        <w:rPr>
          <w:rFonts w:ascii="Arial" w:cs="Arial" w:eastAsia="Arial" w:hAnsi="Arial"/>
          <w:sz w:val="20"/>
          <w:szCs w:val="20"/>
          <w:color w:val="auto"/>
        </w:rPr>
      </w:pPr>
      <w:r>
        <w:rPr>
          <w:rFonts w:ascii="Arial" w:cs="Arial" w:eastAsia="Arial" w:hAnsi="Arial"/>
          <w:sz w:val="20"/>
          <w:szCs w:val="20"/>
          <w:color w:val="auto"/>
        </w:rPr>
        <w:t>Pledge Agreement dated as of June 25, 2010, between All Media Holdings, Inc., and Bank of America, N.A., as Administrative Agent for the ratable benefit of the Lenders.</w:t>
      </w:r>
    </w:p>
    <w:p>
      <w:pPr>
        <w:spacing w:after="0" w:line="175" w:lineRule="exact"/>
        <w:rPr>
          <w:rFonts w:ascii="Arial" w:cs="Arial" w:eastAsia="Arial" w:hAnsi="Arial"/>
          <w:sz w:val="20"/>
          <w:szCs w:val="20"/>
          <w:color w:val="auto"/>
        </w:rPr>
      </w:pPr>
    </w:p>
    <w:p>
      <w:pPr>
        <w:ind w:left="652" w:hanging="652"/>
        <w:spacing w:after="0" w:line="317" w:lineRule="auto"/>
        <w:tabs>
          <w:tab w:leader="none" w:pos="652" w:val="left"/>
        </w:tabs>
        <w:numPr>
          <w:ilvl w:val="0"/>
          <w:numId w:val="306"/>
        </w:numPr>
        <w:rPr>
          <w:rFonts w:ascii="Arial" w:cs="Arial" w:eastAsia="Arial" w:hAnsi="Arial"/>
          <w:sz w:val="20"/>
          <w:szCs w:val="20"/>
          <w:color w:val="auto"/>
        </w:rPr>
      </w:pPr>
      <w:r>
        <w:rPr>
          <w:rFonts w:ascii="Arial" w:cs="Arial" w:eastAsia="Arial" w:hAnsi="Arial"/>
          <w:sz w:val="20"/>
          <w:szCs w:val="20"/>
          <w:color w:val="auto"/>
        </w:rPr>
        <w:t>Pledge Agreement dated as of March 13, 2007, between National Park Hospitality Company, and Bank of America, N.A., as Administrative Agent for the ratable benefit of the Lenders.</w:t>
      </w:r>
    </w:p>
    <w:p>
      <w:pPr>
        <w:spacing w:after="0" w:line="175" w:lineRule="exact"/>
        <w:rPr>
          <w:rFonts w:ascii="Arial" w:cs="Arial" w:eastAsia="Arial" w:hAnsi="Arial"/>
          <w:sz w:val="20"/>
          <w:szCs w:val="20"/>
          <w:color w:val="auto"/>
        </w:rPr>
      </w:pPr>
    </w:p>
    <w:p>
      <w:pPr>
        <w:ind w:left="652" w:hanging="652"/>
        <w:spacing w:after="0" w:line="317" w:lineRule="auto"/>
        <w:tabs>
          <w:tab w:leader="none" w:pos="652" w:val="left"/>
        </w:tabs>
        <w:numPr>
          <w:ilvl w:val="0"/>
          <w:numId w:val="306"/>
        </w:numPr>
        <w:rPr>
          <w:rFonts w:ascii="Arial" w:cs="Arial" w:eastAsia="Arial" w:hAnsi="Arial"/>
          <w:sz w:val="20"/>
          <w:szCs w:val="20"/>
          <w:color w:val="auto"/>
        </w:rPr>
      </w:pPr>
      <w:r>
        <w:rPr>
          <w:rFonts w:ascii="Arial" w:cs="Arial" w:eastAsia="Arial" w:hAnsi="Arial"/>
          <w:sz w:val="20"/>
          <w:szCs w:val="20"/>
          <w:color w:val="auto"/>
        </w:rPr>
        <w:t>Pledge Agreement dated as of September 13, 2010, between Heavenly Valley, Limited Partnership, and Bank of America, N.A., as Administrative Agent for the ratable benefit of the Lenders.</w:t>
      </w:r>
    </w:p>
    <w:p>
      <w:pPr>
        <w:spacing w:after="0" w:line="175" w:lineRule="exact"/>
        <w:rPr>
          <w:rFonts w:ascii="Arial" w:cs="Arial" w:eastAsia="Arial" w:hAnsi="Arial"/>
          <w:sz w:val="20"/>
          <w:szCs w:val="20"/>
          <w:color w:val="auto"/>
        </w:rPr>
      </w:pPr>
    </w:p>
    <w:p>
      <w:pPr>
        <w:ind w:left="652" w:right="20" w:hanging="652"/>
        <w:spacing w:after="0" w:line="317" w:lineRule="auto"/>
        <w:tabs>
          <w:tab w:leader="none" w:pos="652" w:val="left"/>
        </w:tabs>
        <w:numPr>
          <w:ilvl w:val="0"/>
          <w:numId w:val="306"/>
        </w:numPr>
        <w:rPr>
          <w:rFonts w:ascii="Arial" w:cs="Arial" w:eastAsia="Arial" w:hAnsi="Arial"/>
          <w:sz w:val="20"/>
          <w:szCs w:val="20"/>
          <w:color w:val="auto"/>
        </w:rPr>
      </w:pPr>
      <w:r>
        <w:rPr>
          <w:rFonts w:ascii="Arial" w:cs="Arial" w:eastAsia="Arial" w:hAnsi="Arial"/>
          <w:sz w:val="20"/>
          <w:szCs w:val="20"/>
          <w:color w:val="auto"/>
        </w:rPr>
        <w:t>Pledge Agreement dated as of January 25, 2011, between All Media Associates, Inc., and Bank of America, N.A., as Administrative Agent for the ratable benefit of the Lenders.</w:t>
      </w:r>
    </w:p>
    <w:p>
      <w:pPr>
        <w:spacing w:after="0" w:line="175" w:lineRule="exact"/>
        <w:rPr>
          <w:rFonts w:ascii="Arial" w:cs="Arial" w:eastAsia="Arial" w:hAnsi="Arial"/>
          <w:sz w:val="20"/>
          <w:szCs w:val="20"/>
          <w:color w:val="auto"/>
        </w:rPr>
      </w:pPr>
    </w:p>
    <w:p>
      <w:pPr>
        <w:ind w:left="652" w:right="20" w:hanging="652"/>
        <w:spacing w:after="0" w:line="317" w:lineRule="auto"/>
        <w:tabs>
          <w:tab w:leader="none" w:pos="652" w:val="left"/>
        </w:tabs>
        <w:numPr>
          <w:ilvl w:val="0"/>
          <w:numId w:val="306"/>
        </w:numPr>
        <w:rPr>
          <w:rFonts w:ascii="Arial" w:cs="Arial" w:eastAsia="Arial" w:hAnsi="Arial"/>
          <w:sz w:val="20"/>
          <w:szCs w:val="20"/>
          <w:color w:val="auto"/>
        </w:rPr>
      </w:pPr>
      <w:r>
        <w:rPr>
          <w:rFonts w:ascii="Arial" w:cs="Arial" w:eastAsia="Arial" w:hAnsi="Arial"/>
          <w:sz w:val="20"/>
          <w:szCs w:val="20"/>
          <w:color w:val="auto"/>
        </w:rPr>
        <w:t>Pledge Agreement dated as of June 29, 2011, between SSV Online Holdings, Inc., and Bank of America, N.A., as Administrative Agent for the ratable benefit of the Lenders.</w:t>
      </w:r>
    </w:p>
    <w:p>
      <w:pPr>
        <w:spacing w:after="0" w:line="175" w:lineRule="exact"/>
        <w:rPr>
          <w:rFonts w:ascii="Arial" w:cs="Arial" w:eastAsia="Arial" w:hAnsi="Arial"/>
          <w:sz w:val="20"/>
          <w:szCs w:val="20"/>
          <w:color w:val="auto"/>
        </w:rPr>
      </w:pPr>
    </w:p>
    <w:p>
      <w:pPr>
        <w:ind w:left="652" w:hanging="652"/>
        <w:spacing w:after="0" w:line="317" w:lineRule="auto"/>
        <w:tabs>
          <w:tab w:leader="none" w:pos="652" w:val="left"/>
        </w:tabs>
        <w:numPr>
          <w:ilvl w:val="0"/>
          <w:numId w:val="306"/>
        </w:numPr>
        <w:rPr>
          <w:rFonts w:ascii="Arial" w:cs="Arial" w:eastAsia="Arial" w:hAnsi="Arial"/>
          <w:sz w:val="20"/>
          <w:szCs w:val="20"/>
          <w:color w:val="auto"/>
        </w:rPr>
      </w:pPr>
      <w:r>
        <w:rPr>
          <w:rFonts w:ascii="Arial" w:cs="Arial" w:eastAsia="Arial" w:hAnsi="Arial"/>
          <w:sz w:val="20"/>
          <w:szCs w:val="20"/>
          <w:color w:val="auto"/>
        </w:rPr>
        <w:t>Pledge Agreement dated as of October 5, 2014, between VR CPC Holdings, Inc., and Bank of America, N.A., as Administrative Agent for the ratable benefit of the Lenders.</w:t>
      </w:r>
    </w:p>
    <w:p>
      <w:pPr>
        <w:spacing w:after="0" w:line="175" w:lineRule="exact"/>
        <w:rPr>
          <w:rFonts w:ascii="Arial" w:cs="Arial" w:eastAsia="Arial" w:hAnsi="Arial"/>
          <w:sz w:val="20"/>
          <w:szCs w:val="20"/>
          <w:color w:val="auto"/>
        </w:rPr>
      </w:pPr>
    </w:p>
    <w:p>
      <w:pPr>
        <w:ind w:left="652" w:hanging="652"/>
        <w:spacing w:after="0" w:line="317" w:lineRule="auto"/>
        <w:tabs>
          <w:tab w:leader="none" w:pos="652" w:val="left"/>
        </w:tabs>
        <w:numPr>
          <w:ilvl w:val="0"/>
          <w:numId w:val="306"/>
        </w:numPr>
        <w:rPr>
          <w:rFonts w:ascii="Arial" w:cs="Arial" w:eastAsia="Arial" w:hAnsi="Arial"/>
          <w:sz w:val="20"/>
          <w:szCs w:val="20"/>
          <w:color w:val="auto"/>
        </w:rPr>
      </w:pPr>
      <w:r>
        <w:rPr>
          <w:rFonts w:ascii="Arial" w:cs="Arial" w:eastAsia="Arial" w:hAnsi="Arial"/>
          <w:sz w:val="20"/>
          <w:szCs w:val="20"/>
          <w:color w:val="auto"/>
        </w:rPr>
        <w:t>Pledge Agreement dated as of February 15, 2016, between VR US Holdings, Inc., and Bank of America, N.A., as Administrative Agent for the ratable benefits of the Lenders.</w:t>
      </w:r>
    </w:p>
    <w:p>
      <w:pPr>
        <w:sectPr>
          <w:pgSz w:w="11900" w:h="16838" w:orient="portrait"/>
          <w:cols w:equalWidth="0" w:num="1">
            <w:col w:w="11412"/>
          </w:cols>
          <w:pgMar w:left="248" w:top="677" w:right="239" w:bottom="1440" w:gutter="0" w:footer="0" w:header="0"/>
        </w:sectPr>
      </w:pPr>
    </w:p>
    <w:bookmarkStart w:id="273" w:name="page274"/>
    <w:bookmarkEnd w:id="273"/>
    <w:p>
      <w:pPr>
        <w:jc w:val="center"/>
        <w:spacing w:after="0"/>
        <w:rPr>
          <w:sz w:val="20"/>
          <w:szCs w:val="20"/>
          <w:color w:val="auto"/>
        </w:rPr>
      </w:pPr>
      <w:r>
        <w:rPr>
          <w:rFonts w:ascii="Arial" w:cs="Arial" w:eastAsia="Arial" w:hAnsi="Arial"/>
          <w:sz w:val="20"/>
          <w:szCs w:val="20"/>
          <w:b w:val="1"/>
          <w:bCs w:val="1"/>
          <w:u w:val="single" w:color="auto"/>
          <w:color w:val="auto"/>
        </w:rPr>
        <w:t>EXHIBIT G-1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jc w:val="center"/>
        <w:spacing w:after="0"/>
        <w:rPr>
          <w:sz w:val="20"/>
          <w:szCs w:val="20"/>
          <w:color w:val="auto"/>
        </w:rPr>
      </w:pPr>
      <w:r>
        <w:rPr>
          <w:rFonts w:ascii="Arial" w:cs="Arial" w:eastAsia="Arial" w:hAnsi="Arial"/>
          <w:sz w:val="20"/>
          <w:szCs w:val="20"/>
          <w:color w:val="auto"/>
        </w:rPr>
        <w:t>(For Foreign Lenders That Are Not Partnerships For U.S. Federal Income Tax Purposes)</w:t>
      </w:r>
    </w:p>
    <w:p>
      <w:pPr>
        <w:spacing w:after="0" w:line="213"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8"/>
          <w:szCs w:val="18"/>
          <w:color w:val="auto"/>
        </w:rPr>
        <w:t>Reference is made to that certain Eighth Amended and Restated Credit Agreement, effective as of August 15, 2018 (as amended, restated, extended, supplemented or otherwise modified in writing from time to time, the “</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 among Vail Holdings, Inc., a Colorado corporation, each Lender from time to time party thereto, and Bank of America, N.A., as Administrative Agent.</w:t>
      </w:r>
    </w:p>
    <w:p>
      <w:pPr>
        <w:spacing w:after="0" w:line="152"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8"/>
          <w:szCs w:val="18"/>
          <w:color w:val="auto"/>
        </w:rPr>
        <w:t xml:space="preserve">Pursuant to the provisions of </w:t>
      </w:r>
      <w:r>
        <w:rPr>
          <w:rFonts w:ascii="Arial" w:cs="Arial" w:eastAsia="Arial" w:hAnsi="Arial"/>
          <w:sz w:val="18"/>
          <w:szCs w:val="18"/>
          <w:i w:val="1"/>
          <w:iCs w:val="1"/>
          <w:color w:val="auto"/>
        </w:rPr>
        <w:t>Section 4.1(e)</w:t>
      </w:r>
      <w:r>
        <w:rPr>
          <w:rFonts w:ascii="Arial" w:cs="Arial" w:eastAsia="Arial" w:hAnsi="Arial"/>
          <w:sz w:val="18"/>
          <w:szCs w:val="18"/>
          <w:color w:val="auto"/>
        </w:rPr>
        <w:t xml:space="preserve"> of the Credit Agreement, the undersigned hereby certifies that (i) it is the sole record and beneficial owner of the Loan(s) (as well as any Note(s) evidencing such Loan(s)) in respect of which it is providing this certificate,</w:t>
      </w:r>
    </w:p>
    <w:p>
      <w:pPr>
        <w:spacing w:after="0" w:line="1" w:lineRule="exact"/>
        <w:rPr>
          <w:sz w:val="20"/>
          <w:szCs w:val="20"/>
          <w:color w:val="auto"/>
        </w:rPr>
      </w:pPr>
    </w:p>
    <w:p>
      <w:pPr>
        <w:jc w:val="both"/>
        <w:ind w:firstLine="8"/>
        <w:spacing w:after="0" w:line="241" w:lineRule="auto"/>
        <w:tabs>
          <w:tab w:leader="none" w:pos="300" w:val="left"/>
        </w:tabs>
        <w:numPr>
          <w:ilvl w:val="0"/>
          <w:numId w:val="307"/>
        </w:numPr>
        <w:rPr>
          <w:rFonts w:ascii="Arial" w:cs="Arial" w:eastAsia="Arial" w:hAnsi="Arial"/>
          <w:sz w:val="20"/>
          <w:szCs w:val="20"/>
          <w:color w:val="auto"/>
        </w:rPr>
      </w:pPr>
      <w:r>
        <w:rPr>
          <w:rFonts w:ascii="Arial" w:cs="Arial" w:eastAsia="Arial" w:hAnsi="Arial"/>
          <w:sz w:val="20"/>
          <w:szCs w:val="20"/>
          <w:color w:val="auto"/>
        </w:rPr>
        <w:t>it is not a bank within the meaning of Section 881(c)(3)(A) of the Code, (iii) it is not a ten percent shareholder of the Borrower within the meaning of Section 871(h)(3)(B) of the Code, (iv) it is not a controlled foreign corporation related to the Borrower as described in Section 881(c)(3)(C) of the Code and (v) the interest payments in question are not effectively connected with the undersigned’s conduct of a U.S. trade or business.</w:t>
      </w:r>
    </w:p>
    <w:p>
      <w:pPr>
        <w:spacing w:after="0" w:line="19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9"/>
          <w:szCs w:val="19"/>
          <w:color w:val="auto"/>
        </w:rPr>
        <w:t>The undersigned has furnished the Administrative Agent and the Borrower with a certificate of its non-U.S. Person status on IRS Form W-8BEN.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1"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[NAME OF LENDER]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6286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Name:</w:t>
      </w:r>
    </w:p>
    <w:p>
      <w:pPr>
        <w:ind w:left="6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6"/>
          <w:szCs w:val="16"/>
          <w:color w:val="auto"/>
        </w:rPr>
        <w:t>____________ __, 20__</w:t>
      </w:r>
    </w:p>
    <w:p>
      <w:pPr>
        <w:sectPr>
          <w:pgSz w:w="11900" w:h="16838" w:orient="portrait"/>
          <w:cols w:equalWidth="0" w:num="1">
            <w:col w:w="11420"/>
          </w:cols>
          <w:pgMar w:left="240" w:top="576" w:right="239" w:bottom="1440" w:gutter="0" w:footer="0" w:header="0"/>
        </w:sectPr>
      </w:pPr>
    </w:p>
    <w:bookmarkStart w:id="274" w:name="page275"/>
    <w:bookmarkEnd w:id="274"/>
    <w:p>
      <w:pPr>
        <w:jc w:val="center"/>
        <w:spacing w:after="0"/>
        <w:rPr>
          <w:sz w:val="20"/>
          <w:szCs w:val="20"/>
          <w:color w:val="auto"/>
        </w:rPr>
      </w:pPr>
      <w:r>
        <w:rPr>
          <w:rFonts w:ascii="Arial" w:cs="Arial" w:eastAsia="Arial" w:hAnsi="Arial"/>
          <w:sz w:val="20"/>
          <w:szCs w:val="20"/>
          <w:b w:val="1"/>
          <w:bCs w:val="1"/>
          <w:u w:val="single" w:color="auto"/>
          <w:color w:val="auto"/>
        </w:rPr>
        <w:t>EXHIBIT G-2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jc w:val="center"/>
        <w:spacing w:after="0"/>
        <w:rPr>
          <w:sz w:val="20"/>
          <w:szCs w:val="20"/>
          <w:color w:val="auto"/>
        </w:rPr>
      </w:pPr>
      <w:r>
        <w:rPr>
          <w:rFonts w:ascii="Arial" w:cs="Arial" w:eastAsia="Arial" w:hAnsi="Arial"/>
          <w:sz w:val="20"/>
          <w:szCs w:val="20"/>
          <w:color w:val="auto"/>
        </w:rPr>
        <w:t>(For Foreign Participants That Are Not Partnerships For U.S. Federal Income Tax Purposes)</w:t>
      </w:r>
    </w:p>
    <w:p>
      <w:pPr>
        <w:spacing w:after="0" w:line="213"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8"/>
          <w:szCs w:val="18"/>
          <w:color w:val="auto"/>
        </w:rPr>
        <w:t>Reference is made to that certain Eighth Amended and Restated Credit Agreement, effective as of August 15, 2018 (as amended, restated, extended, supplemented or otherwise modified in writing from time to time, the “</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 among Vail Holdings, Inc., a Colorado corporation, each Lender from time to time party thereto, and Bank of America, N.A., as Administrative Agent.</w:t>
      </w:r>
    </w:p>
    <w:p>
      <w:pPr>
        <w:spacing w:after="0" w:line="152"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18"/>
          <w:szCs w:val="18"/>
          <w:color w:val="auto"/>
        </w:rPr>
        <w:t xml:space="preserve">Pursuant to the provisions of </w:t>
      </w:r>
      <w:r>
        <w:rPr>
          <w:rFonts w:ascii="Arial" w:cs="Arial" w:eastAsia="Arial" w:hAnsi="Arial"/>
          <w:sz w:val="18"/>
          <w:szCs w:val="18"/>
          <w:i w:val="1"/>
          <w:iCs w:val="1"/>
          <w:color w:val="auto"/>
        </w:rPr>
        <w:t>Section 4.1(e)</w:t>
      </w:r>
      <w:r>
        <w:rPr>
          <w:rFonts w:ascii="Arial" w:cs="Arial" w:eastAsia="Arial" w:hAnsi="Arial"/>
          <w:sz w:val="18"/>
          <w:szCs w:val="18"/>
          <w:color w:val="auto"/>
        </w:rPr>
        <w:t xml:space="preserve">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(iv) it is not a controlled foreign corporation related to the Borrower as described in Section 881(c)(3)(C) of the Code and (v) the interest payments in question are not effectively connected with the undersigned’s conduct of a U.S. trade or business.</w:t>
      </w:r>
    </w:p>
    <w:p>
      <w:pPr>
        <w:spacing w:after="0" w:line="165"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The undersigned has furnished its participating Lender with a certificate of its non-U.S. Person status on IRS Form W-8BEN.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9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[NAME OF PARTICIPANT]</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6286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Name:</w:t>
      </w:r>
    </w:p>
    <w:p>
      <w:pPr>
        <w:ind w:left="6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6"/>
          <w:szCs w:val="16"/>
          <w:color w:val="auto"/>
        </w:rPr>
        <w:t>____________ __, 20__</w:t>
      </w:r>
    </w:p>
    <w:p>
      <w:pPr>
        <w:sectPr>
          <w:pgSz w:w="11900" w:h="16838" w:orient="portrait"/>
          <w:cols w:equalWidth="0" w:num="1">
            <w:col w:w="11420"/>
          </w:cols>
          <w:pgMar w:left="240" w:top="576" w:right="239" w:bottom="1440" w:gutter="0" w:footer="0" w:header="0"/>
        </w:sectPr>
      </w:pPr>
    </w:p>
    <w:bookmarkStart w:id="275" w:name="page276"/>
    <w:bookmarkEnd w:id="275"/>
    <w:p>
      <w:pPr>
        <w:jc w:val="center"/>
        <w:spacing w:after="0"/>
        <w:rPr>
          <w:sz w:val="20"/>
          <w:szCs w:val="20"/>
          <w:color w:val="auto"/>
        </w:rPr>
      </w:pPr>
      <w:r>
        <w:rPr>
          <w:rFonts w:ascii="Arial" w:cs="Arial" w:eastAsia="Arial" w:hAnsi="Arial"/>
          <w:sz w:val="20"/>
          <w:szCs w:val="20"/>
          <w:b w:val="1"/>
          <w:bCs w:val="1"/>
          <w:u w:val="single" w:color="auto"/>
          <w:color w:val="auto"/>
        </w:rPr>
        <w:t>EXHIBIT G-3</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jc w:val="center"/>
        <w:spacing w:after="0"/>
        <w:rPr>
          <w:sz w:val="20"/>
          <w:szCs w:val="20"/>
          <w:color w:val="auto"/>
        </w:rPr>
      </w:pPr>
      <w:r>
        <w:rPr>
          <w:rFonts w:ascii="Arial" w:cs="Arial" w:eastAsia="Arial" w:hAnsi="Arial"/>
          <w:sz w:val="20"/>
          <w:szCs w:val="20"/>
          <w:color w:val="auto"/>
        </w:rPr>
        <w:t>(For Foreign Participants That Are Partnerships For U.S. Federal Income Tax Purposes)</w:t>
      </w:r>
    </w:p>
    <w:p>
      <w:pPr>
        <w:spacing w:after="0" w:line="213"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8"/>
          <w:szCs w:val="18"/>
          <w:color w:val="auto"/>
        </w:rPr>
        <w:t>Reference is made to that certain Eighth Amended and Restated Credit Agreement, effective as of August 15, 2018 (as amended, restated, extended, supplemented or otherwise modified in writing from time to time, the “</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 among Vail Holdings, Inc., a Colorado corporation, each Lender from time to time party thereto, and Bank of America, N.A., as Administrative Agent.</w:t>
      </w:r>
    </w:p>
    <w:p>
      <w:pPr>
        <w:spacing w:after="0" w:line="15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9"/>
          <w:szCs w:val="19"/>
          <w:color w:val="auto"/>
        </w:rPr>
        <w:t xml:space="preserve">Pursuant to the provisions of </w:t>
      </w:r>
      <w:r>
        <w:rPr>
          <w:rFonts w:ascii="Arial" w:cs="Arial" w:eastAsia="Arial" w:hAnsi="Arial"/>
          <w:sz w:val="19"/>
          <w:szCs w:val="19"/>
          <w:i w:val="1"/>
          <w:iCs w:val="1"/>
          <w:color w:val="auto"/>
        </w:rPr>
        <w:t>Section 4.1(e)</w:t>
      </w:r>
      <w:r>
        <w:rPr>
          <w:rFonts w:ascii="Arial" w:cs="Arial" w:eastAsia="Arial" w:hAnsi="Arial"/>
          <w:sz w:val="19"/>
          <w:szCs w:val="19"/>
          <w:color w:val="auto"/>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(v) none of its direct or indirect partners/members is a controlled foreign corporation related to the Borrower as described in Section 881(c)(3)(C) of the Code and (vi) the interest payments in question are not effectively connected with the undersigned’s conduct of a U.S. trade or business.</w:t>
      </w:r>
    </w:p>
    <w:p>
      <w:pPr>
        <w:spacing w:after="0" w:line="181"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The undersigned has furnished its participating Lender with IRS Form W-8IMY accompanied by one of the following forms from each of its partners/members that is claiming the portfolio interest exemption: (i) an IRS Form W-8BEN or (ii) an IRS Form W-8IMY accompanied by an IRS Form W-8BEN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9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[NAME OF PARTICIPANT]</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6286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Name:</w:t>
      </w:r>
    </w:p>
    <w:p>
      <w:pPr>
        <w:ind w:left="6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6"/>
          <w:szCs w:val="16"/>
          <w:color w:val="auto"/>
        </w:rPr>
        <w:t>____________ __, 20__</w:t>
      </w:r>
    </w:p>
    <w:p>
      <w:pPr>
        <w:sectPr>
          <w:pgSz w:w="11900" w:h="16838" w:orient="portrait"/>
          <w:cols w:equalWidth="0" w:num="1">
            <w:col w:w="11420"/>
          </w:cols>
          <w:pgMar w:left="240" w:top="576" w:right="239" w:bottom="1440" w:gutter="0" w:footer="0" w:header="0"/>
        </w:sectPr>
      </w:pPr>
    </w:p>
    <w:bookmarkStart w:id="276" w:name="page277"/>
    <w:bookmarkEnd w:id="276"/>
    <w:p>
      <w:pPr>
        <w:jc w:val="center"/>
        <w:spacing w:after="0"/>
        <w:rPr>
          <w:sz w:val="20"/>
          <w:szCs w:val="20"/>
          <w:color w:val="auto"/>
        </w:rPr>
      </w:pPr>
      <w:r>
        <w:rPr>
          <w:rFonts w:ascii="Arial" w:cs="Arial" w:eastAsia="Arial" w:hAnsi="Arial"/>
          <w:sz w:val="20"/>
          <w:szCs w:val="20"/>
          <w:b w:val="1"/>
          <w:bCs w:val="1"/>
          <w:u w:val="single" w:color="auto"/>
          <w:color w:val="auto"/>
        </w:rPr>
        <w:t>EXHIBIT G-4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jc w:val="center"/>
        <w:spacing w:after="0"/>
        <w:rPr>
          <w:sz w:val="20"/>
          <w:szCs w:val="20"/>
          <w:color w:val="auto"/>
        </w:rPr>
      </w:pPr>
      <w:r>
        <w:rPr>
          <w:rFonts w:ascii="Arial" w:cs="Arial" w:eastAsia="Arial" w:hAnsi="Arial"/>
          <w:sz w:val="20"/>
          <w:szCs w:val="20"/>
          <w:color w:val="auto"/>
        </w:rPr>
        <w:t>(For Foreign Lenders That Are Partnerships For U.S. Federal Income Tax Purposes)</w:t>
      </w:r>
    </w:p>
    <w:p>
      <w:pPr>
        <w:spacing w:after="0" w:line="213"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8"/>
          <w:szCs w:val="18"/>
          <w:color w:val="auto"/>
        </w:rPr>
        <w:t>Reference is made to that certain Eighth Amended and Restated Credit Agreement, effective as of August 15, 2018 (as amended, restated, extended, supplemented or otherwise modified in writing from time to time, the “</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 among Vail Holdings, Inc., a Colorado corporation, each Lender from time to time party thereto, and Bank of America, N.A., as Administrative Agent.</w:t>
      </w:r>
    </w:p>
    <w:p>
      <w:pPr>
        <w:spacing w:after="0" w:line="152"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8"/>
          <w:szCs w:val="18"/>
          <w:color w:val="auto"/>
        </w:rPr>
        <w:t xml:space="preserve">Pursuant to the provisions of </w:t>
      </w:r>
      <w:r>
        <w:rPr>
          <w:rFonts w:ascii="Arial" w:cs="Arial" w:eastAsia="Arial" w:hAnsi="Arial"/>
          <w:sz w:val="18"/>
          <w:szCs w:val="18"/>
          <w:i w:val="1"/>
          <w:iCs w:val="1"/>
          <w:color w:val="auto"/>
        </w:rPr>
        <w:t>Section 4.1(e)</w:t>
      </w:r>
      <w:r>
        <w:rPr>
          <w:rFonts w:ascii="Arial" w:cs="Arial" w:eastAsia="Arial" w:hAnsi="Arial"/>
          <w:sz w:val="18"/>
          <w:szCs w:val="18"/>
          <w:color w:val="auto"/>
        </w:rPr>
        <w:t xml:space="preserve">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(v) none of its direct or indirect partners/members is a controlled foreign corporation related to the Borrower as described in Section 881(c)(3)(C) of the Code and (vi) the interest payments in question are not effectively connected with the undersigned’s conduct of a U.S. trade or business.</w:t>
      </w:r>
    </w:p>
    <w:p>
      <w:pPr>
        <w:spacing w:after="0" w:line="171"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8"/>
          <w:szCs w:val="18"/>
          <w:color w:val="auto"/>
        </w:rPr>
        <w:t>The undersigned has furnished the Administrative Agent and the Borrower with IRS Form W-8IMY accompanied by one of the following forms from each of its partners/members that is claiming the portfolio interest exemption: (i) an IRS Form W-8BEN or (ii) an IRS Form W-8IMY accompanied by an IRS Form W-8BEN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6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[NAME OF LENDER]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6286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Name:</w:t>
      </w:r>
    </w:p>
    <w:p>
      <w:pPr>
        <w:ind w:left="660"/>
        <w:spacing w:after="0"/>
        <w:rPr>
          <w:sz w:val="20"/>
          <w:szCs w:val="20"/>
          <w:color w:val="auto"/>
        </w:rPr>
      </w:pPr>
      <w:r>
        <w:rPr>
          <w:rFonts w:ascii="Arial" w:cs="Arial" w:eastAsia="Arial" w:hAnsi="Arial"/>
          <w:sz w:val="20"/>
          <w:szCs w:val="20"/>
          <w:color w:val="auto"/>
        </w:rPr>
        <w:t>Title:</w:t>
      </w:r>
    </w:p>
    <w:p>
      <w:pPr>
        <w:spacing w:after="0" w:line="22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6"/>
          <w:szCs w:val="16"/>
          <w:color w:val="auto"/>
        </w:rPr>
        <w:t>____________ __, 20__</w:t>
      </w:r>
    </w:p>
    <w:p>
      <w:pPr>
        <w:sectPr>
          <w:pgSz w:w="11900" w:h="16838" w:orient="portrait"/>
          <w:cols w:equalWidth="0" w:num="1">
            <w:col w:w="11420"/>
          </w:cols>
          <w:pgMar w:left="240" w:top="576" w:right="239" w:bottom="1440" w:gutter="0" w:footer="0" w:header="0"/>
        </w:sectPr>
      </w:pPr>
    </w:p>
    <w:bookmarkStart w:id="277" w:name="page278"/>
    <w:bookmarkEnd w:id="277"/>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Vail Resorts</w:t>
      </w:r>
    </w:p>
    <w:p>
      <w:pPr>
        <w:spacing w:after="0" w:line="167" w:lineRule="exact"/>
        <w:rPr>
          <w:sz w:val="20"/>
          <w:szCs w:val="20"/>
          <w:color w:val="auto"/>
        </w:rPr>
      </w:pPr>
    </w:p>
    <w:p>
      <w:pPr>
        <w:jc w:val="center"/>
        <w:ind w:right="1200"/>
        <w:spacing w:after="0"/>
        <w:rPr>
          <w:sz w:val="20"/>
          <w:szCs w:val="20"/>
          <w:color w:val="auto"/>
        </w:rPr>
      </w:pPr>
      <w:r>
        <w:rPr>
          <w:rFonts w:ascii="Arial" w:cs="Arial" w:eastAsia="Arial" w:hAnsi="Arial"/>
          <w:sz w:val="39"/>
          <w:szCs w:val="39"/>
          <w:b w:val="1"/>
          <w:bCs w:val="1"/>
          <w:color w:val="auto"/>
        </w:rPr>
        <w:t>Management Incentive Plan</w:t>
      </w:r>
    </w:p>
    <w:p>
      <w:pPr>
        <w:spacing w:after="0" w:line="213"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Grades 33 &amp; Above</w:t>
      </w:r>
    </w:p>
    <w:p>
      <w:pPr>
        <w:sectPr>
          <w:pgSz w:w="11900" w:h="16838" w:orient="portrait"/>
          <w:cols w:equalWidth="0" w:num="1">
            <w:col w:w="10220"/>
          </w:cols>
          <w:pgMar w:left="1440" w:top="392" w:right="239" w:bottom="1440" w:gutter="0" w:footer="0" w:header="0"/>
        </w:sectPr>
      </w:pPr>
    </w:p>
    <w:bookmarkStart w:id="278" w:name="page279"/>
    <w:bookmarkEnd w:id="278"/>
    <w:p>
      <w:pPr>
        <w:spacing w:after="0"/>
        <w:rPr>
          <w:sz w:val="20"/>
          <w:szCs w:val="20"/>
          <w:color w:val="auto"/>
        </w:rPr>
      </w:pPr>
      <w:r>
        <w:rPr>
          <w:rFonts w:ascii="Arial" w:cs="Arial" w:eastAsia="Arial" w:hAnsi="Arial"/>
          <w:sz w:val="20"/>
          <w:szCs w:val="20"/>
          <w:b w:val="1"/>
          <w:bCs w:val="1"/>
          <w:color w:val="auto"/>
        </w:rPr>
        <w:t>Objective</w:t>
      </w:r>
    </w:p>
    <w:p>
      <w:pPr>
        <w:spacing w:after="0" w:line="60" w:lineRule="exact"/>
        <w:rPr>
          <w:sz w:val="20"/>
          <w:szCs w:val="20"/>
          <w:color w:val="auto"/>
        </w:rPr>
      </w:pPr>
    </w:p>
    <w:p>
      <w:pPr>
        <w:spacing w:after="0" w:line="317" w:lineRule="auto"/>
        <w:rPr>
          <w:sz w:val="20"/>
          <w:szCs w:val="20"/>
          <w:color w:val="auto"/>
        </w:rPr>
      </w:pPr>
      <w:r>
        <w:rPr>
          <w:rFonts w:ascii="Arial" w:cs="Arial" w:eastAsia="Arial" w:hAnsi="Arial"/>
          <w:sz w:val="20"/>
          <w:szCs w:val="20"/>
          <w:color w:val="auto"/>
        </w:rPr>
        <w:t>The purpose of the Management Incentive Plan (the “Plan”) is to reinforce individual employee behaviors that contribute to the mission, values, growth and profitability of Vail Resorts, Inc. and its wholly owned subsidiaries (collectively, the “Company”) by: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Rewarding and recognizing performance in one or more of the following areas:</w:t>
      </w:r>
    </w:p>
    <w:p>
      <w:pPr>
        <w:spacing w:after="0" w:line="48" w:lineRule="exact"/>
        <w:rPr>
          <w:sz w:val="20"/>
          <w:szCs w:val="20"/>
          <w:color w:val="auto"/>
        </w:rPr>
      </w:pPr>
    </w:p>
    <w:p>
      <w:pPr>
        <w:jc w:val="both"/>
        <w:ind w:left="340" w:hanging="332"/>
        <w:spacing w:after="0" w:line="295" w:lineRule="auto"/>
        <w:tabs>
          <w:tab w:leader="none" w:pos="340" w:val="left"/>
        </w:tabs>
        <w:numPr>
          <w:ilvl w:val="0"/>
          <w:numId w:val="308"/>
        </w:numPr>
        <w:rPr>
          <w:rFonts w:ascii="Arial" w:cs="Arial" w:eastAsia="Arial" w:hAnsi="Arial"/>
          <w:sz w:val="20"/>
          <w:szCs w:val="20"/>
          <w:color w:val="auto"/>
        </w:rPr>
      </w:pPr>
      <w:r>
        <w:rPr>
          <w:rFonts w:ascii="Arial" w:cs="Arial" w:eastAsia="Arial" w:hAnsi="Arial"/>
          <w:sz w:val="20"/>
          <w:szCs w:val="20"/>
          <w:b w:val="1"/>
          <w:bCs w:val="1"/>
          <w:color w:val="auto"/>
        </w:rPr>
        <w:t xml:space="preserve">Financial </w:t>
      </w:r>
      <w:r>
        <w:rPr>
          <w:rFonts w:ascii="Arial" w:cs="Arial" w:eastAsia="Arial" w:hAnsi="Arial"/>
          <w:sz w:val="20"/>
          <w:szCs w:val="20"/>
          <w:color w:val="auto"/>
        </w:rPr>
        <w:t>- Financial results at the end of the fiscal year are compared to EBITDA targets determined at the beginning of the fiscal year.</w:t>
      </w:r>
      <w:r>
        <w:rPr>
          <w:rFonts w:ascii="Arial" w:cs="Arial" w:eastAsia="Arial" w:hAnsi="Arial"/>
          <w:sz w:val="20"/>
          <w:szCs w:val="20"/>
          <w:b w:val="1"/>
          <w:bCs w:val="1"/>
          <w:color w:val="auto"/>
        </w:rPr>
        <w:t xml:space="preserve"> </w:t>
      </w:r>
      <w:r>
        <w:rPr>
          <w:rFonts w:ascii="Arial" w:cs="Arial" w:eastAsia="Arial" w:hAnsi="Arial"/>
          <w:sz w:val="20"/>
          <w:szCs w:val="20"/>
          <w:color w:val="auto"/>
        </w:rPr>
        <w:t>EBITDA (Earnings before Interest, Taxes and Depreciation and Amortization excluding stock based compensation) results are consolidated into various divisions of the Company and are defined in the funding section below.</w:t>
      </w:r>
    </w:p>
    <w:p>
      <w:pPr>
        <w:spacing w:after="0" w:line="2" w:lineRule="exact"/>
        <w:rPr>
          <w:rFonts w:ascii="Arial" w:cs="Arial" w:eastAsia="Arial" w:hAnsi="Arial"/>
          <w:sz w:val="20"/>
          <w:szCs w:val="20"/>
          <w:color w:val="auto"/>
        </w:rPr>
      </w:pPr>
    </w:p>
    <w:p>
      <w:pPr>
        <w:ind w:left="340" w:hanging="332"/>
        <w:spacing w:after="0"/>
        <w:tabs>
          <w:tab w:leader="none" w:pos="340" w:val="left"/>
        </w:tabs>
        <w:numPr>
          <w:ilvl w:val="0"/>
          <w:numId w:val="308"/>
        </w:numPr>
        <w:rPr>
          <w:rFonts w:ascii="Arial" w:cs="Arial" w:eastAsia="Arial" w:hAnsi="Arial"/>
          <w:sz w:val="20"/>
          <w:szCs w:val="20"/>
          <w:color w:val="auto"/>
        </w:rPr>
      </w:pPr>
      <w:r>
        <w:rPr>
          <w:rFonts w:ascii="Arial" w:cs="Arial" w:eastAsia="Arial" w:hAnsi="Arial"/>
          <w:sz w:val="20"/>
          <w:szCs w:val="20"/>
          <w:b w:val="1"/>
          <w:bCs w:val="1"/>
          <w:color w:val="auto"/>
        </w:rPr>
        <w:t xml:space="preserve">Individual </w:t>
      </w:r>
      <w:r>
        <w:rPr>
          <w:rFonts w:ascii="Arial" w:cs="Arial" w:eastAsia="Arial" w:hAnsi="Arial"/>
          <w:sz w:val="20"/>
          <w:szCs w:val="20"/>
          <w:color w:val="auto"/>
        </w:rPr>
        <w:t>– Individual employee performance, including adherence to the Company’s mission and values.</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Effective Dates</w:t>
      </w:r>
    </w:p>
    <w:p>
      <w:pPr>
        <w:spacing w:after="0" w:line="60"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The Plan is effective and will remain in effect until amended or terminated. The Plan Year will run concurrently with the fiscal year under which the employee is governed.</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Eligibility</w:t>
      </w:r>
    </w:p>
    <w:p>
      <w:pPr>
        <w:spacing w:after="0" w:line="60"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color w:val="auto"/>
        </w:rPr>
        <w:t>All full-time employees of the Company at grade levels 33 and above as identified in the Company’s compensation grade structures are eligible to participate in the Plan.</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Target Percentages</w:t>
      </w:r>
    </w:p>
    <w:p>
      <w:pPr>
        <w:spacing w:after="0" w:line="60" w:lineRule="exact"/>
        <w:rPr>
          <w:sz w:val="20"/>
          <w:szCs w:val="20"/>
          <w:color w:val="auto"/>
        </w:rPr>
      </w:pPr>
    </w:p>
    <w:p>
      <w:pPr>
        <w:jc w:val="both"/>
        <w:ind w:right="20"/>
        <w:spacing w:after="0" w:line="346" w:lineRule="auto"/>
        <w:rPr>
          <w:sz w:val="20"/>
          <w:szCs w:val="20"/>
          <w:color w:val="auto"/>
        </w:rPr>
      </w:pPr>
      <w:r>
        <w:rPr>
          <w:rFonts w:ascii="Arial" w:cs="Arial" w:eastAsia="Arial" w:hAnsi="Arial"/>
          <w:sz w:val="19"/>
          <w:szCs w:val="19"/>
          <w:color w:val="auto"/>
        </w:rPr>
        <w:t>The target bonus percentages for employees are determined by the Compensation Committee in its sole discretion on a yearly basis by the end of the first quarter of each fiscal year and while the attainment of EBITDA performance targets are substantially uncertain.</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Target Incentives</w:t>
      </w:r>
    </w:p>
    <w:p>
      <w:pPr>
        <w:spacing w:after="0" w:line="60" w:lineRule="exact"/>
        <w:rPr>
          <w:sz w:val="20"/>
          <w:szCs w:val="20"/>
          <w:color w:val="auto"/>
        </w:rPr>
      </w:pPr>
    </w:p>
    <w:p>
      <w:pPr>
        <w:jc w:val="both"/>
        <w:spacing w:after="0" w:line="306" w:lineRule="auto"/>
        <w:rPr>
          <w:sz w:val="20"/>
          <w:szCs w:val="20"/>
          <w:color w:val="auto"/>
        </w:rPr>
      </w:pPr>
      <w:r>
        <w:rPr>
          <w:rFonts w:ascii="Arial" w:cs="Arial" w:eastAsia="Arial" w:hAnsi="Arial"/>
          <w:sz w:val="20"/>
          <w:szCs w:val="20"/>
          <w:color w:val="auto"/>
        </w:rPr>
        <w:t>Each employee’s target bonus incentive is calculated based on the target bonus percentage of his or her annual salary as of the last day of the measurement period the employee was classified in a Grade 33 position, except where proration is needed as defined in the proration of target incentives section.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Funding</w:t>
      </w:r>
    </w:p>
    <w:p>
      <w:pPr>
        <w:spacing w:after="0" w:line="60"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 xml:space="preserve">The funding at the end of the fiscal year is based on the final EBITDA results of the Company’s business divisions and the eligible employee’s incentive target amounts as determined by the Compensation Committee and as defined in </w:t>
      </w:r>
      <w:r>
        <w:rPr>
          <w:rFonts w:ascii="Arial" w:cs="Arial" w:eastAsia="Arial" w:hAnsi="Arial"/>
          <w:sz w:val="20"/>
          <w:szCs w:val="20"/>
          <w:u w:val="single" w:color="auto"/>
          <w:color w:val="auto"/>
        </w:rPr>
        <w:t>Exhibits A and B</w:t>
      </w:r>
      <w:r>
        <w:rPr>
          <w:rFonts w:ascii="Arial" w:cs="Arial" w:eastAsia="Arial" w:hAnsi="Arial"/>
          <w:sz w:val="20"/>
          <w:szCs w:val="20"/>
          <w:color w:val="auto"/>
        </w:rPr>
        <w:t>.</w:t>
      </w:r>
    </w:p>
    <w:p>
      <w:pPr>
        <w:spacing w:after="0" w:line="21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EBITDA Results for the Company are based on overall Vail Resorts EBITDA which includes all Mountain resorts, Lodging divisions and Retail divisions combined.</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all Vail Resorts Executives</w:t>
      </w:r>
      <w:r>
        <w:rPr>
          <w:rFonts w:ascii="Arial" w:cs="Arial" w:eastAsia="Arial" w:hAnsi="Arial"/>
          <w:sz w:val="20"/>
          <w:szCs w:val="20"/>
          <w:color w:val="auto"/>
        </w:rPr>
        <w:t>, the Plan is 100% funded based on Resort EBITDA.</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The maximum amount that may be earned as an award under the Plan for any Plan year by any one eligible employee shall be $4,000,000.</w:t>
      </w:r>
    </w:p>
    <w:p>
      <w:pPr>
        <w:sectPr>
          <w:pgSz w:w="11900" w:h="16838" w:orient="portrait"/>
          <w:cols w:equalWidth="0" w:num="1">
            <w:col w:w="11420"/>
          </w:cols>
          <w:pgMar w:left="240" w:top="833" w:right="239" w:bottom="1440" w:gutter="0" w:footer="0" w:header="0"/>
        </w:sectPr>
      </w:pPr>
    </w:p>
    <w:bookmarkStart w:id="279" w:name="page280"/>
    <w:bookmarkEnd w:id="279"/>
    <w:p>
      <w:pPr>
        <w:spacing w:after="0"/>
        <w:rPr>
          <w:sz w:val="20"/>
          <w:szCs w:val="20"/>
          <w:color w:val="auto"/>
        </w:rPr>
      </w:pPr>
      <w:r>
        <w:rPr>
          <w:rFonts w:ascii="Arial" w:cs="Arial" w:eastAsia="Arial" w:hAnsi="Arial"/>
          <w:sz w:val="20"/>
          <w:szCs w:val="20"/>
          <w:b w:val="1"/>
          <w:bCs w:val="1"/>
          <w:color w:val="auto"/>
        </w:rPr>
        <w:t>Funding Variable</w:t>
      </w:r>
    </w:p>
    <w:p>
      <w:pPr>
        <w:spacing w:after="0" w:line="60" w:lineRule="exact"/>
        <w:rPr>
          <w:sz w:val="20"/>
          <w:szCs w:val="20"/>
          <w:color w:val="auto"/>
        </w:rPr>
      </w:pPr>
    </w:p>
    <w:p>
      <w:pPr>
        <w:jc w:val="both"/>
        <w:spacing w:after="0" w:line="301" w:lineRule="auto"/>
        <w:rPr>
          <w:sz w:val="20"/>
          <w:szCs w:val="20"/>
          <w:color w:val="auto"/>
        </w:rPr>
      </w:pPr>
      <w:r>
        <w:rPr>
          <w:rFonts w:ascii="Arial" w:cs="Arial" w:eastAsia="Arial" w:hAnsi="Arial"/>
          <w:sz w:val="20"/>
          <w:szCs w:val="20"/>
          <w:color w:val="auto"/>
        </w:rPr>
        <w:t xml:space="preserve">At each fiscal year-end, the funding will be based on the percentage of EBITDA target achieved. The schedule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is used to determine the percent of the target incentive funded by overall Vail Resorts EBITDA performance. The Compensation Committee will establish the Resort EBITDA performance targets and corresponding funding levels and may amend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by the end of the first quarter of each fiscal year and while the attainment of such goals is substantially uncertain. EBITDA results are rounded to the nearest whole percentage using simple rounding.</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Individual Performance Rating Variable</w:t>
      </w:r>
    </w:p>
    <w:p>
      <w:pPr>
        <w:spacing w:after="0" w:line="60"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For all employees excluding the Chief Executive Officer, the target incentive will be influenced based on individual performance. The Chief Executive Officer’s total bonus will be equal to, and based solely on, the funded target incentive amount.</w:t>
      </w:r>
    </w:p>
    <w:p>
      <w:pPr>
        <w:spacing w:after="0" w:line="243" w:lineRule="exact"/>
        <w:rPr>
          <w:sz w:val="20"/>
          <w:szCs w:val="20"/>
          <w:color w:val="auto"/>
        </w:rPr>
      </w:pPr>
    </w:p>
    <w:p>
      <w:pPr>
        <w:jc w:val="both"/>
        <w:spacing w:after="0" w:line="301" w:lineRule="auto"/>
        <w:rPr>
          <w:sz w:val="20"/>
          <w:szCs w:val="20"/>
          <w:color w:val="auto"/>
        </w:rPr>
      </w:pPr>
      <w:r>
        <w:rPr>
          <w:rFonts w:ascii="Arial" w:cs="Arial" w:eastAsia="Arial" w:hAnsi="Arial"/>
          <w:sz w:val="20"/>
          <w:szCs w:val="20"/>
          <w:color w:val="auto"/>
        </w:rPr>
        <w:t>Individual performance for all employees participating in the Plan will be determined through the applicable fiscal year performance review process, which will be determined by the Chief Executive Officer. With the exception of promoted employees, the final performance score will determine the incentive payment with higher performing employees receiving larger rewards than their lower performing peers. For those employees promoted into a higher level position, any applicable incentive payments will be calculated by applying the Meets Expectations performance variable to the incentive target for the new position.</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Example 1 Payout:</w:t>
      </w:r>
    </w:p>
    <w:p>
      <w:pPr>
        <w:spacing w:after="0" w:line="114" w:lineRule="exact"/>
        <w:rPr>
          <w:sz w:val="20"/>
          <w:szCs w:val="20"/>
          <w:color w:val="auto"/>
        </w:rPr>
      </w:pPr>
    </w:p>
    <w:p>
      <w:pPr>
        <w:ind w:left="660" w:hanging="328"/>
        <w:spacing w:after="0"/>
        <w:tabs>
          <w:tab w:leader="none" w:pos="660" w:val="left"/>
        </w:tabs>
        <w:numPr>
          <w:ilvl w:val="0"/>
          <w:numId w:val="309"/>
        </w:numPr>
        <w:rPr>
          <w:rFonts w:ascii="Arial" w:cs="Arial" w:eastAsia="Arial" w:hAnsi="Arial"/>
          <w:sz w:val="20"/>
          <w:szCs w:val="20"/>
          <w:color w:val="auto"/>
        </w:rPr>
      </w:pPr>
      <w:r>
        <w:rPr>
          <w:rFonts w:ascii="Arial" w:cs="Arial" w:eastAsia="Arial" w:hAnsi="Arial"/>
          <w:sz w:val="20"/>
          <w:szCs w:val="20"/>
          <w:color w:val="auto"/>
        </w:rPr>
        <w:t>Grade 33 Corporate employee</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309"/>
        </w:numPr>
        <w:rPr>
          <w:rFonts w:ascii="Arial" w:cs="Arial" w:eastAsia="Arial" w:hAnsi="Arial"/>
          <w:sz w:val="20"/>
          <w:szCs w:val="20"/>
          <w:color w:val="auto"/>
        </w:rPr>
      </w:pPr>
      <w:r>
        <w:rPr>
          <w:rFonts w:ascii="Arial" w:cs="Arial" w:eastAsia="Arial" w:hAnsi="Arial"/>
          <w:sz w:val="20"/>
          <w:szCs w:val="20"/>
          <w:color w:val="auto"/>
        </w:rPr>
        <w:t>$200,000 annual salary</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309"/>
        </w:numPr>
        <w:rPr>
          <w:rFonts w:ascii="Arial" w:cs="Arial" w:eastAsia="Arial" w:hAnsi="Arial"/>
          <w:sz w:val="20"/>
          <w:szCs w:val="20"/>
          <w:color w:val="auto"/>
        </w:rPr>
      </w:pPr>
      <w:r>
        <w:rPr>
          <w:rFonts w:ascii="Arial" w:cs="Arial" w:eastAsia="Arial" w:hAnsi="Arial"/>
          <w:sz w:val="20"/>
          <w:szCs w:val="20"/>
          <w:color w:val="auto"/>
        </w:rPr>
        <w:t>Target incentive % = 42.5%</w:t>
      </w:r>
    </w:p>
    <w:p>
      <w:pPr>
        <w:spacing w:after="0" w:line="101" w:lineRule="exact"/>
        <w:rPr>
          <w:rFonts w:ascii="Arial" w:cs="Arial" w:eastAsia="Arial" w:hAnsi="Arial"/>
          <w:sz w:val="20"/>
          <w:szCs w:val="20"/>
          <w:color w:val="auto"/>
        </w:rPr>
      </w:pPr>
    </w:p>
    <w:p>
      <w:pPr>
        <w:ind w:left="660" w:hanging="328"/>
        <w:spacing w:after="0"/>
        <w:tabs>
          <w:tab w:leader="none" w:pos="660" w:val="left"/>
        </w:tabs>
        <w:numPr>
          <w:ilvl w:val="0"/>
          <w:numId w:val="309"/>
        </w:numPr>
        <w:rPr>
          <w:rFonts w:ascii="Arial" w:cs="Arial" w:eastAsia="Arial" w:hAnsi="Arial"/>
          <w:sz w:val="20"/>
          <w:szCs w:val="20"/>
          <w:color w:val="auto"/>
        </w:rPr>
      </w:pPr>
      <w:r>
        <w:rPr>
          <w:rFonts w:ascii="Arial" w:cs="Arial" w:eastAsia="Arial" w:hAnsi="Arial"/>
          <w:sz w:val="20"/>
          <w:szCs w:val="20"/>
          <w:b w:val="1"/>
          <w:bCs w:val="1"/>
          <w:color w:val="auto"/>
        </w:rPr>
        <w:t>Target incentive $= $200,000 x 42.5% = $85,000</w:t>
      </w:r>
    </w:p>
    <w:p>
      <w:pPr>
        <w:spacing w:after="0" w:line="200" w:lineRule="exact"/>
        <w:rPr>
          <w:rFonts w:ascii="Arial" w:cs="Arial" w:eastAsia="Arial" w:hAnsi="Arial"/>
          <w:sz w:val="20"/>
          <w:szCs w:val="20"/>
          <w:color w:val="auto"/>
        </w:rPr>
      </w:pPr>
    </w:p>
    <w:p>
      <w:pPr>
        <w:spacing w:after="0" w:line="251" w:lineRule="exact"/>
        <w:rPr>
          <w:rFonts w:ascii="Arial" w:cs="Arial" w:eastAsia="Arial" w:hAnsi="Arial"/>
          <w:sz w:val="20"/>
          <w:szCs w:val="20"/>
          <w:color w:val="auto"/>
        </w:rPr>
      </w:pPr>
    </w:p>
    <w:p>
      <w:pPr>
        <w:ind w:left="660" w:hanging="328"/>
        <w:spacing w:after="0"/>
        <w:tabs>
          <w:tab w:leader="none" w:pos="660" w:val="left"/>
        </w:tabs>
        <w:numPr>
          <w:ilvl w:val="0"/>
          <w:numId w:val="309"/>
        </w:numPr>
        <w:rPr>
          <w:rFonts w:ascii="Arial" w:cs="Arial" w:eastAsia="Arial" w:hAnsi="Arial"/>
          <w:sz w:val="20"/>
          <w:szCs w:val="20"/>
          <w:color w:val="auto"/>
        </w:rPr>
      </w:pPr>
      <w:r>
        <w:rPr>
          <w:rFonts w:ascii="Arial" w:cs="Arial" w:eastAsia="Arial" w:hAnsi="Arial"/>
          <w:sz w:val="20"/>
          <w:szCs w:val="20"/>
          <w:color w:val="auto"/>
        </w:rPr>
        <w:t>Resort EBITDA results are at 101% of target</w:t>
      </w:r>
    </w:p>
    <w:p>
      <w:pPr>
        <w:spacing w:after="0" w:line="101" w:lineRule="exact"/>
        <w:rPr>
          <w:rFonts w:ascii="Arial" w:cs="Arial" w:eastAsia="Arial" w:hAnsi="Arial"/>
          <w:sz w:val="20"/>
          <w:szCs w:val="20"/>
          <w:color w:val="auto"/>
        </w:rPr>
      </w:pPr>
    </w:p>
    <w:p>
      <w:pPr>
        <w:ind w:left="660" w:hanging="328"/>
        <w:spacing w:after="0"/>
        <w:tabs>
          <w:tab w:leader="none" w:pos="660" w:val="left"/>
        </w:tabs>
        <w:numPr>
          <w:ilvl w:val="0"/>
          <w:numId w:val="309"/>
        </w:numPr>
        <w:rPr>
          <w:rFonts w:ascii="Arial" w:cs="Arial" w:eastAsia="Arial" w:hAnsi="Arial"/>
          <w:sz w:val="20"/>
          <w:szCs w:val="20"/>
          <w:b w:val="1"/>
          <w:bCs w:val="1"/>
          <w:color w:val="auto"/>
        </w:rPr>
      </w:pPr>
      <w:r>
        <w:rPr>
          <w:rFonts w:ascii="Arial" w:cs="Arial" w:eastAsia="Arial" w:hAnsi="Arial"/>
          <w:sz w:val="20"/>
          <w:szCs w:val="20"/>
          <w:b w:val="1"/>
          <w:bCs w:val="1"/>
          <w:color w:val="auto"/>
        </w:rPr>
        <w:t>Resort EBITDA funding = 107.5%</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With Resort EBITDA funding 100%, funded incentive = 107.5% x $85,000 = $91,375.</w:t>
      </w:r>
    </w:p>
    <w:p>
      <w:pPr>
        <w:spacing w:after="0" w:line="200" w:lineRule="exact"/>
        <w:rPr>
          <w:sz w:val="20"/>
          <w:szCs w:val="20"/>
          <w:color w:val="auto"/>
        </w:rPr>
      </w:pPr>
    </w:p>
    <w:p>
      <w:pPr>
        <w:spacing w:after="0" w:line="245" w:lineRule="exact"/>
        <w:rPr>
          <w:sz w:val="20"/>
          <w:szCs w:val="20"/>
          <w:color w:val="auto"/>
        </w:rPr>
      </w:pPr>
    </w:p>
    <w:p>
      <w:pPr>
        <w:ind w:left="660" w:hanging="328"/>
        <w:spacing w:after="0"/>
        <w:tabs>
          <w:tab w:leader="none" w:pos="660" w:val="left"/>
        </w:tabs>
        <w:numPr>
          <w:ilvl w:val="0"/>
          <w:numId w:val="310"/>
        </w:numPr>
        <w:rPr>
          <w:rFonts w:ascii="Arial" w:cs="Arial" w:eastAsia="Arial" w:hAnsi="Arial"/>
          <w:sz w:val="20"/>
          <w:szCs w:val="20"/>
          <w:color w:val="auto"/>
        </w:rPr>
      </w:pPr>
      <w:r>
        <w:rPr>
          <w:rFonts w:ascii="Arial" w:cs="Arial" w:eastAsia="Arial" w:hAnsi="Arial"/>
          <w:sz w:val="20"/>
          <w:szCs w:val="20"/>
          <w:color w:val="auto"/>
        </w:rPr>
        <w:t>Individual performance rating of “Achieves Expectations”</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310"/>
        </w:numPr>
        <w:rPr>
          <w:rFonts w:ascii="Arial" w:cs="Arial" w:eastAsia="Arial" w:hAnsi="Arial"/>
          <w:sz w:val="20"/>
          <w:szCs w:val="20"/>
          <w:color w:val="auto"/>
        </w:rPr>
      </w:pPr>
      <w:r>
        <w:rPr>
          <w:rFonts w:ascii="Arial" w:cs="Arial" w:eastAsia="Arial" w:hAnsi="Arial"/>
          <w:sz w:val="20"/>
          <w:szCs w:val="20"/>
          <w:color w:val="auto"/>
        </w:rPr>
        <w:t>“Achieves Expectations” = 100% of funded incentive</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310"/>
        </w:numPr>
        <w:rPr>
          <w:rFonts w:ascii="Arial" w:cs="Arial" w:eastAsia="Arial" w:hAnsi="Arial"/>
          <w:sz w:val="20"/>
          <w:szCs w:val="20"/>
          <w:color w:val="auto"/>
        </w:rPr>
      </w:pPr>
      <w:r>
        <w:rPr>
          <w:rFonts w:ascii="Arial" w:cs="Arial" w:eastAsia="Arial" w:hAnsi="Arial"/>
          <w:sz w:val="20"/>
          <w:szCs w:val="20"/>
          <w:color w:val="auto"/>
        </w:rPr>
        <w:t xml:space="preserve">$91,375 x 100% = </w:t>
      </w:r>
      <w:r>
        <w:rPr>
          <w:rFonts w:ascii="Arial" w:cs="Arial" w:eastAsia="Arial" w:hAnsi="Arial"/>
          <w:sz w:val="20"/>
          <w:szCs w:val="20"/>
          <w:u w:val="single" w:color="auto"/>
          <w:color w:val="auto"/>
        </w:rPr>
        <w:t>$91,375 payout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Individual performance can multiply the incentive payout by 0% to 130% of the target amount as displayed in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ectPr>
          <w:pgSz w:w="11900" w:h="16838" w:orient="portrait"/>
          <w:cols w:equalWidth="0" w:num="1">
            <w:col w:w="11420"/>
          </w:cols>
          <w:pgMar w:left="240" w:top="671" w:right="239" w:bottom="1440" w:gutter="0" w:footer="0" w:header="0"/>
        </w:sectPr>
      </w:pPr>
    </w:p>
    <w:bookmarkStart w:id="280" w:name="page281"/>
    <w:bookmarkEnd w:id="280"/>
    <w:p>
      <w:pPr>
        <w:spacing w:after="0"/>
        <w:rPr>
          <w:sz w:val="20"/>
          <w:szCs w:val="20"/>
          <w:color w:val="auto"/>
        </w:rPr>
      </w:pPr>
      <w:r>
        <w:rPr>
          <w:rFonts w:ascii="Arial" w:cs="Arial" w:eastAsia="Arial" w:hAnsi="Arial"/>
          <w:sz w:val="20"/>
          <w:szCs w:val="20"/>
          <w:b w:val="1"/>
          <w:bCs w:val="1"/>
          <w:color w:val="auto"/>
        </w:rPr>
        <w:t>Proration for New Hires</w:t>
      </w:r>
    </w:p>
    <w:p>
      <w:pPr>
        <w:spacing w:after="0" w:line="60" w:lineRule="exact"/>
        <w:rPr>
          <w:sz w:val="20"/>
          <w:szCs w:val="20"/>
          <w:color w:val="auto"/>
        </w:rPr>
      </w:pPr>
    </w:p>
    <w:p>
      <w:pPr>
        <w:jc w:val="both"/>
        <w:spacing w:after="0" w:line="306" w:lineRule="auto"/>
        <w:rPr>
          <w:sz w:val="20"/>
          <w:szCs w:val="20"/>
          <w:color w:val="auto"/>
        </w:rPr>
      </w:pPr>
      <w:r>
        <w:rPr>
          <w:rFonts w:ascii="Arial" w:cs="Arial" w:eastAsia="Arial" w:hAnsi="Arial"/>
          <w:sz w:val="20"/>
          <w:szCs w:val="20"/>
          <w:color w:val="auto"/>
        </w:rPr>
        <w:t>An employee hired into a position eligible for this Plan will receive a prorated incentive for the Plan Year based on the hire date and following schedule. Anyone hired after April 30 will not be eligible to receive an award in that fiscal year, except at the sole discretion of the Compensation Committee.</w:t>
      </w:r>
    </w:p>
    <w:p>
      <w:pPr>
        <w:spacing w:after="0" w:line="360" w:lineRule="exact"/>
        <w:rPr>
          <w:sz w:val="20"/>
          <w:szCs w:val="20"/>
          <w:color w:val="auto"/>
        </w:rPr>
      </w:pPr>
    </w:p>
    <w:tbl>
      <w:tblPr>
        <w:tblLayout w:type="fixed"/>
        <w:tblInd w:w="2430" w:type="dxa"/>
        <w:tblCellMar>
          <w:top w:w="0" w:type="dxa"/>
          <w:left w:w="0" w:type="dxa"/>
          <w:bottom w:w="0" w:type="dxa"/>
          <w:right w:w="0" w:type="dxa"/>
        </w:tblCellMar>
      </w:tblPr>
      <w:tr>
        <w:trPr>
          <w:trHeight w:val="302"/>
        </w:trPr>
        <w:tc>
          <w:tcPr>
            <w:tcW w:w="5180" w:type="dxa"/>
            <w:vAlign w:val="bottom"/>
            <w:tcBorders>
              <w:top w:val="single" w:sz="8" w:color="auto"/>
              <w:left w:val="single" w:sz="8" w:color="auto"/>
              <w:bottom w:val="single" w:sz="8" w:color="DDD9C3"/>
              <w:right w:val="single" w:sz="8" w:color="auto"/>
            </w:tcBorders>
            <w:shd w:val="clear" w:color="auto" w:fill="DDD9C3"/>
          </w:tcPr>
          <w:p>
            <w:pPr>
              <w:ind w:left="60"/>
              <w:spacing w:after="0"/>
              <w:rPr>
                <w:sz w:val="20"/>
                <w:szCs w:val="20"/>
                <w:color w:val="auto"/>
              </w:rPr>
            </w:pPr>
            <w:r>
              <w:rPr>
                <w:rFonts w:ascii="Arial" w:cs="Arial" w:eastAsia="Arial" w:hAnsi="Arial"/>
                <w:sz w:val="20"/>
                <w:szCs w:val="20"/>
                <w:b w:val="1"/>
                <w:bCs w:val="1"/>
                <w:color w:val="auto"/>
              </w:rPr>
              <w:t>Month of Hire</w:t>
            </w:r>
          </w:p>
        </w:tc>
        <w:tc>
          <w:tcPr>
            <w:tcW w:w="1440" w:type="dxa"/>
            <w:vAlign w:val="bottom"/>
            <w:tcBorders>
              <w:top w:val="single" w:sz="8" w:color="auto"/>
              <w:bottom w:val="single" w:sz="8" w:color="DDD9C3"/>
              <w:right w:val="single" w:sz="8" w:color="auto"/>
            </w:tcBorders>
            <w:shd w:val="clear" w:color="auto" w:fill="DDD9C3"/>
          </w:tcPr>
          <w:p>
            <w:pPr>
              <w:ind w:left="280"/>
              <w:spacing w:after="0"/>
              <w:rPr>
                <w:sz w:val="20"/>
                <w:szCs w:val="20"/>
                <w:color w:val="auto"/>
              </w:rPr>
            </w:pPr>
            <w:r>
              <w:rPr>
                <w:rFonts w:ascii="Arial" w:cs="Arial" w:eastAsia="Arial" w:hAnsi="Arial"/>
                <w:sz w:val="20"/>
                <w:szCs w:val="20"/>
                <w:b w:val="1"/>
                <w:bCs w:val="1"/>
                <w:color w:val="auto"/>
              </w:rPr>
              <w:t>Prorate %</w:t>
            </w:r>
          </w:p>
        </w:tc>
      </w:tr>
      <w:tr>
        <w:trPr>
          <w:trHeight w:val="254"/>
        </w:trPr>
        <w:tc>
          <w:tcPr>
            <w:tcW w:w="51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20"/>
                <w:szCs w:val="20"/>
                <w:i w:val="1"/>
                <w:iCs w:val="1"/>
                <w:color w:val="auto"/>
              </w:rPr>
              <w:t>August, September, October</w:t>
            </w:r>
          </w:p>
        </w:tc>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100%</w:t>
            </w:r>
          </w:p>
        </w:tc>
      </w:tr>
      <w:tr>
        <w:trPr>
          <w:trHeight w:val="23"/>
        </w:trPr>
        <w:tc>
          <w:tcPr>
            <w:tcW w:w="518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54"/>
        </w:trPr>
        <w:tc>
          <w:tcPr>
            <w:tcW w:w="5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i w:val="1"/>
                <w:iCs w:val="1"/>
                <w:color w:val="auto"/>
              </w:rPr>
              <w:t>November, December, January</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67%</w:t>
            </w:r>
          </w:p>
        </w:tc>
      </w:tr>
      <w:tr>
        <w:trPr>
          <w:trHeight w:val="23"/>
        </w:trPr>
        <w:tc>
          <w:tcPr>
            <w:tcW w:w="518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54"/>
        </w:trPr>
        <w:tc>
          <w:tcPr>
            <w:tcW w:w="5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i w:val="1"/>
                <w:iCs w:val="1"/>
                <w:color w:val="auto"/>
              </w:rPr>
              <w:t>February, March, April</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33%</w:t>
            </w:r>
          </w:p>
        </w:tc>
      </w:tr>
      <w:tr>
        <w:trPr>
          <w:trHeight w:val="23"/>
        </w:trPr>
        <w:tc>
          <w:tcPr>
            <w:tcW w:w="518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54"/>
        </w:trPr>
        <w:tc>
          <w:tcPr>
            <w:tcW w:w="5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i w:val="1"/>
                <w:iCs w:val="1"/>
                <w:color w:val="auto"/>
              </w:rPr>
              <w:t>May, June, July</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0%</w:t>
            </w:r>
          </w:p>
        </w:tc>
      </w:tr>
      <w:tr>
        <w:trPr>
          <w:trHeight w:val="23"/>
        </w:trPr>
        <w:tc>
          <w:tcPr>
            <w:tcW w:w="518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Proration for Internal Promotes</w:t>
      </w:r>
    </w:p>
    <w:p>
      <w:pPr>
        <w:spacing w:after="0" w:line="33" w:lineRule="exact"/>
        <w:rPr>
          <w:sz w:val="20"/>
          <w:szCs w:val="20"/>
          <w:color w:val="auto"/>
        </w:rPr>
      </w:pPr>
    </w:p>
    <w:p>
      <w:pPr>
        <w:jc w:val="both"/>
        <w:spacing w:after="0" w:line="306" w:lineRule="auto"/>
        <w:rPr>
          <w:sz w:val="20"/>
          <w:szCs w:val="20"/>
          <w:color w:val="auto"/>
        </w:rPr>
      </w:pPr>
      <w:r>
        <w:rPr>
          <w:rFonts w:ascii="Arial" w:cs="Arial" w:eastAsia="Arial" w:hAnsi="Arial"/>
          <w:sz w:val="20"/>
          <w:szCs w:val="20"/>
          <w:color w:val="auto"/>
        </w:rPr>
        <w:t>The proration calculation for employees who have been promoted into a plan eligible position will be based on number of days in each role and performance rating earned in each position. For the purposes of this plan, a promotion is defined as position change resulting in an increase in grade assignment and individual bonus target percentage.</w:t>
      </w:r>
    </w:p>
    <w:p>
      <w:pPr>
        <w:spacing w:after="0" w:line="106"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Example of Prorated Bonus due to Promotion</w:t>
      </w:r>
    </w:p>
    <w:p>
      <w:pPr>
        <w:spacing w:after="0" w:line="23" w:lineRule="exact"/>
        <w:rPr>
          <w:sz w:val="20"/>
          <w:szCs w:val="20"/>
          <w:color w:val="auto"/>
        </w:rPr>
      </w:pPr>
    </w:p>
    <w:tbl>
      <w:tblPr>
        <w:tblLayout w:type="fixed"/>
        <w:tblInd w:w="590" w:type="dxa"/>
        <w:tblCellMar>
          <w:top w:w="0" w:type="dxa"/>
          <w:left w:w="0" w:type="dxa"/>
          <w:bottom w:w="0" w:type="dxa"/>
          <w:right w:w="0" w:type="dxa"/>
        </w:tblCellMar>
      </w:tblPr>
      <w:tr>
        <w:trPr>
          <w:trHeight w:val="301"/>
        </w:trPr>
        <w:tc>
          <w:tcPr>
            <w:tcW w:w="860" w:type="dxa"/>
            <w:vAlign w:val="bottom"/>
            <w:tcBorders>
              <w:top w:val="single" w:sz="8" w:color="auto"/>
              <w:left w:val="single" w:sz="8" w:color="auto"/>
              <w:right w:val="single" w:sz="8" w:color="auto"/>
            </w:tcBorders>
            <w:vMerge w:val="restart"/>
            <w:shd w:val="clear" w:color="auto" w:fill="DDD9C3"/>
          </w:tcPr>
          <w:p>
            <w:pPr>
              <w:ind w:left="240"/>
              <w:spacing w:after="0"/>
              <w:rPr>
                <w:sz w:val="20"/>
                <w:szCs w:val="20"/>
                <w:color w:val="auto"/>
              </w:rPr>
            </w:pPr>
            <w:r>
              <w:rPr>
                <w:rFonts w:ascii="Arial" w:cs="Arial" w:eastAsia="Arial" w:hAnsi="Arial"/>
                <w:sz w:val="20"/>
                <w:szCs w:val="20"/>
                <w:b w:val="1"/>
                <w:bCs w:val="1"/>
                <w:color w:val="auto"/>
              </w:rPr>
              <w:t>Role</w:t>
            </w:r>
          </w:p>
        </w:tc>
        <w:tc>
          <w:tcPr>
            <w:tcW w:w="1460" w:type="dxa"/>
            <w:vAlign w:val="bottom"/>
            <w:tcBorders>
              <w:top w:val="single" w:sz="8" w:color="auto"/>
              <w:right w:val="single" w:sz="8" w:color="auto"/>
            </w:tcBorders>
            <w:vMerge w:val="restart"/>
            <w:shd w:val="clear" w:color="auto" w:fill="DDD9C3"/>
          </w:tcPr>
          <w:p>
            <w:pPr>
              <w:jc w:val="right"/>
              <w:ind w:right="141"/>
              <w:spacing w:after="0"/>
              <w:rPr>
                <w:sz w:val="20"/>
                <w:szCs w:val="20"/>
                <w:color w:val="auto"/>
              </w:rPr>
            </w:pPr>
            <w:r>
              <w:rPr>
                <w:rFonts w:ascii="Arial" w:cs="Arial" w:eastAsia="Arial" w:hAnsi="Arial"/>
                <w:sz w:val="20"/>
                <w:szCs w:val="20"/>
                <w:b w:val="1"/>
                <w:bCs w:val="1"/>
                <w:color w:val="auto"/>
              </w:rPr>
              <w:t>Base Salary</w:t>
            </w:r>
          </w:p>
        </w:tc>
        <w:tc>
          <w:tcPr>
            <w:tcW w:w="1320" w:type="dxa"/>
            <w:vAlign w:val="bottom"/>
            <w:tcBorders>
              <w:top w:val="single" w:sz="8" w:color="auto"/>
              <w:right w:val="single" w:sz="8" w:color="auto"/>
            </w:tcBorders>
            <w:vMerge w:val="restart"/>
            <w:shd w:val="clear" w:color="auto" w:fill="DDD9C3"/>
          </w:tcPr>
          <w:p>
            <w:pPr>
              <w:jc w:val="center"/>
              <w:spacing w:after="0"/>
              <w:rPr>
                <w:sz w:val="20"/>
                <w:szCs w:val="20"/>
                <w:color w:val="auto"/>
              </w:rPr>
            </w:pPr>
            <w:r>
              <w:rPr>
                <w:rFonts w:ascii="Arial" w:cs="Arial" w:eastAsia="Arial" w:hAnsi="Arial"/>
                <w:sz w:val="20"/>
                <w:szCs w:val="20"/>
                <w:b w:val="1"/>
                <w:bCs w:val="1"/>
                <w:color w:val="auto"/>
                <w:w w:val="94"/>
              </w:rPr>
              <w:t>Target %</w:t>
            </w:r>
          </w:p>
        </w:tc>
        <w:tc>
          <w:tcPr>
            <w:tcW w:w="1340" w:type="dxa"/>
            <w:vAlign w:val="bottom"/>
            <w:tcBorders>
              <w:top w:val="single" w:sz="8" w:color="auto"/>
              <w:right w:val="single" w:sz="8" w:color="auto"/>
            </w:tcBorders>
            <w:vMerge w:val="restart"/>
            <w:shd w:val="clear" w:color="auto" w:fill="DDD9C3"/>
          </w:tcPr>
          <w:p>
            <w:pPr>
              <w:jc w:val="right"/>
              <w:ind w:right="221"/>
              <w:spacing w:after="0"/>
              <w:rPr>
                <w:sz w:val="20"/>
                <w:szCs w:val="20"/>
                <w:color w:val="auto"/>
              </w:rPr>
            </w:pPr>
            <w:r>
              <w:rPr>
                <w:rFonts w:ascii="Arial" w:cs="Arial" w:eastAsia="Arial" w:hAnsi="Arial"/>
                <w:sz w:val="20"/>
                <w:szCs w:val="20"/>
                <w:b w:val="1"/>
                <w:bCs w:val="1"/>
                <w:color w:val="auto"/>
              </w:rPr>
              <w:t>Target $</w:t>
            </w:r>
          </w:p>
        </w:tc>
        <w:tc>
          <w:tcPr>
            <w:tcW w:w="1240" w:type="dxa"/>
            <w:vAlign w:val="bottom"/>
            <w:tcBorders>
              <w:top w:val="single" w:sz="8" w:color="auto"/>
              <w:right w:val="single" w:sz="8" w:color="auto"/>
            </w:tcBorders>
            <w:vMerge w:val="restart"/>
            <w:shd w:val="clear" w:color="auto" w:fill="DDD9C3"/>
          </w:tcPr>
          <w:p>
            <w:pPr>
              <w:jc w:val="center"/>
              <w:spacing w:after="0"/>
              <w:rPr>
                <w:sz w:val="20"/>
                <w:szCs w:val="20"/>
                <w:color w:val="auto"/>
              </w:rPr>
            </w:pPr>
            <w:r>
              <w:rPr>
                <w:rFonts w:ascii="Arial" w:cs="Arial" w:eastAsia="Arial" w:hAnsi="Arial"/>
                <w:sz w:val="20"/>
                <w:szCs w:val="20"/>
                <w:b w:val="1"/>
                <w:bCs w:val="1"/>
                <w:color w:val="auto"/>
                <w:w w:val="93"/>
              </w:rPr>
              <w:t>Funding %</w:t>
            </w:r>
          </w:p>
        </w:tc>
        <w:tc>
          <w:tcPr>
            <w:tcW w:w="1420" w:type="dxa"/>
            <w:vAlign w:val="bottom"/>
            <w:tcBorders>
              <w:top w:val="single" w:sz="8" w:color="auto"/>
            </w:tcBorders>
            <w:shd w:val="clear" w:color="auto" w:fill="DDD9C3"/>
          </w:tcPr>
          <w:p>
            <w:pPr>
              <w:jc w:val="center"/>
              <w:ind w:left="101"/>
              <w:spacing w:after="0"/>
              <w:rPr>
                <w:sz w:val="20"/>
                <w:szCs w:val="20"/>
                <w:color w:val="auto"/>
              </w:rPr>
            </w:pPr>
            <w:r>
              <w:rPr>
                <w:rFonts w:ascii="Arial" w:cs="Arial" w:eastAsia="Arial" w:hAnsi="Arial"/>
                <w:sz w:val="20"/>
                <w:szCs w:val="20"/>
                <w:b w:val="1"/>
                <w:bCs w:val="1"/>
                <w:color w:val="auto"/>
                <w:w w:val="89"/>
              </w:rPr>
              <w:t>Performance</w:t>
            </w:r>
          </w:p>
        </w:tc>
        <w:tc>
          <w:tcPr>
            <w:tcW w:w="200" w:type="dxa"/>
            <w:vAlign w:val="bottom"/>
            <w:tcBorders>
              <w:top w:val="single" w:sz="8" w:color="auto"/>
              <w:right w:val="single" w:sz="8" w:color="auto"/>
            </w:tcBorders>
            <w:shd w:val="clear" w:color="auto" w:fill="DDD9C3"/>
          </w:tcPr>
          <w:p>
            <w:pPr>
              <w:spacing w:after="0"/>
              <w:rPr>
                <w:sz w:val="24"/>
                <w:szCs w:val="24"/>
                <w:color w:val="auto"/>
              </w:rPr>
            </w:pPr>
          </w:p>
        </w:tc>
        <w:tc>
          <w:tcPr>
            <w:tcW w:w="1040" w:type="dxa"/>
            <w:vAlign w:val="bottom"/>
            <w:tcBorders>
              <w:top w:val="single" w:sz="8" w:color="auto"/>
              <w:right w:val="single" w:sz="8" w:color="auto"/>
            </w:tcBorders>
            <w:shd w:val="clear" w:color="auto" w:fill="DDD9C3"/>
          </w:tcPr>
          <w:p>
            <w:pPr>
              <w:jc w:val="center"/>
              <w:spacing w:after="0"/>
              <w:rPr>
                <w:sz w:val="20"/>
                <w:szCs w:val="20"/>
                <w:color w:val="auto"/>
              </w:rPr>
            </w:pPr>
            <w:r>
              <w:rPr>
                <w:rFonts w:ascii="Arial" w:cs="Arial" w:eastAsia="Arial" w:hAnsi="Arial"/>
                <w:sz w:val="20"/>
                <w:szCs w:val="20"/>
                <w:b w:val="1"/>
                <w:bCs w:val="1"/>
                <w:color w:val="auto"/>
                <w:w w:val="87"/>
              </w:rPr>
              <w:t># of Days</w:t>
            </w:r>
          </w:p>
        </w:tc>
        <w:tc>
          <w:tcPr>
            <w:tcW w:w="1420" w:type="dxa"/>
            <w:vAlign w:val="bottom"/>
            <w:tcBorders>
              <w:top w:val="single" w:sz="8" w:color="auto"/>
              <w:right w:val="single" w:sz="8" w:color="auto"/>
            </w:tcBorders>
            <w:shd w:val="clear" w:color="auto" w:fill="DDD9C3"/>
          </w:tcPr>
          <w:p>
            <w:pPr>
              <w:jc w:val="right"/>
              <w:ind w:right="241"/>
              <w:spacing w:after="0"/>
              <w:rPr>
                <w:sz w:val="20"/>
                <w:szCs w:val="20"/>
                <w:color w:val="auto"/>
              </w:rPr>
            </w:pPr>
            <w:r>
              <w:rPr>
                <w:rFonts w:ascii="Arial" w:cs="Arial" w:eastAsia="Arial" w:hAnsi="Arial"/>
                <w:sz w:val="20"/>
                <w:szCs w:val="20"/>
                <w:b w:val="1"/>
                <w:bCs w:val="1"/>
                <w:color w:val="auto"/>
              </w:rPr>
              <w:t>Prorated</w:t>
            </w:r>
          </w:p>
        </w:tc>
        <w:tc>
          <w:tcPr>
            <w:tcW w:w="0" w:type="dxa"/>
            <w:vAlign w:val="bottom"/>
          </w:tcPr>
          <w:p>
            <w:pPr>
              <w:spacing w:after="0"/>
              <w:rPr>
                <w:sz w:val="1"/>
                <w:szCs w:val="1"/>
                <w:color w:val="auto"/>
              </w:rPr>
            </w:pPr>
          </w:p>
        </w:tc>
      </w:tr>
      <w:tr>
        <w:trPr>
          <w:trHeight w:val="108"/>
        </w:trPr>
        <w:tc>
          <w:tcPr>
            <w:tcW w:w="860" w:type="dxa"/>
            <w:vAlign w:val="bottom"/>
            <w:tcBorders>
              <w:left w:val="single" w:sz="8" w:color="auto"/>
              <w:right w:val="single" w:sz="8" w:color="auto"/>
            </w:tcBorders>
            <w:vMerge w:val="continue"/>
            <w:shd w:val="clear" w:color="auto" w:fill="DDD9C3"/>
          </w:tcPr>
          <w:p>
            <w:pPr>
              <w:spacing w:after="0"/>
              <w:rPr>
                <w:sz w:val="9"/>
                <w:szCs w:val="9"/>
                <w:color w:val="auto"/>
              </w:rPr>
            </w:pPr>
          </w:p>
        </w:tc>
        <w:tc>
          <w:tcPr>
            <w:tcW w:w="1460" w:type="dxa"/>
            <w:vAlign w:val="bottom"/>
            <w:tcBorders>
              <w:right w:val="single" w:sz="8" w:color="auto"/>
            </w:tcBorders>
            <w:vMerge w:val="continue"/>
            <w:shd w:val="clear" w:color="auto" w:fill="DDD9C3"/>
          </w:tcPr>
          <w:p>
            <w:pPr>
              <w:spacing w:after="0"/>
              <w:rPr>
                <w:sz w:val="9"/>
                <w:szCs w:val="9"/>
                <w:color w:val="auto"/>
              </w:rPr>
            </w:pPr>
          </w:p>
        </w:tc>
        <w:tc>
          <w:tcPr>
            <w:tcW w:w="1320" w:type="dxa"/>
            <w:vAlign w:val="bottom"/>
            <w:tcBorders>
              <w:right w:val="single" w:sz="8" w:color="auto"/>
            </w:tcBorders>
            <w:vMerge w:val="continue"/>
            <w:shd w:val="clear" w:color="auto" w:fill="DDD9C3"/>
          </w:tcPr>
          <w:p>
            <w:pPr>
              <w:spacing w:after="0"/>
              <w:rPr>
                <w:sz w:val="9"/>
                <w:szCs w:val="9"/>
                <w:color w:val="auto"/>
              </w:rPr>
            </w:pPr>
          </w:p>
        </w:tc>
        <w:tc>
          <w:tcPr>
            <w:tcW w:w="1340" w:type="dxa"/>
            <w:vAlign w:val="bottom"/>
            <w:tcBorders>
              <w:right w:val="single" w:sz="8" w:color="auto"/>
            </w:tcBorders>
            <w:vMerge w:val="continue"/>
            <w:shd w:val="clear" w:color="auto" w:fill="DDD9C3"/>
          </w:tcPr>
          <w:p>
            <w:pPr>
              <w:spacing w:after="0"/>
              <w:rPr>
                <w:sz w:val="9"/>
                <w:szCs w:val="9"/>
                <w:color w:val="auto"/>
              </w:rPr>
            </w:pPr>
          </w:p>
        </w:tc>
        <w:tc>
          <w:tcPr>
            <w:tcW w:w="1240" w:type="dxa"/>
            <w:vAlign w:val="bottom"/>
            <w:tcBorders>
              <w:right w:val="single" w:sz="8" w:color="auto"/>
            </w:tcBorders>
            <w:vMerge w:val="continue"/>
            <w:shd w:val="clear" w:color="auto" w:fill="DDD9C3"/>
          </w:tcPr>
          <w:p>
            <w:pPr>
              <w:spacing w:after="0"/>
              <w:rPr>
                <w:sz w:val="9"/>
                <w:szCs w:val="9"/>
                <w:color w:val="auto"/>
              </w:rPr>
            </w:pPr>
          </w:p>
        </w:tc>
        <w:tc>
          <w:tcPr>
            <w:tcW w:w="1420" w:type="dxa"/>
            <w:vAlign w:val="bottom"/>
            <w:vMerge w:val="restart"/>
            <w:shd w:val="clear" w:color="auto" w:fill="DDD9C3"/>
          </w:tcPr>
          <w:p>
            <w:pPr>
              <w:jc w:val="center"/>
              <w:ind w:left="101"/>
              <w:spacing w:after="0"/>
              <w:rPr>
                <w:sz w:val="20"/>
                <w:szCs w:val="20"/>
                <w:color w:val="auto"/>
              </w:rPr>
            </w:pPr>
            <w:r>
              <w:rPr>
                <w:rFonts w:ascii="Arial" w:cs="Arial" w:eastAsia="Arial" w:hAnsi="Arial"/>
                <w:sz w:val="20"/>
                <w:szCs w:val="20"/>
                <w:b w:val="1"/>
                <w:bCs w:val="1"/>
                <w:color w:val="auto"/>
                <w:w w:val="93"/>
              </w:rPr>
              <w:t>Rating</w:t>
            </w:r>
          </w:p>
        </w:tc>
        <w:tc>
          <w:tcPr>
            <w:tcW w:w="200" w:type="dxa"/>
            <w:vAlign w:val="bottom"/>
            <w:tcBorders>
              <w:right w:val="single" w:sz="8" w:color="auto"/>
            </w:tcBorders>
            <w:shd w:val="clear" w:color="auto" w:fill="DDD9C3"/>
          </w:tcPr>
          <w:p>
            <w:pPr>
              <w:spacing w:after="0"/>
              <w:rPr>
                <w:sz w:val="9"/>
                <w:szCs w:val="9"/>
                <w:color w:val="auto"/>
              </w:rPr>
            </w:pPr>
          </w:p>
        </w:tc>
        <w:tc>
          <w:tcPr>
            <w:tcW w:w="1040" w:type="dxa"/>
            <w:vAlign w:val="bottom"/>
            <w:tcBorders>
              <w:right w:val="single" w:sz="8" w:color="auto"/>
            </w:tcBorders>
            <w:vMerge w:val="restart"/>
            <w:shd w:val="clear" w:color="auto" w:fill="DDD9C3"/>
          </w:tcPr>
          <w:p>
            <w:pPr>
              <w:jc w:val="center"/>
              <w:spacing w:after="0"/>
              <w:rPr>
                <w:sz w:val="20"/>
                <w:szCs w:val="20"/>
                <w:color w:val="auto"/>
              </w:rPr>
            </w:pPr>
            <w:r>
              <w:rPr>
                <w:rFonts w:ascii="Arial" w:cs="Arial" w:eastAsia="Arial" w:hAnsi="Arial"/>
                <w:sz w:val="20"/>
                <w:szCs w:val="20"/>
                <w:b w:val="1"/>
                <w:bCs w:val="1"/>
                <w:color w:val="auto"/>
                <w:w w:val="92"/>
              </w:rPr>
              <w:t>In Role</w:t>
            </w:r>
          </w:p>
        </w:tc>
        <w:tc>
          <w:tcPr>
            <w:tcW w:w="1420" w:type="dxa"/>
            <w:vAlign w:val="bottom"/>
            <w:tcBorders>
              <w:right w:val="single" w:sz="8" w:color="auto"/>
            </w:tcBorders>
            <w:vMerge w:val="restart"/>
            <w:shd w:val="clear" w:color="auto" w:fill="DDD9C3"/>
          </w:tcPr>
          <w:p>
            <w:pPr>
              <w:jc w:val="right"/>
              <w:ind w:right="321"/>
              <w:spacing w:after="0"/>
              <w:rPr>
                <w:sz w:val="20"/>
                <w:szCs w:val="20"/>
                <w:color w:val="auto"/>
              </w:rPr>
            </w:pPr>
            <w:r>
              <w:rPr>
                <w:rFonts w:ascii="Arial" w:cs="Arial" w:eastAsia="Arial" w:hAnsi="Arial"/>
                <w:sz w:val="20"/>
                <w:szCs w:val="20"/>
                <w:b w:val="1"/>
                <w:bCs w:val="1"/>
                <w:color w:val="auto"/>
              </w:rPr>
              <w:t>Payout</w:t>
            </w:r>
          </w:p>
        </w:tc>
        <w:tc>
          <w:tcPr>
            <w:tcW w:w="0" w:type="dxa"/>
            <w:vAlign w:val="bottom"/>
          </w:tcPr>
          <w:p>
            <w:pPr>
              <w:spacing w:after="0"/>
              <w:rPr>
                <w:sz w:val="1"/>
                <w:szCs w:val="1"/>
                <w:color w:val="auto"/>
              </w:rPr>
            </w:pPr>
          </w:p>
        </w:tc>
      </w:tr>
      <w:tr>
        <w:trPr>
          <w:trHeight w:val="172"/>
        </w:trPr>
        <w:tc>
          <w:tcPr>
            <w:tcW w:w="860" w:type="dxa"/>
            <w:vAlign w:val="bottom"/>
            <w:tcBorders>
              <w:left w:val="single" w:sz="8" w:color="auto"/>
              <w:bottom w:val="single" w:sz="8" w:color="DDD9C3"/>
              <w:right w:val="single" w:sz="8" w:color="auto"/>
            </w:tcBorders>
            <w:shd w:val="clear" w:color="auto" w:fill="DDD9C3"/>
          </w:tcPr>
          <w:p>
            <w:pPr>
              <w:spacing w:after="0"/>
              <w:rPr>
                <w:sz w:val="14"/>
                <w:szCs w:val="14"/>
                <w:color w:val="auto"/>
              </w:rPr>
            </w:pPr>
          </w:p>
        </w:tc>
        <w:tc>
          <w:tcPr>
            <w:tcW w:w="1460" w:type="dxa"/>
            <w:vAlign w:val="bottom"/>
            <w:tcBorders>
              <w:bottom w:val="single" w:sz="8" w:color="DDD9C3"/>
              <w:right w:val="single" w:sz="8" w:color="auto"/>
            </w:tcBorders>
            <w:shd w:val="clear" w:color="auto" w:fill="DDD9C3"/>
          </w:tcPr>
          <w:p>
            <w:pPr>
              <w:spacing w:after="0"/>
              <w:rPr>
                <w:sz w:val="14"/>
                <w:szCs w:val="14"/>
                <w:color w:val="auto"/>
              </w:rPr>
            </w:pPr>
          </w:p>
        </w:tc>
        <w:tc>
          <w:tcPr>
            <w:tcW w:w="1320" w:type="dxa"/>
            <w:vAlign w:val="bottom"/>
            <w:tcBorders>
              <w:bottom w:val="single" w:sz="8" w:color="DDD9C3"/>
              <w:right w:val="single" w:sz="8" w:color="auto"/>
            </w:tcBorders>
            <w:shd w:val="clear" w:color="auto" w:fill="DDD9C3"/>
          </w:tcPr>
          <w:p>
            <w:pPr>
              <w:spacing w:after="0"/>
              <w:rPr>
                <w:sz w:val="14"/>
                <w:szCs w:val="14"/>
                <w:color w:val="auto"/>
              </w:rPr>
            </w:pPr>
          </w:p>
        </w:tc>
        <w:tc>
          <w:tcPr>
            <w:tcW w:w="1340" w:type="dxa"/>
            <w:vAlign w:val="bottom"/>
            <w:tcBorders>
              <w:bottom w:val="single" w:sz="8" w:color="DDD9C3"/>
              <w:right w:val="single" w:sz="8" w:color="auto"/>
            </w:tcBorders>
            <w:shd w:val="clear" w:color="auto" w:fill="DDD9C3"/>
          </w:tcPr>
          <w:p>
            <w:pPr>
              <w:spacing w:after="0"/>
              <w:rPr>
                <w:sz w:val="14"/>
                <w:szCs w:val="14"/>
                <w:color w:val="auto"/>
              </w:rPr>
            </w:pPr>
          </w:p>
        </w:tc>
        <w:tc>
          <w:tcPr>
            <w:tcW w:w="1240" w:type="dxa"/>
            <w:vAlign w:val="bottom"/>
            <w:tcBorders>
              <w:bottom w:val="single" w:sz="8" w:color="DDD9C3"/>
              <w:right w:val="single" w:sz="8" w:color="auto"/>
            </w:tcBorders>
            <w:shd w:val="clear" w:color="auto" w:fill="DDD9C3"/>
          </w:tcPr>
          <w:p>
            <w:pPr>
              <w:spacing w:after="0"/>
              <w:rPr>
                <w:sz w:val="14"/>
                <w:szCs w:val="14"/>
                <w:color w:val="auto"/>
              </w:rPr>
            </w:pPr>
          </w:p>
        </w:tc>
        <w:tc>
          <w:tcPr>
            <w:tcW w:w="1420" w:type="dxa"/>
            <w:vAlign w:val="bottom"/>
            <w:tcBorders>
              <w:bottom w:val="single" w:sz="8" w:color="DDD9C3"/>
            </w:tcBorders>
            <w:vMerge w:val="continue"/>
            <w:shd w:val="clear" w:color="auto" w:fill="DDD9C3"/>
          </w:tcPr>
          <w:p>
            <w:pPr>
              <w:spacing w:after="0"/>
              <w:rPr>
                <w:sz w:val="14"/>
                <w:szCs w:val="14"/>
                <w:color w:val="auto"/>
              </w:rPr>
            </w:pPr>
          </w:p>
        </w:tc>
        <w:tc>
          <w:tcPr>
            <w:tcW w:w="200" w:type="dxa"/>
            <w:vAlign w:val="bottom"/>
            <w:tcBorders>
              <w:bottom w:val="single" w:sz="8" w:color="DDD9C3"/>
              <w:right w:val="single" w:sz="8" w:color="auto"/>
            </w:tcBorders>
            <w:shd w:val="clear" w:color="auto" w:fill="DDD9C3"/>
          </w:tcPr>
          <w:p>
            <w:pPr>
              <w:spacing w:after="0"/>
              <w:rPr>
                <w:sz w:val="14"/>
                <w:szCs w:val="14"/>
                <w:color w:val="auto"/>
              </w:rPr>
            </w:pPr>
          </w:p>
        </w:tc>
        <w:tc>
          <w:tcPr>
            <w:tcW w:w="1040" w:type="dxa"/>
            <w:vAlign w:val="bottom"/>
            <w:tcBorders>
              <w:bottom w:val="single" w:sz="8" w:color="DDD9C3"/>
              <w:right w:val="single" w:sz="8" w:color="auto"/>
            </w:tcBorders>
            <w:vMerge w:val="continue"/>
            <w:shd w:val="clear" w:color="auto" w:fill="DDD9C3"/>
          </w:tcPr>
          <w:p>
            <w:pPr>
              <w:spacing w:after="0"/>
              <w:rPr>
                <w:sz w:val="14"/>
                <w:szCs w:val="14"/>
                <w:color w:val="auto"/>
              </w:rPr>
            </w:pPr>
          </w:p>
        </w:tc>
        <w:tc>
          <w:tcPr>
            <w:tcW w:w="1420" w:type="dxa"/>
            <w:vAlign w:val="bottom"/>
            <w:tcBorders>
              <w:bottom w:val="single" w:sz="8" w:color="DDD9C3"/>
              <w:right w:val="single" w:sz="8" w:color="auto"/>
            </w:tcBorders>
            <w:vMerge w:val="continue"/>
            <w:shd w:val="clear" w:color="auto" w:fill="DDD9C3"/>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86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SVP</w:t>
            </w:r>
          </w:p>
        </w:tc>
        <w:tc>
          <w:tcPr>
            <w:tcW w:w="1460" w:type="dxa"/>
            <w:vAlign w:val="bottom"/>
            <w:tcBorders>
              <w:top w:val="single" w:sz="8" w:color="auto"/>
              <w:right w:val="single" w:sz="8" w:color="auto"/>
            </w:tcBorders>
          </w:tcPr>
          <w:p>
            <w:pPr>
              <w:jc w:val="right"/>
              <w:ind w:right="41"/>
              <w:spacing w:after="0"/>
              <w:rPr>
                <w:sz w:val="20"/>
                <w:szCs w:val="20"/>
                <w:color w:val="auto"/>
              </w:rPr>
            </w:pPr>
            <w:r>
              <w:rPr>
                <w:rFonts w:ascii="Arial" w:cs="Arial" w:eastAsia="Arial" w:hAnsi="Arial"/>
                <w:sz w:val="20"/>
                <w:szCs w:val="20"/>
                <w:color w:val="auto"/>
              </w:rPr>
              <w:t>$250,000</w:t>
            </w: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42.5%</w:t>
            </w:r>
          </w:p>
        </w:tc>
        <w:tc>
          <w:tcPr>
            <w:tcW w:w="1340" w:type="dxa"/>
            <w:vAlign w:val="bottom"/>
            <w:tcBorders>
              <w:top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$106,250</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100%</w:t>
            </w:r>
          </w:p>
        </w:tc>
        <w:tc>
          <w:tcPr>
            <w:tcW w:w="1420" w:type="dxa"/>
            <w:vAlign w:val="bottom"/>
            <w:tcBorders>
              <w:top w:val="single" w:sz="8" w:color="auto"/>
            </w:tcBorders>
          </w:tcPr>
          <w:p>
            <w:pPr>
              <w:jc w:val="center"/>
              <w:ind w:left="101"/>
              <w:spacing w:after="0"/>
              <w:rPr>
                <w:sz w:val="20"/>
                <w:szCs w:val="20"/>
                <w:color w:val="auto"/>
              </w:rPr>
            </w:pPr>
            <w:r>
              <w:rPr>
                <w:rFonts w:ascii="Arial" w:cs="Arial" w:eastAsia="Arial" w:hAnsi="Arial"/>
                <w:sz w:val="20"/>
                <w:szCs w:val="20"/>
                <w:color w:val="auto"/>
                <w:w w:val="89"/>
              </w:rPr>
              <w:t>100%</w:t>
            </w:r>
          </w:p>
        </w:tc>
        <w:tc>
          <w:tcPr>
            <w:tcW w:w="200" w:type="dxa"/>
            <w:vAlign w:val="bottom"/>
            <w:tcBorders>
              <w:top w:val="single" w:sz="8" w:color="auto"/>
              <w:right w:val="single" w:sz="8" w:color="auto"/>
            </w:tcBorders>
          </w:tcPr>
          <w:p>
            <w:pPr>
              <w:spacing w:after="0"/>
              <w:rPr>
                <w:sz w:val="22"/>
                <w:szCs w:val="22"/>
                <w:color w:val="auto"/>
              </w:rPr>
            </w:pPr>
          </w:p>
        </w:tc>
        <w:tc>
          <w:tcPr>
            <w:tcW w:w="1040" w:type="dxa"/>
            <w:vAlign w:val="bottom"/>
            <w:tcBorders>
              <w:top w:val="single" w:sz="8" w:color="auto"/>
              <w:right w:val="single" w:sz="8" w:color="auto"/>
            </w:tcBorders>
          </w:tcPr>
          <w:p>
            <w:pPr>
              <w:jc w:val="right"/>
              <w:ind w:right="321"/>
              <w:spacing w:after="0"/>
              <w:rPr>
                <w:sz w:val="20"/>
                <w:szCs w:val="20"/>
                <w:color w:val="auto"/>
              </w:rPr>
            </w:pPr>
            <w:r>
              <w:rPr>
                <w:rFonts w:ascii="Arial" w:cs="Arial" w:eastAsia="Arial" w:hAnsi="Arial"/>
                <w:sz w:val="20"/>
                <w:szCs w:val="20"/>
                <w:color w:val="auto"/>
              </w:rPr>
              <w:t>92</w:t>
            </w:r>
          </w:p>
        </w:tc>
        <w:tc>
          <w:tcPr>
            <w:tcW w:w="1420" w:type="dxa"/>
            <w:vAlign w:val="bottom"/>
            <w:tcBorders>
              <w:top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$26,781</w:t>
            </w:r>
          </w:p>
        </w:tc>
        <w:tc>
          <w:tcPr>
            <w:tcW w:w="0" w:type="dxa"/>
            <w:vAlign w:val="bottom"/>
          </w:tcPr>
          <w:p>
            <w:pPr>
              <w:spacing w:after="0"/>
              <w:rPr>
                <w:sz w:val="1"/>
                <w:szCs w:val="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VP</w:t>
            </w:r>
          </w:p>
        </w:tc>
        <w:tc>
          <w:tcPr>
            <w:tcW w:w="146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color w:val="auto"/>
              </w:rPr>
              <w:t>$225,000</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35.0%</w:t>
            </w:r>
          </w:p>
        </w:tc>
        <w:tc>
          <w:tcPr>
            <w:tcW w:w="1340" w:type="dxa"/>
            <w:vAlign w:val="bottom"/>
            <w:tcBorders>
              <w:right w:val="single" w:sz="8" w:color="auto"/>
            </w:tcBorders>
          </w:tcPr>
          <w:p>
            <w:pPr>
              <w:jc w:val="right"/>
              <w:ind w:right="21"/>
              <w:spacing w:after="0"/>
              <w:rPr>
                <w:sz w:val="20"/>
                <w:szCs w:val="20"/>
                <w:color w:val="auto"/>
              </w:rPr>
            </w:pPr>
            <w:r>
              <w:rPr>
                <w:rFonts w:ascii="Arial" w:cs="Arial" w:eastAsia="Arial" w:hAnsi="Arial"/>
                <w:sz w:val="20"/>
                <w:szCs w:val="20"/>
                <w:color w:val="auto"/>
              </w:rPr>
              <w:t>$78,750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100%</w:t>
            </w:r>
          </w:p>
        </w:tc>
        <w:tc>
          <w:tcPr>
            <w:tcW w:w="1420" w:type="dxa"/>
            <w:vAlign w:val="bottom"/>
          </w:tcPr>
          <w:p>
            <w:pPr>
              <w:jc w:val="center"/>
              <w:ind w:left="101"/>
              <w:spacing w:after="0"/>
              <w:rPr>
                <w:sz w:val="20"/>
                <w:szCs w:val="20"/>
                <w:color w:val="auto"/>
              </w:rPr>
            </w:pPr>
            <w:r>
              <w:rPr>
                <w:rFonts w:ascii="Arial" w:cs="Arial" w:eastAsia="Arial" w:hAnsi="Arial"/>
                <w:sz w:val="20"/>
                <w:szCs w:val="20"/>
                <w:color w:val="auto"/>
                <w:w w:val="89"/>
              </w:rPr>
              <w:t>100%</w:t>
            </w:r>
          </w:p>
        </w:tc>
        <w:tc>
          <w:tcPr>
            <w:tcW w:w="20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right"/>
              <w:ind w:right="281"/>
              <w:spacing w:after="0"/>
              <w:rPr>
                <w:sz w:val="20"/>
                <w:szCs w:val="20"/>
                <w:color w:val="auto"/>
              </w:rPr>
            </w:pPr>
            <w:r>
              <w:rPr>
                <w:rFonts w:ascii="Arial" w:cs="Arial" w:eastAsia="Arial" w:hAnsi="Arial"/>
                <w:sz w:val="20"/>
                <w:szCs w:val="20"/>
                <w:color w:val="auto"/>
              </w:rPr>
              <w:t>273</w:t>
            </w:r>
          </w:p>
        </w:tc>
        <w:tc>
          <w:tcPr>
            <w:tcW w:w="1420" w:type="dxa"/>
            <w:vAlign w:val="bottom"/>
            <w:tcBorders>
              <w:right w:val="single" w:sz="8" w:color="auto"/>
            </w:tcBorders>
          </w:tcPr>
          <w:p>
            <w:pPr>
              <w:jc w:val="right"/>
              <w:ind w:right="21"/>
              <w:spacing w:after="0"/>
              <w:rPr>
                <w:sz w:val="20"/>
                <w:szCs w:val="20"/>
                <w:color w:val="auto"/>
              </w:rPr>
            </w:pPr>
            <w:r>
              <w:rPr>
                <w:rFonts w:ascii="Arial" w:cs="Arial" w:eastAsia="Arial" w:hAnsi="Arial"/>
                <w:sz w:val="20"/>
                <w:szCs w:val="20"/>
                <w:color w:val="auto"/>
              </w:rPr>
              <w:t>$58,901</w:t>
            </w:r>
          </w:p>
        </w:tc>
        <w:tc>
          <w:tcPr>
            <w:tcW w:w="0" w:type="dxa"/>
            <w:vAlign w:val="bottom"/>
          </w:tcPr>
          <w:p>
            <w:pPr>
              <w:spacing w:after="0"/>
              <w:rPr>
                <w:sz w:val="1"/>
                <w:szCs w:val="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60" w:type="dxa"/>
            <w:vAlign w:val="bottom"/>
            <w:tcBorders>
              <w:left w:val="single" w:sz="8" w:color="auto"/>
            </w:tcBorders>
          </w:tcPr>
          <w:p>
            <w:pPr>
              <w:spacing w:after="0"/>
              <w:rPr>
                <w:sz w:val="22"/>
                <w:szCs w:val="22"/>
                <w:color w:val="auto"/>
              </w:rPr>
            </w:pPr>
          </w:p>
        </w:tc>
        <w:tc>
          <w:tcPr>
            <w:tcW w:w="14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4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w w:val="95"/>
              </w:rPr>
              <w:t>Final Amount</w:t>
            </w:r>
          </w:p>
        </w:tc>
        <w:tc>
          <w:tcPr>
            <w:tcW w:w="1420" w:type="dxa"/>
            <w:vAlign w:val="bottom"/>
            <w:tcBorders>
              <w:right w:val="single" w:sz="8" w:color="auto"/>
            </w:tcBorders>
          </w:tcPr>
          <w:p>
            <w:pPr>
              <w:jc w:val="right"/>
              <w:ind w:right="21"/>
              <w:spacing w:after="0"/>
              <w:rPr>
                <w:sz w:val="20"/>
                <w:szCs w:val="20"/>
                <w:color w:val="auto"/>
              </w:rPr>
            </w:pPr>
            <w:r>
              <w:rPr>
                <w:rFonts w:ascii="Arial" w:cs="Arial" w:eastAsia="Arial" w:hAnsi="Arial"/>
                <w:sz w:val="20"/>
                <w:szCs w:val="20"/>
                <w:b w:val="1"/>
                <w:bCs w:val="1"/>
                <w:color w:val="auto"/>
              </w:rPr>
              <w:t>$85,682</w:t>
            </w:r>
          </w:p>
        </w:tc>
        <w:tc>
          <w:tcPr>
            <w:tcW w:w="0" w:type="dxa"/>
            <w:vAlign w:val="bottom"/>
          </w:tcPr>
          <w:p>
            <w:pPr>
              <w:spacing w:after="0"/>
              <w:rPr>
                <w:sz w:val="1"/>
                <w:szCs w:val="1"/>
                <w:color w:val="auto"/>
              </w:rPr>
            </w:pPr>
          </w:p>
        </w:tc>
      </w:tr>
      <w:tr>
        <w:trPr>
          <w:trHeight w:val="23"/>
        </w:trPr>
        <w:tc>
          <w:tcPr>
            <w:tcW w:w="86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Pro-Ration for Leave of Absence</w:t>
      </w:r>
    </w:p>
    <w:p>
      <w:pPr>
        <w:spacing w:after="0" w:line="60"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Individual incentive determinations for employees who have a paid or unpaid leave of absence (this does not include vacation) in excess of one month during the Plan Year will be prorated to reflect the time on leave.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Plan Payouts</w:t>
      </w:r>
    </w:p>
    <w:p>
      <w:pPr>
        <w:spacing w:after="0" w:line="46"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Individual incentive determinations calculated in accordance with the terms of this Plan will be paid in cash or pursuant to equity awards granted under the Company’s equity compensation plan, or a combination thereof, at the discretion of the Compensation Committee, minus applicable deductions and withholding as required by law, by the close of the first quarter following the previous fiscal year end. Payouts will be rounded to the nearest whole dollar amount.</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Termination of Employment</w:t>
      </w:r>
    </w:p>
    <w:p>
      <w:pPr>
        <w:spacing w:after="0" w:line="60" w:lineRule="exact"/>
        <w:rPr>
          <w:sz w:val="20"/>
          <w:szCs w:val="20"/>
          <w:color w:val="auto"/>
        </w:rPr>
      </w:pPr>
    </w:p>
    <w:p>
      <w:pPr>
        <w:jc w:val="both"/>
        <w:spacing w:after="0" w:line="338" w:lineRule="auto"/>
        <w:rPr>
          <w:sz w:val="20"/>
          <w:szCs w:val="20"/>
          <w:color w:val="auto"/>
        </w:rPr>
      </w:pPr>
      <w:r>
        <w:rPr>
          <w:rFonts w:ascii="Arial" w:cs="Arial" w:eastAsia="Arial" w:hAnsi="Arial"/>
          <w:sz w:val="18"/>
          <w:szCs w:val="18"/>
          <w:color w:val="auto"/>
        </w:rPr>
        <w:t>Incentive payments under the Plan do not vest until the date Plan payments are made. To be eligible to receive a payment, a participant must be employed by the Company on the date Plan payments are made. Employees whose employment ends prior to the payment date under the Plan for any fiscal year will not be eligible, subject to the discretion of the Compensation Committee. However, if an otherwise eligible employee is not employed as of the date of the payout under the Plan due to death or long-term disability under the Company long-term disability plan, such employee, if he or she would have otherwise received a payout under the Plan but for his or her death or disability, shall be entitled to receive a pro-rated payment for the portion of the fiscal year the employee was actively employed.</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color w:val="auto"/>
        </w:rPr>
        <w:t>If an employee terminates employment and is subsequently rehired, eligibility under this Plan restarts with the employee’s rehire date.</w:t>
      </w:r>
    </w:p>
    <w:p>
      <w:pPr>
        <w:sectPr>
          <w:pgSz w:w="11900" w:h="16838" w:orient="portrait"/>
          <w:cols w:equalWidth="0" w:num="1">
            <w:col w:w="11420"/>
          </w:cols>
          <w:pgMar w:left="240" w:top="387" w:right="239" w:bottom="1440" w:gutter="0" w:footer="0" w:header="0"/>
        </w:sectPr>
      </w:pPr>
    </w:p>
    <w:bookmarkStart w:id="281" w:name="page282"/>
    <w:bookmarkEnd w:id="281"/>
    <w:p>
      <w:pPr>
        <w:spacing w:after="0"/>
        <w:rPr>
          <w:sz w:val="20"/>
          <w:szCs w:val="20"/>
          <w:color w:val="auto"/>
        </w:rPr>
      </w:pPr>
      <w:r>
        <w:rPr>
          <w:rFonts w:ascii="Arial" w:cs="Arial" w:eastAsia="Arial" w:hAnsi="Arial"/>
          <w:sz w:val="20"/>
          <w:szCs w:val="20"/>
          <w:b w:val="1"/>
          <w:bCs w:val="1"/>
          <w:color w:val="auto"/>
        </w:rPr>
        <w:t>Material Restatement of Financial Results</w:t>
      </w:r>
    </w:p>
    <w:p>
      <w:pPr>
        <w:spacing w:after="0" w:line="60" w:lineRule="exact"/>
        <w:rPr>
          <w:sz w:val="20"/>
          <w:szCs w:val="20"/>
          <w:color w:val="auto"/>
        </w:rPr>
      </w:pPr>
    </w:p>
    <w:p>
      <w:pPr>
        <w:jc w:val="both"/>
        <w:spacing w:after="0" w:line="299" w:lineRule="auto"/>
        <w:rPr>
          <w:sz w:val="20"/>
          <w:szCs w:val="20"/>
          <w:color w:val="auto"/>
        </w:rPr>
      </w:pPr>
      <w:r>
        <w:rPr>
          <w:rFonts w:ascii="Arial" w:cs="Arial" w:eastAsia="Arial" w:hAnsi="Arial"/>
          <w:sz w:val="20"/>
          <w:szCs w:val="20"/>
          <w:color w:val="auto"/>
        </w:rPr>
        <w:t>In the event that the Board determines there has been a material restatement of publicly issued financial results from those previously issued to the public , the Board will review all incentive payments made to executive officers on the basis of having met or exceeded specific performance targets and, if such payments would have been lower had they been calculated based on such restated results, the Board will, to the extent permitted by governing law, seek to recoup for the benefit of our company such payments made in excess of the amount that would have been paid based on the restated results. This will apply to all incentive payments made during the three-year period prior to the restatement, beginning with payments earned for the 2012 fiscal year. For purposes of this policy, the term “executive officers” has the meaning given in Rule 3b-7 under the Securities Exchange Act of 1934, as amended, and the term “incentive payments” means bonuses and awards under the Plan.</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Plan Administration, Modification and Discontinuance</w:t>
      </w:r>
    </w:p>
    <w:p>
      <w:pPr>
        <w:spacing w:after="0" w:line="46" w:lineRule="exact"/>
        <w:rPr>
          <w:sz w:val="20"/>
          <w:szCs w:val="20"/>
          <w:color w:val="auto"/>
        </w:rPr>
      </w:pPr>
    </w:p>
    <w:p>
      <w:pPr>
        <w:jc w:val="both"/>
        <w:spacing w:after="0" w:line="323" w:lineRule="auto"/>
        <w:rPr>
          <w:sz w:val="20"/>
          <w:szCs w:val="20"/>
          <w:color w:val="auto"/>
        </w:rPr>
      </w:pPr>
      <w:r>
        <w:rPr>
          <w:rFonts w:ascii="Arial" w:cs="Arial" w:eastAsia="Arial" w:hAnsi="Arial"/>
          <w:sz w:val="19"/>
          <w:szCs w:val="19"/>
          <w:color w:val="auto"/>
        </w:rPr>
        <w:t>This Plan is administered by the Compensation Committee. The Compensation Committee has authority to interpret the Plan and to make, amend, or nullify any rules and procedures deemed necessary for proper Plan administration, including, but not limited to, performance targets, results and extraordinary events. The EBITDA performance targets and corresponding funding levels shall be adjusted for acquisitions, divestitures, or board imposed unbudgeted expenses in the discretion of the Compensation Committee.</w:t>
      </w:r>
    </w:p>
    <w:p>
      <w:pPr>
        <w:spacing w:after="0" w:line="242" w:lineRule="exact"/>
        <w:rPr>
          <w:sz w:val="20"/>
          <w:szCs w:val="20"/>
          <w:color w:val="auto"/>
        </w:rPr>
      </w:pPr>
    </w:p>
    <w:p>
      <w:pPr>
        <w:jc w:val="both"/>
        <w:spacing w:after="0" w:line="306" w:lineRule="auto"/>
        <w:rPr>
          <w:sz w:val="20"/>
          <w:szCs w:val="20"/>
          <w:color w:val="auto"/>
        </w:rPr>
      </w:pPr>
      <w:r>
        <w:rPr>
          <w:rFonts w:ascii="Arial" w:cs="Arial" w:eastAsia="Arial" w:hAnsi="Arial"/>
          <w:sz w:val="20"/>
          <w:szCs w:val="20"/>
          <w:color w:val="auto"/>
        </w:rPr>
        <w:t>Notwithstanding the foregoing, no Plan payouts will be made until and unless the Compensation Committee has certified that the performance goals and all other material terms have been satisfied. The Compensation Committee has the sole discretion to modify the application of this Plan.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Continued Employment</w:t>
      </w:r>
    </w:p>
    <w:p>
      <w:pPr>
        <w:spacing w:after="0" w:line="60" w:lineRule="exact"/>
        <w:rPr>
          <w:sz w:val="20"/>
          <w:szCs w:val="20"/>
          <w:color w:val="auto"/>
        </w:rPr>
      </w:pPr>
    </w:p>
    <w:p>
      <w:pPr>
        <w:jc w:val="both"/>
        <w:spacing w:after="0" w:line="346" w:lineRule="auto"/>
        <w:rPr>
          <w:sz w:val="20"/>
          <w:szCs w:val="20"/>
          <w:color w:val="auto"/>
        </w:rPr>
      </w:pPr>
      <w:r>
        <w:rPr>
          <w:rFonts w:ascii="Arial" w:cs="Arial" w:eastAsia="Arial" w:hAnsi="Arial"/>
          <w:sz w:val="19"/>
          <w:szCs w:val="19"/>
          <w:color w:val="auto"/>
        </w:rPr>
        <w:t>The Plan is not intended to and does not give any employee the right to continued employment with the Company. The Plan does not create a contract of employment with any employee and does not alter the at-will nature of employee’s employment with the Company.</w:t>
      </w:r>
    </w:p>
    <w:p>
      <w:pPr>
        <w:sectPr>
          <w:pgSz w:w="11900" w:h="16838" w:orient="portrait"/>
          <w:cols w:equalWidth="0" w:num="1">
            <w:col w:w="11420"/>
          </w:cols>
          <w:pgMar w:left="240" w:top="387" w:right="239" w:bottom="1440" w:gutter="0" w:footer="0" w:header="0"/>
        </w:sectPr>
      </w:pPr>
    </w:p>
    <w:bookmarkStart w:id="282" w:name="page283"/>
    <w:bookmarkEnd w:id="282"/>
    <w:p>
      <w:pPr>
        <w:jc w:val="center"/>
        <w:spacing w:after="0"/>
        <w:rPr>
          <w:sz w:val="20"/>
          <w:szCs w:val="20"/>
          <w:color w:val="auto"/>
        </w:rPr>
      </w:pPr>
      <w:r>
        <w:rPr>
          <w:rFonts w:ascii="Arial" w:cs="Arial" w:eastAsia="Arial" w:hAnsi="Arial"/>
          <w:sz w:val="20"/>
          <w:szCs w:val="20"/>
          <w:b w:val="1"/>
          <w:bCs w:val="1"/>
          <w:u w:val="single" w:color="auto"/>
          <w:color w:val="auto"/>
        </w:rPr>
        <w:t>Exhibit A – EBITDA Funding Matrix</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1250" w:type="dxa"/>
        <w:tblCellMar>
          <w:top w:w="0" w:type="dxa"/>
          <w:left w:w="0" w:type="dxa"/>
          <w:bottom w:w="0" w:type="dxa"/>
          <w:right w:w="0" w:type="dxa"/>
        </w:tblCellMar>
      </w:tblPr>
      <w:tr>
        <w:trPr>
          <w:trHeight w:val="247"/>
        </w:trPr>
        <w:tc>
          <w:tcPr>
            <w:tcW w:w="3500" w:type="dxa"/>
            <w:vAlign w:val="bottom"/>
            <w:tcBorders>
              <w:top w:val="single" w:sz="8" w:color="auto"/>
              <w:left w:val="single" w:sz="8" w:color="auto"/>
              <w:right w:val="single" w:sz="8" w:color="auto"/>
            </w:tcBorders>
            <w:shd w:val="clear" w:color="auto" w:fill="DDD9C3"/>
          </w:tcPr>
          <w:p>
            <w:pPr>
              <w:jc w:val="center"/>
              <w:spacing w:after="0"/>
              <w:rPr>
                <w:sz w:val="20"/>
                <w:szCs w:val="20"/>
                <w:color w:val="auto"/>
              </w:rPr>
            </w:pPr>
            <w:r>
              <w:rPr>
                <w:rFonts w:ascii="Arial" w:cs="Arial" w:eastAsia="Arial" w:hAnsi="Arial"/>
                <w:sz w:val="20"/>
                <w:szCs w:val="20"/>
                <w:b w:val="1"/>
                <w:bCs w:val="1"/>
                <w:color w:val="auto"/>
                <w:w w:val="92"/>
              </w:rPr>
              <w:t>Percent of the EBITDA Target</w:t>
            </w:r>
          </w:p>
        </w:tc>
        <w:tc>
          <w:tcPr>
            <w:tcW w:w="3060" w:type="dxa"/>
            <w:vAlign w:val="bottom"/>
            <w:tcBorders>
              <w:top w:val="single" w:sz="8" w:color="auto"/>
              <w:right w:val="single" w:sz="8" w:color="auto"/>
            </w:tcBorders>
            <w:shd w:val="clear" w:color="auto" w:fill="DDD9C3"/>
          </w:tcPr>
          <w:p>
            <w:pPr>
              <w:jc w:val="center"/>
              <w:spacing w:after="0"/>
              <w:rPr>
                <w:sz w:val="20"/>
                <w:szCs w:val="20"/>
                <w:color w:val="auto"/>
              </w:rPr>
            </w:pPr>
            <w:r>
              <w:rPr>
                <w:rFonts w:ascii="Arial" w:cs="Arial" w:eastAsia="Arial" w:hAnsi="Arial"/>
                <w:sz w:val="20"/>
                <w:szCs w:val="20"/>
                <w:b w:val="1"/>
                <w:bCs w:val="1"/>
                <w:color w:val="auto"/>
                <w:w w:val="88"/>
              </w:rPr>
              <w:t>Percent of Incentive Target</w:t>
            </w:r>
          </w:p>
        </w:tc>
      </w:tr>
      <w:tr>
        <w:trPr>
          <w:trHeight w:val="284"/>
        </w:trPr>
        <w:tc>
          <w:tcPr>
            <w:tcW w:w="3500" w:type="dxa"/>
            <w:vAlign w:val="bottom"/>
            <w:tcBorders>
              <w:left w:val="single" w:sz="8" w:color="auto"/>
              <w:bottom w:val="single" w:sz="8" w:color="DDD9C3"/>
              <w:right w:val="single" w:sz="8" w:color="auto"/>
            </w:tcBorders>
            <w:shd w:val="clear" w:color="auto" w:fill="DDD9C3"/>
          </w:tcPr>
          <w:p>
            <w:pPr>
              <w:jc w:val="center"/>
              <w:spacing w:after="0"/>
              <w:rPr>
                <w:sz w:val="20"/>
                <w:szCs w:val="20"/>
                <w:color w:val="auto"/>
              </w:rPr>
            </w:pPr>
            <w:r>
              <w:rPr>
                <w:rFonts w:ascii="Arial" w:cs="Arial" w:eastAsia="Arial" w:hAnsi="Arial"/>
                <w:sz w:val="20"/>
                <w:szCs w:val="20"/>
                <w:b w:val="1"/>
                <w:bCs w:val="1"/>
                <w:color w:val="auto"/>
                <w:w w:val="89"/>
              </w:rPr>
              <w:t>Obtained for Vail Resorts</w:t>
            </w:r>
          </w:p>
        </w:tc>
        <w:tc>
          <w:tcPr>
            <w:tcW w:w="3060" w:type="dxa"/>
            <w:vAlign w:val="bottom"/>
            <w:tcBorders>
              <w:bottom w:val="single" w:sz="8" w:color="DDD9C3"/>
              <w:right w:val="single" w:sz="8" w:color="auto"/>
            </w:tcBorders>
            <w:shd w:val="clear" w:color="auto" w:fill="DDD9C3"/>
          </w:tcPr>
          <w:p>
            <w:pPr>
              <w:jc w:val="center"/>
              <w:spacing w:after="0"/>
              <w:rPr>
                <w:sz w:val="20"/>
                <w:szCs w:val="20"/>
                <w:color w:val="auto"/>
              </w:rPr>
            </w:pPr>
            <w:r>
              <w:rPr>
                <w:rFonts w:ascii="Arial" w:cs="Arial" w:eastAsia="Arial" w:hAnsi="Arial"/>
                <w:sz w:val="20"/>
                <w:szCs w:val="20"/>
                <w:b w:val="1"/>
                <w:bCs w:val="1"/>
                <w:color w:val="auto"/>
                <w:w w:val="91"/>
              </w:rPr>
              <w:t>Funded- Grade 33+</w:t>
            </w:r>
          </w:p>
        </w:tc>
      </w:tr>
      <w:tr>
        <w:trPr>
          <w:trHeight w:val="254"/>
        </w:trPr>
        <w:tc>
          <w:tcPr>
            <w:tcW w:w="35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rPr>
              <w:t>&lt;80%</w:t>
            </w:r>
          </w:p>
        </w:tc>
        <w:tc>
          <w:tcPr>
            <w:tcW w:w="3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0.0%</w:t>
            </w:r>
          </w:p>
        </w:tc>
      </w:tr>
      <w:tr>
        <w:trPr>
          <w:trHeight w:val="23"/>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80%</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15.00%</w:t>
            </w:r>
          </w:p>
        </w:tc>
      </w:tr>
      <w:tr>
        <w:trPr>
          <w:trHeight w:val="23"/>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81%</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16.00%</w:t>
            </w:r>
          </w:p>
        </w:tc>
      </w:tr>
      <w:tr>
        <w:trPr>
          <w:trHeight w:val="23"/>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82%</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17.00%</w:t>
            </w:r>
          </w:p>
        </w:tc>
      </w:tr>
      <w:tr>
        <w:trPr>
          <w:trHeight w:val="23"/>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83%</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18.00%</w:t>
            </w:r>
          </w:p>
        </w:tc>
      </w:tr>
      <w:tr>
        <w:trPr>
          <w:trHeight w:val="23"/>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84%</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19.00%</w:t>
            </w:r>
          </w:p>
        </w:tc>
      </w:tr>
      <w:tr>
        <w:trPr>
          <w:trHeight w:val="23"/>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85%</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20.00%</w:t>
            </w:r>
          </w:p>
        </w:tc>
      </w:tr>
      <w:tr>
        <w:trPr>
          <w:trHeight w:val="23"/>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86%</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21.00%</w:t>
            </w:r>
          </w:p>
        </w:tc>
      </w:tr>
      <w:tr>
        <w:trPr>
          <w:trHeight w:val="23"/>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87%</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22.00%</w:t>
            </w:r>
          </w:p>
        </w:tc>
      </w:tr>
      <w:tr>
        <w:trPr>
          <w:trHeight w:val="23"/>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88%</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23.00%</w:t>
            </w:r>
          </w:p>
        </w:tc>
      </w:tr>
      <w:tr>
        <w:trPr>
          <w:trHeight w:val="23"/>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89%</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24.00%</w:t>
            </w:r>
          </w:p>
        </w:tc>
      </w:tr>
      <w:tr>
        <w:trPr>
          <w:trHeight w:val="23"/>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90%</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25.00%</w:t>
            </w:r>
          </w:p>
        </w:tc>
      </w:tr>
      <w:tr>
        <w:trPr>
          <w:trHeight w:val="23"/>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91%</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30.00%</w:t>
            </w:r>
          </w:p>
        </w:tc>
      </w:tr>
      <w:tr>
        <w:trPr>
          <w:trHeight w:val="23"/>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92%</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35.00%</w:t>
            </w:r>
          </w:p>
        </w:tc>
      </w:tr>
      <w:tr>
        <w:trPr>
          <w:trHeight w:val="23"/>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93%</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40.00%</w:t>
            </w:r>
          </w:p>
        </w:tc>
      </w:tr>
      <w:tr>
        <w:trPr>
          <w:trHeight w:val="23"/>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94%</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45.00%</w:t>
            </w:r>
          </w:p>
        </w:tc>
      </w:tr>
      <w:tr>
        <w:trPr>
          <w:trHeight w:val="23"/>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95%</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50.00%</w:t>
            </w:r>
          </w:p>
        </w:tc>
      </w:tr>
      <w:tr>
        <w:trPr>
          <w:trHeight w:val="23"/>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96%</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60.00%</w:t>
            </w:r>
          </w:p>
        </w:tc>
      </w:tr>
      <w:tr>
        <w:trPr>
          <w:trHeight w:val="23"/>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97%</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70.00%</w:t>
            </w:r>
          </w:p>
        </w:tc>
      </w:tr>
      <w:tr>
        <w:trPr>
          <w:trHeight w:val="23"/>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98%</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80.00%</w:t>
            </w:r>
          </w:p>
        </w:tc>
      </w:tr>
      <w:tr>
        <w:trPr>
          <w:trHeight w:val="23"/>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99%</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90.00%</w:t>
            </w:r>
          </w:p>
        </w:tc>
      </w:tr>
      <w:tr>
        <w:trPr>
          <w:trHeight w:val="23"/>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100%</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100.00%</w:t>
            </w:r>
          </w:p>
        </w:tc>
      </w:tr>
      <w:tr>
        <w:trPr>
          <w:trHeight w:val="23"/>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101%</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107.50%</w:t>
            </w:r>
          </w:p>
        </w:tc>
      </w:tr>
      <w:tr>
        <w:trPr>
          <w:trHeight w:val="23"/>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102%</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115.00%</w:t>
            </w:r>
          </w:p>
        </w:tc>
      </w:tr>
      <w:tr>
        <w:trPr>
          <w:trHeight w:val="23"/>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103%</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122.50%</w:t>
            </w:r>
          </w:p>
        </w:tc>
      </w:tr>
      <w:tr>
        <w:trPr>
          <w:trHeight w:val="23"/>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104%</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130.00%</w:t>
            </w:r>
          </w:p>
        </w:tc>
      </w:tr>
      <w:tr>
        <w:trPr>
          <w:trHeight w:val="23"/>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105%</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137.50%</w:t>
            </w:r>
          </w:p>
        </w:tc>
      </w:tr>
      <w:tr>
        <w:trPr>
          <w:trHeight w:val="23"/>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106%</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145.00%</w:t>
            </w:r>
          </w:p>
        </w:tc>
      </w:tr>
      <w:tr>
        <w:trPr>
          <w:trHeight w:val="23"/>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107%</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152.50%</w:t>
            </w:r>
          </w:p>
        </w:tc>
      </w:tr>
      <w:tr>
        <w:trPr>
          <w:trHeight w:val="23"/>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108%</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160.00%</w:t>
            </w:r>
          </w:p>
        </w:tc>
      </w:tr>
      <w:tr>
        <w:trPr>
          <w:trHeight w:val="23"/>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109%</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167.50%</w:t>
            </w:r>
          </w:p>
        </w:tc>
      </w:tr>
      <w:tr>
        <w:trPr>
          <w:trHeight w:val="23"/>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110%</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175.00%</w:t>
            </w:r>
          </w:p>
        </w:tc>
      </w:tr>
      <w:tr>
        <w:trPr>
          <w:trHeight w:val="23"/>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5"/>
              </w:rPr>
              <w:t>111%</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177.50%</w:t>
            </w:r>
          </w:p>
        </w:tc>
      </w:tr>
      <w:tr>
        <w:trPr>
          <w:trHeight w:val="23"/>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5"/>
              </w:rPr>
              <w:t>112%</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180.00%</w:t>
            </w:r>
          </w:p>
        </w:tc>
      </w:tr>
      <w:tr>
        <w:trPr>
          <w:trHeight w:val="23"/>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9019"/>
          </w:cols>
          <w:pgMar w:left="1440" w:top="900" w:right="1440" w:bottom="1440" w:gutter="0" w:footer="0" w:header="0"/>
        </w:sectPr>
      </w:pPr>
    </w:p>
    <w:bookmarkStart w:id="283" w:name="page284"/>
    <w:bookmarkEnd w:id="283"/>
    <w:p>
      <w:pPr>
        <w:jc w:val="center"/>
        <w:spacing w:after="0"/>
        <w:rPr>
          <w:sz w:val="20"/>
          <w:szCs w:val="20"/>
          <w:color w:val="auto"/>
        </w:rPr>
      </w:pPr>
      <w:r>
        <w:rPr>
          <w:rFonts w:ascii="Arial" w:cs="Arial" w:eastAsia="Arial" w:hAnsi="Arial"/>
          <w:sz w:val="20"/>
          <w:szCs w:val="20"/>
          <w:b w:val="1"/>
          <w:bCs w:val="1"/>
          <w:u w:val="single" w:color="auto"/>
          <w:color w:val="auto"/>
        </w:rPr>
        <w:t>EBITDA Funding Matrix - continued</w:t>
      </w:r>
    </w:p>
    <w:p>
      <w:pPr>
        <w:spacing w:after="0" w:line="327"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3460" w:type="dxa"/>
            <w:vAlign w:val="bottom"/>
            <w:tcBorders>
              <w:top w:val="single" w:sz="8" w:color="auto"/>
              <w:left w:val="single" w:sz="8" w:color="auto"/>
              <w:right w:val="single" w:sz="8" w:color="auto"/>
            </w:tcBorders>
            <w:shd w:val="clear" w:color="auto" w:fill="DDD9C3"/>
          </w:tcPr>
          <w:p>
            <w:pPr>
              <w:jc w:val="center"/>
              <w:spacing w:after="0"/>
              <w:rPr>
                <w:sz w:val="20"/>
                <w:szCs w:val="20"/>
                <w:color w:val="auto"/>
              </w:rPr>
            </w:pPr>
            <w:r>
              <w:rPr>
                <w:rFonts w:ascii="Arial" w:cs="Arial" w:eastAsia="Arial" w:hAnsi="Arial"/>
                <w:sz w:val="20"/>
                <w:szCs w:val="20"/>
                <w:b w:val="1"/>
                <w:bCs w:val="1"/>
                <w:color w:val="auto"/>
                <w:w w:val="92"/>
              </w:rPr>
              <w:t>Percent of the EBITDA Target</w:t>
            </w:r>
          </w:p>
        </w:tc>
        <w:tc>
          <w:tcPr>
            <w:tcW w:w="3060" w:type="dxa"/>
            <w:vAlign w:val="bottom"/>
            <w:tcBorders>
              <w:top w:val="single" w:sz="8" w:color="auto"/>
              <w:right w:val="single" w:sz="8" w:color="auto"/>
            </w:tcBorders>
            <w:shd w:val="clear" w:color="auto" w:fill="DDD9C3"/>
          </w:tcPr>
          <w:p>
            <w:pPr>
              <w:jc w:val="center"/>
              <w:spacing w:after="0"/>
              <w:rPr>
                <w:sz w:val="20"/>
                <w:szCs w:val="20"/>
                <w:color w:val="auto"/>
              </w:rPr>
            </w:pPr>
            <w:r>
              <w:rPr>
                <w:rFonts w:ascii="Arial" w:cs="Arial" w:eastAsia="Arial" w:hAnsi="Arial"/>
                <w:sz w:val="20"/>
                <w:szCs w:val="20"/>
                <w:b w:val="1"/>
                <w:bCs w:val="1"/>
                <w:color w:val="auto"/>
                <w:w w:val="88"/>
              </w:rPr>
              <w:t>Percent of Incentive Target</w:t>
            </w:r>
          </w:p>
        </w:tc>
      </w:tr>
      <w:tr>
        <w:trPr>
          <w:trHeight w:val="284"/>
        </w:trPr>
        <w:tc>
          <w:tcPr>
            <w:tcW w:w="3460" w:type="dxa"/>
            <w:vAlign w:val="bottom"/>
            <w:tcBorders>
              <w:left w:val="single" w:sz="8" w:color="auto"/>
              <w:bottom w:val="single" w:sz="8" w:color="DDD9C3"/>
              <w:right w:val="single" w:sz="8" w:color="auto"/>
            </w:tcBorders>
            <w:shd w:val="clear" w:color="auto" w:fill="DDD9C3"/>
          </w:tcPr>
          <w:p>
            <w:pPr>
              <w:jc w:val="center"/>
              <w:spacing w:after="0"/>
              <w:rPr>
                <w:sz w:val="20"/>
                <w:szCs w:val="20"/>
                <w:color w:val="auto"/>
              </w:rPr>
            </w:pPr>
            <w:r>
              <w:rPr>
                <w:rFonts w:ascii="Arial" w:cs="Arial" w:eastAsia="Arial" w:hAnsi="Arial"/>
                <w:sz w:val="20"/>
                <w:szCs w:val="20"/>
                <w:b w:val="1"/>
                <w:bCs w:val="1"/>
                <w:color w:val="auto"/>
                <w:w w:val="90"/>
              </w:rPr>
              <w:t>Obtained for Vail Resorts</w:t>
            </w:r>
          </w:p>
        </w:tc>
        <w:tc>
          <w:tcPr>
            <w:tcW w:w="3060" w:type="dxa"/>
            <w:vAlign w:val="bottom"/>
            <w:tcBorders>
              <w:bottom w:val="single" w:sz="8" w:color="DDD9C3"/>
              <w:right w:val="single" w:sz="8" w:color="auto"/>
            </w:tcBorders>
            <w:shd w:val="clear" w:color="auto" w:fill="DDD9C3"/>
          </w:tcPr>
          <w:p>
            <w:pPr>
              <w:jc w:val="center"/>
              <w:spacing w:after="0"/>
              <w:rPr>
                <w:sz w:val="20"/>
                <w:szCs w:val="20"/>
                <w:color w:val="auto"/>
              </w:rPr>
            </w:pPr>
            <w:r>
              <w:rPr>
                <w:rFonts w:ascii="Arial" w:cs="Arial" w:eastAsia="Arial" w:hAnsi="Arial"/>
                <w:sz w:val="20"/>
                <w:szCs w:val="20"/>
                <w:b w:val="1"/>
                <w:bCs w:val="1"/>
                <w:color w:val="auto"/>
                <w:w w:val="91"/>
              </w:rPr>
              <w:t>Funded- Grade 33+</w:t>
            </w:r>
          </w:p>
        </w:tc>
      </w:tr>
      <w:tr>
        <w:trPr>
          <w:trHeight w:val="254"/>
        </w:trPr>
        <w:tc>
          <w:tcPr>
            <w:tcW w:w="34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113%</w:t>
            </w:r>
          </w:p>
        </w:tc>
        <w:tc>
          <w:tcPr>
            <w:tcW w:w="3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182.50%</w:t>
            </w:r>
          </w:p>
        </w:tc>
      </w:tr>
      <w:tr>
        <w:trPr>
          <w:trHeight w:val="23"/>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114%</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185.00%</w:t>
            </w:r>
          </w:p>
        </w:tc>
      </w:tr>
      <w:tr>
        <w:trPr>
          <w:trHeight w:val="23"/>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115%</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187.50%</w:t>
            </w:r>
          </w:p>
        </w:tc>
      </w:tr>
      <w:tr>
        <w:trPr>
          <w:trHeight w:val="23"/>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116%</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190.00%</w:t>
            </w:r>
          </w:p>
        </w:tc>
      </w:tr>
      <w:tr>
        <w:trPr>
          <w:trHeight w:val="23"/>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117%</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192.50%</w:t>
            </w:r>
          </w:p>
        </w:tc>
      </w:tr>
      <w:tr>
        <w:trPr>
          <w:trHeight w:val="23"/>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118%</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195.00%</w:t>
            </w:r>
          </w:p>
        </w:tc>
      </w:tr>
      <w:tr>
        <w:trPr>
          <w:trHeight w:val="23"/>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119%</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197.50%</w:t>
            </w:r>
          </w:p>
        </w:tc>
      </w:tr>
      <w:tr>
        <w:trPr>
          <w:trHeight w:val="23"/>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3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&gt;=120%</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200.00%</w:t>
            </w:r>
          </w:p>
        </w:tc>
      </w:tr>
      <w:tr>
        <w:trPr>
          <w:trHeight w:val="23"/>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9019"/>
          </w:cols>
          <w:pgMar w:left="1440" w:top="387" w:right="1440" w:bottom="1440" w:gutter="0" w:footer="0" w:header="0"/>
        </w:sectPr>
      </w:pPr>
    </w:p>
    <w:bookmarkStart w:id="284" w:name="page285"/>
    <w:bookmarkEnd w:id="284"/>
    <w:p>
      <w:pPr>
        <w:ind w:left="3960"/>
        <w:spacing w:after="0"/>
        <w:rPr>
          <w:sz w:val="20"/>
          <w:szCs w:val="20"/>
          <w:color w:val="auto"/>
        </w:rPr>
      </w:pPr>
      <w:r>
        <w:rPr>
          <w:rFonts w:ascii="Arial" w:cs="Arial" w:eastAsia="Arial" w:hAnsi="Arial"/>
          <w:sz w:val="20"/>
          <w:szCs w:val="20"/>
          <w:b w:val="1"/>
          <w:bCs w:val="1"/>
          <w:u w:val="single" w:color="auto"/>
          <w:color w:val="auto"/>
        </w:rPr>
        <w:t>Exhibit B – Performance Rating Variable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how an individual’s performance rating affects the overall Management Incentive Plan Payout.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1230" w:type="dxa"/>
        <w:tblCellMar>
          <w:top w:w="0" w:type="dxa"/>
          <w:left w:w="0" w:type="dxa"/>
          <w:bottom w:w="0" w:type="dxa"/>
          <w:right w:w="0" w:type="dxa"/>
        </w:tblCellMar>
      </w:tblPr>
      <w:tr>
        <w:trPr>
          <w:trHeight w:val="302"/>
        </w:trPr>
        <w:tc>
          <w:tcPr>
            <w:tcW w:w="3380" w:type="dxa"/>
            <w:vAlign w:val="bottom"/>
            <w:tcBorders>
              <w:top w:val="single" w:sz="8" w:color="auto"/>
              <w:left w:val="single" w:sz="8" w:color="auto"/>
              <w:bottom w:val="single" w:sz="8" w:color="DDD9C3"/>
            </w:tcBorders>
            <w:shd w:val="clear" w:color="auto" w:fill="DDD9C3"/>
          </w:tcPr>
          <w:p>
            <w:pPr>
              <w:spacing w:after="0"/>
              <w:rPr>
                <w:sz w:val="24"/>
                <w:szCs w:val="24"/>
                <w:color w:val="auto"/>
              </w:rPr>
            </w:pPr>
          </w:p>
        </w:tc>
        <w:tc>
          <w:tcPr>
            <w:tcW w:w="5640" w:type="dxa"/>
            <w:vAlign w:val="bottom"/>
            <w:tcBorders>
              <w:top w:val="single" w:sz="8" w:color="auto"/>
              <w:bottom w:val="single" w:sz="8" w:color="DDD9C3"/>
              <w:right w:val="single" w:sz="8" w:color="auto"/>
            </w:tcBorders>
            <w:gridSpan w:val="2"/>
            <w:shd w:val="clear" w:color="auto" w:fill="DDD9C3"/>
          </w:tcPr>
          <w:p>
            <w:pPr>
              <w:spacing w:after="0"/>
              <w:rPr>
                <w:sz w:val="20"/>
                <w:szCs w:val="20"/>
                <w:color w:val="auto"/>
              </w:rPr>
            </w:pPr>
            <w:r>
              <w:rPr>
                <w:rFonts w:ascii="Arial" w:cs="Arial" w:eastAsia="Arial" w:hAnsi="Arial"/>
                <w:sz w:val="20"/>
                <w:szCs w:val="20"/>
                <w:b w:val="1"/>
                <w:bCs w:val="1"/>
                <w:color w:val="auto"/>
              </w:rPr>
              <w:t>Performance Rating Chart</w:t>
            </w:r>
          </w:p>
        </w:tc>
      </w:tr>
      <w:tr>
        <w:trPr>
          <w:trHeight w:val="254"/>
        </w:trPr>
        <w:tc>
          <w:tcPr>
            <w:tcW w:w="3380" w:type="dxa"/>
            <w:vAlign w:val="bottom"/>
            <w:tcBorders>
              <w:top w:val="single" w:sz="8" w:color="auto"/>
              <w:left w:val="single" w:sz="8" w:color="auto"/>
            </w:tcBorders>
          </w:tcPr>
          <w:p>
            <w:pPr>
              <w:jc w:val="center"/>
              <w:ind w:left="881"/>
              <w:spacing w:after="0"/>
              <w:rPr>
                <w:sz w:val="20"/>
                <w:szCs w:val="20"/>
                <w:color w:val="auto"/>
              </w:rPr>
            </w:pPr>
            <w:r>
              <w:rPr>
                <w:rFonts w:ascii="Arial" w:cs="Arial" w:eastAsia="Arial" w:hAnsi="Arial"/>
                <w:sz w:val="20"/>
                <w:szCs w:val="20"/>
                <w:b w:val="1"/>
                <w:bCs w:val="1"/>
                <w:color w:val="auto"/>
                <w:w w:val="90"/>
              </w:rPr>
              <w:t>Performance Rating</w:t>
            </w:r>
          </w:p>
        </w:tc>
        <w:tc>
          <w:tcPr>
            <w:tcW w:w="960" w:type="dxa"/>
            <w:vAlign w:val="bottom"/>
            <w:tcBorders>
              <w:top w:val="single" w:sz="8" w:color="auto"/>
              <w:right w:val="single" w:sz="8" w:color="auto"/>
            </w:tcBorders>
          </w:tcPr>
          <w:p>
            <w:pPr>
              <w:spacing w:after="0"/>
              <w:rPr>
                <w:sz w:val="22"/>
                <w:szCs w:val="22"/>
                <w:color w:val="auto"/>
              </w:rPr>
            </w:pPr>
          </w:p>
        </w:tc>
        <w:tc>
          <w:tcPr>
            <w:tcW w:w="4680" w:type="dxa"/>
            <w:vAlign w:val="bottom"/>
            <w:tcBorders>
              <w:top w:val="single" w:sz="8" w:color="auto"/>
              <w:right w:val="single" w:sz="8" w:color="auto"/>
            </w:tcBorders>
          </w:tcPr>
          <w:p>
            <w:pPr>
              <w:ind w:left="1340"/>
              <w:spacing w:after="0"/>
              <w:rPr>
                <w:sz w:val="20"/>
                <w:szCs w:val="20"/>
                <w:color w:val="auto"/>
              </w:rPr>
            </w:pPr>
            <w:r>
              <w:rPr>
                <w:rFonts w:ascii="Arial" w:cs="Arial" w:eastAsia="Arial" w:hAnsi="Arial"/>
                <w:sz w:val="20"/>
                <w:szCs w:val="20"/>
                <w:b w:val="1"/>
                <w:bCs w:val="1"/>
                <w:color w:val="auto"/>
              </w:rPr>
              <w:t>% Incentive Influenced</w:t>
            </w:r>
          </w:p>
        </w:tc>
      </w:tr>
      <w:tr>
        <w:trPr>
          <w:trHeight w:val="23"/>
        </w:trPr>
        <w:tc>
          <w:tcPr>
            <w:tcW w:w="3380" w:type="dxa"/>
            <w:vAlign w:val="bottom"/>
            <w:tcBorders>
              <w:left w:val="single" w:sz="8" w:color="auto"/>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r>
      <w:tr>
        <w:trPr>
          <w:trHeight w:val="254"/>
        </w:trPr>
        <w:tc>
          <w:tcPr>
            <w:tcW w:w="3380" w:type="dxa"/>
            <w:vAlign w:val="bottom"/>
            <w:tcBorders>
              <w:left w:val="single" w:sz="8" w:color="auto"/>
            </w:tcBorders>
          </w:tcPr>
          <w:p>
            <w:pPr>
              <w:jc w:val="center"/>
              <w:ind w:left="881"/>
              <w:spacing w:after="0"/>
              <w:rPr>
                <w:sz w:val="20"/>
                <w:szCs w:val="20"/>
                <w:color w:val="auto"/>
              </w:rPr>
            </w:pPr>
            <w:r>
              <w:rPr>
                <w:rFonts w:ascii="Arial" w:cs="Arial" w:eastAsia="Arial" w:hAnsi="Arial"/>
                <w:sz w:val="20"/>
                <w:szCs w:val="20"/>
                <w:color w:val="auto"/>
                <w:w w:val="88"/>
              </w:rPr>
              <w:t>Greatly Exceeds Expectations</w:t>
            </w:r>
          </w:p>
        </w:tc>
        <w:tc>
          <w:tcPr>
            <w:tcW w:w="960" w:type="dxa"/>
            <w:vAlign w:val="bottom"/>
            <w:tcBorders>
              <w:right w:val="single" w:sz="8" w:color="auto"/>
            </w:tcBorders>
          </w:tcPr>
          <w:p>
            <w:pPr>
              <w:spacing w:after="0"/>
              <w:rPr>
                <w:sz w:val="22"/>
                <w:szCs w:val="22"/>
                <w:color w:val="auto"/>
              </w:rPr>
            </w:pPr>
          </w:p>
        </w:tc>
        <w:tc>
          <w:tcPr>
            <w:tcW w:w="4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130%</w:t>
            </w:r>
          </w:p>
        </w:tc>
      </w:tr>
      <w:tr>
        <w:trPr>
          <w:trHeight w:val="23"/>
        </w:trPr>
        <w:tc>
          <w:tcPr>
            <w:tcW w:w="3380" w:type="dxa"/>
            <w:vAlign w:val="bottom"/>
            <w:tcBorders>
              <w:left w:val="single" w:sz="8" w:color="auto"/>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r>
      <w:tr>
        <w:trPr>
          <w:trHeight w:val="254"/>
        </w:trPr>
        <w:tc>
          <w:tcPr>
            <w:tcW w:w="3380" w:type="dxa"/>
            <w:vAlign w:val="bottom"/>
            <w:tcBorders>
              <w:left w:val="single" w:sz="8" w:color="auto"/>
            </w:tcBorders>
          </w:tcPr>
          <w:p>
            <w:pPr>
              <w:jc w:val="center"/>
              <w:ind w:left="881"/>
              <w:spacing w:after="0"/>
              <w:rPr>
                <w:sz w:val="20"/>
                <w:szCs w:val="20"/>
                <w:color w:val="auto"/>
              </w:rPr>
            </w:pPr>
            <w:r>
              <w:rPr>
                <w:rFonts w:ascii="Arial" w:cs="Arial" w:eastAsia="Arial" w:hAnsi="Arial"/>
                <w:sz w:val="20"/>
                <w:szCs w:val="20"/>
                <w:color w:val="auto"/>
                <w:w w:val="87"/>
              </w:rPr>
              <w:t>Exceeds Expectations</w:t>
            </w:r>
          </w:p>
        </w:tc>
        <w:tc>
          <w:tcPr>
            <w:tcW w:w="960" w:type="dxa"/>
            <w:vAlign w:val="bottom"/>
            <w:tcBorders>
              <w:right w:val="single" w:sz="8" w:color="auto"/>
            </w:tcBorders>
          </w:tcPr>
          <w:p>
            <w:pPr>
              <w:spacing w:after="0"/>
              <w:rPr>
                <w:sz w:val="22"/>
                <w:szCs w:val="22"/>
                <w:color w:val="auto"/>
              </w:rPr>
            </w:pPr>
          </w:p>
        </w:tc>
        <w:tc>
          <w:tcPr>
            <w:tcW w:w="4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115%</w:t>
            </w:r>
          </w:p>
        </w:tc>
      </w:tr>
      <w:tr>
        <w:trPr>
          <w:trHeight w:val="23"/>
        </w:trPr>
        <w:tc>
          <w:tcPr>
            <w:tcW w:w="3380" w:type="dxa"/>
            <w:vAlign w:val="bottom"/>
            <w:tcBorders>
              <w:left w:val="single" w:sz="8" w:color="auto"/>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r>
      <w:tr>
        <w:trPr>
          <w:trHeight w:val="254"/>
        </w:trPr>
        <w:tc>
          <w:tcPr>
            <w:tcW w:w="3380" w:type="dxa"/>
            <w:vAlign w:val="bottom"/>
            <w:tcBorders>
              <w:left w:val="single" w:sz="8" w:color="auto"/>
            </w:tcBorders>
          </w:tcPr>
          <w:p>
            <w:pPr>
              <w:jc w:val="center"/>
              <w:ind w:left="881"/>
              <w:spacing w:after="0"/>
              <w:rPr>
                <w:sz w:val="20"/>
                <w:szCs w:val="20"/>
                <w:color w:val="auto"/>
              </w:rPr>
            </w:pPr>
            <w:r>
              <w:rPr>
                <w:rFonts w:ascii="Arial" w:cs="Arial" w:eastAsia="Arial" w:hAnsi="Arial"/>
                <w:sz w:val="20"/>
                <w:szCs w:val="20"/>
                <w:color w:val="auto"/>
                <w:w w:val="89"/>
              </w:rPr>
              <w:t>Achieves Expectations</w:t>
            </w:r>
          </w:p>
        </w:tc>
        <w:tc>
          <w:tcPr>
            <w:tcW w:w="960" w:type="dxa"/>
            <w:vAlign w:val="bottom"/>
            <w:tcBorders>
              <w:right w:val="single" w:sz="8" w:color="auto"/>
            </w:tcBorders>
          </w:tcPr>
          <w:p>
            <w:pPr>
              <w:spacing w:after="0"/>
              <w:rPr>
                <w:sz w:val="22"/>
                <w:szCs w:val="22"/>
                <w:color w:val="auto"/>
              </w:rPr>
            </w:pPr>
          </w:p>
        </w:tc>
        <w:tc>
          <w:tcPr>
            <w:tcW w:w="4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100%</w:t>
            </w:r>
          </w:p>
        </w:tc>
      </w:tr>
      <w:tr>
        <w:trPr>
          <w:trHeight w:val="23"/>
        </w:trPr>
        <w:tc>
          <w:tcPr>
            <w:tcW w:w="3380" w:type="dxa"/>
            <w:vAlign w:val="bottom"/>
            <w:tcBorders>
              <w:left w:val="single" w:sz="8" w:color="auto"/>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r>
      <w:tr>
        <w:trPr>
          <w:trHeight w:val="254"/>
        </w:trPr>
        <w:tc>
          <w:tcPr>
            <w:tcW w:w="3380" w:type="dxa"/>
            <w:vAlign w:val="bottom"/>
            <w:tcBorders>
              <w:left w:val="single" w:sz="8" w:color="auto"/>
            </w:tcBorders>
          </w:tcPr>
          <w:p>
            <w:pPr>
              <w:jc w:val="center"/>
              <w:ind w:left="881"/>
              <w:spacing w:after="0"/>
              <w:rPr>
                <w:sz w:val="20"/>
                <w:szCs w:val="20"/>
                <w:color w:val="auto"/>
              </w:rPr>
            </w:pPr>
            <w:r>
              <w:rPr>
                <w:rFonts w:ascii="Arial" w:cs="Arial" w:eastAsia="Arial" w:hAnsi="Arial"/>
                <w:sz w:val="20"/>
                <w:szCs w:val="20"/>
                <w:color w:val="auto"/>
                <w:w w:val="89"/>
              </w:rPr>
              <w:t>Meets Most Expectations</w:t>
            </w:r>
          </w:p>
        </w:tc>
        <w:tc>
          <w:tcPr>
            <w:tcW w:w="960" w:type="dxa"/>
            <w:vAlign w:val="bottom"/>
            <w:tcBorders>
              <w:right w:val="single" w:sz="8" w:color="auto"/>
            </w:tcBorders>
          </w:tcPr>
          <w:p>
            <w:pPr>
              <w:spacing w:after="0"/>
              <w:rPr>
                <w:sz w:val="22"/>
                <w:szCs w:val="22"/>
                <w:color w:val="auto"/>
              </w:rPr>
            </w:pPr>
          </w:p>
        </w:tc>
        <w:tc>
          <w:tcPr>
            <w:tcW w:w="4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70%</w:t>
            </w:r>
          </w:p>
        </w:tc>
      </w:tr>
      <w:tr>
        <w:trPr>
          <w:trHeight w:val="23"/>
        </w:trPr>
        <w:tc>
          <w:tcPr>
            <w:tcW w:w="3380" w:type="dxa"/>
            <w:vAlign w:val="bottom"/>
            <w:tcBorders>
              <w:left w:val="single" w:sz="8" w:color="auto"/>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r>
      <w:tr>
        <w:trPr>
          <w:trHeight w:val="254"/>
        </w:trPr>
        <w:tc>
          <w:tcPr>
            <w:tcW w:w="3380" w:type="dxa"/>
            <w:vAlign w:val="bottom"/>
            <w:tcBorders>
              <w:left w:val="single" w:sz="8" w:color="auto"/>
            </w:tcBorders>
          </w:tcPr>
          <w:p>
            <w:pPr>
              <w:jc w:val="center"/>
              <w:ind w:left="881"/>
              <w:spacing w:after="0"/>
              <w:rPr>
                <w:sz w:val="20"/>
                <w:szCs w:val="20"/>
                <w:color w:val="auto"/>
              </w:rPr>
            </w:pPr>
            <w:r>
              <w:rPr>
                <w:rFonts w:ascii="Arial" w:cs="Arial" w:eastAsia="Arial" w:hAnsi="Arial"/>
                <w:sz w:val="20"/>
                <w:szCs w:val="20"/>
                <w:color w:val="auto"/>
                <w:w w:val="87"/>
              </w:rPr>
              <w:t>Meets Some Expectations</w:t>
            </w:r>
          </w:p>
        </w:tc>
        <w:tc>
          <w:tcPr>
            <w:tcW w:w="960" w:type="dxa"/>
            <w:vAlign w:val="bottom"/>
            <w:tcBorders>
              <w:right w:val="single" w:sz="8" w:color="auto"/>
            </w:tcBorders>
          </w:tcPr>
          <w:p>
            <w:pPr>
              <w:spacing w:after="0"/>
              <w:rPr>
                <w:sz w:val="22"/>
                <w:szCs w:val="22"/>
                <w:color w:val="auto"/>
              </w:rPr>
            </w:pPr>
          </w:p>
        </w:tc>
        <w:tc>
          <w:tcPr>
            <w:tcW w:w="4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0%</w:t>
            </w:r>
          </w:p>
        </w:tc>
      </w:tr>
      <w:tr>
        <w:trPr>
          <w:trHeight w:val="23"/>
        </w:trPr>
        <w:tc>
          <w:tcPr>
            <w:tcW w:w="3380" w:type="dxa"/>
            <w:vAlign w:val="bottom"/>
            <w:tcBorders>
              <w:left w:val="single" w:sz="8" w:color="auto"/>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240"/>
          </w:cols>
          <w:pgMar w:left="240" w:top="860" w:right="1419"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Katz, certify that:</w:t>
      </w:r>
    </w:p>
    <w:p>
      <w:pPr>
        <w:spacing w:after="0" w:line="387" w:lineRule="exact"/>
        <w:rPr>
          <w:sz w:val="20"/>
          <w:szCs w:val="20"/>
          <w:color w:val="auto"/>
        </w:rPr>
      </w:pPr>
    </w:p>
    <w:p>
      <w:pPr>
        <w:ind w:left="500" w:hanging="195"/>
        <w:spacing w:after="0"/>
        <w:tabs>
          <w:tab w:leader="none" w:pos="5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63" w:lineRule="exact"/>
        <w:rPr>
          <w:rFonts w:ascii="Arial" w:cs="Arial" w:eastAsia="Arial" w:hAnsi="Arial"/>
          <w:sz w:val="18"/>
          <w:szCs w:val="18"/>
          <w:color w:val="auto"/>
        </w:rPr>
      </w:pPr>
    </w:p>
    <w:p>
      <w:pPr>
        <w:jc w:val="both"/>
        <w:ind w:left="500" w:right="40" w:hanging="195"/>
        <w:spacing w:after="0" w:line="264" w:lineRule="auto"/>
        <w:tabs>
          <w:tab w:leader="none" w:pos="5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20" w:hanging="195"/>
        <w:spacing w:after="0" w:line="277" w:lineRule="auto"/>
        <w:tabs>
          <w:tab w:leader="none" w:pos="5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Arial" w:cs="Arial" w:eastAsia="Arial" w:hAnsi="Arial"/>
          <w:sz w:val="18"/>
          <w:szCs w:val="18"/>
          <w:color w:val="auto"/>
        </w:rPr>
      </w:pPr>
    </w:p>
    <w:p>
      <w:pPr>
        <w:jc w:val="both"/>
        <w:ind w:left="500" w:right="20" w:hanging="195"/>
        <w:spacing w:after="0" w:line="264" w:lineRule="auto"/>
        <w:tabs>
          <w:tab w:leader="none" w:pos="5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jc w:val="both"/>
        <w:ind w:left="1180" w:right="40" w:hanging="686"/>
        <w:spacing w:after="0" w:line="264" w:lineRule="auto"/>
        <w:tabs>
          <w:tab w:leader="none" w:pos="118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jc w:val="both"/>
        <w:ind w:left="1180" w:right="20" w:hanging="686"/>
        <w:spacing w:after="0" w:line="264" w:lineRule="auto"/>
        <w:tabs>
          <w:tab w:leader="none" w:pos="118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1180" w:right="40" w:hanging="686"/>
        <w:spacing w:after="0" w:line="317" w:lineRule="auto"/>
        <w:tabs>
          <w:tab w:leader="none" w:pos="1180" w:val="left"/>
        </w:tabs>
        <w:numPr>
          <w:ilvl w:val="1"/>
          <w:numId w:val="3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180" w:right="40" w:hanging="686"/>
        <w:spacing w:after="0" w:line="264" w:lineRule="auto"/>
        <w:tabs>
          <w:tab w:leader="none" w:pos="118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500" w:right="40" w:hanging="195"/>
        <w:spacing w:after="0" w:line="298" w:lineRule="auto"/>
        <w:tabs>
          <w:tab w:leader="none" w:pos="50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80" w:right="40" w:hanging="686"/>
        <w:spacing w:after="0" w:line="298" w:lineRule="auto"/>
        <w:tabs>
          <w:tab w:leader="none" w:pos="1180" w:val="left"/>
        </w:tabs>
        <w:numPr>
          <w:ilvl w:val="1"/>
          <w:numId w:val="3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80" w:right="40" w:hanging="686"/>
        <w:spacing w:after="0" w:line="277" w:lineRule="auto"/>
        <w:tabs>
          <w:tab w:leader="none" w:pos="118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7, 2018</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Robert A. Katz</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286" w:name="page287"/>
    <w:bookmarkEnd w:id="286"/>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Z. Barkin, certify that:</w:t>
      </w:r>
    </w:p>
    <w:p>
      <w:pPr>
        <w:spacing w:after="0" w:line="387" w:lineRule="exact"/>
        <w:rPr>
          <w:sz w:val="20"/>
          <w:szCs w:val="20"/>
          <w:color w:val="auto"/>
        </w:rPr>
      </w:pPr>
    </w:p>
    <w:p>
      <w:pPr>
        <w:ind w:left="500" w:hanging="195"/>
        <w:spacing w:after="0"/>
        <w:tabs>
          <w:tab w:leader="none" w:pos="5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63" w:lineRule="exact"/>
        <w:rPr>
          <w:rFonts w:ascii="Arial" w:cs="Arial" w:eastAsia="Arial" w:hAnsi="Arial"/>
          <w:sz w:val="18"/>
          <w:szCs w:val="18"/>
          <w:color w:val="auto"/>
        </w:rPr>
      </w:pPr>
    </w:p>
    <w:p>
      <w:pPr>
        <w:jc w:val="both"/>
        <w:ind w:left="500" w:right="40" w:hanging="195"/>
        <w:spacing w:after="0" w:line="264" w:lineRule="auto"/>
        <w:tabs>
          <w:tab w:leader="none" w:pos="5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20" w:hanging="195"/>
        <w:spacing w:after="0" w:line="277" w:lineRule="auto"/>
        <w:tabs>
          <w:tab w:leader="none" w:pos="5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Arial" w:cs="Arial" w:eastAsia="Arial" w:hAnsi="Arial"/>
          <w:sz w:val="18"/>
          <w:szCs w:val="18"/>
          <w:color w:val="auto"/>
        </w:rPr>
      </w:pPr>
    </w:p>
    <w:p>
      <w:pPr>
        <w:jc w:val="both"/>
        <w:ind w:left="500" w:right="20" w:hanging="195"/>
        <w:spacing w:after="0" w:line="264" w:lineRule="auto"/>
        <w:tabs>
          <w:tab w:leader="none" w:pos="5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jc w:val="both"/>
        <w:ind w:left="1180" w:right="40" w:hanging="686"/>
        <w:spacing w:after="0" w:line="264" w:lineRule="auto"/>
        <w:tabs>
          <w:tab w:leader="none" w:pos="118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jc w:val="both"/>
        <w:ind w:left="1180" w:right="20" w:hanging="686"/>
        <w:spacing w:after="0" w:line="264" w:lineRule="auto"/>
        <w:tabs>
          <w:tab w:leader="none" w:pos="118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1180" w:right="40" w:hanging="686"/>
        <w:spacing w:after="0" w:line="317" w:lineRule="auto"/>
        <w:tabs>
          <w:tab w:leader="none" w:pos="1180" w:val="left"/>
        </w:tabs>
        <w:numPr>
          <w:ilvl w:val="1"/>
          <w:numId w:val="3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180" w:right="40" w:hanging="686"/>
        <w:spacing w:after="0" w:line="264" w:lineRule="auto"/>
        <w:tabs>
          <w:tab w:leader="none" w:pos="118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500" w:right="40" w:hanging="195"/>
        <w:spacing w:after="0" w:line="298" w:lineRule="auto"/>
        <w:tabs>
          <w:tab w:leader="none" w:pos="50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80" w:right="40" w:hanging="686"/>
        <w:spacing w:after="0" w:line="298" w:lineRule="auto"/>
        <w:tabs>
          <w:tab w:leader="none" w:pos="1180" w:val="left"/>
        </w:tabs>
        <w:numPr>
          <w:ilvl w:val="1"/>
          <w:numId w:val="3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80" w:right="40" w:hanging="686"/>
        <w:spacing w:after="0" w:line="277" w:lineRule="auto"/>
        <w:tabs>
          <w:tab w:leader="none" w:pos="118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7, 2018</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864" w:right="239" w:bottom="1440" w:gutter="0" w:footer="0" w:header="0"/>
        </w:sectPr>
      </w:pPr>
    </w:p>
    <w:bookmarkStart w:id="287" w:name="page288"/>
    <w:bookmarkEnd w:id="287"/>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Section 906 of the Sarbanes-Oxley Act of 2002, each of the undersigned hereby certifies in his capacity as an officer of Vail Resorts, Inc. (the “Company”) that the Company's Quarterly Report on Form 10-Q for the quarter ended October 31, 2018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30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7, 2018</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Robert A. Katz</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7, 2018</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Executive Vice President and Chief Financial Officer</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certification is being furnished solely pursuant to Section 906 of the Sarbanes-Oxley Act of 2002, is not a part of the Form 10-Q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10-Q),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7C2FF4"/>
    <w:multiLevelType w:val="hybridMultilevel"/>
    <w:lvl w:ilvl="0">
      <w:lvlJc w:val="left"/>
      <w:lvlText w:val="☒"/>
      <w:numFmt w:val="bullet"/>
      <w:start w:val="1"/>
    </w:lvl>
  </w:abstractNum>
  <w:abstractNum w:abstractNumId="1">
    <w:nsid w:val="25413BEC"/>
    <w:multiLevelType w:val="hybridMultilevel"/>
    <w:lvl w:ilvl="0">
      <w:lvlJc w:val="left"/>
      <w:lvlText w:val="☐"/>
      <w:numFmt w:val="bullet"/>
      <w:start w:val="1"/>
    </w:lvl>
  </w:abstractNum>
  <w:abstractNum w:abstractNumId="2">
    <w:nsid w:val="17180B0B"/>
    <w:multiLevelType w:val="hybridMultilevel"/>
    <w:lvl w:ilvl="0">
      <w:lvlJc w:val="left"/>
      <w:lvlText w:val="%1."/>
      <w:numFmt w:val="decimal"/>
      <w:start w:val="1"/>
    </w:lvl>
  </w:abstractNum>
  <w:abstractNum w:abstractNumId="3">
    <w:nsid w:val="579328B9"/>
    <w:multiLevelType w:val="hybridMultilevel"/>
    <w:lvl w:ilvl="0">
      <w:lvlJc w:val="left"/>
      <w:lvlText w:val="%1."/>
      <w:numFmt w:val="decimal"/>
      <w:start w:val="2"/>
    </w:lvl>
  </w:abstractNum>
  <w:abstractNum w:abstractNumId="4">
    <w:nsid w:val="5D205E20"/>
    <w:multiLevelType w:val="hybridMultilevel"/>
    <w:lvl w:ilvl="0">
      <w:lvlJc w:val="left"/>
      <w:lvlText w:val="%1."/>
      <w:numFmt w:val="decimal"/>
      <w:start w:val="3"/>
    </w:lvl>
  </w:abstractNum>
  <w:abstractNum w:abstractNumId="5">
    <w:nsid w:val="11CCA8BA"/>
    <w:multiLevelType w:val="hybridMultilevel"/>
    <w:lvl w:ilvl="0">
      <w:lvlJc w:val="left"/>
      <w:lvlText w:val="•"/>
      <w:numFmt w:val="bullet"/>
      <w:start w:val="1"/>
    </w:lvl>
  </w:abstractNum>
  <w:abstractNum w:abstractNumId="6">
    <w:nsid w:val="4D32AB86"/>
    <w:multiLevelType w:val="hybridMultilevel"/>
    <w:lvl w:ilvl="0">
      <w:lvlJc w:val="left"/>
      <w:lvlText w:val="•"/>
      <w:numFmt w:val="bullet"/>
      <w:start w:val="1"/>
    </w:lvl>
  </w:abstractNum>
  <w:abstractNum w:abstractNumId="7">
    <w:nsid w:val="3F07ACC3"/>
    <w:multiLevelType w:val="hybridMultilevel"/>
    <w:lvl w:ilvl="0">
      <w:lvlJc w:val="left"/>
      <w:lvlText w:val="%1."/>
      <w:numFmt w:val="decimal"/>
      <w:start w:val="4"/>
    </w:lvl>
  </w:abstractNum>
  <w:abstractNum w:abstractNumId="8">
    <w:nsid w:val="6B47F63E"/>
    <w:multiLevelType w:val="hybridMultilevel"/>
    <w:lvl w:ilvl="0">
      <w:lvlJc w:val="left"/>
      <w:lvlText w:val="(%1)"/>
      <w:numFmt w:val="lowerLetter"/>
      <w:start w:val="1"/>
    </w:lvl>
  </w:abstractNum>
  <w:abstractNum w:abstractNumId="9">
    <w:nsid w:val="5CB44A05"/>
    <w:multiLevelType w:val="hybridMultilevel"/>
    <w:lvl w:ilvl="0">
      <w:lvlJc w:val="left"/>
      <w:lvlText w:val="%1."/>
      <w:numFmt w:val="decimal"/>
      <w:start w:val="11"/>
    </w:lvl>
  </w:abstractNum>
  <w:abstractNum w:abstractNumId="10">
    <w:nsid w:val="16CF80F1"/>
    <w:multiLevelType w:val="hybridMultilevel"/>
    <w:lvl w:ilvl="0">
      <w:lvlJc w:val="left"/>
      <w:lvlText w:val="•"/>
      <w:numFmt w:val="bullet"/>
      <w:start w:val="1"/>
    </w:lvl>
  </w:abstractNum>
  <w:abstractNum w:abstractNumId="11">
    <w:nsid w:val="1C695DEC"/>
    <w:multiLevelType w:val="hybridMultilevel"/>
    <w:lvl w:ilvl="0">
      <w:lvlJc w:val="left"/>
      <w:lvlText w:val="•"/>
      <w:numFmt w:val="bullet"/>
      <w:start w:val="1"/>
    </w:lvl>
  </w:abstractNum>
  <w:abstractNum w:abstractNumId="12">
    <w:nsid w:val="3FCFAED9"/>
    <w:multiLevelType w:val="hybridMultilevel"/>
    <w:lvl w:ilvl="0">
      <w:lvlJc w:val="left"/>
      <w:lvlText w:val="(%1)"/>
      <w:numFmt w:val="decimal"/>
      <w:start w:val="1"/>
    </w:lvl>
  </w:abstractNum>
  <w:abstractNum w:abstractNumId="13">
    <w:nsid w:val="F856867"/>
    <w:multiLevelType w:val="hybridMultilevel"/>
    <w:lvl w:ilvl="0">
      <w:lvlJc w:val="left"/>
      <w:lvlText w:val="%1"/>
      <w:numFmt w:val="decimal"/>
      <w:start w:val="32"/>
    </w:lvl>
  </w:abstractNum>
  <w:abstractNum w:abstractNumId="14">
    <w:nsid w:val="11B1CC33"/>
    <w:multiLevelType w:val="hybridMultilevel"/>
    <w:lvl w:ilvl="0">
      <w:lvlJc w:val="left"/>
      <w:lvlText w:val="%1"/>
      <w:numFmt w:val="decimal"/>
      <w:start w:val="101"/>
    </w:lvl>
  </w:abstractNum>
  <w:abstractNum w:abstractNumId="15">
    <w:nsid w:val="2E22FBB7"/>
    <w:multiLevelType w:val="hybridMultilevel"/>
    <w:lvl w:ilvl="0">
      <w:lvlJc w:val="left"/>
      <w:lvlText w:val="%1."/>
      <w:numFmt w:val="decimal"/>
      <w:start w:val="1"/>
    </w:lvl>
  </w:abstractNum>
  <w:abstractNum w:abstractNumId="16">
    <w:nsid w:val="29934699"/>
    <w:multiLevelType w:val="hybridMultilevel"/>
    <w:lvl w:ilvl="0">
      <w:lvlJc w:val="left"/>
      <w:lvlText w:val="(%1)"/>
      <w:numFmt w:val="lowerLetter"/>
      <w:start w:val="1"/>
    </w:lvl>
  </w:abstractNum>
  <w:abstractNum w:abstractNumId="17">
    <w:nsid w:val="77485850"/>
    <w:multiLevelType w:val="hybridMultilevel"/>
    <w:lvl w:ilvl="0">
      <w:lvlJc w:val="left"/>
      <w:lvlText w:val="(%1)"/>
      <w:numFmt w:val="lowerLetter"/>
      <w:start w:val="2"/>
    </w:lvl>
  </w:abstractNum>
  <w:abstractNum w:abstractNumId="18">
    <w:nsid w:val="744939A3"/>
    <w:multiLevelType w:val="hybridMultilevel"/>
    <w:lvl w:ilvl="0">
      <w:lvlJc w:val="left"/>
      <w:lvlText w:val="%1."/>
      <w:numFmt w:val="decimal"/>
      <w:start w:val="5"/>
    </w:lvl>
  </w:abstractNum>
  <w:abstractNum w:abstractNumId="19">
    <w:nsid w:val="4FA0D2E3"/>
    <w:multiLevelType w:val="hybridMultilevel"/>
    <w:lvl w:ilvl="0">
      <w:lvlJc w:val="left"/>
      <w:lvlText w:val="(%1)"/>
      <w:numFmt w:val="lowerLetter"/>
      <w:start w:val="1"/>
    </w:lvl>
  </w:abstractNum>
  <w:abstractNum w:abstractNumId="20">
    <w:nsid w:val="6B1D2C14"/>
    <w:multiLevelType w:val="hybridMultilevel"/>
    <w:lvl w:ilvl="0">
      <w:lvlJc w:val="left"/>
      <w:lvlText w:val="%1."/>
      <w:numFmt w:val="decimal"/>
      <w:start w:val="6"/>
    </w:lvl>
  </w:abstractNum>
  <w:abstractNum w:abstractNumId="21">
    <w:nsid w:val="68B867D3"/>
    <w:multiLevelType w:val="hybridMultilevel"/>
    <w:lvl w:ilvl="0">
      <w:lvlJc w:val="left"/>
      <w:lvlText w:val="(%1)"/>
      <w:numFmt w:val="lowerLetter"/>
      <w:start w:val="1"/>
    </w:lvl>
  </w:abstractNum>
  <w:abstractNum w:abstractNumId="22">
    <w:nsid w:val="3F7F5DD9"/>
    <w:multiLevelType w:val="hybridMultilevel"/>
    <w:lvl w:ilvl="0">
      <w:lvlJc w:val="left"/>
      <w:lvlText w:val="(%1)"/>
      <w:numFmt w:val="lowerLetter"/>
      <w:start w:val="3"/>
    </w:lvl>
  </w:abstractNum>
  <w:abstractNum w:abstractNumId="23">
    <w:nsid w:val="2AE05A34"/>
    <w:multiLevelType w:val="hybridMultilevel"/>
    <w:lvl w:ilvl="0">
      <w:lvlJc w:val="left"/>
      <w:lvlText w:val="%1."/>
      <w:numFmt w:val="decimal"/>
      <w:start w:val="7"/>
    </w:lvl>
  </w:abstractNum>
  <w:abstractNum w:abstractNumId="24">
    <w:nsid w:val="32794FF7"/>
    <w:multiLevelType w:val="hybridMultilevel"/>
    <w:lvl w:ilvl="0">
      <w:lvlJc w:val="left"/>
      <w:lvlText w:val="%1."/>
      <w:numFmt w:val="upperLetter"/>
      <w:start w:val="1"/>
    </w:lvl>
  </w:abstractNum>
  <w:abstractNum w:abstractNumId="25">
    <w:nsid w:val="5454945E"/>
    <w:multiLevelType w:val="hybridMultilevel"/>
    <w:lvl w:ilvl="0">
      <w:lvlJc w:val="left"/>
      <w:lvlText w:val="(%1)"/>
      <w:numFmt w:val="lowerRoman"/>
      <w:start w:val="10"/>
    </w:lvl>
  </w:abstractNum>
  <w:abstractNum w:abstractNumId="26">
    <w:nsid w:val="4DEFDFA0"/>
    <w:multiLevelType w:val="hybridMultilevel"/>
    <w:lvl w:ilvl="0">
      <w:lvlJc w:val="left"/>
      <w:lvlText w:val="(%1)"/>
      <w:numFmt w:val="lowerLetter"/>
      <w:start w:val="25"/>
    </w:lvl>
  </w:abstractNum>
  <w:abstractNum w:abstractNumId="27">
    <w:nsid w:val="2123D5F2"/>
    <w:multiLevelType w:val="hybridMultilevel"/>
    <w:lvl w:ilvl="0">
      <w:lvlJc w:val="left"/>
      <w:lvlText w:val="(%1)"/>
      <w:numFmt w:val="lowerLetter"/>
      <w:start w:val="1"/>
    </w:lvl>
  </w:abstractNum>
  <w:abstractNum w:abstractNumId="28">
    <w:nsid w:val="135B8110"/>
    <w:multiLevelType w:val="hybridMultilevel"/>
    <w:lvl w:ilvl="0">
      <w:lvlJc w:val="left"/>
      <w:lvlText w:val="(%1)"/>
      <w:numFmt w:val="lowerLetter"/>
      <w:start w:val="3"/>
    </w:lvl>
  </w:abstractNum>
  <w:abstractNum w:abstractNumId="29">
    <w:nsid w:val="94927A8"/>
    <w:multiLevelType w:val="hybridMultilevel"/>
    <w:lvl w:ilvl="0">
      <w:lvlJc w:val="left"/>
      <w:lvlText w:val="(%1)"/>
      <w:numFmt w:val="lowerLetter"/>
      <w:start w:val="1"/>
    </w:lvl>
  </w:abstractNum>
  <w:abstractNum w:abstractNumId="30">
    <w:nsid w:val="DCDF8F6"/>
    <w:multiLevelType w:val="hybridMultilevel"/>
    <w:lvl w:ilvl="0">
      <w:lvlJc w:val="left"/>
      <w:lvlText w:val="(%1)"/>
      <w:numFmt w:val="lowerLetter"/>
      <w:start w:val="1"/>
    </w:lvl>
    <w:lvl w:ilvl="1">
      <w:lvlJc w:val="left"/>
      <w:lvlText w:val="(%2)"/>
      <w:numFmt w:val="lowerLetter"/>
      <w:start w:val="9"/>
    </w:lvl>
  </w:abstractNum>
  <w:abstractNum w:abstractNumId="31">
    <w:nsid w:val="52D7B10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32">
    <w:nsid w:val="2E8A6394"/>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33">
    <w:nsid w:val="24E60401"/>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1"/>
    </w:lvl>
  </w:abstractNum>
  <w:abstractNum w:abstractNumId="34">
    <w:nsid w:val="2A6AD9BE"/>
    <w:multiLevelType w:val="hybridMultilevel"/>
    <w:lvl w:ilvl="0">
      <w:lvlJc w:val="left"/>
      <w:lvlText w:val="(%1)"/>
      <w:numFmt w:val="lowerLetter"/>
      <w:start w:val="1"/>
    </w:lvl>
  </w:abstractNum>
  <w:abstractNum w:abstractNumId="35">
    <w:nsid w:val="BAAC1B4"/>
    <w:multiLevelType w:val="hybridMultilevel"/>
    <w:lvl w:ilvl="0">
      <w:lvlJc w:val="left"/>
      <w:lvlText w:val="(%1)"/>
      <w:numFmt w:val="lowerLetter"/>
      <w:start w:val="3"/>
    </w:lvl>
  </w:abstractNum>
  <w:abstractNum w:abstractNumId="36">
    <w:nsid w:val="36B2ACBC"/>
    <w:multiLevelType w:val="hybridMultilevel"/>
    <w:lvl w:ilvl="0">
      <w:lvlJc w:val="left"/>
      <w:lvlText w:val="(%1)"/>
      <w:numFmt w:val="lowerLetter"/>
      <w:start w:val="1"/>
    </w:lvl>
  </w:abstractNum>
  <w:abstractNum w:abstractNumId="37">
    <w:nsid w:val="779D8544"/>
    <w:multiLevelType w:val="hybridMultilevel"/>
    <w:lvl w:ilvl="0">
      <w:lvlJc w:val="left"/>
      <w:lvlText w:val="(%1)"/>
      <w:numFmt w:val="lowerLetter"/>
      <w:start w:val="1"/>
    </w:lvl>
  </w:abstractNum>
  <w:abstractNum w:abstractNumId="38">
    <w:nsid w:val="4AB26E78"/>
    <w:multiLevelType w:val="hybridMultilevel"/>
    <w:lvl w:ilvl="0">
      <w:lvlJc w:val="left"/>
      <w:lvlText w:val="(%1)"/>
      <w:numFmt w:val="lowerLetter"/>
      <w:start w:val="5"/>
    </w:lvl>
  </w:abstractNum>
  <w:abstractNum w:abstractNumId="39">
    <w:nsid w:val="21FAA2FA"/>
    <w:multiLevelType w:val="hybridMultilevel"/>
    <w:lvl w:ilvl="0">
      <w:lvlJc w:val="left"/>
      <w:lvlText w:val="(%1)"/>
      <w:numFmt w:val="lowerLetter"/>
      <w:start w:val="15"/>
    </w:lvl>
  </w:abstractNum>
  <w:abstractNum w:abstractNumId="40">
    <w:nsid w:val="5451CF49"/>
    <w:multiLevelType w:val="hybridMultilevel"/>
    <w:lvl w:ilvl="0">
      <w:lvlJc w:val="left"/>
      <w:lvlText w:val="(%1)"/>
      <w:numFmt w:val="lowerLetter"/>
      <w:start w:val="1"/>
    </w:lvl>
  </w:abstractNum>
  <w:abstractNum w:abstractNumId="41">
    <w:nsid w:val="6181EF69"/>
    <w:multiLevelType w:val="hybridMultilevel"/>
    <w:lvl w:ilvl="0">
      <w:lvlJc w:val="left"/>
      <w:lvlText w:val="%1"/>
      <w:numFmt w:val="lowerLetter"/>
      <w:start w:val="1"/>
    </w:lvl>
    <w:lvl w:ilvl="1">
      <w:lvlJc w:val="left"/>
      <w:lvlText w:val="(%2)"/>
      <w:numFmt w:val="lowerLetter"/>
      <w:start w:val="10"/>
    </w:lvl>
  </w:abstractNum>
  <w:abstractNum w:abstractNumId="42">
    <w:nsid w:val="3E6400E6"/>
    <w:multiLevelType w:val="hybridMultilevel"/>
    <w:lvl w:ilvl="0">
      <w:lvlJc w:val="left"/>
      <w:lvlText w:val="(%1)"/>
      <w:numFmt w:val="lowerLetter"/>
      <w:start w:val="35"/>
    </w:lvl>
    <w:lvl w:ilvl="1">
      <w:lvlJc w:val="left"/>
      <w:lvlText w:val="(%2)"/>
      <w:numFmt w:val="lowerLetter"/>
      <w:start w:val="14"/>
    </w:lvl>
  </w:abstractNum>
  <w:abstractNum w:abstractNumId="43">
    <w:nsid w:val="14217E23"/>
    <w:multiLevelType w:val="hybridMultilevel"/>
    <w:lvl w:ilvl="0">
      <w:lvlJc w:val="left"/>
      <w:lvlText w:val="(%1)"/>
      <w:numFmt w:val="lowerLetter"/>
      <w:start w:val="1"/>
    </w:lvl>
    <w:lvl w:ilvl="1">
      <w:lvlJc w:val="left"/>
      <w:lvlText w:val="(%2)"/>
      <w:numFmt w:val="lowerRoman"/>
      <w:start w:val="2"/>
    </w:lvl>
  </w:abstractNum>
  <w:abstractNum w:abstractNumId="44">
    <w:nsid w:val="710757D0"/>
    <w:multiLevelType w:val="hybridMultilevel"/>
    <w:lvl w:ilvl="0">
      <w:lvlJc w:val="left"/>
      <w:lvlText w:val="%1"/>
      <w:numFmt w:val="lowerLetter"/>
      <w:start w:val="1"/>
    </w:lvl>
    <w:lvl w:ilvl="1">
      <w:lvlJc w:val="left"/>
      <w:lvlText w:val="(%2)"/>
      <w:numFmt w:val="lowerRoman"/>
      <w:start w:val="4"/>
    </w:lvl>
  </w:abstractNum>
  <w:abstractNum w:abstractNumId="45">
    <w:nsid w:val="5015CD1A"/>
    <w:multiLevelType w:val="hybridMultilevel"/>
    <w:lvl w:ilvl="0">
      <w:lvlJc w:val="left"/>
      <w:lvlText w:val="(%1)"/>
      <w:numFmt w:val="lowerLetter"/>
      <w:start w:val="3"/>
    </w:lvl>
    <w:lvl w:ilvl="1">
      <w:lvlJc w:val="left"/>
      <w:lvlText w:val="%2"/>
      <w:numFmt w:val="lowerRoman"/>
      <w:start w:val="1"/>
    </w:lvl>
  </w:abstractNum>
  <w:abstractNum w:abstractNumId="46">
    <w:nsid w:val="424479DA"/>
    <w:multiLevelType w:val="hybridMultilevel"/>
    <w:lvl w:ilvl="0">
      <w:lvlJc w:val="left"/>
      <w:lvlText w:val="(%1)"/>
      <w:numFmt w:val="lowerLetter"/>
      <w:start w:val="1"/>
    </w:lvl>
  </w:abstractNum>
  <w:abstractNum w:abstractNumId="47">
    <w:nsid w:val="1A9A9E69"/>
    <w:multiLevelType w:val="hybridMultilevel"/>
    <w:lvl w:ilvl="0">
      <w:lvlJc w:val="left"/>
      <w:lvlText w:val="(%1)"/>
      <w:numFmt w:val="lowerLetter"/>
      <w:start w:val="4"/>
    </w:lvl>
  </w:abstractNum>
  <w:abstractNum w:abstractNumId="48">
    <w:nsid w:val="475E256A"/>
    <w:multiLevelType w:val="hybridMultilevel"/>
    <w:lvl w:ilvl="0">
      <w:lvlJc w:val="left"/>
      <w:lvlText w:val="(%1)"/>
      <w:numFmt w:val="lowerLetter"/>
      <w:start w:val="2"/>
    </w:lvl>
  </w:abstractNum>
  <w:abstractNum w:abstractNumId="49">
    <w:nsid w:val="368DB37E"/>
    <w:multiLevelType w:val="hybridMultilevel"/>
    <w:lvl w:ilvl="0">
      <w:lvlJc w:val="left"/>
      <w:lvlText w:val="(%1)"/>
      <w:numFmt w:val="lowerLetter"/>
      <w:start w:val="1"/>
    </w:lvl>
  </w:abstractNum>
  <w:abstractNum w:abstractNumId="50">
    <w:nsid w:val="6A3B714C"/>
    <w:multiLevelType w:val="hybridMultilevel"/>
    <w:lvl w:ilvl="0">
      <w:lvlJc w:val="left"/>
      <w:lvlText w:val="(%1)"/>
      <w:numFmt w:val="lowerLetter"/>
      <w:start w:val="2"/>
    </w:lvl>
  </w:abstractNum>
  <w:abstractNum w:abstractNumId="51">
    <w:nsid w:val="327B517E"/>
    <w:multiLevelType w:val="hybridMultilevel"/>
    <w:lvl w:ilvl="0">
      <w:lvlJc w:val="left"/>
      <w:lvlText w:val="(%1)"/>
      <w:numFmt w:val="lowerLetter"/>
      <w:start w:val="4"/>
    </w:lvl>
  </w:abstractNum>
  <w:abstractNum w:abstractNumId="52">
    <w:nsid w:val="1F461B5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3">
    <w:nsid w:val="29BACF2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54">
    <w:nsid w:val="5D5BABB3"/>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55">
    <w:nsid w:val="51BF6B4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6">
    <w:nsid w:val="7E0F6384"/>
    <w:multiLevelType w:val="hybridMultilevel"/>
    <w:lvl w:ilvl="0">
      <w:lvlJc w:val="left"/>
      <w:lvlText w:val="(%1)"/>
      <w:numFmt w:val="lowerRoman"/>
      <w:start w:val="2"/>
    </w:lvl>
  </w:abstractNum>
  <w:abstractNum w:abstractNumId="57">
    <w:nsid w:val="2B4B8B53"/>
    <w:multiLevelType w:val="hybridMultilevel"/>
    <w:lvl w:ilvl="0">
      <w:lvlJc w:val="left"/>
      <w:lvlText w:val="%1"/>
      <w:numFmt w:val="lowerLetter"/>
      <w:start w:val="1"/>
    </w:lvl>
    <w:lvl w:ilvl="1">
      <w:lvlJc w:val="left"/>
      <w:lvlText w:val="(%2)"/>
      <w:numFmt w:val="lowerRoman"/>
      <w:start w:val="4"/>
    </w:lvl>
  </w:abstractNum>
  <w:abstractNum w:abstractNumId="58">
    <w:nsid w:val="72E3413A"/>
    <w:multiLevelType w:val="hybridMultilevel"/>
    <w:lvl w:ilvl="0">
      <w:lvlJc w:val="left"/>
      <w:lvlText w:val="(%1)"/>
      <w:numFmt w:val="lowerLetter"/>
      <w:start w:val="3"/>
    </w:lvl>
    <w:lvl w:ilvl="1">
      <w:lvlJc w:val="left"/>
      <w:lvlText w:val="(%2)"/>
      <w:numFmt w:val="lowerRoman"/>
      <w:start w:val="1"/>
    </w:lvl>
  </w:abstractNum>
  <w:abstractNum w:abstractNumId="59">
    <w:nsid w:val="116AE494"/>
    <w:multiLevelType w:val="hybridMultilevel"/>
    <w:lvl w:ilvl="0">
      <w:lvlJc w:val="left"/>
      <w:lvlText w:val="(%1)"/>
      <w:numFmt w:val="lowerRoman"/>
      <w:start w:val="2"/>
    </w:lvl>
  </w:abstractNum>
  <w:abstractNum w:abstractNumId="60">
    <w:nsid w:val="3494B2FB"/>
    <w:multiLevelType w:val="hybridMultilevel"/>
    <w:lvl w:ilvl="0">
      <w:lvlJc w:val="left"/>
      <w:lvlText w:val="%1"/>
      <w:numFmt w:val="lowerLetter"/>
      <w:start w:val="1"/>
    </w:lvl>
    <w:lvl w:ilvl="1">
      <w:lvlJc w:val="left"/>
      <w:lvlText w:val="(%2)"/>
      <w:numFmt w:val="lowerRoman"/>
      <w:start w:val="6"/>
    </w:lvl>
  </w:abstractNum>
  <w:abstractNum w:abstractNumId="61">
    <w:nsid w:val="B13A31"/>
    <w:multiLevelType w:val="hybridMultilevel"/>
    <w:lvl w:ilvl="0">
      <w:lvlJc w:val="left"/>
      <w:lvlText w:val="(%1)"/>
      <w:numFmt w:val="lowerLetter"/>
      <w:start w:val="4"/>
    </w:lvl>
    <w:lvl w:ilvl="1">
      <w:lvlJc w:val="left"/>
      <w:lvlText w:val="(%2)"/>
      <w:numFmt w:val="lowerRoman"/>
      <w:start w:val="1"/>
    </w:lvl>
  </w:abstractNum>
  <w:abstractNum w:abstractNumId="62">
    <w:nsid w:val="64429599"/>
    <w:multiLevelType w:val="hybridMultilevel"/>
    <w:lvl w:ilvl="0">
      <w:lvlJc w:val="left"/>
      <w:lvlText w:val="(%1)"/>
      <w:numFmt w:val="lowerRoman"/>
      <w:start w:val="1"/>
    </w:lvl>
  </w:abstractNum>
  <w:abstractNum w:abstractNumId="63">
    <w:nsid w:val="631F1690"/>
    <w:multiLevelType w:val="hybridMultilevel"/>
    <w:lvl w:ilvl="0">
      <w:lvlJc w:val="left"/>
      <w:lvlText w:val="(%1)"/>
      <w:numFmt w:val="lowerRoman"/>
      <w:start w:val="2"/>
    </w:lvl>
  </w:abstractNum>
  <w:abstractNum w:abstractNumId="64">
    <w:nsid w:val="25973E32"/>
    <w:multiLevelType w:val="hybridMultilevel"/>
    <w:lvl w:ilvl="0">
      <w:lvlJc w:val="left"/>
      <w:lvlText w:val="(%1)"/>
      <w:numFmt w:val="lowerLetter"/>
      <w:start w:val="6"/>
    </w:lvl>
  </w:abstractNum>
  <w:abstractNum w:abstractNumId="65">
    <w:nsid w:val="EAD6F57"/>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2"/>
    </w:lvl>
  </w:abstractNum>
  <w:abstractNum w:abstractNumId="66">
    <w:nsid w:val="6EC9D844"/>
    <w:multiLevelType w:val="hybridMultilevel"/>
    <w:lvl w:ilvl="0">
      <w:lvlJc w:val="left"/>
      <w:lvlText w:val="(%1)"/>
      <w:numFmt w:val="lowerRoman"/>
      <w:start w:val="3"/>
    </w:lvl>
  </w:abstractNum>
  <w:abstractNum w:abstractNumId="67">
    <w:nsid w:val="5C49EAEE"/>
    <w:multiLevelType w:val="hybridMultilevel"/>
    <w:lvl w:ilvl="0">
      <w:lvlJc w:val="left"/>
      <w:lvlText w:val="%1"/>
      <w:numFmt w:val="lowerLetter"/>
      <w:start w:val="1"/>
    </w:lvl>
    <w:lvl w:ilvl="1">
      <w:lvlJc w:val="left"/>
      <w:lvlText w:val="(%2)"/>
      <w:numFmt w:val="lowerRoman"/>
      <w:start w:val="6"/>
    </w:lvl>
  </w:abstractNum>
  <w:abstractNum w:abstractNumId="68">
    <w:nsid w:val="64AF49B"/>
    <w:multiLevelType w:val="hybridMultilevel"/>
    <w:lvl w:ilvl="0">
      <w:lvlJc w:val="left"/>
      <w:lvlText w:val="(%1)"/>
      <w:numFmt w:val="lowerLetter"/>
      <w:start w:val="10"/>
    </w:lvl>
    <w:lvl w:ilvl="1">
      <w:lvlJc w:val="left"/>
      <w:lvlText w:val="%2"/>
      <w:numFmt w:val="lowerRoman"/>
      <w:start w:val="1"/>
    </w:lvl>
  </w:abstractNum>
  <w:abstractNum w:abstractNumId="69">
    <w:nsid w:val="397C46BC"/>
    <w:multiLevelType w:val="hybridMultilevel"/>
    <w:lvl w:ilvl="0">
      <w:lvlJc w:val="left"/>
      <w:lvlText w:val="(%1)"/>
      <w:numFmt w:val="lowerLetter"/>
      <w:start w:val="1"/>
    </w:lvl>
  </w:abstractNum>
  <w:abstractNum w:abstractNumId="70">
    <w:nsid w:val="7E448DE9"/>
    <w:multiLevelType w:val="hybridMultilevel"/>
    <w:lvl w:ilvl="0">
      <w:lvlJc w:val="left"/>
      <w:lvlText w:val="(%1)"/>
      <w:numFmt w:val="lowerLetter"/>
      <w:start w:val="3"/>
    </w:lvl>
    <w:lvl w:ilvl="1">
      <w:lvlJc w:val="left"/>
      <w:lvlText w:val="(%2)"/>
      <w:numFmt w:val="lowerRoman"/>
      <w:start w:val="1"/>
    </w:lvl>
  </w:abstractNum>
  <w:abstractNum w:abstractNumId="71">
    <w:nsid w:val="5A9CC3E5"/>
    <w:multiLevelType w:val="hybridMultilevel"/>
    <w:lvl w:ilvl="0">
      <w:lvlJc w:val="left"/>
      <w:lvlText w:val="%1"/>
      <w:numFmt w:val="lowerLetter"/>
      <w:start w:val="1"/>
    </w:lvl>
    <w:lvl w:ilvl="1">
      <w:lvlJc w:val="left"/>
      <w:lvlText w:val="(%2)"/>
      <w:numFmt w:val="lowerRoman"/>
      <w:start w:val="4"/>
    </w:lvl>
  </w:abstractNum>
  <w:abstractNum w:abstractNumId="72">
    <w:nsid w:val="1AFE3625"/>
    <w:multiLevelType w:val="hybridMultilevel"/>
    <w:lvl w:ilvl="0">
      <w:lvlJc w:val="left"/>
      <w:lvlText w:val="(%1)"/>
      <w:numFmt w:val="lowerLetter"/>
      <w:start w:val="4"/>
    </w:lvl>
    <w:lvl w:ilvl="1">
      <w:lvlJc w:val="left"/>
      <w:lvlText w:val="(%2)"/>
      <w:numFmt w:val="lowerRoman"/>
      <w:start w:val="1"/>
    </w:lvl>
  </w:abstractNum>
  <w:abstractNum w:abstractNumId="73">
    <w:nsid w:val="3CA88ECF"/>
    <w:multiLevelType w:val="hybridMultilevel"/>
    <w:lvl w:ilvl="0">
      <w:lvlJc w:val="left"/>
      <w:lvlText w:val="(%1)"/>
      <w:numFmt w:val="lowerLetter"/>
      <w:start w:val="6"/>
    </w:lvl>
  </w:abstractNum>
  <w:abstractNum w:abstractNumId="74">
    <w:nsid w:val="6EBE4208"/>
    <w:multiLevelType w:val="hybridMultilevel"/>
    <w:lvl w:ilvl="0">
      <w:lvlJc w:val="left"/>
      <w:lvlText w:val="(%1)"/>
      <w:numFmt w:val="lowerLetter"/>
      <w:start w:val="1"/>
    </w:lvl>
    <w:lvl w:ilvl="1">
      <w:lvlJc w:val="left"/>
      <w:lvlText w:val="(%2)"/>
      <w:numFmt w:val="lowerRoman"/>
      <w:start w:val="1"/>
    </w:lvl>
  </w:abstractNum>
  <w:abstractNum w:abstractNumId="75">
    <w:nsid w:val="C058DF5"/>
    <w:multiLevelType w:val="hybridMultilevel"/>
    <w:lvl w:ilvl="0">
      <w:lvlJc w:val="left"/>
      <w:lvlText w:val="%1"/>
      <w:numFmt w:val="lowerLetter"/>
      <w:start w:val="1"/>
    </w:lvl>
    <w:lvl w:ilvl="1">
      <w:lvlJc w:val="left"/>
      <w:lvlText w:val="(%2)"/>
      <w:numFmt w:val="lowerRoman"/>
      <w:start w:val="1"/>
    </w:lvl>
  </w:abstractNum>
  <w:abstractNum w:abstractNumId="76">
    <w:nsid w:val="CBE5BE9"/>
    <w:multiLevelType w:val="hybridMultilevel"/>
    <w:lvl w:ilvl="0">
      <w:lvlJc w:val="left"/>
      <w:lvlText w:val="(%1)"/>
      <w:numFmt w:val="lowerLetter"/>
      <w:start w:val="5"/>
    </w:lvl>
    <w:lvl w:ilvl="1">
      <w:lvlJc w:val="left"/>
      <w:lvlText w:val="(%2)"/>
      <w:numFmt w:val="lowerRoman"/>
      <w:start w:val="1"/>
    </w:lvl>
  </w:abstractNum>
  <w:abstractNum w:abstractNumId="77">
    <w:nsid w:val="3102BBE2"/>
    <w:multiLevelType w:val="hybridMultilevel"/>
    <w:lvl w:ilvl="0">
      <w:lvlJc w:val="left"/>
      <w:lvlText w:val="(%1)"/>
      <w:numFmt w:val="lowerLetter"/>
      <w:start w:val="1"/>
    </w:lvl>
  </w:abstractNum>
  <w:abstractNum w:abstractNumId="78">
    <w:nsid w:val="26A02C5E"/>
    <w:multiLevelType w:val="hybridMultilevel"/>
    <w:lvl w:ilvl="0">
      <w:lvlJc w:val="left"/>
      <w:lvlText w:val="(%1)"/>
      <w:numFmt w:val="lowerLetter"/>
      <w:start w:val="1"/>
    </w:lvl>
  </w:abstractNum>
  <w:abstractNum w:abstractNumId="79">
    <w:nsid w:val="541C8153"/>
    <w:multiLevelType w:val="hybridMultilevel"/>
    <w:lvl w:ilvl="0">
      <w:lvlJc w:val="left"/>
      <w:lvlText w:val="(%1)"/>
      <w:numFmt w:val="lowerLetter"/>
      <w:start w:val="7"/>
    </w:lvl>
    <w:lvl w:ilvl="1">
      <w:lvlJc w:val="left"/>
      <w:lvlText w:val="(%2)"/>
      <w:numFmt w:val="lowerRoman"/>
      <w:start w:val="1"/>
    </w:lvl>
  </w:abstractNum>
  <w:abstractNum w:abstractNumId="80">
    <w:nsid w:val="67906F60"/>
    <w:multiLevelType w:val="hybridMultilevel"/>
    <w:lvl w:ilvl="0">
      <w:lvlJc w:val="left"/>
      <w:lvlText w:val="(%1)"/>
      <w:numFmt w:val="lowerLetter"/>
      <w:start w:val="8"/>
    </w:lvl>
  </w:abstractNum>
  <w:abstractNum w:abstractNumId="81">
    <w:nsid w:val="10DB9DAA"/>
    <w:multiLevelType w:val="hybridMultilevel"/>
    <w:lvl w:ilvl="0">
      <w:lvlJc w:val="left"/>
      <w:lvlText w:val="(%1)"/>
      <w:numFmt w:val="lowerRoman"/>
      <w:start w:val="1"/>
    </w:lvl>
  </w:abstractNum>
  <w:abstractNum w:abstractNumId="82">
    <w:nsid w:val="697D2D2"/>
    <w:multiLevelType w:val="hybridMultilevel"/>
    <w:lvl w:ilvl="0">
      <w:lvlJc w:val="left"/>
      <w:lvlText w:val="(%1)"/>
      <w:numFmt w:val="lowerLetter"/>
      <w:start w:val="1"/>
    </w:lvl>
  </w:abstractNum>
  <w:abstractNum w:abstractNumId="83">
    <w:nsid w:val="6D68AB2"/>
    <w:multiLevelType w:val="hybridMultilevel"/>
    <w:lvl w:ilvl="0">
      <w:lvlJc w:val="left"/>
      <w:lvlText w:val="(%1)"/>
      <w:numFmt w:val="lowerLetter"/>
      <w:start w:val="1"/>
    </w:lvl>
  </w:abstractNum>
  <w:abstractNum w:abstractNumId="84">
    <w:nsid w:val="3A966CD0"/>
    <w:multiLevelType w:val="hybridMultilevel"/>
    <w:lvl w:ilvl="0">
      <w:lvlJc w:val="left"/>
      <w:lvlText w:val="(%1)"/>
      <w:numFmt w:val="lowerRoman"/>
      <w:start w:val="4"/>
    </w:lvl>
  </w:abstractNum>
  <w:abstractNum w:abstractNumId="85">
    <w:nsid w:val="63F37E85"/>
    <w:multiLevelType w:val="hybridMultilevel"/>
    <w:lvl w:ilvl="0">
      <w:lvlJc w:val="left"/>
      <w:lvlText w:val="(%1)"/>
      <w:numFmt w:val="lowerLetter"/>
      <w:start w:val="1"/>
    </w:lvl>
  </w:abstractNum>
  <w:abstractNum w:abstractNumId="86">
    <w:nsid w:val="5895F5FA"/>
    <w:multiLevelType w:val="hybridMultilevel"/>
    <w:lvl w:ilvl="0">
      <w:lvlJc w:val="left"/>
      <w:lvlText w:val="(%1)"/>
      <w:numFmt w:val="lowerLetter"/>
      <w:start w:val="1"/>
    </w:lvl>
  </w:abstractNum>
  <w:abstractNum w:abstractNumId="87">
    <w:nsid w:val="38A5D054"/>
    <w:multiLevelType w:val="hybridMultilevel"/>
    <w:lvl w:ilvl="0">
      <w:lvlJc w:val="left"/>
      <w:lvlText w:val="(%1)"/>
      <w:numFmt w:val="lowerLetter"/>
      <w:start w:val="3"/>
    </w:lvl>
  </w:abstractNum>
  <w:abstractNum w:abstractNumId="88">
    <w:nsid w:val="F3F09D8"/>
    <w:multiLevelType w:val="hybridMultilevel"/>
    <w:lvl w:ilvl="0">
      <w:lvlJc w:val="left"/>
      <w:lvlText w:val="(%1)"/>
      <w:numFmt w:val="lowerLetter"/>
      <w:start w:val="1"/>
    </w:lvl>
    <w:lvl w:ilvl="1">
      <w:lvlJc w:val="left"/>
      <w:lvlText w:val="(%2)"/>
      <w:numFmt w:val="lowerRoman"/>
      <w:start w:val="1"/>
    </w:lvl>
  </w:abstractNum>
  <w:abstractNum w:abstractNumId="89">
    <w:nsid w:val="4B793735"/>
    <w:multiLevelType w:val="hybridMultilevel"/>
    <w:lvl w:ilvl="0">
      <w:lvlJc w:val="left"/>
      <w:lvlText w:val="(%1)"/>
      <w:numFmt w:val="lowerRoman"/>
      <w:start w:val="3"/>
    </w:lvl>
    <w:lvl w:ilvl="1">
      <w:lvlJc w:val="left"/>
      <w:lvlText w:val="(%2)"/>
      <w:numFmt w:val="upperLetter"/>
      <w:start w:val="1"/>
    </w:lvl>
    <w:lvl w:ilvl="2">
      <w:lvlJc w:val="left"/>
      <w:lvlText w:val="(%3)"/>
      <w:numFmt w:val="upperLetter"/>
      <w:start w:val="1"/>
    </w:lvl>
  </w:abstractNum>
  <w:abstractNum w:abstractNumId="90">
    <w:nsid w:val="4A10B4E8"/>
    <w:multiLevelType w:val="hybridMultilevel"/>
    <w:lvl w:ilvl="0">
      <w:lvlJc w:val="left"/>
      <w:lvlText w:val="(%1)"/>
      <w:numFmt w:val="lowerLetter"/>
      <w:start w:val="2"/>
    </w:lvl>
  </w:abstractNum>
  <w:abstractNum w:abstractNumId="91">
    <w:nsid w:val="43D3BCD4"/>
    <w:multiLevelType w:val="hybridMultilevel"/>
    <w:lvl w:ilvl="0">
      <w:lvlJc w:val="left"/>
      <w:lvlText w:val="(%1)"/>
      <w:numFmt w:val="lowerLetter"/>
      <w:start w:val="1"/>
    </w:lvl>
    <w:lvl w:ilvl="1">
      <w:lvlJc w:val="left"/>
      <w:lvlText w:val="(%2)"/>
      <w:numFmt w:val="lowerRoman"/>
      <w:start w:val="1"/>
    </w:lvl>
  </w:abstractNum>
  <w:abstractNum w:abstractNumId="92">
    <w:nsid w:val="4C2A7166"/>
    <w:multiLevelType w:val="hybridMultilevel"/>
    <w:lvl w:ilvl="0">
      <w:lvlJc w:val="left"/>
      <w:lvlText w:val="(%1)"/>
      <w:numFmt w:val="upperLetter"/>
      <w:start w:val="1"/>
    </w:lvl>
  </w:abstractNum>
  <w:abstractNum w:abstractNumId="93">
    <w:nsid w:val="2E534A82"/>
    <w:multiLevelType w:val="hybridMultilevel"/>
    <w:lvl w:ilvl="0">
      <w:lvlJc w:val="left"/>
      <w:lvlText w:val="(%1)"/>
      <w:numFmt w:val="upperLetter"/>
      <w:start w:val="3"/>
    </w:lvl>
  </w:abstractNum>
  <w:abstractNum w:abstractNumId="94">
    <w:nsid w:val="26F2D364"/>
    <w:multiLevelType w:val="hybridMultilevel"/>
    <w:lvl w:ilvl="0">
      <w:lvlJc w:val="left"/>
      <w:lvlText w:val="%1"/>
      <w:numFmt w:val="lowerLetter"/>
      <w:start w:val="1"/>
    </w:lvl>
    <w:lvl w:ilvl="1">
      <w:lvlJc w:val="left"/>
      <w:lvlText w:val="(%2)"/>
      <w:numFmt w:val="lowerLetter"/>
      <w:start w:val="61"/>
    </w:lvl>
  </w:abstractNum>
  <w:abstractNum w:abstractNumId="95">
    <w:nsid w:val="71C1AF98"/>
    <w:multiLevelType w:val="hybridMultilevel"/>
    <w:lvl w:ilvl="0">
      <w:lvlJc w:val="left"/>
      <w:lvlText w:val="(%1)"/>
      <w:numFmt w:val="lowerLetter"/>
      <w:start w:val="2"/>
    </w:lvl>
    <w:lvl w:ilvl="1">
      <w:lvlJc w:val="left"/>
      <w:lvlText w:val="(%2)"/>
      <w:numFmt w:val="lowerLetter"/>
      <w:start w:val="9"/>
    </w:lvl>
  </w:abstractNum>
  <w:abstractNum w:abstractNumId="96">
    <w:nsid w:val="3D00B9D9"/>
    <w:multiLevelType w:val="hybridMultilevel"/>
    <w:lvl w:ilvl="0">
      <w:lvlJc w:val="left"/>
      <w:lvlText w:val="(%1)"/>
      <w:numFmt w:val="lowerRoman"/>
      <w:start w:val="2"/>
    </w:lvl>
  </w:abstractNum>
  <w:abstractNum w:abstractNumId="97">
    <w:nsid w:val="15BCABA8"/>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98">
    <w:nsid w:val="4E0B9A87"/>
    <w:multiLevelType w:val="hybridMultilevel"/>
    <w:lvl w:ilvl="0">
      <w:lvlJc w:val="left"/>
      <w:lvlText w:val="(%1)"/>
      <w:numFmt w:val="upperLetter"/>
      <w:start w:val="2"/>
    </w:lvl>
    <w:lvl w:ilvl="1">
      <w:lvlJc w:val="left"/>
      <w:lvlText w:val="(%2)"/>
      <w:numFmt w:val="upperLetter"/>
      <w:start w:val="9"/>
    </w:lvl>
  </w:abstractNum>
  <w:abstractNum w:abstractNumId="99">
    <w:nsid w:val="434BAE75"/>
    <w:multiLevelType w:val="hybridMultilevel"/>
    <w:lvl w:ilvl="0">
      <w:lvlJc w:val="left"/>
      <w:lvlText w:val="%1"/>
      <w:numFmt w:val="lowerLetter"/>
      <w:start w:val="1"/>
    </w:lvl>
    <w:lvl w:ilvl="1">
      <w:lvlJc w:val="left"/>
      <w:lvlText w:val="(%2)"/>
      <w:numFmt w:val="upperLetter"/>
      <w:start w:val="61"/>
    </w:lvl>
  </w:abstractNum>
  <w:abstractNum w:abstractNumId="100">
    <w:nsid w:val="4F38F265"/>
    <w:multiLevelType w:val="hybridMultilevel"/>
    <w:lvl w:ilvl="0">
      <w:lvlJc w:val="left"/>
      <w:lvlText w:val="(%1)"/>
      <w:numFmt w:val="lowerLetter"/>
      <w:start w:val="25"/>
    </w:lvl>
    <w:lvl w:ilvl="1">
      <w:lvlJc w:val="left"/>
      <w:lvlText w:val="%2"/>
      <w:numFmt w:val="upperLetter"/>
      <w:start w:val="1"/>
    </w:lvl>
  </w:abstractNum>
  <w:abstractNum w:abstractNumId="101">
    <w:nsid w:val="4C502870"/>
    <w:multiLevelType w:val="hybridMultilevel"/>
    <w:lvl w:ilvl="0">
      <w:lvlJc w:val="left"/>
      <w:lvlText w:val="(%1)"/>
      <w:numFmt w:val="upperLetter"/>
      <w:start w:val="3"/>
    </w:lvl>
  </w:abstractNum>
  <w:abstractNum w:abstractNumId="102">
    <w:nsid w:val="1DE8725A"/>
    <w:multiLevelType w:val="hybridMultilevel"/>
    <w:lvl w:ilvl="0">
      <w:lvlJc w:val="left"/>
      <w:lvlText w:val="%1"/>
      <w:numFmt w:val="lowerRoman"/>
      <w:start w:val="1"/>
    </w:lvl>
    <w:lvl w:ilvl="1">
      <w:lvlJc w:val="left"/>
      <w:lvlText w:val="(%2)"/>
      <w:numFmt w:val="upperLetter"/>
      <w:start w:val="4"/>
    </w:lvl>
  </w:abstractNum>
  <w:abstractNum w:abstractNumId="103">
    <w:nsid w:val="6A37288A"/>
    <w:multiLevelType w:val="hybridMultilevel"/>
    <w:lvl w:ilvl="0">
      <w:lvlJc w:val="left"/>
      <w:lvlText w:val="(%1)"/>
      <w:numFmt w:val="lowerRoman"/>
      <w:start w:val="3"/>
    </w:lvl>
    <w:lvl w:ilvl="1">
      <w:lvlJc w:val="left"/>
      <w:lvlText w:val="%2"/>
      <w:numFmt w:val="upperLetter"/>
      <w:start w:val="1"/>
    </w:lvl>
  </w:abstractNum>
  <w:abstractNum w:abstractNumId="104">
    <w:nsid w:val="8F8B73F"/>
    <w:multiLevelType w:val="hybridMultilevel"/>
    <w:lvl w:ilvl="0">
      <w:lvlJc w:val="left"/>
      <w:lvlText w:val="(%1)"/>
      <w:numFmt w:val="lowerLetter"/>
      <w:start w:val="6"/>
    </w:lvl>
  </w:abstractNum>
  <w:abstractNum w:abstractNumId="105">
    <w:nsid w:val="CA6B462"/>
    <w:multiLevelType w:val="hybridMultilevel"/>
    <w:lvl w:ilvl="0">
      <w:lvlJc w:val="left"/>
      <w:lvlText w:val="(%1)"/>
      <w:numFmt w:val="lowerLetter"/>
      <w:start w:val="7"/>
    </w:lvl>
  </w:abstractNum>
  <w:abstractNum w:abstractNumId="106">
    <w:nsid w:val="763CB680"/>
    <w:multiLevelType w:val="hybridMultilevel"/>
    <w:lvl w:ilvl="0">
      <w:lvlJc w:val="left"/>
      <w:lvlText w:val="(%1)"/>
      <w:numFmt w:val="decimal"/>
      <w:start w:val="3"/>
    </w:lvl>
  </w:abstractNum>
  <w:abstractNum w:abstractNumId="107">
    <w:nsid w:val="15B71329"/>
    <w:multiLevelType w:val="hybridMultilevel"/>
    <w:lvl w:ilvl="0">
      <w:lvlJc w:val="left"/>
      <w:lvlText w:val="(%1)"/>
      <w:numFmt w:val="lowerLetter"/>
      <w:start w:val="1"/>
    </w:lvl>
    <w:lvl w:ilvl="1">
      <w:lvlJc w:val="left"/>
      <w:lvlText w:val="(%2)"/>
      <w:numFmt w:val="lowerRoman"/>
      <w:start w:val="1"/>
    </w:lvl>
  </w:abstractNum>
  <w:abstractNum w:abstractNumId="108">
    <w:nsid w:val="3DA97044"/>
    <w:multiLevelType w:val="hybridMultilevel"/>
    <w:lvl w:ilvl="0">
      <w:lvlJc w:val="left"/>
      <w:lvlText w:val="(%1)"/>
      <w:numFmt w:val="lowerLetter"/>
      <w:start w:val="2"/>
    </w:lvl>
  </w:abstractNum>
  <w:abstractNum w:abstractNumId="109">
    <w:nsid w:val="1CDCE2DE"/>
    <w:multiLevelType w:val="hybridMultilevel"/>
    <w:lvl w:ilvl="0">
      <w:lvlJc w:val="left"/>
      <w:lvlText w:val="(%1)"/>
      <w:numFmt w:val="lowerLetter"/>
      <w:start w:val="3"/>
    </w:lvl>
  </w:abstractNum>
  <w:abstractNum w:abstractNumId="110">
    <w:nsid w:val="69D3947C"/>
    <w:multiLevelType w:val="hybridMultilevel"/>
    <w:lvl w:ilvl="0">
      <w:lvlJc w:val="left"/>
      <w:lvlText w:val="(%1)"/>
      <w:numFmt w:val="lowerLetter"/>
      <w:start w:val="1"/>
    </w:lvl>
  </w:abstractNum>
  <w:abstractNum w:abstractNumId="111">
    <w:nsid w:val="2539DFA5"/>
    <w:multiLevelType w:val="hybridMultilevel"/>
    <w:lvl w:ilvl="0">
      <w:lvlJc w:val="left"/>
      <w:lvlText w:val="(%1)"/>
      <w:numFmt w:val="lowerLetter"/>
      <w:start w:val="3"/>
    </w:lvl>
  </w:abstractNum>
  <w:abstractNum w:abstractNumId="112">
    <w:nsid w:val="2DB88089"/>
    <w:multiLevelType w:val="hybridMultilevel"/>
    <w:lvl w:ilvl="0">
      <w:lvlJc w:val="left"/>
      <w:lvlText w:val="(%1)"/>
      <w:numFmt w:val="lowerLetter"/>
      <w:start w:val="1"/>
    </w:lvl>
  </w:abstractNum>
  <w:abstractNum w:abstractNumId="113">
    <w:nsid w:val="706B674E"/>
    <w:multiLevelType w:val="hybridMultilevel"/>
    <w:lvl w:ilvl="0">
      <w:lvlJc w:val="left"/>
      <w:lvlText w:val="(%1)"/>
      <w:numFmt w:val="lowerLetter"/>
      <w:start w:val="2"/>
    </w:lvl>
  </w:abstractNum>
  <w:abstractNum w:abstractNumId="114">
    <w:nsid w:val="2C106A57"/>
    <w:multiLevelType w:val="hybridMultilevel"/>
    <w:lvl w:ilvl="0">
      <w:lvlJc w:val="left"/>
      <w:lvlText w:val="(%1)"/>
      <w:numFmt w:val="lowerLetter"/>
      <w:start w:val="1"/>
    </w:lvl>
  </w:abstractNum>
  <w:abstractNum w:abstractNumId="115">
    <w:nsid w:val="684EED59"/>
    <w:multiLevelType w:val="hybridMultilevel"/>
    <w:lvl w:ilvl="0">
      <w:lvlJc w:val="left"/>
      <w:lvlText w:val="(%1)"/>
      <w:numFmt w:val="lowerLetter"/>
      <w:start w:val="3"/>
    </w:lvl>
  </w:abstractNum>
  <w:abstractNum w:abstractNumId="116">
    <w:nsid w:val="545EE5D3"/>
    <w:multiLevelType w:val="hybridMultilevel"/>
    <w:lvl w:ilvl="0">
      <w:lvlJc w:val="left"/>
      <w:lvlText w:val="%1"/>
      <w:numFmt w:val="lowerLetter"/>
      <w:start w:val="1"/>
    </w:lvl>
    <w:lvl w:ilvl="1">
      <w:lvlJc w:val="left"/>
      <w:lvlText w:val="(%2)"/>
      <w:numFmt w:val="lowerLetter"/>
      <w:start w:val="1"/>
    </w:lvl>
  </w:abstractNum>
  <w:abstractNum w:abstractNumId="117">
    <w:nsid w:val="4A66051"/>
    <w:multiLevelType w:val="hybridMultilevel"/>
    <w:lvl w:ilvl="0">
      <w:lvlJc w:val="left"/>
      <w:lvlText w:val="(%1)"/>
      <w:numFmt w:val="lowerLetter"/>
      <w:start w:val="9"/>
    </w:lvl>
    <w:lvl w:ilvl="1">
      <w:lvlJc w:val="left"/>
      <w:lvlText w:val="(%2)"/>
      <w:numFmt w:val="lowerLetter"/>
      <w:start w:val="4"/>
    </w:lvl>
  </w:abstractNum>
  <w:abstractNum w:abstractNumId="118">
    <w:nsid w:val="20F4BDAD"/>
    <w:multiLevelType w:val="hybridMultilevel"/>
    <w:lvl w:ilvl="0">
      <w:lvlJc w:val="left"/>
      <w:lvlText w:val="(%1)"/>
      <w:numFmt w:val="lowerLetter"/>
      <w:start w:val="6"/>
    </w:lvl>
  </w:abstractNum>
  <w:abstractNum w:abstractNumId="119">
    <w:nsid w:val="639DEFAC"/>
    <w:multiLevelType w:val="hybridMultilevel"/>
    <w:lvl w:ilvl="0">
      <w:lvlJc w:val="left"/>
      <w:lvlText w:val="(%1)"/>
      <w:numFmt w:val="lowerRoman"/>
      <w:start w:val="1"/>
    </w:lvl>
  </w:abstractNum>
  <w:abstractNum w:abstractNumId="120">
    <w:nsid w:val="501F9786"/>
    <w:multiLevelType w:val="hybridMultilevel"/>
    <w:lvl w:ilvl="0">
      <w:lvlJc w:val="left"/>
      <w:lvlText w:val="(%1)"/>
      <w:numFmt w:val="lowerLetter"/>
      <w:start w:val="1"/>
    </w:lvl>
  </w:abstractNum>
  <w:abstractNum w:abstractNumId="121">
    <w:nsid w:val="6B057295"/>
    <w:multiLevelType w:val="hybridMultilevel"/>
    <w:lvl w:ilvl="0">
      <w:lvlJc w:val="left"/>
      <w:lvlText w:val="(%1)"/>
      <w:numFmt w:val="lowerLetter"/>
      <w:start w:val="4"/>
    </w:lvl>
  </w:abstractNum>
  <w:abstractNum w:abstractNumId="122">
    <w:nsid w:val="2771AC80"/>
    <w:multiLevelType w:val="hybridMultilevel"/>
    <w:lvl w:ilvl="0">
      <w:lvlJc w:val="left"/>
      <w:lvlText w:val="(%1)"/>
      <w:numFmt w:val="lowerLetter"/>
      <w:start w:val="1"/>
    </w:lvl>
  </w:abstractNum>
  <w:abstractNum w:abstractNumId="123">
    <w:nsid w:val="1C4A08EC"/>
    <w:multiLevelType w:val="hybridMultilevel"/>
    <w:lvl w:ilvl="0">
      <w:lvlJc w:val="left"/>
      <w:lvlText w:val="(%1)"/>
      <w:numFmt w:val="lowerLetter"/>
      <w:start w:val="5"/>
    </w:lvl>
  </w:abstractNum>
  <w:abstractNum w:abstractNumId="124">
    <w:nsid w:val="1958BD17"/>
    <w:multiLevelType w:val="hybridMultilevel"/>
    <w:lvl w:ilvl="0">
      <w:lvlJc w:val="left"/>
      <w:lvlText w:val="(%1)"/>
      <w:numFmt w:val="lowerLetter"/>
      <w:start w:val="2"/>
    </w:lvl>
  </w:abstractNum>
  <w:abstractNum w:abstractNumId="125">
    <w:nsid w:val="4E647FE4"/>
    <w:multiLevelType w:val="hybridMultilevel"/>
    <w:lvl w:ilvl="0">
      <w:lvlJc w:val="left"/>
      <w:lvlText w:val="(%1)"/>
      <w:numFmt w:val="lowerLetter"/>
      <w:start w:val="7"/>
    </w:lvl>
  </w:abstractNum>
  <w:abstractNum w:abstractNumId="126">
    <w:nsid w:val="E0BB885"/>
    <w:multiLevelType w:val="hybridMultilevel"/>
    <w:lvl w:ilvl="0">
      <w:lvlJc w:val="left"/>
      <w:lvlText w:val="(%1)"/>
      <w:numFmt w:val="lowerLetter"/>
      <w:start w:val="1"/>
    </w:lvl>
  </w:abstractNum>
  <w:abstractNum w:abstractNumId="127">
    <w:nsid w:val="565976F1"/>
    <w:multiLevelType w:val="hybridMultilevel"/>
    <w:lvl w:ilvl="0">
      <w:lvlJc w:val="left"/>
      <w:lvlText w:val="(%1)"/>
      <w:numFmt w:val="lowerLetter"/>
      <w:start w:val="1"/>
    </w:lvl>
  </w:abstractNum>
  <w:abstractNum w:abstractNumId="128">
    <w:nsid w:val="64212B8C"/>
    <w:multiLevelType w:val="hybridMultilevel"/>
    <w:lvl w:ilvl="0">
      <w:lvlJc w:val="left"/>
      <w:lvlText w:val="(%1)"/>
      <w:numFmt w:val="lowerLetter"/>
      <w:start w:val="1"/>
    </w:lvl>
  </w:abstractNum>
  <w:abstractNum w:abstractNumId="129">
    <w:nsid w:val="5C17530C"/>
    <w:multiLevelType w:val="hybridMultilevel"/>
    <w:lvl w:ilvl="0">
      <w:lvlJc w:val="left"/>
      <w:lvlText w:val="(%1)"/>
      <w:numFmt w:val="lowerLetter"/>
      <w:start w:val="2"/>
    </w:lvl>
  </w:abstractNum>
  <w:abstractNum w:abstractNumId="130">
    <w:nsid w:val="19A52566"/>
    <w:multiLevelType w:val="hybridMultilevel"/>
    <w:lvl w:ilvl="0">
      <w:lvlJc w:val="left"/>
      <w:lvlText w:val="(%1)"/>
      <w:numFmt w:val="lowerLetter"/>
      <w:start w:val="1"/>
    </w:lvl>
  </w:abstractNum>
  <w:abstractNum w:abstractNumId="131">
    <w:nsid w:val="335A1DF1"/>
    <w:multiLevelType w:val="hybridMultilevel"/>
    <w:lvl w:ilvl="0">
      <w:lvlJc w:val="left"/>
      <w:lvlText w:val="(%1)"/>
      <w:numFmt w:val="lowerLetter"/>
      <w:start w:val="1"/>
    </w:lvl>
  </w:abstractNum>
  <w:abstractNum w:abstractNumId="132">
    <w:nsid w:val="28677B7C"/>
    <w:multiLevelType w:val="hybridMultilevel"/>
    <w:lvl w:ilvl="0">
      <w:lvlJc w:val="left"/>
      <w:lvlText w:val="%1"/>
      <w:numFmt w:val="lowerLetter"/>
      <w:start w:val="1"/>
    </w:lvl>
    <w:lvl w:ilvl="1">
      <w:lvlJc w:val="left"/>
      <w:lvlText w:val="(%2)"/>
      <w:numFmt w:val="lowerLetter"/>
      <w:start w:val="11"/>
    </w:lvl>
    <w:lvl w:ilvl="2">
      <w:lvlJc w:val="left"/>
      <w:lvlText w:val="(%3)"/>
      <w:numFmt w:val="lowerRoman"/>
      <w:start w:val="1"/>
    </w:lvl>
  </w:abstractNum>
  <w:abstractNum w:abstractNumId="133">
    <w:nsid w:val="378D97C0"/>
    <w:multiLevelType w:val="hybridMultilevel"/>
    <w:lvl w:ilvl="0">
      <w:lvlJc w:val="left"/>
      <w:lvlText w:val="(%1)"/>
      <w:numFmt w:val="lowerLetter"/>
      <w:start w:val="6"/>
    </w:lvl>
    <w:lvl w:ilvl="1">
      <w:lvlJc w:val="left"/>
      <w:lvlText w:val="(%2)"/>
      <w:numFmt w:val="lowerLetter"/>
      <w:start w:val="14"/>
    </w:lvl>
    <w:lvl w:ilvl="2">
      <w:lvlJc w:val="left"/>
      <w:lvlText w:val="(%3)"/>
      <w:numFmt w:val="lowerRoman"/>
      <w:start w:val="3"/>
    </w:lvl>
  </w:abstractNum>
  <w:abstractNum w:abstractNumId="134">
    <w:nsid w:val="1D91467C"/>
    <w:multiLevelType w:val="hybridMultilevel"/>
    <w:lvl w:ilvl="0">
      <w:lvlJc w:val="left"/>
      <w:lvlText w:val="(%1)"/>
      <w:numFmt w:val="lowerLetter"/>
      <w:start w:val="18"/>
    </w:lvl>
  </w:abstractNum>
  <w:abstractNum w:abstractNumId="135">
    <w:nsid w:val="316032BB"/>
    <w:multiLevelType w:val="hybridMultilevel"/>
    <w:lvl w:ilvl="0">
      <w:lvlJc w:val="left"/>
      <w:lvlText w:val="(%1)"/>
      <w:numFmt w:val="lowerLetter"/>
      <w:start w:val="1"/>
    </w:lvl>
    <w:lvl w:ilvl="1">
      <w:lvlJc w:val="left"/>
      <w:lvlText w:val="(%2)"/>
      <w:numFmt w:val="lowerLetter"/>
      <w:start w:val="9"/>
    </w:lvl>
  </w:abstractNum>
  <w:abstractNum w:abstractNumId="136">
    <w:nsid w:val="44344C22"/>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137">
    <w:nsid w:val="13CDFCFC"/>
    <w:multiLevelType w:val="hybridMultilevel"/>
    <w:lvl w:ilvl="0">
      <w:lvlJc w:val="left"/>
      <w:lvlText w:val="(%1)"/>
      <w:numFmt w:val="lowerLetter"/>
      <w:start w:val="5"/>
    </w:lvl>
    <w:lvl w:ilvl="1">
      <w:lvlJc w:val="left"/>
      <w:lvlText w:val="%2"/>
      <w:numFmt w:val="lowerLetter"/>
      <w:start w:val="1"/>
    </w:lvl>
    <w:lvl w:ilvl="2">
      <w:lvlJc w:val="left"/>
      <w:lvlText w:val="%3"/>
      <w:numFmt w:val="decimal"/>
      <w:start w:val="1"/>
    </w:lvl>
  </w:abstractNum>
  <w:abstractNum w:abstractNumId="138">
    <w:nsid w:val="471745E4"/>
    <w:multiLevelType w:val="hybridMultilevel"/>
    <w:lvl w:ilvl="0">
      <w:lvlJc w:val="left"/>
      <w:lvlText w:val="(%1)"/>
      <w:numFmt w:val="lowerLetter"/>
      <w:start w:val="1"/>
    </w:lvl>
    <w:lvl w:ilvl="1">
      <w:lvlJc w:val="left"/>
      <w:lvlText w:val="(%2)"/>
      <w:numFmt w:val="lowerLetter"/>
      <w:start w:val="9"/>
    </w:lvl>
  </w:abstractNum>
  <w:abstractNum w:abstractNumId="139">
    <w:nsid w:val="1DDBC66"/>
    <w:multiLevelType w:val="hybridMultilevel"/>
    <w:lvl w:ilvl="0">
      <w:lvlJc w:val="left"/>
      <w:lvlText w:val="(%1)"/>
      <w:numFmt w:val="upperLetter"/>
      <w:start w:val="1"/>
    </w:lvl>
  </w:abstractNum>
  <w:abstractNum w:abstractNumId="140">
    <w:nsid w:val="30AADFDA"/>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41">
    <w:nsid w:val="30EADA61"/>
    <w:multiLevelType w:val="hybridMultilevel"/>
    <w:lvl w:ilvl="0">
      <w:lvlJc w:val="left"/>
      <w:lvlText w:val="%1"/>
      <w:numFmt w:val="lowerLetter"/>
      <w:start w:val="1"/>
    </w:lvl>
    <w:lvl w:ilvl="1">
      <w:lvlJc w:val="left"/>
      <w:lvlText w:val="(%2)"/>
      <w:numFmt w:val="lowerLetter"/>
      <w:start w:val="61"/>
    </w:lvl>
  </w:abstractNum>
  <w:abstractNum w:abstractNumId="142">
    <w:nsid w:val="27179C0B"/>
    <w:multiLevelType w:val="hybridMultilevel"/>
    <w:lvl w:ilvl="0">
      <w:lvlJc w:val="left"/>
      <w:lvlText w:val="(%1)"/>
      <w:numFmt w:val="lowerLetter"/>
      <w:start w:val="2"/>
    </w:lvl>
    <w:lvl w:ilvl="1">
      <w:lvlJc w:val="left"/>
      <w:lvlText w:val="%2"/>
      <w:numFmt w:val="lowerLetter"/>
      <w:start w:val="1"/>
    </w:lvl>
  </w:abstractNum>
  <w:abstractNum w:abstractNumId="143">
    <w:nsid w:val="5E636063"/>
    <w:multiLevelType w:val="hybridMultilevel"/>
    <w:lvl w:ilvl="0">
      <w:lvlJc w:val="left"/>
      <w:lvlText w:val="(%1)"/>
      <w:numFmt w:val="lowerLetter"/>
      <w:start w:val="25"/>
    </w:lvl>
  </w:abstractNum>
  <w:abstractNum w:abstractNumId="144">
    <w:nsid w:val="215641AF"/>
    <w:multiLevelType w:val="hybridMultilevel"/>
    <w:lvl w:ilvl="0">
      <w:lvlJc w:val="left"/>
      <w:lvlText w:val="%1"/>
      <w:numFmt w:val="lowerLetter"/>
      <w:start w:val="1"/>
    </w:lvl>
    <w:lvl w:ilvl="1">
      <w:lvlJc w:val="left"/>
      <w:lvlText w:val="(%2)"/>
      <w:numFmt w:val="lowerLetter"/>
      <w:start w:val="1"/>
    </w:lvl>
  </w:abstractNum>
  <w:abstractNum w:abstractNumId="145">
    <w:nsid w:val="53280662"/>
    <w:multiLevelType w:val="hybridMultilevel"/>
    <w:lvl w:ilvl="0">
      <w:lvlJc w:val="left"/>
      <w:lvlText w:val="(%1)"/>
      <w:numFmt w:val="lowerLetter"/>
      <w:start w:val="2"/>
    </w:lvl>
    <w:lvl w:ilvl="1">
      <w:lvlJc w:val="left"/>
      <w:lvlText w:val="%2"/>
      <w:numFmt w:val="lowerLetter"/>
      <w:start w:val="1"/>
    </w:lvl>
  </w:abstractNum>
  <w:abstractNum w:abstractNumId="146">
    <w:nsid w:val="46B24DBC"/>
    <w:multiLevelType w:val="hybridMultilevel"/>
    <w:lvl w:ilvl="0">
      <w:lvlJc w:val="left"/>
      <w:lvlText w:val="(%1)"/>
      <w:numFmt w:val="lowerLetter"/>
      <w:start w:val="4"/>
    </w:lvl>
    <w:lvl w:ilvl="1">
      <w:lvlJc w:val="left"/>
      <w:lvlText w:val="%2"/>
      <w:numFmt w:val="lowerLetter"/>
      <w:start w:val="1"/>
    </w:lvl>
  </w:abstractNum>
  <w:abstractNum w:abstractNumId="147">
    <w:nsid w:val="75B52783"/>
    <w:multiLevelType w:val="hybridMultilevel"/>
    <w:lvl w:ilvl="0">
      <w:lvlJc w:val="left"/>
      <w:lvlText w:val="(%1)"/>
      <w:numFmt w:val="lowerLetter"/>
      <w:start w:val="1"/>
    </w:lvl>
  </w:abstractNum>
  <w:abstractNum w:abstractNumId="148">
    <w:nsid w:val="57CE66B4"/>
    <w:multiLevelType w:val="hybridMultilevel"/>
    <w:lvl w:ilvl="0">
      <w:lvlJc w:val="left"/>
      <w:lvlText w:val="(%1)"/>
      <w:numFmt w:val="lowerLetter"/>
      <w:start w:val="1"/>
    </w:lvl>
  </w:abstractNum>
  <w:abstractNum w:abstractNumId="149">
    <w:nsid w:val="67A70B69"/>
    <w:multiLevelType w:val="hybridMultilevel"/>
    <w:lvl w:ilvl="0">
      <w:lvlJc w:val="left"/>
      <w:lvlText w:val="(%1)"/>
      <w:numFmt w:val="lowerLetter"/>
      <w:start w:val="1"/>
    </w:lvl>
  </w:abstractNum>
  <w:abstractNum w:abstractNumId="150">
    <w:nsid w:val="5953172F"/>
    <w:multiLevelType w:val="hybridMultilevel"/>
    <w:lvl w:ilvl="0">
      <w:lvlJc w:val="left"/>
      <w:lvlText w:val="(%1)"/>
      <w:numFmt w:val="lowerLetter"/>
      <w:start w:val="1"/>
    </w:lvl>
  </w:abstractNum>
  <w:abstractNum w:abstractNumId="151">
    <w:nsid w:val="27EDFE3A"/>
    <w:multiLevelType w:val="hybridMultilevel"/>
    <w:lvl w:ilvl="0">
      <w:lvlJc w:val="left"/>
      <w:lvlText w:val="(%1)"/>
      <w:numFmt w:val="lowerLetter"/>
      <w:start w:val="2"/>
    </w:lvl>
  </w:abstractNum>
  <w:abstractNum w:abstractNumId="152">
    <w:nsid w:val="52AC7DFF"/>
    <w:multiLevelType w:val="hybridMultilevel"/>
    <w:lvl w:ilvl="0">
      <w:lvlJc w:val="left"/>
      <w:lvlText w:val="(%1)"/>
      <w:numFmt w:val="lowerLetter"/>
      <w:start w:val="1"/>
    </w:lvl>
  </w:abstractNum>
  <w:abstractNum w:abstractNumId="153">
    <w:nsid w:val="C4C3AF"/>
    <w:multiLevelType w:val="hybridMultilevel"/>
    <w:lvl w:ilvl="0">
      <w:lvlJc w:val="left"/>
      <w:lvlText w:val="(%1)"/>
      <w:numFmt w:val="lowerLetter"/>
      <w:start w:val="2"/>
    </w:lvl>
  </w:abstractNum>
  <w:abstractNum w:abstractNumId="154">
    <w:nsid w:val="44380727"/>
    <w:multiLevelType w:val="hybridMultilevel"/>
    <w:lvl w:ilvl="0">
      <w:lvlJc w:val="left"/>
      <w:lvlText w:val="(%1)"/>
      <w:numFmt w:val="lowerLetter"/>
      <w:start w:val="5"/>
    </w:lvl>
  </w:abstractNum>
  <w:abstractNum w:abstractNumId="155">
    <w:nsid w:val="6C053B16"/>
    <w:multiLevelType w:val="hybridMultilevel"/>
    <w:lvl w:ilvl="0">
      <w:lvlJc w:val="left"/>
      <w:lvlText w:val="(%1)"/>
      <w:numFmt w:val="lowerLetter"/>
      <w:start w:val="1"/>
    </w:lvl>
    <w:lvl w:ilvl="1">
      <w:lvlJc w:val="left"/>
      <w:lvlText w:val="(%2)"/>
      <w:numFmt w:val="lowerLetter"/>
      <w:start w:val="9"/>
    </w:lvl>
  </w:abstractNum>
  <w:abstractNum w:abstractNumId="156">
    <w:nsid w:val="4F294393"/>
    <w:multiLevelType w:val="hybridMultilevel"/>
    <w:lvl w:ilvl="0">
      <w:lvlJc w:val="left"/>
      <w:lvlText w:val="(%1)"/>
      <w:numFmt w:val="lowerRoman"/>
      <w:start w:val="2"/>
    </w:lvl>
  </w:abstractNum>
  <w:abstractNum w:abstractNumId="157">
    <w:nsid w:val="5243BFAC"/>
    <w:multiLevelType w:val="hybridMultilevel"/>
    <w:lvl w:ilvl="0">
      <w:lvlJc w:val="left"/>
      <w:lvlText w:val="(%1)"/>
      <w:numFmt w:val="lowerLetter"/>
      <w:start w:val="2"/>
    </w:lvl>
  </w:abstractNum>
  <w:abstractNum w:abstractNumId="158">
    <w:nsid w:val="425EB207"/>
    <w:multiLevelType w:val="hybridMultilevel"/>
    <w:lvl w:ilvl="0">
      <w:lvlJc w:val="left"/>
      <w:lvlText w:val="(%1)"/>
      <w:numFmt w:val="lowerLetter"/>
      <w:start w:val="3"/>
    </w:lvl>
  </w:abstractNum>
  <w:abstractNum w:abstractNumId="159">
    <w:nsid w:val="334A6F1F"/>
    <w:multiLevelType w:val="hybridMultilevel"/>
    <w:lvl w:ilvl="0">
      <w:lvlJc w:val="left"/>
      <w:lvlText w:val="(%1)"/>
      <w:numFmt w:val="lowerLetter"/>
      <w:start w:val="4"/>
    </w:lvl>
  </w:abstractNum>
  <w:abstractNum w:abstractNumId="160">
    <w:nsid w:val="2E5B12B8"/>
    <w:multiLevelType w:val="hybridMultilevel"/>
    <w:lvl w:ilvl="0">
      <w:lvlJc w:val="left"/>
      <w:lvlText w:val="(%1)"/>
      <w:numFmt w:val="lowerLetter"/>
      <w:start w:val="1"/>
    </w:lvl>
  </w:abstractNum>
  <w:abstractNum w:abstractNumId="161">
    <w:nsid w:val="5C03D76D"/>
    <w:multiLevelType w:val="hybridMultilevel"/>
    <w:lvl w:ilvl="0">
      <w:lvlJc w:val="left"/>
      <w:lvlText w:val="(%1)"/>
      <w:numFmt w:val="lowerLetter"/>
      <w:start w:val="2"/>
    </w:lvl>
  </w:abstractNum>
  <w:abstractNum w:abstractNumId="162">
    <w:nsid w:val="66A48D11"/>
    <w:multiLevelType w:val="hybridMultilevel"/>
    <w:lvl w:ilvl="0">
      <w:lvlJc w:val="left"/>
      <w:lvlText w:val="(%1)"/>
      <w:numFmt w:val="lowerLetter"/>
      <w:start w:val="5"/>
    </w:lvl>
  </w:abstractNum>
  <w:abstractNum w:abstractNumId="163">
    <w:nsid w:val="56C28E34"/>
    <w:multiLevelType w:val="hybridMultilevel"/>
    <w:lvl w:ilvl="0">
      <w:lvlJc w:val="left"/>
      <w:lvlText w:val="(%1)"/>
      <w:numFmt w:val="lowerLetter"/>
      <w:start w:val="1"/>
    </w:lvl>
  </w:abstractNum>
  <w:abstractNum w:abstractNumId="164">
    <w:nsid w:val="13916F2D"/>
    <w:multiLevelType w:val="hybridMultilevel"/>
    <w:lvl w:ilvl="0">
      <w:lvlJc w:val="left"/>
      <w:lvlText w:val="(%1)"/>
      <w:numFmt w:val="lowerLetter"/>
      <w:start w:val="3"/>
    </w:lvl>
  </w:abstractNum>
  <w:abstractNum w:abstractNumId="165">
    <w:nsid w:val="435D38D"/>
    <w:multiLevelType w:val="hybridMultilevel"/>
    <w:lvl w:ilvl="0">
      <w:lvlJc w:val="left"/>
      <w:lvlText w:val="(%1)"/>
      <w:numFmt w:val="lowerLetter"/>
      <w:start w:val="1"/>
    </w:lvl>
  </w:abstractNum>
  <w:abstractNum w:abstractNumId="166">
    <w:nsid w:val="822C0EF"/>
    <w:multiLevelType w:val="hybridMultilevel"/>
    <w:lvl w:ilvl="0">
      <w:lvlJc w:val="left"/>
      <w:lvlText w:val="(%1)"/>
      <w:numFmt w:val="lowerLetter"/>
      <w:start w:val="2"/>
    </w:lvl>
  </w:abstractNum>
  <w:abstractNum w:abstractNumId="167">
    <w:nsid w:val="57C5BB4F"/>
    <w:multiLevelType w:val="hybridMultilevel"/>
    <w:lvl w:ilvl="0">
      <w:lvlJc w:val="left"/>
      <w:lvlText w:val="(%1)"/>
      <w:numFmt w:val="lowerLetter"/>
      <w:start w:val="1"/>
    </w:lvl>
  </w:abstractNum>
  <w:abstractNum w:abstractNumId="168">
    <w:nsid w:val="1803D08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69">
    <w:nsid w:val="4F3A06D4"/>
    <w:multiLevelType w:val="hybridMultilevel"/>
    <w:lvl w:ilvl="0">
      <w:lvlJc w:val="left"/>
      <w:lvlText w:val="(%1)"/>
      <w:numFmt w:val="lowerRoman"/>
      <w:start w:val="4"/>
    </w:lvl>
  </w:abstractNum>
  <w:abstractNum w:abstractNumId="170">
    <w:nsid w:val="59A377B6"/>
    <w:multiLevelType w:val="hybridMultilevel"/>
    <w:lvl w:ilvl="0">
      <w:lvlJc w:val="left"/>
      <w:lvlText w:val="(%1)"/>
      <w:numFmt w:val="lowerLetter"/>
      <w:start w:val="3"/>
    </w:lvl>
  </w:abstractNum>
  <w:abstractNum w:abstractNumId="171">
    <w:nsid w:val="48AEB063"/>
    <w:multiLevelType w:val="hybridMultilevel"/>
    <w:lvl w:ilvl="0">
      <w:lvlJc w:val="left"/>
      <w:lvlText w:val="%1"/>
      <w:numFmt w:val="lowerLetter"/>
      <w:start w:val="1"/>
    </w:lvl>
    <w:lvl w:ilvl="1">
      <w:lvlJc w:val="left"/>
      <w:lvlText w:val="(%2)"/>
      <w:numFmt w:val="lowerLetter"/>
      <w:start w:val="4"/>
    </w:lvl>
  </w:abstractNum>
  <w:abstractNum w:abstractNumId="172">
    <w:nsid w:val="24E135"/>
    <w:multiLevelType w:val="hybridMultilevel"/>
    <w:lvl w:ilvl="0">
      <w:lvlJc w:val="left"/>
      <w:lvlText w:val="(%1)"/>
      <w:numFmt w:val="lowerLetter"/>
      <w:start w:val="2"/>
    </w:lvl>
    <w:lvl w:ilvl="1">
      <w:lvlJc w:val="left"/>
      <w:lvlText w:val="%2"/>
      <w:numFmt w:val="lowerLetter"/>
      <w:start w:val="1"/>
    </w:lvl>
  </w:abstractNum>
  <w:abstractNum w:abstractNumId="173">
    <w:nsid w:val="BB13C1"/>
    <w:multiLevelType w:val="hybridMultilevel"/>
    <w:lvl w:ilvl="0">
      <w:lvlJc w:val="left"/>
      <w:lvlText w:val="(%1)"/>
      <w:numFmt w:val="lowerLetter"/>
      <w:start w:val="5"/>
    </w:lvl>
  </w:abstractNum>
  <w:abstractNum w:abstractNumId="174">
    <w:nsid w:val="271210C7"/>
    <w:multiLevelType w:val="hybridMultilevel"/>
    <w:lvl w:ilvl="0">
      <w:lvlJc w:val="left"/>
      <w:lvlText w:val="(%1)"/>
      <w:numFmt w:val="lowerLetter"/>
      <w:start w:val="1"/>
    </w:lvl>
  </w:abstractNum>
  <w:abstractNum w:abstractNumId="175">
    <w:nsid w:val="217B22E4"/>
    <w:multiLevelType w:val="hybridMultilevel"/>
    <w:lvl w:ilvl="0">
      <w:lvlJc w:val="left"/>
      <w:lvlText w:val="(%1)"/>
      <w:numFmt w:val="lowerLetter"/>
      <w:start w:val="7"/>
    </w:lvl>
  </w:abstractNum>
  <w:abstractNum w:abstractNumId="176">
    <w:nsid w:val="53E31A24"/>
    <w:multiLevelType w:val="hybridMultilevel"/>
    <w:lvl w:ilvl="0">
      <w:lvlJc w:val="left"/>
      <w:lvlText w:val="(%1)"/>
      <w:numFmt w:val="lowerLetter"/>
      <w:start w:val="24"/>
    </w:lvl>
  </w:abstractNum>
  <w:abstractNum w:abstractNumId="177">
    <w:nsid w:val="6DC45E83"/>
    <w:multiLevelType w:val="hybridMultilevel"/>
    <w:lvl w:ilvl="0">
      <w:lvlJc w:val="left"/>
      <w:lvlText w:val="(%1)"/>
      <w:numFmt w:val="upperLetter"/>
      <w:start w:val="1"/>
    </w:lvl>
  </w:abstractNum>
  <w:abstractNum w:abstractNumId="178">
    <w:nsid w:val="17304A67"/>
    <w:multiLevelType w:val="hybridMultilevel"/>
    <w:lvl w:ilvl="0">
      <w:lvlJc w:val="left"/>
      <w:lvlText w:val="(%1)"/>
      <w:numFmt w:val="lowerLetter"/>
      <w:start w:val="1"/>
    </w:lvl>
    <w:lvl w:ilvl="1">
      <w:lvlJc w:val="left"/>
      <w:lvlText w:val="(%2)"/>
      <w:numFmt w:val="lowerRoman"/>
      <w:start w:val="1"/>
    </w:lvl>
  </w:abstractNum>
  <w:abstractNum w:abstractNumId="179">
    <w:nsid w:val="2BB180D8"/>
    <w:multiLevelType w:val="hybridMultilevel"/>
    <w:lvl w:ilvl="0">
      <w:lvlJc w:val="left"/>
      <w:lvlText w:val="%1."/>
      <w:numFmt w:val="upperLetter"/>
      <w:start w:val="1"/>
    </w:lvl>
  </w:abstractNum>
  <w:abstractNum w:abstractNumId="180">
    <w:nsid w:val="556B69ED"/>
    <w:multiLevelType w:val="hybridMultilevel"/>
    <w:lvl w:ilvl="0">
      <w:lvlJc w:val="left"/>
      <w:lvlText w:val="%1."/>
      <w:numFmt w:val="decimal"/>
      <w:start w:val="1"/>
    </w:lvl>
  </w:abstractNum>
  <w:abstractNum w:abstractNumId="181">
    <w:nsid w:val="70836196"/>
    <w:multiLevelType w:val="hybridMultilevel"/>
    <w:lvl w:ilvl="0">
      <w:lvlJc w:val="left"/>
      <w:lvlText w:val="1"/>
      <w:numFmt w:val="bullet"/>
      <w:start w:val="1"/>
    </w:lvl>
  </w:abstractNum>
  <w:abstractNum w:abstractNumId="182">
    <w:nsid w:val="539F7F12"/>
    <w:multiLevelType w:val="hybridMultilevel"/>
    <w:lvl w:ilvl="0">
      <w:lvlJc w:val="left"/>
      <w:lvlText w:val="2"/>
      <w:numFmt w:val="bullet"/>
      <w:start w:val="1"/>
    </w:lvl>
  </w:abstractNum>
  <w:abstractNum w:abstractNumId="183">
    <w:nsid w:val="2817E7EC"/>
    <w:multiLevelType w:val="hybridMultilevel"/>
    <w:lvl w:ilvl="0">
      <w:lvlJc w:val="left"/>
      <w:lvlText w:val="%1."/>
      <w:numFmt w:val="decimal"/>
      <w:start w:val="3"/>
    </w:lvl>
  </w:abstractNum>
  <w:abstractNum w:abstractNumId="184">
    <w:nsid w:val="71482545"/>
    <w:multiLevelType w:val="hybridMultilevel"/>
    <w:lvl w:ilvl="0">
      <w:lvlJc w:val="left"/>
      <w:lvlText w:val="%1."/>
      <w:numFmt w:val="decimal"/>
      <w:start w:val="8"/>
    </w:lvl>
  </w:abstractNum>
  <w:abstractNum w:abstractNumId="185">
    <w:nsid w:val="17D78639"/>
    <w:multiLevelType w:val="hybridMultilevel"/>
    <w:lvl w:ilvl="0">
      <w:lvlJc w:val="left"/>
      <w:lvlText w:val="%1."/>
      <w:numFmt w:val="decimal"/>
      <w:start w:val="14"/>
    </w:lvl>
  </w:abstractNum>
  <w:abstractNum w:abstractNumId="186">
    <w:nsid w:val="141D2302"/>
    <w:multiLevelType w:val="hybridMultilevel"/>
    <w:lvl w:ilvl="0">
      <w:lvlJc w:val="left"/>
      <w:lvlText w:val="%1."/>
      <w:numFmt w:val="decimal"/>
      <w:start w:val="19"/>
    </w:lvl>
  </w:abstractNum>
  <w:abstractNum w:abstractNumId="187">
    <w:nsid w:val="407168D8"/>
    <w:multiLevelType w:val="hybridMultilevel"/>
    <w:lvl w:ilvl="0">
      <w:lvlJc w:val="left"/>
      <w:lvlText w:val="%1."/>
      <w:numFmt w:val="upperLetter"/>
      <w:start w:val="1"/>
    </w:lvl>
  </w:abstractNum>
  <w:abstractNum w:abstractNumId="188">
    <w:nsid w:val="6A1B45E5"/>
    <w:multiLevelType w:val="hybridMultilevel"/>
    <w:lvl w:ilvl="0">
      <w:lvlJc w:val="left"/>
      <w:lvlText w:val="%1."/>
      <w:numFmt w:val="decimal"/>
      <w:start w:val="1"/>
    </w:lvl>
  </w:abstractNum>
  <w:abstractNum w:abstractNumId="189">
    <w:nsid w:val="567BD50A"/>
    <w:multiLevelType w:val="hybridMultilevel"/>
    <w:lvl w:ilvl="0">
      <w:lvlJc w:val="left"/>
      <w:lvlText w:val="%1."/>
      <w:numFmt w:val="decimal"/>
      <w:start w:val="2"/>
    </w:lvl>
  </w:abstractNum>
  <w:abstractNum w:abstractNumId="190">
    <w:nsid w:val="73BBD7F8"/>
    <w:multiLevelType w:val="hybridMultilevel"/>
    <w:lvl w:ilvl="0">
      <w:lvlJc w:val="left"/>
      <w:lvlText w:val="%1."/>
      <w:numFmt w:val="decimal"/>
      <w:start w:val="1"/>
    </w:lvl>
  </w:abstractNum>
  <w:abstractNum w:abstractNumId="191">
    <w:nsid w:val="1876589D"/>
    <w:multiLevelType w:val="hybridMultilevel"/>
    <w:lvl w:ilvl="0">
      <w:lvlJc w:val="left"/>
      <w:lvlText w:val="%1."/>
      <w:numFmt w:val="decimal"/>
      <w:start w:val="12"/>
    </w:lvl>
  </w:abstractNum>
  <w:abstractNum w:abstractNumId="192">
    <w:nsid w:val="327FAC77"/>
    <w:multiLevelType w:val="hybridMultilevel"/>
    <w:lvl w:ilvl="0">
      <w:lvlJc w:val="left"/>
      <w:lvlText w:val="%1."/>
      <w:numFmt w:val="decimal"/>
      <w:start w:val="29"/>
    </w:lvl>
  </w:abstractNum>
  <w:abstractNum w:abstractNumId="193">
    <w:nsid w:val="5A606509"/>
    <w:multiLevelType w:val="hybridMultilevel"/>
    <w:lvl w:ilvl="0">
      <w:lvlJc w:val="left"/>
      <w:lvlText w:val="%1."/>
      <w:numFmt w:val="decimal"/>
      <w:start w:val="46"/>
    </w:lvl>
  </w:abstractNum>
  <w:abstractNum w:abstractNumId="194">
    <w:nsid w:val="6F38E6D1"/>
    <w:multiLevelType w:val="hybridMultilevel"/>
    <w:lvl w:ilvl="0">
      <w:lvlJc w:val="left"/>
      <w:lvlText w:val="*"/>
      <w:numFmt w:val="bullet"/>
      <w:start w:val="1"/>
    </w:lvl>
  </w:abstractNum>
  <w:abstractNum w:abstractNumId="195">
    <w:nsid w:val="46111BA5"/>
    <w:multiLevelType w:val="hybridMultilevel"/>
    <w:lvl w:ilvl="0">
      <w:lvlJc w:val="left"/>
      <w:lvlText w:val="**"/>
      <w:numFmt w:val="bullet"/>
      <w:start w:val="1"/>
    </w:lvl>
  </w:abstractNum>
  <w:abstractNum w:abstractNumId="196">
    <w:nsid w:val="5E963896"/>
    <w:multiLevelType w:val="hybridMultilevel"/>
    <w:lvl w:ilvl="0">
      <w:lvlJc w:val="left"/>
      <w:lvlText w:val="***"/>
      <w:numFmt w:val="bullet"/>
      <w:start w:val="1"/>
    </w:lvl>
  </w:abstractNum>
  <w:abstractNum w:abstractNumId="197">
    <w:nsid w:val="775BA7C1"/>
    <w:multiLevelType w:val="hybridMultilevel"/>
    <w:lvl w:ilvl="0">
      <w:lvlJc w:val="left"/>
      <w:lvlText w:val="****"/>
      <w:numFmt w:val="bullet"/>
      <w:start w:val="1"/>
    </w:lvl>
  </w:abstractNum>
  <w:abstractNum w:abstractNumId="198">
    <w:nsid w:val="1DD6D6F4"/>
    <w:multiLevelType w:val="hybridMultilevel"/>
    <w:lvl w:ilvl="0">
      <w:lvlJc w:val="left"/>
      <w:lvlText w:val="(%1)"/>
      <w:numFmt w:val="lowerRoman"/>
      <w:start w:val="1"/>
    </w:lvl>
  </w:abstractNum>
  <w:abstractNum w:abstractNumId="199">
    <w:nsid w:val="769A091F"/>
    <w:multiLevelType w:val="hybridMultilevel"/>
    <w:lvl w:ilvl="0">
      <w:lvlJc w:val="left"/>
      <w:lvlText w:val="(%1)"/>
      <w:numFmt w:val="lowerRoman"/>
      <w:start w:val="1"/>
    </w:lvl>
  </w:abstractNum>
  <w:abstractNum w:abstractNumId="200">
    <w:nsid w:val="4695AE95"/>
    <w:multiLevelType w:val="hybridMultilevel"/>
    <w:lvl w:ilvl="0">
      <w:lvlJc w:val="left"/>
      <w:lvlText w:val="(%1)"/>
      <w:numFmt w:val="lowerRoman"/>
      <w:start w:val="2"/>
    </w:lvl>
  </w:abstractNum>
  <w:abstractNum w:abstractNumId="201">
    <w:nsid w:val="777A4EAA"/>
    <w:multiLevelType w:val="hybridMultilevel"/>
    <w:lvl w:ilvl="0">
      <w:lvlJc w:val="left"/>
      <w:lvlText w:val="1"/>
      <w:numFmt w:val="bullet"/>
      <w:start w:val="1"/>
    </w:lvl>
  </w:abstractNum>
  <w:abstractNum w:abstractNumId="202">
    <w:nsid w:val="3F48B982"/>
    <w:multiLevelType w:val="hybridMultilevel"/>
    <w:lvl w:ilvl="0">
      <w:lvlJc w:val="left"/>
      <w:lvlText w:val="%1"/>
      <w:numFmt w:val="lowerRoman"/>
      <w:start w:val="1"/>
    </w:lvl>
    <w:lvl w:ilvl="1">
      <w:lvlJc w:val="left"/>
      <w:lvlText w:val="(%2)"/>
      <w:numFmt w:val="upperLetter"/>
      <w:start w:val="13"/>
    </w:lvl>
  </w:abstractNum>
  <w:abstractNum w:abstractNumId="203">
    <w:nsid w:val="46BA8FCA"/>
    <w:multiLevelType w:val="hybridMultilevel"/>
    <w:lvl w:ilvl="0">
      <w:lvlJc w:val="left"/>
      <w:lvlText w:val="(%1)"/>
      <w:numFmt w:val="lowerRoman"/>
      <w:start w:val="3"/>
    </w:lvl>
    <w:lvl w:ilvl="1">
      <w:lvlJc w:val="left"/>
      <w:lvlText w:val="(%2)"/>
      <w:numFmt w:val="upperLetter"/>
      <w:start w:val="1"/>
    </w:lvl>
  </w:abstractNum>
  <w:abstractNum w:abstractNumId="204">
    <w:nsid w:val="7835626C"/>
    <w:multiLevelType w:val="hybridMultilevel"/>
    <w:lvl w:ilvl="0">
      <w:lvlJc w:val="left"/>
      <w:lvlText w:val="$"/>
      <w:numFmt w:val="bullet"/>
      <w:start w:val="1"/>
    </w:lvl>
  </w:abstractNum>
  <w:abstractNum w:abstractNumId="205">
    <w:nsid w:val="665ACA49"/>
    <w:multiLevelType w:val="hybridMultilevel"/>
    <w:lvl w:ilvl="0">
      <w:lvlJc w:val="left"/>
      <w:lvlText w:val="$"/>
      <w:numFmt w:val="bullet"/>
      <w:start w:val="1"/>
    </w:lvl>
  </w:abstractNum>
  <w:abstractNum w:abstractNumId="206">
    <w:nsid w:val="6835B2AE"/>
    <w:multiLevelType w:val="hybridMultilevel"/>
    <w:lvl w:ilvl="0">
      <w:lvlJc w:val="left"/>
      <w:lvlText w:val="$"/>
      <w:numFmt w:val="bullet"/>
      <w:start w:val="1"/>
    </w:lvl>
  </w:abstractNum>
  <w:abstractNum w:abstractNumId="207">
    <w:nsid w:val="4C187C90"/>
    <w:multiLevelType w:val="hybridMultilevel"/>
    <w:lvl w:ilvl="0">
      <w:lvlJc w:val="left"/>
      <w:lvlText w:val="(%1)"/>
      <w:numFmt w:val="lowerRoman"/>
      <w:start w:val="1"/>
    </w:lvl>
    <w:lvl w:ilvl="1">
      <w:lvlJc w:val="left"/>
      <w:lvlText w:val="(%2)"/>
      <w:numFmt w:val="upperLetter"/>
      <w:start w:val="1"/>
    </w:lvl>
  </w:abstractNum>
  <w:abstractNum w:abstractNumId="208">
    <w:nsid w:val="541F28CD"/>
    <w:multiLevelType w:val="hybridMultilevel"/>
    <w:lvl w:ilvl="0">
      <w:lvlJc w:val="left"/>
      <w:lvlText w:val="(%1)"/>
      <w:numFmt w:val="upperLetter"/>
      <w:start w:val="1"/>
    </w:lvl>
  </w:abstractNum>
  <w:abstractNum w:abstractNumId="209">
    <w:nsid w:val="7F65FD16"/>
    <w:multiLevelType w:val="hybridMultilevel"/>
    <w:lvl w:ilvl="0">
      <w:lvlJc w:val="left"/>
      <w:lvlText w:val="$"/>
      <w:numFmt w:val="bullet"/>
      <w:start w:val="1"/>
    </w:lvl>
  </w:abstractNum>
  <w:abstractNum w:abstractNumId="210">
    <w:nsid w:val="77C9FD68"/>
    <w:multiLevelType w:val="hybridMultilevel"/>
    <w:lvl w:ilvl="0">
      <w:lvlJc w:val="left"/>
      <w:lvlText w:val="$"/>
      <w:numFmt w:val="bullet"/>
      <w:start w:val="1"/>
    </w:lvl>
  </w:abstractNum>
  <w:abstractNum w:abstractNumId="211">
    <w:nsid w:val="298A92BA"/>
    <w:multiLevelType w:val="hybridMultilevel"/>
    <w:lvl w:ilvl="0">
      <w:lvlJc w:val="left"/>
      <w:lvlText w:val="(%1)"/>
      <w:numFmt w:val="lowerRoman"/>
      <w:start w:val="7"/>
    </w:lvl>
  </w:abstractNum>
  <w:abstractNum w:abstractNumId="212">
    <w:nsid w:val="6FE95EAC"/>
    <w:multiLevelType w:val="hybridMultilevel"/>
    <w:lvl w:ilvl="0">
      <w:lvlJc w:val="left"/>
      <w:lvlText w:val="(%1)"/>
      <w:numFmt w:val="lowerRoman"/>
      <w:start w:val="8"/>
    </w:lvl>
  </w:abstractNum>
  <w:abstractNum w:abstractNumId="213">
    <w:nsid w:val="4B697C7A"/>
    <w:multiLevelType w:val="hybridMultilevel"/>
    <w:lvl w:ilvl="0">
      <w:lvlJc w:val="left"/>
      <w:lvlText w:val="(%1)"/>
      <w:numFmt w:val="lowerRoman"/>
      <w:start w:val="10"/>
    </w:lvl>
  </w:abstractNum>
  <w:abstractNum w:abstractNumId="214">
    <w:nsid w:val="51A27AA6"/>
    <w:multiLevelType w:val="hybridMultilevel"/>
    <w:lvl w:ilvl="0">
      <w:lvlJc w:val="left"/>
      <w:lvlText w:val="(%1)"/>
      <w:numFmt w:val="lowerRoman"/>
      <w:start w:val="1"/>
    </w:lvl>
    <w:lvl w:ilvl="1">
      <w:lvlJc w:val="left"/>
      <w:lvlText w:val="(%2)"/>
      <w:numFmt w:val="upperLetter"/>
      <w:start w:val="1"/>
    </w:lvl>
  </w:abstractNum>
  <w:abstractNum w:abstractNumId="215">
    <w:nsid w:val="613183F2"/>
    <w:multiLevelType w:val="hybridMultilevel"/>
    <w:lvl w:ilvl="0">
      <w:lvlJc w:val="left"/>
      <w:lvlText w:val="$"/>
      <w:numFmt w:val="bullet"/>
      <w:start w:val="1"/>
    </w:lvl>
  </w:abstractNum>
  <w:abstractNum w:abstractNumId="216">
    <w:nsid w:val="634102B4"/>
    <w:multiLevelType w:val="hybridMultilevel"/>
    <w:lvl w:ilvl="0">
      <w:lvlJc w:val="left"/>
      <w:lvlText w:val="$"/>
      <w:numFmt w:val="bullet"/>
      <w:start w:val="1"/>
    </w:lvl>
  </w:abstractNum>
  <w:abstractNum w:abstractNumId="217">
    <w:nsid w:val="65BF9DA8"/>
    <w:multiLevelType w:val="hybridMultilevel"/>
    <w:lvl w:ilvl="0">
      <w:lvlJc w:val="left"/>
      <w:lvlText w:val="$"/>
      <w:numFmt w:val="bullet"/>
      <w:start w:val="1"/>
    </w:lvl>
  </w:abstractNum>
  <w:abstractNum w:abstractNumId="218">
    <w:nsid w:val="21A2ECCA"/>
    <w:multiLevelType w:val="hybridMultilevel"/>
    <w:lvl w:ilvl="0">
      <w:lvlJc w:val="left"/>
      <w:lvlText w:val="$"/>
      <w:numFmt w:val="bullet"/>
      <w:start w:val="1"/>
    </w:lvl>
  </w:abstractNum>
  <w:abstractNum w:abstractNumId="219">
    <w:nsid w:val="4D5C4899"/>
    <w:multiLevelType w:val="hybridMultilevel"/>
    <w:lvl w:ilvl="0">
      <w:lvlJc w:val="left"/>
      <w:lvlText w:val="(%1)"/>
      <w:numFmt w:val="lowerRoman"/>
      <w:start w:val="9"/>
    </w:lvl>
  </w:abstractNum>
  <w:abstractNum w:abstractNumId="220">
    <w:nsid w:val="3C3B72B2"/>
    <w:multiLevelType w:val="hybridMultilevel"/>
    <w:lvl w:ilvl="0">
      <w:lvlJc w:val="left"/>
      <w:lvlText w:val="$"/>
      <w:numFmt w:val="bullet"/>
      <w:start w:val="1"/>
    </w:lvl>
  </w:abstractNum>
  <w:abstractNum w:abstractNumId="221">
    <w:nsid w:val="155EC4C2"/>
    <w:multiLevelType w:val="hybridMultilevel"/>
    <w:lvl w:ilvl="0">
      <w:lvlJc w:val="left"/>
      <w:lvlText w:val="%1"/>
      <w:numFmt w:val="lowerRoman"/>
      <w:start w:val="1"/>
    </w:lvl>
    <w:lvl w:ilvl="1">
      <w:lvlJc w:val="left"/>
      <w:lvlText w:val="(%2)"/>
      <w:numFmt w:val="lowerRoman"/>
      <w:start w:val="1"/>
    </w:lvl>
  </w:abstractNum>
  <w:abstractNum w:abstractNumId="222">
    <w:nsid w:val="65D2A137"/>
    <w:multiLevelType w:val="hybridMultilevel"/>
    <w:lvl w:ilvl="0">
      <w:lvlJc w:val="left"/>
      <w:lvlText w:val="(%1)"/>
      <w:numFmt w:val="lowerRoman"/>
      <w:start w:val="15"/>
    </w:lvl>
    <w:lvl w:ilvl="1">
      <w:lvlJc w:val="left"/>
      <w:lvlText w:val="%2"/>
      <w:numFmt w:val="lowerRoman"/>
      <w:start w:val="1"/>
    </w:lvl>
  </w:abstractNum>
  <w:abstractNum w:abstractNumId="223">
    <w:nsid w:val="6EBB1F2A"/>
    <w:multiLevelType w:val="hybridMultilevel"/>
    <w:lvl w:ilvl="0">
      <w:lvlJc w:val="left"/>
      <w:lvlText w:val="$"/>
      <w:numFmt w:val="bullet"/>
      <w:start w:val="1"/>
    </w:lvl>
  </w:abstractNum>
  <w:abstractNum w:abstractNumId="224">
    <w:nsid w:val="6FBF29CB"/>
    <w:multiLevelType w:val="hybridMultilevel"/>
    <w:lvl w:ilvl="0">
      <w:lvlJc w:val="left"/>
      <w:lvlText w:val="(%1)"/>
      <w:numFmt w:val="lowerRoman"/>
      <w:start w:val="3"/>
    </w:lvl>
  </w:abstractNum>
  <w:abstractNum w:abstractNumId="225">
    <w:nsid w:val="550B8808"/>
    <w:multiLevelType w:val="hybridMultilevel"/>
    <w:lvl w:ilvl="0">
      <w:lvlJc w:val="left"/>
      <w:lvlText w:val="(%1)"/>
      <w:numFmt w:val="lowerRoman"/>
      <w:start w:val="9"/>
    </w:lvl>
  </w:abstractNum>
  <w:abstractNum w:abstractNumId="226">
    <w:nsid w:val="34CC3ACF"/>
    <w:multiLevelType w:val="hybridMultilevel"/>
    <w:lvl w:ilvl="0">
      <w:lvlJc w:val="left"/>
      <w:lvlText w:val="(%1)"/>
      <w:numFmt w:val="lowerRoman"/>
      <w:start w:val="10"/>
    </w:lvl>
  </w:abstractNum>
  <w:abstractNum w:abstractNumId="227">
    <w:nsid w:val="4E556261"/>
    <w:multiLevelType w:val="hybridMultilevel"/>
    <w:lvl w:ilvl="0">
      <w:lvlJc w:val="left"/>
      <w:lvlText w:val="(%1)"/>
      <w:numFmt w:val="lowerRoman"/>
      <w:start w:val="2"/>
    </w:lvl>
  </w:abstractNum>
  <w:abstractNum w:abstractNumId="228">
    <w:nsid w:val="4C672FC9"/>
    <w:multiLevelType w:val="hybridMultilevel"/>
    <w:lvl w:ilvl="0">
      <w:lvlJc w:val="left"/>
      <w:lvlText w:val="(%1)"/>
      <w:numFmt w:val="lowerRoman"/>
      <w:start w:val="11"/>
    </w:lvl>
  </w:abstractNum>
  <w:abstractNum w:abstractNumId="229">
    <w:nsid w:val="52A311C3"/>
    <w:multiLevelType w:val="hybridMultilevel"/>
    <w:lvl w:ilvl="0">
      <w:lvlJc w:val="left"/>
      <w:lvlText w:val="1"/>
      <w:numFmt w:val="bullet"/>
      <w:start w:val="1"/>
    </w:lvl>
  </w:abstractNum>
  <w:abstractNum w:abstractNumId="230">
    <w:nsid w:val="44EF6B80"/>
    <w:multiLevelType w:val="hybridMultilevel"/>
    <w:lvl w:ilvl="0">
      <w:lvlJc w:val="left"/>
      <w:lvlText w:val="(%1)"/>
      <w:numFmt w:val="lowerRoman"/>
      <w:start w:val="12"/>
    </w:lvl>
  </w:abstractNum>
  <w:abstractNum w:abstractNumId="231">
    <w:nsid w:val="12FCDE5E"/>
    <w:multiLevelType w:val="hybridMultilevel"/>
    <w:lvl w:ilvl="0">
      <w:lvlJc w:val="left"/>
      <w:lvlText w:val="(%1)"/>
      <w:numFmt w:val="lowerRoman"/>
      <w:start w:val="13"/>
    </w:lvl>
  </w:abstractNum>
  <w:abstractNum w:abstractNumId="232">
    <w:nsid w:val="4A1D606E"/>
    <w:multiLevelType w:val="hybridMultilevel"/>
    <w:lvl w:ilvl="0">
      <w:lvlJc w:val="left"/>
      <w:lvlText w:val="(%1)"/>
      <w:numFmt w:val="upperLetter"/>
      <w:start w:val="5"/>
    </w:lvl>
  </w:abstractNum>
  <w:abstractNum w:abstractNumId="233">
    <w:nsid w:val="4382503"/>
    <w:multiLevelType w:val="hybridMultilevel"/>
    <w:lvl w:ilvl="0">
      <w:lvlJc w:val="left"/>
      <w:lvlText w:val="(%1)"/>
      <w:numFmt w:val="upperLetter"/>
      <w:start w:val="6"/>
    </w:lvl>
  </w:abstractNum>
  <w:abstractNum w:abstractNumId="234">
    <w:nsid w:val="59B76E28"/>
    <w:multiLevelType w:val="hybridMultilevel"/>
    <w:lvl w:ilvl="0">
      <w:lvlJc w:val="left"/>
      <w:lvlText w:val="(%1)"/>
      <w:numFmt w:val="upperLetter"/>
      <w:start w:val="7"/>
    </w:lvl>
  </w:abstractNum>
  <w:abstractNum w:abstractNumId="235">
    <w:nsid w:val="4252C2DA"/>
    <w:multiLevelType w:val="hybridMultilevel"/>
    <w:lvl w:ilvl="0">
      <w:lvlJc w:val="left"/>
      <w:lvlText w:val="(%1)"/>
      <w:numFmt w:val="lowerRoman"/>
      <w:start w:val="14"/>
    </w:lvl>
  </w:abstractNum>
  <w:abstractNum w:abstractNumId="236">
    <w:nsid w:val="6A92EF4C"/>
    <w:multiLevelType w:val="hybridMultilevel"/>
    <w:lvl w:ilvl="0">
      <w:lvlJc w:val="left"/>
      <w:lvlText w:val="(%1)"/>
      <w:numFmt w:val="lowerLetter"/>
      <w:start w:val="1"/>
    </w:lvl>
  </w:abstractNum>
  <w:abstractNum w:abstractNumId="237">
    <w:nsid w:val="41ED20D7"/>
    <w:multiLevelType w:val="hybridMultilevel"/>
    <w:lvl w:ilvl="0">
      <w:lvlJc w:val="left"/>
      <w:lvlText w:val="$"/>
      <w:numFmt w:val="bullet"/>
      <w:start w:val="1"/>
    </w:lvl>
  </w:abstractNum>
  <w:abstractNum w:abstractNumId="238">
    <w:nsid w:val="E6B3F6A"/>
    <w:multiLevelType w:val="hybridMultilevel"/>
    <w:lvl w:ilvl="0">
      <w:lvlJc w:val="left"/>
      <w:lvlText w:val="$"/>
      <w:numFmt w:val="bullet"/>
      <w:start w:val="1"/>
    </w:lvl>
  </w:abstractNum>
  <w:abstractNum w:abstractNumId="239">
    <w:nsid w:val="3EB21819"/>
    <w:multiLevelType w:val="hybridMultilevel"/>
    <w:lvl w:ilvl="0">
      <w:lvlJc w:val="left"/>
      <w:lvlText w:val="$"/>
      <w:numFmt w:val="bullet"/>
      <w:start w:val="1"/>
    </w:lvl>
  </w:abstractNum>
  <w:abstractNum w:abstractNumId="240">
    <w:nsid w:val="41531DED"/>
    <w:multiLevelType w:val="hybridMultilevel"/>
    <w:lvl w:ilvl="0">
      <w:lvlJc w:val="left"/>
      <w:lvlText w:val="(%1)"/>
      <w:numFmt w:val="lowerRoman"/>
      <w:start w:val="2"/>
    </w:lvl>
    <w:lvl w:ilvl="1">
      <w:lvlJc w:val="left"/>
      <w:lvlText w:val="(%2)"/>
      <w:numFmt w:val="upperLetter"/>
      <w:start w:val="1"/>
    </w:lvl>
  </w:abstractNum>
  <w:abstractNum w:abstractNumId="241">
    <w:nsid w:val="6353CD2"/>
    <w:multiLevelType w:val="hybridMultilevel"/>
    <w:lvl w:ilvl="0">
      <w:lvlJc w:val="left"/>
      <w:lvlText w:val="(%1)"/>
      <w:numFmt w:val="upperLetter"/>
      <w:start w:val="15"/>
    </w:lvl>
  </w:abstractNum>
  <w:abstractNum w:abstractNumId="242">
    <w:nsid w:val="683CAAD3"/>
    <w:multiLevelType w:val="hybridMultilevel"/>
    <w:lvl w:ilvl="0">
      <w:lvlJc w:val="left"/>
      <w:lvlText w:val="6"/>
      <w:numFmt w:val="bullet"/>
      <w:start w:val="1"/>
    </w:lvl>
  </w:abstractNum>
  <w:abstractNum w:abstractNumId="243">
    <w:nsid w:val="313C7C99"/>
    <w:multiLevelType w:val="hybridMultilevel"/>
    <w:lvl w:ilvl="0">
      <w:lvlJc w:val="left"/>
      <w:lvlText w:val="7"/>
      <w:numFmt w:val="bullet"/>
      <w:start w:val="1"/>
    </w:lvl>
    <w:lvl w:ilvl="1">
      <w:lvlJc w:val="left"/>
      <w:lvlText w:val="(%2)"/>
      <w:numFmt w:val="lowerRoman"/>
      <w:start w:val="3"/>
    </w:lvl>
  </w:abstractNum>
  <w:abstractNum w:abstractNumId="244">
    <w:nsid w:val="519EB94C"/>
    <w:multiLevelType w:val="hybridMultilevel"/>
    <w:lvl w:ilvl="0">
      <w:lvlJc w:val="left"/>
      <w:lvlText w:val="(%1)"/>
      <w:numFmt w:val="upperLetter"/>
      <w:start w:val="16"/>
    </w:lvl>
  </w:abstractNum>
  <w:abstractNum w:abstractNumId="245">
    <w:nsid w:val="39DF2579"/>
    <w:multiLevelType w:val="hybridMultilevel"/>
    <w:lvl w:ilvl="0">
      <w:lvlJc w:val="left"/>
      <w:lvlText w:val="(%1)"/>
      <w:numFmt w:val="lowerRoman"/>
      <w:start w:val="10"/>
    </w:lvl>
  </w:abstractNum>
  <w:abstractNum w:abstractNumId="246">
    <w:nsid w:val="126E008B"/>
    <w:multiLevelType w:val="hybridMultilevel"/>
    <w:lvl w:ilvl="0">
      <w:lvlJc w:val="left"/>
      <w:lvlText w:val="%1"/>
      <w:numFmt w:val="lowerRoman"/>
      <w:start w:val="1"/>
    </w:lvl>
    <w:lvl w:ilvl="1">
      <w:lvlJc w:val="left"/>
      <w:lvlText w:val="(%2)"/>
      <w:numFmt w:val="upperLetter"/>
      <w:start w:val="15"/>
    </w:lvl>
  </w:abstractNum>
  <w:abstractNum w:abstractNumId="247">
    <w:nsid w:val="34DFBC00"/>
    <w:multiLevelType w:val="hybridMultilevel"/>
    <w:lvl w:ilvl="0">
      <w:lvlJc w:val="left"/>
      <w:lvlText w:val="(%1)"/>
      <w:numFmt w:val="lowerRoman"/>
      <w:start w:val="13"/>
    </w:lvl>
    <w:lvl w:ilvl="1">
      <w:lvlJc w:val="left"/>
      <w:lvlText w:val="%2"/>
      <w:numFmt w:val="upperLetter"/>
      <w:start w:val="1"/>
    </w:lvl>
  </w:abstractNum>
  <w:abstractNum w:abstractNumId="248">
    <w:nsid w:val="1F9EC322"/>
    <w:multiLevelType w:val="hybridMultilevel"/>
    <w:lvl w:ilvl="0">
      <w:lvlJc w:val="left"/>
      <w:lvlText w:val="$"/>
      <w:numFmt w:val="bullet"/>
      <w:start w:val="1"/>
    </w:lvl>
  </w:abstractNum>
  <w:abstractNum w:abstractNumId="249">
    <w:nsid w:val="3410ED56"/>
    <w:multiLevelType w:val="hybridMultilevel"/>
    <w:lvl w:ilvl="0">
      <w:lvlJc w:val="left"/>
      <w:lvlText w:val="$"/>
      <w:numFmt w:val="bullet"/>
      <w:start w:val="1"/>
    </w:lvl>
  </w:abstractNum>
  <w:abstractNum w:abstractNumId="250">
    <w:nsid w:val="23C049A"/>
    <w:multiLevelType w:val="hybridMultilevel"/>
    <w:lvl w:ilvl="0">
      <w:lvlJc w:val="left"/>
      <w:lvlText w:val="$"/>
      <w:numFmt w:val="bullet"/>
      <w:start w:val="1"/>
    </w:lvl>
  </w:abstractNum>
  <w:abstractNum w:abstractNumId="251">
    <w:nsid w:val="5BDA35D4"/>
    <w:multiLevelType w:val="hybridMultilevel"/>
    <w:lvl w:ilvl="0">
      <w:lvlJc w:val="left"/>
      <w:lvlText w:val="$"/>
      <w:numFmt w:val="bullet"/>
      <w:start w:val="1"/>
    </w:lvl>
  </w:abstractNum>
  <w:abstractNum w:abstractNumId="252">
    <w:nsid w:val="496FB218"/>
    <w:multiLevelType w:val="hybridMultilevel"/>
    <w:lvl w:ilvl="0">
      <w:lvlJc w:val="left"/>
      <w:lvlText w:val="$"/>
      <w:numFmt w:val="bullet"/>
      <w:start w:val="1"/>
    </w:lvl>
  </w:abstractNum>
  <w:abstractNum w:abstractNumId="253">
    <w:nsid w:val="680EA5D1"/>
    <w:multiLevelType w:val="hybridMultilevel"/>
    <w:lvl w:ilvl="0">
      <w:lvlJc w:val="left"/>
      <w:lvlText w:val="(%1)"/>
      <w:numFmt w:val="lowerRoman"/>
      <w:start w:val="22"/>
    </w:lvl>
  </w:abstractNum>
  <w:abstractNum w:abstractNumId="254">
    <w:nsid w:val="4A9554FE"/>
    <w:multiLevelType w:val="hybridMultilevel"/>
    <w:lvl w:ilvl="0">
      <w:lvlJc w:val="left"/>
      <w:lvlText w:val="(%1)"/>
      <w:numFmt w:val="lowerRoman"/>
      <w:start w:val="23"/>
    </w:lvl>
  </w:abstractNum>
  <w:abstractNum w:abstractNumId="255">
    <w:nsid w:val="392EDBE4"/>
    <w:multiLevelType w:val="hybridMultilevel"/>
    <w:lvl w:ilvl="0">
      <w:lvlJc w:val="left"/>
      <w:lvlText w:val="(%1)"/>
      <w:numFmt w:val="lowerRoman"/>
      <w:start w:val="30"/>
    </w:lvl>
    <w:lvl w:ilvl="1">
      <w:lvlJc w:val="left"/>
      <w:lvlText w:val="(%2)"/>
      <w:numFmt w:val="upperLetter"/>
      <w:start w:val="1"/>
    </w:lvl>
  </w:abstractNum>
  <w:abstractNum w:abstractNumId="256">
    <w:nsid w:val="3D1A2DD9"/>
    <w:multiLevelType w:val="hybridMultilevel"/>
    <w:lvl w:ilvl="0">
      <w:lvlJc w:val="left"/>
      <w:lvlText w:val="(%1)"/>
      <w:numFmt w:val="upperLetter"/>
      <w:start w:val="15"/>
    </w:lvl>
  </w:abstractNum>
  <w:abstractNum w:abstractNumId="257">
    <w:nsid w:val="7F618FCD"/>
    <w:multiLevelType w:val="hybridMultilevel"/>
    <w:lvl w:ilvl="0">
      <w:lvlJc w:val="left"/>
      <w:lvlText w:val="(%1)"/>
      <w:numFmt w:val="lowerRoman"/>
      <w:start w:val="32"/>
    </w:lvl>
  </w:abstractNum>
  <w:abstractNum w:abstractNumId="258">
    <w:nsid w:val="7843E45"/>
    <w:multiLevelType w:val="hybridMultilevel"/>
    <w:lvl w:ilvl="0">
      <w:lvlJc w:val="left"/>
      <w:lvlText w:val="(%1)"/>
      <w:numFmt w:val="lowerRoman"/>
      <w:start w:val="33"/>
    </w:lvl>
    <w:lvl w:ilvl="1">
      <w:lvlJc w:val="left"/>
      <w:lvlText w:val="(%2)"/>
      <w:numFmt w:val="upperLetter"/>
      <w:start w:val="3"/>
    </w:lvl>
    <w:lvl w:ilvl="2">
      <w:lvlJc w:val="left"/>
      <w:lvlText w:val="(%3)"/>
      <w:numFmt w:val="upperLetter"/>
      <w:start w:val="1"/>
    </w:lvl>
    <w:lvl w:ilvl="3">
      <w:lvlJc w:val="left"/>
      <w:lvlText w:val="(%4)"/>
      <w:numFmt w:val="lowerRoman"/>
      <w:start w:val="1"/>
    </w:lvl>
  </w:abstractNum>
  <w:abstractNum w:abstractNumId="259">
    <w:nsid w:val="9815DA3"/>
    <w:multiLevelType w:val="hybridMultilevel"/>
    <w:lvl w:ilvl="0">
      <w:lvlJc w:val="left"/>
      <w:lvlText w:val="(%1)"/>
      <w:numFmt w:val="lowerRoman"/>
      <w:start w:val="34"/>
    </w:lvl>
  </w:abstractNum>
  <w:abstractNum w:abstractNumId="260">
    <w:nsid w:val="5204A191"/>
    <w:multiLevelType w:val="hybridMultilevel"/>
    <w:lvl w:ilvl="0">
      <w:lvlJc w:val="left"/>
      <w:lvlText w:val="(%1)"/>
      <w:numFmt w:val="lowerRoman"/>
      <w:start w:val="35"/>
    </w:lvl>
  </w:abstractNum>
  <w:abstractNum w:abstractNumId="261">
    <w:nsid w:val="4C73A9C6"/>
    <w:multiLevelType w:val="hybridMultilevel"/>
    <w:lvl w:ilvl="0">
      <w:lvlJc w:val="left"/>
      <w:lvlText w:val="(%1)"/>
      <w:numFmt w:val="lowerRoman"/>
      <w:start w:val="36"/>
    </w:lvl>
    <w:lvl w:ilvl="1">
      <w:lvlJc w:val="left"/>
      <w:lvlText w:val="(%2)"/>
      <w:numFmt w:val="upperLetter"/>
      <w:start w:val="2"/>
    </w:lvl>
  </w:abstractNum>
  <w:abstractNum w:abstractNumId="262">
    <w:nsid w:val="1C7E3C01"/>
    <w:multiLevelType w:val="hybridMultilevel"/>
    <w:lvl w:ilvl="0">
      <w:lvlJc w:val="left"/>
      <w:lvlText w:val="$"/>
      <w:numFmt w:val="bullet"/>
      <w:start w:val="1"/>
    </w:lvl>
  </w:abstractNum>
  <w:abstractNum w:abstractNumId="263">
    <w:nsid w:val="1C2201FF"/>
    <w:multiLevelType w:val="hybridMultilevel"/>
    <w:lvl w:ilvl="0">
      <w:lvlJc w:val="left"/>
      <w:lvlText w:val="$"/>
      <w:numFmt w:val="bullet"/>
      <w:start w:val="1"/>
    </w:lvl>
  </w:abstractNum>
  <w:abstractNum w:abstractNumId="264">
    <w:nsid w:val="50ABCEC9"/>
    <w:multiLevelType w:val="hybridMultilevel"/>
    <w:lvl w:ilvl="0">
      <w:lvlJc w:val="left"/>
      <w:lvlText w:val="$"/>
      <w:numFmt w:val="bullet"/>
      <w:start w:val="1"/>
    </w:lvl>
  </w:abstractNum>
  <w:abstractNum w:abstractNumId="265">
    <w:nsid w:val="7635AA2A"/>
    <w:multiLevelType w:val="hybridMultilevel"/>
    <w:lvl w:ilvl="0">
      <w:lvlJc w:val="left"/>
      <w:lvlText w:val="8"/>
      <w:numFmt w:val="bullet"/>
      <w:start w:val="1"/>
    </w:lvl>
  </w:abstractNum>
  <w:abstractNum w:abstractNumId="266">
    <w:nsid w:val="5E74C4D9"/>
    <w:multiLevelType w:val="hybridMultilevel"/>
    <w:lvl w:ilvl="0">
      <w:lvlJc w:val="left"/>
      <w:lvlText w:val="9"/>
      <w:numFmt w:val="bullet"/>
      <w:start w:val="1"/>
    </w:lvl>
  </w:abstractNum>
  <w:abstractNum w:abstractNumId="267">
    <w:nsid w:val="3B3EBE15"/>
    <w:multiLevelType w:val="hybridMultilevel"/>
    <w:lvl w:ilvl="0">
      <w:lvlJc w:val="left"/>
      <w:lvlText w:val="%1."/>
      <w:numFmt w:val="decimal"/>
      <w:start w:val="1"/>
    </w:lvl>
  </w:abstractNum>
  <w:abstractNum w:abstractNumId="268">
    <w:nsid w:val="3822CB01"/>
    <w:multiLevelType w:val="hybridMultilevel"/>
    <w:lvl w:ilvl="0">
      <w:lvlJc w:val="left"/>
      <w:lvlText w:val="%1."/>
      <w:numFmt w:val="decimal"/>
      <w:start w:val="3"/>
    </w:lvl>
  </w:abstractNum>
  <w:abstractNum w:abstractNumId="269">
    <w:nsid w:val="6CE00443"/>
    <w:multiLevelType w:val="hybridMultilevel"/>
    <w:lvl w:ilvl="0">
      <w:lvlJc w:val="left"/>
      <w:lvlText w:val="1"/>
      <w:numFmt w:val="bullet"/>
      <w:start w:val="1"/>
    </w:lvl>
  </w:abstractNum>
  <w:abstractNum w:abstractNumId="270">
    <w:nsid w:val="79F0D62F"/>
    <w:multiLevelType w:val="hybridMultilevel"/>
    <w:lvl w:ilvl="0">
      <w:lvlJc w:val="left"/>
      <w:lvlText w:val="%1."/>
      <w:numFmt w:val="decimal"/>
      <w:start w:val="5"/>
    </w:lvl>
  </w:abstractNum>
  <w:abstractNum w:abstractNumId="271">
    <w:nsid w:val="7975E8EE"/>
    <w:multiLevelType w:val="hybridMultilevel"/>
    <w:lvl w:ilvl="0">
      <w:lvlJc w:val="left"/>
      <w:lvlText w:val="2"/>
      <w:numFmt w:val="bullet"/>
      <w:start w:val="1"/>
    </w:lvl>
  </w:abstractNum>
  <w:abstractNum w:abstractNumId="272">
    <w:nsid w:val="73154115"/>
    <w:multiLevelType w:val="hybridMultilevel"/>
    <w:lvl w:ilvl="0">
      <w:lvlJc w:val="left"/>
      <w:lvlText w:val="3"/>
      <w:numFmt w:val="bullet"/>
      <w:start w:val="1"/>
    </w:lvl>
  </w:abstractNum>
  <w:abstractNum w:abstractNumId="273">
    <w:nsid w:val="622D8102"/>
    <w:multiLevelType w:val="hybridMultilevel"/>
    <w:lvl w:ilvl="0">
      <w:lvlJc w:val="left"/>
      <w:lvlText w:val="4"/>
      <w:numFmt w:val="bullet"/>
      <w:start w:val="1"/>
    </w:lvl>
  </w:abstractNum>
  <w:abstractNum w:abstractNumId="274">
    <w:nsid w:val="2AB26587"/>
    <w:multiLevelType w:val="hybridMultilevel"/>
    <w:lvl w:ilvl="0">
      <w:lvlJc w:val="left"/>
      <w:lvlText w:val="1"/>
      <w:numFmt w:val="bullet"/>
      <w:start w:val="1"/>
    </w:lvl>
  </w:abstractNum>
  <w:abstractNum w:abstractNumId="275">
    <w:nsid w:val="44B3FA61"/>
    <w:multiLevelType w:val="hybridMultilevel"/>
    <w:lvl w:ilvl="0">
      <w:lvlJc w:val="left"/>
      <w:lvlText w:val="2"/>
      <w:numFmt w:val="bullet"/>
      <w:start w:val="1"/>
    </w:lvl>
  </w:abstractNum>
  <w:abstractNum w:abstractNumId="276">
    <w:nsid w:val="1C0CA67C"/>
    <w:multiLevelType w:val="hybridMultilevel"/>
    <w:lvl w:ilvl="0">
      <w:lvlJc w:val="left"/>
      <w:lvlText w:val="%1."/>
      <w:numFmt w:val="decimal"/>
      <w:start w:val="1"/>
    </w:lvl>
  </w:abstractNum>
  <w:abstractNum w:abstractNumId="277">
    <w:nsid w:val="3D206613"/>
    <w:multiLevelType w:val="hybridMultilevel"/>
    <w:lvl w:ilvl="0">
      <w:lvlJc w:val="left"/>
      <w:lvlText w:val="(%1)"/>
      <w:numFmt w:val="lowerRoman"/>
      <w:start w:val="7"/>
    </w:lvl>
  </w:abstractNum>
  <w:abstractNum w:abstractNumId="278">
    <w:nsid w:val="7993B662"/>
    <w:multiLevelType w:val="hybridMultilevel"/>
    <w:lvl w:ilvl="0">
      <w:lvlJc w:val="left"/>
      <w:lvlText w:val="%1."/>
      <w:numFmt w:val="decimal"/>
      <w:start w:val="2"/>
    </w:lvl>
  </w:abstractNum>
  <w:abstractNum w:abstractNumId="279">
    <w:nsid w:val="3BAB699E"/>
    <w:multiLevelType w:val="hybridMultilevel"/>
    <w:lvl w:ilvl="0">
      <w:lvlJc w:val="left"/>
      <w:lvlText w:val="%1."/>
      <w:numFmt w:val="upperLetter"/>
      <w:start w:val="1"/>
    </w:lvl>
  </w:abstractNum>
  <w:abstractNum w:abstractNumId="280">
    <w:nsid w:val="71315369"/>
    <w:multiLevelType w:val="hybridMultilevel"/>
    <w:lvl w:ilvl="0">
      <w:lvlJc w:val="left"/>
      <w:lvlText w:val="%1."/>
      <w:numFmt w:val="decimal"/>
      <w:start w:val="1"/>
    </w:lvl>
  </w:abstractNum>
  <w:abstractNum w:abstractNumId="281">
    <w:nsid w:val="7BCFBAFC"/>
    <w:multiLevelType w:val="hybridMultilevel"/>
    <w:lvl w:ilvl="0">
      <w:lvlJc w:val="left"/>
      <w:lvlText w:val="1"/>
      <w:numFmt w:val="bullet"/>
      <w:start w:val="1"/>
    </w:lvl>
  </w:abstractNum>
  <w:abstractNum w:abstractNumId="282">
    <w:nsid w:val="17859F72"/>
    <w:multiLevelType w:val="hybridMultilevel"/>
    <w:lvl w:ilvl="0">
      <w:lvlJc w:val="left"/>
      <w:lvlText w:val="2"/>
      <w:numFmt w:val="bullet"/>
      <w:start w:val="1"/>
    </w:lvl>
  </w:abstractNum>
  <w:abstractNum w:abstractNumId="283">
    <w:nsid w:val="3AA10581"/>
    <w:multiLevelType w:val="hybridMultilevel"/>
    <w:lvl w:ilvl="0">
      <w:lvlJc w:val="left"/>
      <w:lvlText w:val="(%1)"/>
      <w:numFmt w:val="lowerRoman"/>
      <w:start w:val="2"/>
    </w:lvl>
  </w:abstractNum>
  <w:abstractNum w:abstractNumId="284">
    <w:nsid w:val="63DE60CD"/>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285">
    <w:nsid w:val="621AF471"/>
    <w:multiLevelType w:val="hybridMultilevel"/>
    <w:lvl w:ilvl="0">
      <w:lvlJc w:val="left"/>
      <w:lvlText w:val="(%1)"/>
      <w:numFmt w:val="lowerRoman"/>
      <w:start w:val="2"/>
    </w:lvl>
  </w:abstractNum>
  <w:abstractNum w:abstractNumId="286">
    <w:nsid w:val="73CFE165"/>
    <w:multiLevelType w:val="hybridMultilevel"/>
    <w:lvl w:ilvl="0">
      <w:lvlJc w:val="left"/>
      <w:lvlText w:val="(%1)"/>
      <w:numFmt w:val="lowerLetter"/>
      <w:start w:val="2"/>
    </w:lvl>
    <w:lvl w:ilvl="1">
      <w:lvlJc w:val="left"/>
      <w:lvlText w:val="(%2)"/>
      <w:numFmt w:val="lowerRoman"/>
      <w:start w:val="1"/>
    </w:lvl>
  </w:abstractNum>
  <w:abstractNum w:abstractNumId="287">
    <w:nsid w:val="20F88EA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288">
    <w:nsid w:val="617C843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89">
    <w:nsid w:val="7B541FAB"/>
    <w:multiLevelType w:val="hybridMultilevel"/>
    <w:lvl w:ilvl="0">
      <w:lvlJc w:val="left"/>
      <w:lvlText w:val="%1"/>
      <w:numFmt w:val="decimal"/>
      <w:start w:val="1"/>
    </w:lvl>
    <w:lvl w:ilvl="1">
      <w:lvlJc w:val="left"/>
      <w:lvlText w:val="(%2)."/>
      <w:numFmt w:val="lowerLetter"/>
      <w:start w:val="61"/>
    </w:lvl>
    <w:lvl w:ilvl="2">
      <w:lvlJc w:val="left"/>
      <w:lvlText w:val="%3"/>
      <w:numFmt w:val="lowerRoman"/>
      <w:start w:val="1"/>
    </w:lvl>
  </w:abstractNum>
  <w:abstractNum w:abstractNumId="290">
    <w:nsid w:val="2A79EC4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91">
    <w:nsid w:val="338125C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92">
    <w:nsid w:val="47C7C971"/>
    <w:multiLevelType w:val="hybridMultilevel"/>
    <w:lvl w:ilvl="0">
      <w:lvlJc w:val="left"/>
      <w:lvlText w:val="%1"/>
      <w:numFmt w:val="decimal"/>
      <w:start w:val="1"/>
    </w:lvl>
    <w:lvl w:ilvl="1">
      <w:lvlJc w:val="left"/>
      <w:lvlText w:val="(%2)"/>
      <w:numFmt w:val="lowerLetter"/>
      <w:start w:val="1"/>
    </w:lvl>
  </w:abstractNum>
  <w:abstractNum w:abstractNumId="293">
    <w:nsid w:val="46F8284B"/>
    <w:multiLevelType w:val="hybridMultilevel"/>
    <w:lvl w:ilvl="0">
      <w:lvlJc w:val="left"/>
      <w:lvlText w:val="%1."/>
      <w:numFmt w:val="decimal"/>
      <w:start w:val="5"/>
    </w:lvl>
    <w:lvl w:ilvl="1">
      <w:lvlJc w:val="left"/>
      <w:lvlText w:val="(%2)"/>
      <w:numFmt w:val="lowerLetter"/>
      <w:start w:val="1"/>
    </w:lvl>
  </w:abstractNum>
  <w:abstractNum w:abstractNumId="294">
    <w:nsid w:val="4FA327CE"/>
    <w:multiLevelType w:val="hybridMultilevel"/>
    <w:lvl w:ilvl="0">
      <w:lvlJc w:val="left"/>
      <w:lvlText w:val="%1."/>
      <w:numFmt w:val="decimal"/>
      <w:start w:val="6"/>
    </w:lvl>
    <w:lvl w:ilvl="1">
      <w:lvlJc w:val="left"/>
      <w:lvlText w:val="(%2)"/>
      <w:numFmt w:val="lowerLetter"/>
      <w:start w:val="1"/>
    </w:lvl>
  </w:abstractNum>
  <w:abstractNum w:abstractNumId="295">
    <w:nsid w:val="1873983A"/>
    <w:multiLevelType w:val="hybridMultilevel"/>
    <w:lvl w:ilvl="0">
      <w:lvlJc w:val="left"/>
      <w:lvlText w:val="%1."/>
      <w:numFmt w:val="decimal"/>
      <w:start w:val="9"/>
    </w:lvl>
    <w:lvl w:ilvl="1">
      <w:lvlJc w:val="left"/>
      <w:lvlText w:val="(%2)"/>
      <w:numFmt w:val="lowerLetter"/>
      <w:start w:val="1"/>
    </w:lvl>
  </w:abstractNum>
  <w:abstractNum w:abstractNumId="296">
    <w:nsid w:val="3D2DD275"/>
    <w:multiLevelType w:val="hybridMultilevel"/>
    <w:lvl w:ilvl="0">
      <w:lvlJc w:val="left"/>
      <w:lvlText w:val="%1"/>
      <w:numFmt w:val="decimal"/>
      <w:start w:val="1"/>
    </w:lvl>
    <w:lvl w:ilvl="1">
      <w:lvlJc w:val="left"/>
      <w:lvlText w:val="(%2)"/>
      <w:numFmt w:val="lowerLetter"/>
      <w:start w:val="4"/>
    </w:lvl>
  </w:abstractNum>
  <w:abstractNum w:abstractNumId="297">
    <w:nsid w:val="2E17ECA7"/>
    <w:multiLevelType w:val="hybridMultilevel"/>
    <w:lvl w:ilvl="0">
      <w:lvlJc w:val="left"/>
      <w:lvlText w:val="%1."/>
      <w:numFmt w:val="decimal"/>
      <w:start w:val="10"/>
    </w:lvl>
    <w:lvl w:ilvl="1">
      <w:lvlJc w:val="left"/>
      <w:lvlText w:val="(%2)"/>
      <w:numFmt w:val="lowerLetter"/>
      <w:start w:val="1"/>
    </w:lvl>
  </w:abstractNum>
  <w:abstractNum w:abstractNumId="298">
    <w:nsid w:val="53B2564F"/>
    <w:multiLevelType w:val="hybridMultilevel"/>
    <w:lvl w:ilvl="0">
      <w:lvlJc w:val="left"/>
      <w:lvlText w:val="%1."/>
      <w:numFmt w:val="decimal"/>
      <w:start w:val="12"/>
    </w:lvl>
    <w:lvl w:ilvl="1">
      <w:lvlJc w:val="left"/>
      <w:lvlText w:val="(%2)"/>
      <w:numFmt w:val="lowerLetter"/>
      <w:start w:val="1"/>
    </w:lvl>
  </w:abstractNum>
  <w:abstractNum w:abstractNumId="299">
    <w:nsid w:val="75509D76"/>
    <w:multiLevelType w:val="hybridMultilevel"/>
    <w:lvl w:ilvl="0">
      <w:lvlJc w:val="left"/>
      <w:lvlText w:val="%1."/>
      <w:numFmt w:val="decimal"/>
      <w:start w:val="16"/>
    </w:lvl>
    <w:lvl w:ilvl="1">
      <w:lvlJc w:val="left"/>
      <w:lvlText w:val="(%2)"/>
      <w:numFmt w:val="lowerLetter"/>
      <w:start w:val="1"/>
    </w:lvl>
  </w:abstractNum>
  <w:abstractNum w:abstractNumId="300">
    <w:nsid w:val="1AF7F0EA"/>
    <w:multiLevelType w:val="hybridMultilevel"/>
    <w:lvl w:ilvl="0">
      <w:lvlJc w:val="left"/>
      <w:lvlText w:val="%1."/>
      <w:numFmt w:val="upperLetter"/>
      <w:start w:val="1"/>
    </w:lvl>
  </w:abstractNum>
  <w:abstractNum w:abstractNumId="301">
    <w:nsid w:val="4DA32C7E"/>
    <w:multiLevelType w:val="hybridMultilevel"/>
    <w:lvl w:ilvl="0">
      <w:lvlJc w:val="left"/>
      <w:lvlText w:val="%1."/>
      <w:numFmt w:val="upperLetter"/>
      <w:start w:val="1"/>
    </w:lvl>
  </w:abstractNum>
  <w:abstractNum w:abstractNumId="302">
    <w:nsid w:val="6EC68664"/>
    <w:multiLevelType w:val="hybridMultilevel"/>
    <w:lvl w:ilvl="0">
      <w:lvlJc w:val="left"/>
      <w:lvlText w:val="%1."/>
      <w:numFmt w:val="decimal"/>
      <w:start w:val="1"/>
    </w:lvl>
  </w:abstractNum>
  <w:abstractNum w:abstractNumId="303">
    <w:nsid w:val="E0D31FF"/>
    <w:multiLevelType w:val="hybridMultilevel"/>
    <w:lvl w:ilvl="0">
      <w:lvlJc w:val="left"/>
      <w:lvlText w:val="%1."/>
      <w:numFmt w:val="decimal"/>
      <w:start w:val="2"/>
    </w:lvl>
  </w:abstractNum>
  <w:abstractNum w:abstractNumId="304">
    <w:nsid w:val="2FD0AD81"/>
    <w:multiLevelType w:val="hybridMultilevel"/>
    <w:lvl w:ilvl="0">
      <w:lvlJc w:val="left"/>
      <w:lvlText w:val="%1."/>
      <w:numFmt w:val="decimal"/>
      <w:start w:val="1"/>
    </w:lvl>
  </w:abstractNum>
  <w:abstractNum w:abstractNumId="305">
    <w:nsid w:val="1978EBEB"/>
    <w:multiLevelType w:val="hybridMultilevel"/>
    <w:lvl w:ilvl="0">
      <w:lvlJc w:val="left"/>
      <w:lvlText w:val="%1."/>
      <w:numFmt w:val="decimal"/>
      <w:start w:val="13"/>
    </w:lvl>
  </w:abstractNum>
  <w:abstractNum w:abstractNumId="306">
    <w:nsid w:val="52C12C61"/>
    <w:multiLevelType w:val="hybridMultilevel"/>
    <w:lvl w:ilvl="0">
      <w:lvlJc w:val="left"/>
      <w:lvlText w:val="(%1)"/>
      <w:numFmt w:val="lowerRoman"/>
      <w:start w:val="2"/>
    </w:lvl>
  </w:abstractNum>
  <w:abstractNum w:abstractNumId="307">
    <w:nsid w:val="4BDD53FD"/>
    <w:multiLevelType w:val="hybridMultilevel"/>
    <w:lvl w:ilvl="0">
      <w:lvlJc w:val="left"/>
      <w:lvlText w:val="•"/>
      <w:numFmt w:val="bullet"/>
      <w:start w:val="1"/>
    </w:lvl>
  </w:abstractNum>
  <w:abstractNum w:abstractNumId="308">
    <w:nsid w:val="569951FE"/>
    <w:multiLevelType w:val="hybridMultilevel"/>
    <w:lvl w:ilvl="0">
      <w:lvlJc w:val="left"/>
      <w:lvlText w:val="•"/>
      <w:numFmt w:val="bullet"/>
      <w:start w:val="1"/>
    </w:lvl>
  </w:abstractNum>
  <w:abstractNum w:abstractNumId="309">
    <w:nsid w:val="4C54E2C3"/>
    <w:multiLevelType w:val="hybridMultilevel"/>
    <w:lvl w:ilvl="0">
      <w:lvlJc w:val="left"/>
      <w:lvlText w:val="•"/>
      <w:numFmt w:val="bullet"/>
      <w:start w:val="1"/>
    </w:lvl>
  </w:abstractNum>
  <w:abstractNum w:abstractNumId="310">
    <w:nsid w:val="788BD9B"/>
    <w:multiLevelType w:val="hybridMultilevel"/>
    <w:lvl w:ilvl="0">
      <w:lvlJc w:val="left"/>
      <w:lvlText w:val="%1."/>
      <w:numFmt w:val="decimal"/>
      <w:start w:val="1"/>
    </w:lvl>
    <w:lvl w:ilvl="1">
      <w:lvlJc w:val="left"/>
      <w:lvlText w:val="%2)"/>
      <w:numFmt w:val="lowerLetter"/>
      <w:start w:val="1"/>
    </w:lvl>
  </w:abstractNum>
  <w:abstractNum w:abstractNumId="311">
    <w:nsid w:val="47CAA5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2019-12-28T17:34:55Z</dcterms:created>
  <dcterms:modified xsi:type="dcterms:W3CDTF">2019-12-28T17:34:55Z</dcterms:modified>
</cp:coreProperties>
</file>