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1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October 31, 2023</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to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Number: 001-09614 </w:t>
      </w:r>
    </w:p>
    <w:p>
      <w:pPr>
        <w:pStyle w:val="TextBody"/>
        <w:bidi w:val="0"/>
        <w:spacing w:before="120" w:after="120"/>
        <w:jc w:val="center"/>
        <w:rPr/>
      </w:pPr>
      <w:r>
        <w:rPr/>
        <w:drawing>
          <wp:inline distT="0" distB="0" distL="0" distR="0">
            <wp:extent cx="347662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76625" cy="619125"/>
                    </a:xfrm>
                    <a:prstGeom prst="rect">
                      <a:avLst/>
                    </a:prstGeom>
                  </pic:spPr>
                </pic:pic>
              </a:graphicData>
            </a:graphic>
          </wp:inline>
        </w:drawing>
      </w:r>
    </w:p>
    <w:p>
      <w:pPr>
        <w:pStyle w:val="TextBody"/>
        <w:bidi w:val="0"/>
        <w:spacing w:lineRule="auto" w:line="288" w:before="160" w:after="283"/>
        <w:jc w:val="center"/>
        <w:rPr>
          <w:rFonts w:ascii="Times New Roman;sans-serif" w:hAnsi="Times New Roman;sans-serif"/>
          <w:b/>
          <w:color w:val="000000"/>
          <w:sz w:val="48"/>
        </w:rPr>
      </w:pPr>
      <w:r>
        <w:rPr>
          <w:rFonts w:ascii="Times New Roman;sans-serif" w:hAnsi="Times New Roman;sans-serif"/>
          <w:b/>
          <w:color w:val="000000"/>
          <w:sz w:val="48"/>
        </w:rPr>
        <w:t xml:space="preserve">Vail Resorts,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688" w:type="dxa"/>
        <w:jc w:val="center"/>
        <w:tblInd w:w="0" w:type="dxa"/>
        <w:tblLayout w:type="fixed"/>
        <w:tblCellMar>
          <w:top w:w="28" w:type="dxa"/>
          <w:left w:w="28" w:type="dxa"/>
          <w:bottom w:w="28" w:type="dxa"/>
          <w:right w:w="28" w:type="dxa"/>
        </w:tblCellMar>
      </w:tblPr>
      <w:tblGrid>
        <w:gridCol w:w="537"/>
        <w:gridCol w:w="473"/>
        <w:gridCol w:w="473"/>
        <w:gridCol w:w="473"/>
        <w:gridCol w:w="473"/>
        <w:gridCol w:w="493"/>
        <w:gridCol w:w="109"/>
        <w:gridCol w:w="109"/>
        <w:gridCol w:w="109"/>
        <w:gridCol w:w="420"/>
        <w:gridCol w:w="420"/>
        <w:gridCol w:w="599"/>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92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51-0291762</w:t>
            </w:r>
          </w:p>
        </w:tc>
      </w:tr>
      <w:tr>
        <w:trPr/>
        <w:tc>
          <w:tcPr>
            <w:tcW w:w="29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No.)</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390 Interlocken Crescent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Broomfield,</w:t>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Colorado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80021</w:t>
            </w:r>
          </w:p>
        </w:tc>
      </w:tr>
      <w:tr>
        <w:trPr/>
        <w:tc>
          <w:tcPr>
            <w:tcW w:w="29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tbl>
      <w:tblPr>
        <w:tblW w:w="4467" w:type="dxa"/>
        <w:jc w:val="center"/>
        <w:tblInd w:w="0" w:type="dxa"/>
        <w:tblLayout w:type="fixed"/>
        <w:tblCellMar>
          <w:top w:w="28" w:type="dxa"/>
          <w:left w:w="28" w:type="dxa"/>
          <w:bottom w:w="28" w:type="dxa"/>
          <w:right w:w="28" w:type="dxa"/>
        </w:tblCellMar>
      </w:tblPr>
      <w:tblGrid>
        <w:gridCol w:w="625"/>
        <w:gridCol w:w="553"/>
        <w:gridCol w:w="556"/>
        <w:gridCol w:w="799"/>
        <w:gridCol w:w="799"/>
        <w:gridCol w:w="1135"/>
      </w:tblGrid>
      <w:tr>
        <w:trPr/>
        <w:tc>
          <w:tcPr>
            <w:tcW w:w="62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(303) </w:t>
            </w:r>
          </w:p>
        </w:tc>
        <w:tc>
          <w:tcPr>
            <w:tcW w:w="27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404-1800</w:t>
            </w:r>
          </w:p>
        </w:tc>
      </w:tr>
      <w:tr>
        <w:trPr/>
        <w:tc>
          <w:tcPr>
            <w:tcW w:w="446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949" w:type="dxa"/>
        <w:jc w:val="center"/>
        <w:tblInd w:w="0" w:type="dxa"/>
        <w:tblLayout w:type="fixed"/>
        <w:tblCellMar>
          <w:top w:w="28" w:type="dxa"/>
          <w:left w:w="28" w:type="dxa"/>
          <w:bottom w:w="28" w:type="dxa"/>
          <w:right w:w="28" w:type="dxa"/>
        </w:tblCellMar>
      </w:tblPr>
      <w:tblGrid>
        <w:gridCol w:w="1021"/>
        <w:gridCol w:w="894"/>
        <w:gridCol w:w="905"/>
        <w:gridCol w:w="474"/>
        <w:gridCol w:w="474"/>
        <w:gridCol w:w="476"/>
        <w:gridCol w:w="1085"/>
        <w:gridCol w:w="1085"/>
        <w:gridCol w:w="1535"/>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8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MTN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left"/>
        <w:rPr>
          <w:color w:val="000000"/>
        </w:rPr>
      </w:pPr>
      <w:r>
        <w:rPr>
          <w:color w:val="000000"/>
        </w:rPr>
        <w:t> </w:t>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is a shell company (as defined in Rule 12b-2 of the Exchange Act).  </w:t>
      </w:r>
      <w:r>
        <w:rPr>
          <w:color w:val="000000"/>
        </w:rPr>
        <w:t>  ☐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 xml:space="preserve">No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4, 2023, 37,966,630 shares of the registrant’s common stock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04"/>
        <w:gridCol w:w="267"/>
        <w:gridCol w:w="270"/>
        <w:gridCol w:w="2939"/>
        <w:gridCol w:w="2939"/>
        <w:gridCol w:w="2944"/>
        <w:gridCol w:w="158"/>
        <w:gridCol w:w="158"/>
        <w:gridCol w:w="226"/>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INFORMATION</w:t>
            </w:r>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(unaudited).</w:t>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d589a12bb37e4bdaa846c4777941e0c2_10">
              <w:r>
                <w:rPr>
                  <w:rStyle w:val="InternetLink"/>
                  <w:rFonts w:ascii="Times New Roman;sans-serif" w:hAnsi="Times New Roman;sans-serif"/>
                  <w:b w:val="false"/>
                  <w:color w:val="0000FF"/>
                  <w:sz w:val="20"/>
                  <w:u w:val="single"/>
                </w:rPr>
                <w:t>Consolidated Condensed Balance Sheets as of October 31, 2023, July 31, 2023 and October 31, 2022</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589a12bb37e4bdaa846c4777941e0c2_10">
              <w:r>
                <w:rPr>
                  <w:rStyle w:val="InternetLink"/>
                  <w:rFonts w:ascii="Times New Roman;sans-serif" w:hAnsi="Times New Roman;sans-serif"/>
                  <w:b w:val="false"/>
                  <w:color w:val="0000FF"/>
                  <w:sz w:val="20"/>
                  <w:u w:val="single"/>
                </w:rPr>
                <w:t>2</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d589a12bb37e4bdaa846c4777941e0c2_13">
              <w:r>
                <w:rPr>
                  <w:rStyle w:val="InternetLink"/>
                  <w:rFonts w:ascii="Times New Roman;sans-serif" w:hAnsi="Times New Roman;sans-serif"/>
                  <w:b w:val="false"/>
                  <w:color w:val="000080"/>
                  <w:sz w:val="20"/>
                  <w:u w:val="single"/>
                </w:rPr>
                <w:t xml:space="preserve">Consolidated Condensed Statements of Operations for the Three </w:t>
              </w:r>
            </w:hyperlink>
            <w:hyperlink w:anchor="id589a12bb37e4bdaa846c4777941e0c2_13">
              <w:r>
                <w:rPr>
                  <w:rStyle w:val="InternetLink"/>
                  <w:rFonts w:ascii="Times New Roman;sans-serif" w:hAnsi="Times New Roman;sans-serif"/>
                  <w:b w:val="false"/>
                  <w:color w:val="000080"/>
                  <w:sz w:val="20"/>
                  <w:u w:val="single"/>
                </w:rPr>
                <w:t xml:space="preserve">Months Ended </w:t>
              </w:r>
            </w:hyperlink>
            <w:hyperlink w:anchor="id589a12bb37e4bdaa846c4777941e0c2_13">
              <w:r>
                <w:rPr>
                  <w:rStyle w:val="InternetLink"/>
                  <w:rFonts w:ascii="Times New Roman;sans-serif" w:hAnsi="Times New Roman;sans-serif"/>
                  <w:b w:val="false"/>
                  <w:color w:val="000080"/>
                  <w:sz w:val="20"/>
                  <w:u w:val="single"/>
                </w:rPr>
                <w:t>October 31</w:t>
              </w:r>
            </w:hyperlink>
            <w:hyperlink w:anchor="id589a12bb37e4bdaa846c4777941e0c2_13">
              <w:r>
                <w:rPr>
                  <w:rStyle w:val="InternetLink"/>
                  <w:rFonts w:ascii="Times New Roman;sans-serif" w:hAnsi="Times New Roman;sans-serif"/>
                  <w:b w:val="false"/>
                  <w:color w:val="000080"/>
                  <w:sz w:val="20"/>
                  <w:u w:val="single"/>
                </w:rPr>
                <w:t>, 2023 and 2022</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589a12bb37e4bdaa846c4777941e0c2_13">
              <w:r>
                <w:rPr>
                  <w:rStyle w:val="InternetLink"/>
                  <w:rFonts w:ascii="Times New Roman;sans-serif" w:hAnsi="Times New Roman;sans-serif"/>
                  <w:b w:val="false"/>
                  <w:color w:val="0000FF"/>
                  <w:sz w:val="20"/>
                  <w:u w:val="single"/>
                </w:rPr>
                <w:t>3</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d589a12bb37e4bdaa846c4777941e0c2_16">
              <w:r>
                <w:rPr>
                  <w:rStyle w:val="InternetLink"/>
                  <w:rFonts w:ascii="Times New Roman;sans-serif" w:hAnsi="Times New Roman;sans-serif"/>
                  <w:b w:val="false"/>
                  <w:color w:val="0000FF"/>
                  <w:sz w:val="20"/>
                  <w:u w:val="single"/>
                </w:rPr>
                <w:t>Consolidated Condensed Statements of Comprehensive Loss for the Three Months Ended October 31, 2023 and 2022</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589a12bb37e4bdaa846c4777941e0c2_16">
              <w:r>
                <w:rPr>
                  <w:rStyle w:val="InternetLink"/>
                  <w:rFonts w:ascii="Times New Roman;sans-serif" w:hAnsi="Times New Roman;sans-serif"/>
                  <w:b w:val="false"/>
                  <w:color w:val="0000FF"/>
                  <w:sz w:val="20"/>
                  <w:u w:val="single"/>
                </w:rPr>
                <w:t>4</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d589a12bb37e4bdaa846c4777941e0c2_19">
              <w:r>
                <w:rPr>
                  <w:rStyle w:val="InternetLink"/>
                  <w:rFonts w:ascii="Times New Roman;sans-serif" w:hAnsi="Times New Roman;sans-serif"/>
                  <w:b w:val="false"/>
                  <w:color w:val="000080"/>
                  <w:sz w:val="20"/>
                  <w:u w:val="single"/>
                </w:rPr>
                <w:t xml:space="preserve">Consolidated Condensed Statements of Stockholders’ Equity for the Three </w:t>
              </w:r>
            </w:hyperlink>
            <w:hyperlink w:anchor="id589a12bb37e4bdaa846c4777941e0c2_19">
              <w:r>
                <w:rPr>
                  <w:rStyle w:val="InternetLink"/>
                  <w:rFonts w:ascii="Times New Roman;sans-serif" w:hAnsi="Times New Roman;sans-serif"/>
                  <w:b w:val="false"/>
                  <w:color w:val="000080"/>
                  <w:sz w:val="20"/>
                  <w:u w:val="single"/>
                </w:rPr>
                <w:t>Mon</w:t>
              </w:r>
            </w:hyperlink>
            <w:hyperlink w:anchor="id589a12bb37e4bdaa846c4777941e0c2_19">
              <w:r>
                <w:rPr>
                  <w:rStyle w:val="InternetLink"/>
                  <w:rFonts w:ascii="Times New Roman;sans-serif" w:hAnsi="Times New Roman;sans-serif"/>
                  <w:b w:val="false"/>
                  <w:color w:val="000080"/>
                  <w:sz w:val="20"/>
                  <w:u w:val="single"/>
                </w:rPr>
                <w:t>ths</w:t>
              </w:r>
            </w:hyperlink>
            <w:hyperlink w:anchor="id589a12bb37e4bdaa846c4777941e0c2_19">
              <w:r>
                <w:rPr>
                  <w:rStyle w:val="InternetLink"/>
                  <w:rFonts w:ascii="Times New Roman;sans-serif" w:hAnsi="Times New Roman;sans-serif"/>
                  <w:b w:val="false"/>
                  <w:color w:val="000080"/>
                  <w:sz w:val="20"/>
                  <w:u w:val="single"/>
                </w:rPr>
                <w:t xml:space="preserve"> Ended </w:t>
              </w:r>
            </w:hyperlink>
            <w:hyperlink w:anchor="id589a12bb37e4bdaa846c4777941e0c2_19">
              <w:r>
                <w:rPr>
                  <w:rStyle w:val="InternetLink"/>
                  <w:rFonts w:ascii="Times New Roman;sans-serif" w:hAnsi="Times New Roman;sans-serif"/>
                  <w:b w:val="false"/>
                  <w:color w:val="000080"/>
                  <w:sz w:val="20"/>
                  <w:u w:val="single"/>
                </w:rPr>
                <w:t>October 31,</w:t>
              </w:r>
            </w:hyperlink>
            <w:hyperlink w:anchor="id589a12bb37e4bdaa846c4777941e0c2_19">
              <w:r>
                <w:rPr>
                  <w:rStyle w:val="InternetLink"/>
                  <w:rFonts w:ascii="Times New Roman;sans-serif" w:hAnsi="Times New Roman;sans-serif"/>
                  <w:b w:val="false"/>
                  <w:color w:val="000080"/>
                  <w:sz w:val="20"/>
                  <w:u w:val="single"/>
                </w:rPr>
                <w:t xml:space="preserve"> 2023 and 2022</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589a12bb37e4bdaa846c4777941e0c2_19">
              <w:r>
                <w:rPr>
                  <w:rStyle w:val="InternetLink"/>
                  <w:rFonts w:ascii="Times New Roman;sans-serif" w:hAnsi="Times New Roman;sans-serif"/>
                  <w:b w:val="false"/>
                  <w:color w:val="0000FF"/>
                  <w:sz w:val="20"/>
                  <w:u w:val="single"/>
                </w:rPr>
                <w:t>5</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d589a12bb37e4bdaa846c4777941e0c2_22">
              <w:r>
                <w:rPr>
                  <w:rStyle w:val="InternetLink"/>
                  <w:rFonts w:ascii="Times New Roman;sans-serif" w:hAnsi="Times New Roman;sans-serif"/>
                  <w:b w:val="false"/>
                  <w:color w:val="000080"/>
                  <w:sz w:val="20"/>
                  <w:u w:val="single"/>
                </w:rPr>
                <w:t xml:space="preserve">Consolidated Condensed Statements of Cash Flows for the </w:t>
              </w:r>
            </w:hyperlink>
            <w:hyperlink w:anchor="id589a12bb37e4bdaa846c4777941e0c2_22">
              <w:r>
                <w:rPr>
                  <w:rStyle w:val="InternetLink"/>
                  <w:rFonts w:ascii="Times New Roman;sans-serif" w:hAnsi="Times New Roman;sans-serif"/>
                  <w:b w:val="false"/>
                  <w:color w:val="000080"/>
                  <w:sz w:val="20"/>
                  <w:u w:val="single"/>
                </w:rPr>
                <w:t>Three</w:t>
              </w:r>
            </w:hyperlink>
            <w:hyperlink w:anchor="id589a12bb37e4bdaa846c4777941e0c2_22">
              <w:r>
                <w:rPr>
                  <w:rStyle w:val="InternetLink"/>
                  <w:rFonts w:ascii="Times New Roman;sans-serif" w:hAnsi="Times New Roman;sans-serif"/>
                  <w:b w:val="false"/>
                  <w:color w:val="000080"/>
                  <w:sz w:val="20"/>
                  <w:u w:val="single"/>
                </w:rPr>
                <w:t xml:space="preserve"> Months Ended</w:t>
              </w:r>
            </w:hyperlink>
            <w:hyperlink w:anchor="id589a12bb37e4bdaa846c4777941e0c2_22">
              <w:r>
                <w:rPr>
                  <w:rStyle w:val="InternetLink"/>
                  <w:rFonts w:ascii="Times New Roman;sans-serif" w:hAnsi="Times New Roman;sans-serif"/>
                  <w:b w:val="false"/>
                  <w:color w:val="000080"/>
                  <w:sz w:val="20"/>
                  <w:u w:val="single"/>
                </w:rPr>
                <w:t xml:space="preserve"> October 31</w:t>
              </w:r>
            </w:hyperlink>
            <w:hyperlink w:anchor="id589a12bb37e4bdaa846c4777941e0c2_22">
              <w:r>
                <w:rPr>
                  <w:rStyle w:val="InternetLink"/>
                  <w:rFonts w:ascii="Times New Roman;sans-serif" w:hAnsi="Times New Roman;sans-serif"/>
                  <w:b w:val="false"/>
                  <w:color w:val="000080"/>
                  <w:sz w:val="20"/>
                  <w:u w:val="single"/>
                </w:rPr>
                <w:t>, 2023 and 2022</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589a12bb37e4bdaa846c4777941e0c2_22">
              <w:r>
                <w:rPr>
                  <w:rStyle w:val="InternetLink"/>
                  <w:rFonts w:ascii="Times New Roman;sans-serif" w:hAnsi="Times New Roman;sans-serif"/>
                  <w:b w:val="false"/>
                  <w:color w:val="0000FF"/>
                  <w:sz w:val="20"/>
                  <w:u w:val="single"/>
                </w:rPr>
                <w:t>6</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d589a12bb37e4bdaa846c4777941e0c2_25">
              <w:r>
                <w:rPr>
                  <w:rStyle w:val="InternetLink"/>
                  <w:rFonts w:ascii="Times New Roman;sans-serif" w:hAnsi="Times New Roman;sans-serif"/>
                  <w:b w:val="false"/>
                  <w:color w:val="0000FF"/>
                  <w:sz w:val="20"/>
                  <w:u w:val="single"/>
                </w:rPr>
                <w:t>Notes to Consolidated Condensed Financial Statements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589a12bb37e4bdaa846c4777941e0c2_25">
              <w:r>
                <w:rPr>
                  <w:rStyle w:val="InternetLink"/>
                  <w:rFonts w:ascii="Times New Roman;sans-serif" w:hAnsi="Times New Roman;sans-serif"/>
                  <w:b w:val="false"/>
                  <w:color w:val="0000FF"/>
                  <w:sz w:val="20"/>
                  <w:u w:val="single"/>
                </w:rPr>
                <w:t>7</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d589a12bb37e4bdaa846c4777941e0c2_6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589a12bb37e4bdaa846c4777941e0c2_61">
              <w:r>
                <w:rPr>
                  <w:rStyle w:val="InternetLink"/>
                  <w:rFonts w:ascii="Times New Roman;sans-serif" w:hAnsi="Times New Roman;sans-serif"/>
                  <w:b w:val="false"/>
                  <w:color w:val="0000FF"/>
                  <w:sz w:val="20"/>
                  <w:u w:val="single"/>
                </w:rPr>
                <w:t>19</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d589a12bb37e4bdaa846c4777941e0c2_97">
              <w:r>
                <w:rPr>
                  <w:rStyle w:val="InternetLink"/>
                  <w:rFonts w:ascii="Times New Roman;sans-serif" w:hAnsi="Times New Roman;sans-serif"/>
                  <w:b w:val="false"/>
                  <w:color w:val="0000FF"/>
                  <w:sz w:val="20"/>
                  <w:u w:val="single"/>
                </w:rPr>
                <w:t>Quantitative and Qualitative Disclosures About Market Risk</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589a12bb37e4bdaa846c4777941e0c2_97">
              <w:r>
                <w:rPr>
                  <w:rStyle w:val="InternetLink"/>
                  <w:rFonts w:ascii="Times New Roman;sans-serif" w:hAnsi="Times New Roman;sans-serif"/>
                  <w:b w:val="false"/>
                  <w:color w:val="0000FF"/>
                  <w:sz w:val="20"/>
                  <w:u w:val="single"/>
                </w:rPr>
                <w:t>31</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589a12bb37e4bdaa846c4777941e0c2_100">
              <w:r>
                <w:rPr>
                  <w:rStyle w:val="InternetLink"/>
                  <w:rFonts w:ascii="Times New Roman;sans-serif" w:hAnsi="Times New Roman;sans-serif"/>
                  <w:b w:val="false"/>
                  <w:color w:val="0000FF"/>
                  <w:sz w:val="20"/>
                  <w:u w:val="single"/>
                </w:rPr>
                <w:t>Controls and Procedures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589a12bb37e4bdaa846c4777941e0c2_100">
              <w:r>
                <w:rPr>
                  <w:rStyle w:val="InternetLink"/>
                  <w:rFonts w:ascii="Times New Roman;sans-serif" w:hAnsi="Times New Roman;sans-serif"/>
                  <w:b w:val="false"/>
                  <w:color w:val="0000FF"/>
                  <w:sz w:val="20"/>
                  <w:u w:val="single"/>
                </w:rPr>
                <w:t>32</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589a12bb37e4bdaa846c4777941e0c2_106">
              <w:r>
                <w:rPr>
                  <w:rStyle w:val="InternetLink"/>
                  <w:rFonts w:ascii="Times New Roman;sans-serif" w:hAnsi="Times New Roman;sans-serif"/>
                  <w:b w:val="false"/>
                  <w:color w:val="0000FF"/>
                  <w:sz w:val="20"/>
                  <w:u w:val="single"/>
                </w:rPr>
                <w:t>Legal Proceedings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589a12bb37e4bdaa846c4777941e0c2_106">
              <w:r>
                <w:rPr>
                  <w:rStyle w:val="InternetLink"/>
                  <w:rFonts w:ascii="Times New Roman;sans-serif" w:hAnsi="Times New Roman;sans-serif"/>
                  <w:b w:val="false"/>
                  <w:color w:val="0000FF"/>
                  <w:sz w:val="20"/>
                  <w:u w:val="single"/>
                </w:rPr>
                <w:t>33</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589a12bb37e4bdaa846c4777941e0c2_109">
              <w:r>
                <w:rPr>
                  <w:rStyle w:val="InternetLink"/>
                  <w:rFonts w:ascii="Times New Roman;sans-serif" w:hAnsi="Times New Roman;sans-serif"/>
                  <w:b w:val="false"/>
                  <w:color w:val="0000FF"/>
                  <w:sz w:val="20"/>
                  <w:u w:val="single"/>
                </w:rPr>
                <w:t>Risk Factors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589a12bb37e4bdaa846c4777941e0c2_109">
              <w:r>
                <w:rPr>
                  <w:rStyle w:val="InternetLink"/>
                  <w:rFonts w:ascii="Times New Roman;sans-serif" w:hAnsi="Times New Roman;sans-serif"/>
                  <w:b w:val="false"/>
                  <w:color w:val="0000FF"/>
                  <w:sz w:val="20"/>
                  <w:u w:val="single"/>
                </w:rPr>
                <w:t>33</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589a12bb37e4bdaa846c4777941e0c2_112">
              <w:r>
                <w:rPr>
                  <w:rStyle w:val="InternetLink"/>
                  <w:rFonts w:ascii="Times New Roman;sans-serif" w:hAnsi="Times New Roman;sans-serif"/>
                  <w:b w:val="false"/>
                  <w:color w:val="0000FF"/>
                  <w:sz w:val="20"/>
                  <w:u w:val="single"/>
                </w:rPr>
                <w:t>Unregistered Sales of Equity Securities and Use of Proceeds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589a12bb37e4bdaa846c4777941e0c2_112">
              <w:r>
                <w:rPr>
                  <w:rStyle w:val="InternetLink"/>
                  <w:rFonts w:ascii="Times New Roman;sans-serif" w:hAnsi="Times New Roman;sans-serif"/>
                  <w:b w:val="false"/>
                  <w:color w:val="0000FF"/>
                  <w:sz w:val="20"/>
                  <w:u w:val="single"/>
                </w:rPr>
                <w:t>33</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589a12bb37e4bdaa846c4777941e0c2_115">
              <w:r>
                <w:rPr>
                  <w:rStyle w:val="InternetLink"/>
                  <w:rFonts w:ascii="Times New Roman;sans-serif" w:hAnsi="Times New Roman;sans-serif"/>
                  <w:b w:val="false"/>
                  <w:color w:val="0000FF"/>
                  <w:sz w:val="20"/>
                  <w:u w:val="single"/>
                </w:rPr>
                <w:t>Defaults Upon Senior Securities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589a12bb37e4bdaa846c4777941e0c2_115">
              <w:r>
                <w:rPr>
                  <w:rStyle w:val="InternetLink"/>
                  <w:rFonts w:ascii="Times New Roman;sans-serif" w:hAnsi="Times New Roman;sans-serif"/>
                  <w:b w:val="false"/>
                  <w:color w:val="0000FF"/>
                  <w:sz w:val="20"/>
                  <w:u w:val="single"/>
                </w:rPr>
                <w:t>33</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589a12bb37e4bdaa846c4777941e0c2_118">
              <w:r>
                <w:rPr>
                  <w:rStyle w:val="InternetLink"/>
                  <w:rFonts w:ascii="Times New Roman;sans-serif" w:hAnsi="Times New Roman;sans-serif"/>
                  <w:b w:val="false"/>
                  <w:color w:val="0000FF"/>
                  <w:sz w:val="20"/>
                  <w:u w:val="single"/>
                </w:rPr>
                <w:t>Mine Safety Disclosures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589a12bb37e4bdaa846c4777941e0c2_118">
              <w:r>
                <w:rPr>
                  <w:rStyle w:val="InternetLink"/>
                  <w:rFonts w:ascii="Times New Roman;sans-serif" w:hAnsi="Times New Roman;sans-serif"/>
                  <w:b w:val="false"/>
                  <w:color w:val="0000FF"/>
                  <w:sz w:val="20"/>
                  <w:u w:val="single"/>
                </w:rPr>
                <w:t>33</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589a12bb37e4bdaa846c4777941e0c2_121">
              <w:r>
                <w:rPr>
                  <w:rStyle w:val="InternetLink"/>
                  <w:rFonts w:ascii="Times New Roman;sans-serif" w:hAnsi="Times New Roman;sans-serif"/>
                  <w:b w:val="false"/>
                  <w:color w:val="0000FF"/>
                  <w:sz w:val="20"/>
                  <w:u w:val="single"/>
                </w:rPr>
                <w:t>Other Information</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589a12bb37e4bdaa846c4777941e0c2_121">
              <w:r>
                <w:rPr>
                  <w:rStyle w:val="InternetLink"/>
                  <w:rFonts w:ascii="Times New Roman;sans-serif" w:hAnsi="Times New Roman;sans-serif"/>
                  <w:b w:val="false"/>
                  <w:color w:val="0000FF"/>
                  <w:sz w:val="20"/>
                  <w:u w:val="single"/>
                </w:rPr>
                <w:t>33</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589a12bb37e4bdaa846c4777941e0c2_124">
              <w:r>
                <w:rPr>
                  <w:rStyle w:val="InternetLink"/>
                  <w:rFonts w:ascii="Times New Roman;sans-serif" w:hAnsi="Times New Roman;sans-serif"/>
                  <w:b w:val="false"/>
                  <w:color w:val="0000FF"/>
                  <w:sz w:val="20"/>
                  <w:u w:val="single"/>
                </w:rPr>
                <w:t>Exhibits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589a12bb37e4bdaa846c4777941e0c2_124">
              <w:r>
                <w:rPr>
                  <w:rStyle w:val="InternetLink"/>
                  <w:rFonts w:ascii="Times New Roman;sans-serif" w:hAnsi="Times New Roman;sans-serif"/>
                  <w:b w:val="false"/>
                  <w:color w:val="0000FF"/>
                  <w:sz w:val="20"/>
                  <w:u w:val="single"/>
                </w:rPr>
                <w:t>34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Vail Resorts,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27"/>
        <w:gridCol w:w="1614"/>
        <w:gridCol w:w="1569"/>
        <w:gridCol w:w="109"/>
        <w:gridCol w:w="109"/>
        <w:gridCol w:w="109"/>
        <w:gridCol w:w="217"/>
        <w:gridCol w:w="1006"/>
        <w:gridCol w:w="112"/>
        <w:gridCol w:w="109"/>
        <w:gridCol w:w="109"/>
        <w:gridCol w:w="109"/>
        <w:gridCol w:w="211"/>
        <w:gridCol w:w="976"/>
        <w:gridCol w:w="109"/>
        <w:gridCol w:w="109"/>
        <w:gridCol w:w="109"/>
        <w:gridCol w:w="109"/>
        <w:gridCol w:w="217"/>
        <w:gridCol w:w="1005"/>
        <w:gridCol w:w="161"/>
      </w:tblGrid>
      <w:tr>
        <w:trPr/>
        <w:tc>
          <w:tcPr>
            <w:tcW w:w="2027"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31, 2022</w:t>
            </w:r>
          </w:p>
        </w:tc>
      </w:tr>
      <w:tr>
        <w:trPr/>
        <w:tc>
          <w:tcPr>
            <w:tcW w:w="5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728,859 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1,180,942 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1,134,505 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1,621,667 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2,344,601 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2,313,061 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held for sale 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net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1,668,028 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1,688,731 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5,760,016 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6,280,866 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1,276,525 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1,190,522 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due within one year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1,362,847 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1,342,705 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2,732,037 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2,769,698 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4,831,836 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4,729,148 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25,000 shares authorized, no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100,000 shares authorized, 46,851, 46,798 and 46,789 shares issued,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1,126,033 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1,106,813 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(78,376)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(68,908)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705,923 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8,885, 8,648 and 6,466 shares, respectively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(1,034,822)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Vail Resorts, Inc. stockholders’ equity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633,031 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1,264,879 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stockholders’ equity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928,180 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1,551,718 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5,760,016 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6,280,866 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Vail Resorts,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541"/>
        <w:gridCol w:w="2208"/>
        <w:gridCol w:w="2212"/>
        <w:gridCol w:w="211"/>
        <w:gridCol w:w="897"/>
        <w:gridCol w:w="109"/>
        <w:gridCol w:w="109"/>
        <w:gridCol w:w="109"/>
        <w:gridCol w:w="109"/>
        <w:gridCol w:w="211"/>
        <w:gridCol w:w="897"/>
        <w:gridCol w:w="109"/>
        <w:gridCol w:w="109"/>
        <w:gridCol w:w="109"/>
        <w:gridCol w:w="109"/>
        <w:gridCol w:w="156"/>
      </w:tblGrid>
      <w:tr>
        <w:trPr/>
        <w:tc>
          <w:tcPr>
            <w:tcW w:w="2541"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9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and Lodging services and other</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Mountain and Lodging retail and dining </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net revenue</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(exclusive of depreciation and amortization shown separately below):</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and Lodging operating expense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and Lodging retail and dining cost of products sold</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operating expense</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operating expense</w:t>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expense</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 income:</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property</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 of contingent consideration (Note 8)</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fixed assets and other,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equity investment income,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 and other, net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 on intercompany loans (Note 5)</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benefit from income taxes</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Vail Resorts,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 share amounts (Note 4):</w:t>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attributable to Vail Resorts,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per share attributable to Vail Resorts,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Vail Resorts,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8619" w:type="dxa"/>
        <w:jc w:val="center"/>
        <w:tblInd w:w="0" w:type="dxa"/>
        <w:tblLayout w:type="fixed"/>
        <w:tblCellMar>
          <w:top w:w="28" w:type="dxa"/>
          <w:left w:w="28" w:type="dxa"/>
          <w:bottom w:w="28" w:type="dxa"/>
          <w:right w:w="28" w:type="dxa"/>
        </w:tblCellMar>
      </w:tblPr>
      <w:tblGrid>
        <w:gridCol w:w="1945"/>
        <w:gridCol w:w="1695"/>
        <w:gridCol w:w="1729"/>
        <w:gridCol w:w="211"/>
        <w:gridCol w:w="901"/>
        <w:gridCol w:w="109"/>
        <w:gridCol w:w="109"/>
        <w:gridCol w:w="109"/>
        <w:gridCol w:w="109"/>
        <w:gridCol w:w="211"/>
        <w:gridCol w:w="901"/>
        <w:gridCol w:w="109"/>
        <w:gridCol w:w="109"/>
        <w:gridCol w:w="109"/>
        <w:gridCol w:w="109"/>
        <w:gridCol w:w="154"/>
      </w:tblGrid>
      <w:tr>
        <w:trPr/>
        <w:tc>
          <w:tcPr>
            <w:tcW w:w="1945"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 of hedging instruments, net of tax</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noncontrolling interests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Vail Resorts,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Vail Resorts,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689" w:type="dxa"/>
        <w:jc w:val="center"/>
        <w:tblInd w:w="0" w:type="dxa"/>
        <w:tblLayout w:type="fixed"/>
        <w:tblCellMar>
          <w:top w:w="28" w:type="dxa"/>
          <w:left w:w="28" w:type="dxa"/>
          <w:bottom w:w="28" w:type="dxa"/>
          <w:right w:w="28" w:type="dxa"/>
        </w:tblCellMar>
      </w:tblPr>
      <w:tblGrid>
        <w:gridCol w:w="630"/>
        <w:gridCol w:w="370"/>
        <w:gridCol w:w="231"/>
        <w:gridCol w:w="109"/>
        <w:gridCol w:w="211"/>
        <w:gridCol w:w="466"/>
        <w:gridCol w:w="109"/>
        <w:gridCol w:w="751"/>
        <w:gridCol w:w="196"/>
        <w:gridCol w:w="871"/>
        <w:gridCol w:w="109"/>
        <w:gridCol w:w="196"/>
        <w:gridCol w:w="661"/>
        <w:gridCol w:w="109"/>
        <w:gridCol w:w="196"/>
        <w:gridCol w:w="736"/>
        <w:gridCol w:w="109"/>
        <w:gridCol w:w="196"/>
        <w:gridCol w:w="886"/>
        <w:gridCol w:w="109"/>
        <w:gridCol w:w="196"/>
        <w:gridCol w:w="871"/>
        <w:gridCol w:w="109"/>
        <w:gridCol w:w="196"/>
        <w:gridCol w:w="736"/>
        <w:gridCol w:w="109"/>
        <w:gridCol w:w="196"/>
        <w:gridCol w:w="871"/>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75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 in Capital</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Income (Loss)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Vail Resorts, Inc. Stockholders’ Equity</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c>
          <w:tcPr>
            <w:tcW w:w="1221" w:type="dxa"/>
            <w:gridSpan w:val="3"/>
            <w:tcBorders/>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Vail Resorts</w:t>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July 31, 2022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1,847,484 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estimated fair value of hedging instruments,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(253,361)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under share award plans, net of shares withheld for employee taxes</w:t>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(Note 4)</w:t>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effect of adoption of ASU 2020-06</w:t>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acquisition date fair value of noncontrolling interests (Note 6)</w:t>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 net</w:t>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October 31, 2022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1,551,718 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July 31, 2023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estimated fair value of hedging instruments,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(277,611)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under share award plans, net of shares withheld for employee taxes</w:t>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 (Note 11)</w:t>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(Note 4)</w:t>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 net</w:t>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October 31, 2023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1,126,033 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(1,034,822)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295,149 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928,180 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Vail Resorts,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555" w:type="dxa"/>
        <w:jc w:val="center"/>
        <w:tblInd w:w="0" w:type="dxa"/>
        <w:tblLayout w:type="fixed"/>
        <w:tblCellMar>
          <w:top w:w="28" w:type="dxa"/>
          <w:left w:w="28" w:type="dxa"/>
          <w:bottom w:w="28" w:type="dxa"/>
          <w:right w:w="28" w:type="dxa"/>
        </w:tblCellMar>
      </w:tblPr>
      <w:tblGrid>
        <w:gridCol w:w="2016"/>
        <w:gridCol w:w="1767"/>
        <w:gridCol w:w="1781"/>
        <w:gridCol w:w="109"/>
        <w:gridCol w:w="109"/>
        <w:gridCol w:w="109"/>
        <w:gridCol w:w="196"/>
        <w:gridCol w:w="811"/>
        <w:gridCol w:w="109"/>
        <w:gridCol w:w="109"/>
        <w:gridCol w:w="109"/>
        <w:gridCol w:w="109"/>
        <w:gridCol w:w="196"/>
        <w:gridCol w:w="871"/>
        <w:gridCol w:w="154"/>
      </w:tblGrid>
      <w:tr>
        <w:trPr/>
        <w:tc>
          <w:tcPr>
            <w:tcW w:w="201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and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of deposit for acquisition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business,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short-term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Maturity of short-term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borrowings under Vail Holdings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taxes paid for share award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Vail Resorts,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0" w:after="12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1.Organization and Business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Vail Resorts, Inc. (“Vail Resorts”) is organized as a holding company and operates through various subsidiaries. Vail Resorts and its subsidiaries (collectively, the “Company”) operate in three reportable segments: Mountain, Lodging and Real Estate. The Company refers to “Resort” as the combination of the Mountain and Lodging segments.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Mountain segment, the Company operates the following 41 destination mountain resorts and regional ski areas:</w:t>
      </w:r>
    </w:p>
    <w:p>
      <w:pPr>
        <w:pStyle w:val="TextBody"/>
        <w:bidi w:val="0"/>
        <w:spacing w:before="0" w:after="0"/>
        <w:jc w:val="both"/>
        <w:rPr/>
      </w:pPr>
      <w:r>
        <w:rPr/>
      </w:r>
    </w:p>
    <w:p>
      <w:pPr>
        <w:pStyle w:val="TextBody"/>
        <w:bidi w:val="0"/>
        <w:spacing w:before="120" w:after="283"/>
        <w:jc w:val="center"/>
        <w:rPr/>
      </w:pPr>
      <w:r>
        <w:rPr/>
        <w:drawing>
          <wp:inline distT="0" distB="0" distL="0" distR="0">
            <wp:extent cx="6515100" cy="306705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6515100" cy="3067050"/>
                    </a:xfrm>
                    <a:prstGeom prst="rect">
                      <a:avLst/>
                    </a:prstGeom>
                  </pic:spPr>
                </pic:pic>
              </a:graphicData>
            </a:graphic>
          </wp:inline>
        </w:drawing>
      </w:r>
    </w:p>
    <w:p>
      <w:pPr>
        <w:pStyle w:val="TextBody"/>
        <w:bidi w:val="0"/>
        <w:spacing w:before="120" w:after="283"/>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*Denotes a destination mountain resort, which generally receives a meaningful portion of skier visits from long-distance travelers, as opposed to the Company’s regional ski areas, which tend to generate skier visits predominantly from their respective local markets.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Mountain segment includes ancillary services, primarily including ski school, dining and retail/rental operations, and for the Company’s Australian ski areas, including lodging and transportation operations.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concessioner properties including the Grand Teton Lodge Company, which operates destination resorts in Grand Teton National Park; a Colorado resort ground transportation company and mountain resort golf courses.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Real Estate segment primarily owns, develops and sells real estate in and around the Company’s resort communities.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mountain business and its lodging properties at or around the Company’s mountain resorts are seasonal in nature, and typically experience their peak operating seasons primarily from mid-December through mid-April in North America and Europe. The peak operating season at the Company’s Australian resorts, NPS concessioner properties and golf courses generally occurs from June to early October.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83"/>
        <w:jc w:val="both"/>
        <w:rPr/>
      </w:pPr>
      <w:r>
        <w:rPr>
          <w:rFonts w:ascii="Times New Roman;sans-serif" w:hAnsi="Times New Roman;sans-serif"/>
          <w:b w:val="false"/>
          <w:i/>
          <w:color w:val="000000"/>
          <w:sz w:val="20"/>
        </w:rPr>
        <w:t>Consolidated Condensed Financial Statements —</w:t>
      </w:r>
      <w:r>
        <w:rPr>
          <w:color w:val="000000"/>
        </w:rPr>
        <w:t xml:space="preserve"> </w:t>
      </w:r>
      <w:r>
        <w:rPr>
          <w:rFonts w:ascii="Times New Roman;sans-serif" w:hAnsi="Times New Roman;sans-serif"/>
          <w:b w:val="false"/>
          <w:color w:val="000000"/>
          <w:sz w:val="20"/>
        </w:rPr>
        <w:t xml:space="preserve">In the opinion of the Company, the accompanying Consolidated Condensed Financial Statements reflect 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2023.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2023 was derived from audited financial statements. </w:t>
      </w:r>
    </w:p>
    <w:p>
      <w:pPr>
        <w:pStyle w:val="TextBody"/>
        <w:bidi w:val="0"/>
        <w:spacing w:lineRule="auto" w:line="288" w:before="240" w:after="283"/>
        <w:jc w:val="both"/>
        <w:rPr/>
      </w:pPr>
      <w:r>
        <w:rPr>
          <w:rFonts w:ascii="Times New Roman;sans-serif" w:hAnsi="Times New Roman;sans-serif"/>
          <w:b w:val="false"/>
          <w:i/>
          <w:color w:val="000000"/>
          <w:sz w:val="20"/>
        </w:rPr>
        <w:t xml:space="preserve">Use of Estimates </w:t>
      </w:r>
      <w:r>
        <w:rPr>
          <w:color w:val="000000"/>
        </w:rPr>
        <w:t xml:space="preserve">— </w:t>
      </w: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the disclosure of contingent assets and liabilities at the balance sheet date and the reported amounts of revenue and expenses during the reporting periods. Actual results could differ from those estimates.</w:t>
      </w:r>
    </w:p>
    <w:p>
      <w:pPr>
        <w:pStyle w:val="TextBody"/>
        <w:bidi w:val="0"/>
        <w:spacing w:lineRule="auto" w:line="288" w:before="240" w:after="283"/>
        <w:jc w:val="both"/>
        <w:rPr/>
      </w:pPr>
      <w:r>
        <w:rPr>
          <w:rFonts w:ascii="Times New Roman;sans-serif" w:hAnsi="Times New Roman;sans-serif"/>
          <w:b w:val="false"/>
          <w:i/>
          <w:color w:val="000000"/>
          <w:sz w:val="20"/>
        </w:rPr>
        <w:t xml:space="preserve">Fair Value of Financial Instruments </w:t>
      </w:r>
      <w:r>
        <w:rPr>
          <w:color w:val="000000"/>
        </w:rPr>
        <w:t xml:space="preserve">— </w:t>
      </w:r>
      <w:r>
        <w:rPr>
          <w:rFonts w:ascii="Times New Roman;sans-serif" w:hAnsi="Times New Roman;sans-serif"/>
          <w:b w:val="false"/>
          <w:color w:val="000000"/>
          <w:sz w:val="20"/>
        </w:rPr>
        <w:t>The estimated fair values of the 6.25% Notes and the 0.0% Convertible Notes (each as defined in Note 5, Long-Term Debt) are based on quoted market prices (a Level 2 input). The estimated fair value of the EPR Secured Notes and the NRP Loan (both as defined in Note 5, Long-Term Debt) have been estimated using analyses based on current borrowing rates for comparable debt instruments with similar maturity dates (a Level 2 input). The carrying values, including any unamortized premium or discount, and estimated fair values of the 6.25% Notes, 0.0% Convertible Notes, EPR Secured Notes and NRP Loan as of October 31, 2023 are presented below (in thousands):</w:t>
      </w:r>
    </w:p>
    <w:tbl>
      <w:tblPr>
        <w:tblW w:w="5337" w:type="dxa"/>
        <w:jc w:val="center"/>
        <w:tblInd w:w="0" w:type="dxa"/>
        <w:tblLayout w:type="fixed"/>
        <w:tblCellMar>
          <w:top w:w="28" w:type="dxa"/>
          <w:left w:w="28" w:type="dxa"/>
          <w:bottom w:w="28" w:type="dxa"/>
          <w:right w:w="28" w:type="dxa"/>
        </w:tblCellMar>
      </w:tblPr>
      <w:tblGrid>
        <w:gridCol w:w="750"/>
        <w:gridCol w:w="656"/>
        <w:gridCol w:w="664"/>
        <w:gridCol w:w="229"/>
        <w:gridCol w:w="898"/>
        <w:gridCol w:w="118"/>
        <w:gridCol w:w="109"/>
        <w:gridCol w:w="109"/>
        <w:gridCol w:w="109"/>
        <w:gridCol w:w="300"/>
        <w:gridCol w:w="1176"/>
        <w:gridCol w:w="219"/>
      </w:tblGrid>
      <w:tr>
        <w:trPr/>
        <w:tc>
          <w:tcPr>
            <w:tcW w:w="7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31, 2023</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6.25% Notes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596,022 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 Convertible Notes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501,883 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EPR Secured Notes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158,129 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NRP Loan</w:t>
            </w:r>
          </w:p>
        </w:tc>
        <w:tc>
          <w:tcPr>
            <w:tcW w:w="22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34,489 </w:t>
            </w:r>
          </w:p>
        </w:tc>
        <w:tc>
          <w:tcPr>
            <w:tcW w:w="1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28,359 </w:t>
            </w:r>
          </w:p>
        </w:tc>
        <w:tc>
          <w:tcPr>
            <w:tcW w:w="21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for all other financial instruments not included in the above table approximate their respective fair value due to their short-term nature or the variable nature of their associated interest rates.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3.     Revenues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revenues disaggregated by segment and major revenue type for the three months ended October 31, 2023 and 2022 (in thousands):</w:t>
      </w:r>
    </w:p>
    <w:tbl>
      <w:tblPr>
        <w:tblW w:w="6036" w:type="dxa"/>
        <w:jc w:val="center"/>
        <w:tblInd w:w="0" w:type="dxa"/>
        <w:tblLayout w:type="fixed"/>
        <w:tblCellMar>
          <w:top w:w="28" w:type="dxa"/>
          <w:left w:w="28" w:type="dxa"/>
          <w:bottom w:w="28" w:type="dxa"/>
          <w:right w:w="28" w:type="dxa"/>
        </w:tblCellMar>
      </w:tblPr>
      <w:tblGrid>
        <w:gridCol w:w="945"/>
        <w:gridCol w:w="829"/>
        <w:gridCol w:w="835"/>
        <w:gridCol w:w="109"/>
        <w:gridCol w:w="109"/>
        <w:gridCol w:w="109"/>
        <w:gridCol w:w="211"/>
        <w:gridCol w:w="826"/>
        <w:gridCol w:w="109"/>
        <w:gridCol w:w="109"/>
        <w:gridCol w:w="109"/>
        <w:gridCol w:w="109"/>
        <w:gridCol w:w="211"/>
        <w:gridCol w:w="826"/>
        <w:gridCol w:w="109"/>
        <w:gridCol w:w="109"/>
        <w:gridCol w:w="109"/>
        <w:gridCol w:w="109"/>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net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Ski School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Retail/Rental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Mountain net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net 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hotel 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condominium rooms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Dining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cost reimbursements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Lodging net revenue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Resort net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balances of a short-term nature were $872.4 million and $572.6 million as of October 31, 2023 and July 31, 2023, respectively. For the three months ended October 31, 2023, the Company recognized approximately $56.5 million of revenue that was included in the deferred revenue balance as of July 31, 2023. Deferred revenue balances of a long-term nature, comprised primarily of long-term private club initiation fee revenue, were $107.9 million, $109.7 million and $115.6 million as of October 31, 2023, July 31, 2023 and October 31, 2022, respectively. As of October 31, 2023, the weighted average remaining period over which revenue for unsatisfied performance obligations on long-term private club contracts will be recognized was approximately 15 years.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Costs to Obtain Contracts with Customers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Costs to obtain contracts with customers are recorded within other current assets on the Company’s Consolidated Condensed Balance Sheets, and were $21.8 million, $5.1 million and $19.7 million as of October 31, 2023, July 31, 2023 and October 31, 2022, respectively. The amounts capitalized are subject to amortization generally beginning in the second quarter of each fiscal year, commensurate with the recognition of revenue for related pass products, and will be recorded within Mountain and Lodging operating expense on the Company’s Consolidated Condensed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4.    Net Loss per Share</w:t>
      </w:r>
    </w:p>
    <w:p>
      <w:pPr>
        <w:pStyle w:val="TextBody"/>
        <w:bidi w:val="0"/>
        <w:spacing w:lineRule="auto" w:line="288" w:before="0" w:after="120"/>
        <w:ind w:left="0" w:right="0" w:hanging="720"/>
        <w:jc w:val="both"/>
        <w:rPr>
          <w:rFonts w:ascii="Times New Roman;sans-serif" w:hAnsi="Times New Roman;sans-serif"/>
          <w:b w:val="false"/>
          <w:i/>
          <w:color w:val="000000"/>
          <w:sz w:val="20"/>
        </w:rPr>
      </w:pPr>
      <w:r>
        <w:rPr>
          <w:rFonts w:ascii="Times New Roman;sans-serif" w:hAnsi="Times New Roman;sans-serif"/>
          <w:b w:val="false"/>
          <w:i/>
          <w:color w:val="000000"/>
          <w:sz w:val="20"/>
        </w:rPr>
        <w:t>Earnings per Share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EPS excludes dilution and is computed by dividing net loss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acquisition of Whistler Blackcomb in October 2016, the Company issued consideration in the form of shares of Vail Resorts common stock (the “Vail Shares”), redeemable preferred shares of the Company’s wholly-owned Canadian subsidiary Whistler Blackcomb Holdings Inc. (“Exchangeco Shares”) or cash (or a combination thereof). Effective September 26, 2022, all Exchangeco Shares had been exchanged for Vail Shares. Both Vail Shares and Exchangeco Shares have a par value of $0.01 per share, and Exchangeco Shares, while they were outstanding, were substantially the economic equivalent of the Vail Shares. The Company’s calculation of weighted-average shares outstanding as of October 31, 2022 included the Exchangeco Shares, but there were no Exchangeco Shares that remained outstanding as of October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Presented below is basic and diluted EPS for the three months ended October 31, 2023 and 2022 (in thousands, except per share amounts):</w:t>
      </w:r>
    </w:p>
    <w:tbl>
      <w:tblPr>
        <w:tblW w:w="10205" w:type="dxa"/>
        <w:jc w:val="center"/>
        <w:tblInd w:w="0" w:type="dxa"/>
        <w:tblLayout w:type="fixed"/>
        <w:tblCellMar>
          <w:top w:w="28" w:type="dxa"/>
          <w:left w:w="28" w:type="dxa"/>
          <w:bottom w:w="28" w:type="dxa"/>
          <w:right w:w="28" w:type="dxa"/>
        </w:tblCellMar>
      </w:tblPr>
      <w:tblGrid>
        <w:gridCol w:w="1494"/>
        <w:gridCol w:w="1252"/>
        <w:gridCol w:w="1243"/>
        <w:gridCol w:w="109"/>
        <w:gridCol w:w="109"/>
        <w:gridCol w:w="109"/>
        <w:gridCol w:w="211"/>
        <w:gridCol w:w="895"/>
        <w:gridCol w:w="109"/>
        <w:gridCol w:w="109"/>
        <w:gridCol w:w="109"/>
        <w:gridCol w:w="109"/>
        <w:gridCol w:w="211"/>
        <w:gridCol w:w="895"/>
        <w:gridCol w:w="109"/>
        <w:gridCol w:w="109"/>
        <w:gridCol w:w="109"/>
        <w:gridCol w:w="109"/>
        <w:gridCol w:w="211"/>
        <w:gridCol w:w="895"/>
        <w:gridCol w:w="109"/>
        <w:gridCol w:w="109"/>
        <w:gridCol w:w="109"/>
        <w:gridCol w:w="109"/>
        <w:gridCol w:w="211"/>
        <w:gridCol w:w="895"/>
        <w:gridCol w:w="157"/>
      </w:tblGrid>
      <w:tr>
        <w:trPr/>
        <w:tc>
          <w:tcPr>
            <w:tcW w:w="1494"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Diluted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Diluted</w:t>
            </w:r>
          </w:p>
        </w:tc>
      </w:tr>
      <w:tr>
        <w:trPr/>
        <w:tc>
          <w:tcPr>
            <w:tcW w:w="3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Vail Resorts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(136,971)</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Vail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Exchangeco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Weighted-average shares outstanding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Vail Resorts</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computes the effect of dilutive securities using the treasury stock method and average market prices during the period. The number of shares issuable upon the exercise of share-based awards excluded from the calculation of diluted EPS because the effect of their inclusion would have been anti-dilutive totaled approximately 0.3 million and 0.2 million for the three months ended October 31, 2023 and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the Company completed an offering of $575.0 million in aggregate principal amount of 0.0% Convertible Notes (as defined in Note 5, Long-Term Debt). The Company is required to settle the principal amount of the 0.0% Convertible Notes in cash and has the option to settle the conversion spread in cash or shares. The Company uses the if-converted method to calculate the impact of convertible instruments on diluted EPS when the instruments may be settled in cash or shares. If the conversion value of the 0.0% Convertible Notes exceeds their conversion price, then the Company will calculate its diluted EPS as if all the notes were converted into common stock at the beginning of the period. However, if reflecting the 0.0% Convertible Notes in diluted EPS in this manner is anti-dilutive, or if the conversion value of the notes does not exceed their conversion price for a reporting period, then the shares underlying the notes will not be reflected in the Company’s calculation of diluted EPS. For the three months ended October 31, 2023 and 2022, the price of Vail Shares did not exceed the conversion price and therefore there was no impact to diluted EPS during those periods.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October 31, 2023 and 2022, the Company paid cash dividends of $2.06 and $1.91 per share, respectively ($78.5 million and $77.0 million, respectively). On December 6, 2023, the Company’s Board of Directors approved a cash dividend of $2.06 per share payable on January 9, 2024 to stockholders of record as of December 26,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5.    Long-Term Debt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net as of October 31, 2023, July 31, 2023 and October 31, 2022 is summarized as follows (in thousands):</w:t>
      </w:r>
    </w:p>
    <w:tbl>
      <w:tblPr>
        <w:tblW w:w="10205" w:type="dxa"/>
        <w:jc w:val="center"/>
        <w:tblInd w:w="0" w:type="dxa"/>
        <w:tblLayout w:type="fixed"/>
        <w:tblCellMar>
          <w:top w:w="28" w:type="dxa"/>
          <w:left w:w="28" w:type="dxa"/>
          <w:bottom w:w="28" w:type="dxa"/>
          <w:right w:w="28" w:type="dxa"/>
        </w:tblCellMar>
      </w:tblPr>
      <w:tblGrid>
        <w:gridCol w:w="1434"/>
        <w:gridCol w:w="1246"/>
        <w:gridCol w:w="1254"/>
        <w:gridCol w:w="109"/>
        <w:gridCol w:w="109"/>
        <w:gridCol w:w="109"/>
        <w:gridCol w:w="306"/>
        <w:gridCol w:w="306"/>
        <w:gridCol w:w="307"/>
        <w:gridCol w:w="109"/>
        <w:gridCol w:w="109"/>
        <w:gridCol w:w="109"/>
        <w:gridCol w:w="219"/>
        <w:gridCol w:w="1017"/>
        <w:gridCol w:w="113"/>
        <w:gridCol w:w="109"/>
        <w:gridCol w:w="109"/>
        <w:gridCol w:w="109"/>
        <w:gridCol w:w="211"/>
        <w:gridCol w:w="976"/>
        <w:gridCol w:w="109"/>
        <w:gridCol w:w="109"/>
        <w:gridCol w:w="109"/>
        <w:gridCol w:w="109"/>
        <w:gridCol w:w="219"/>
        <w:gridCol w:w="1015"/>
        <w:gridCol w:w="165"/>
      </w:tblGrid>
      <w:tr>
        <w:trPr/>
        <w:tc>
          <w:tcPr>
            <w:tcW w:w="143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31, 2022</w:t>
            </w:r>
          </w:p>
        </w:tc>
      </w:tr>
      <w:tr>
        <w:trPr/>
        <w:tc>
          <w:tcPr>
            <w:tcW w:w="3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Vail Holdings Credit Agreement term loan </w:t>
            </w:r>
            <w:r>
              <w:rPr>
                <w:rFonts w:ascii="Times New Roman;sans-serif" w:hAnsi="Times New Roman;sans-serif"/>
                <w:b w:val="false"/>
                <w:color w:val="000000"/>
                <w:sz w:val="13"/>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1,062,500 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Vail Holdings Credit Agreement revolver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0.0% Convertible Notes</w:t>
            </w:r>
            <w:r>
              <w:rPr>
                <w:color w:val="000000"/>
              </w:rPr>
              <w:t xml:space="preserve"> </w:t>
            </w:r>
            <w:r>
              <w:rPr>
                <w:rFonts w:ascii="Times New Roman;sans-serif" w:hAnsi="Times New Roman;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Whistler Credit Agreement revolver </w:t>
            </w:r>
            <w:r>
              <w:rPr>
                <w:rFonts w:ascii="Times New Roman;sans-serif" w:hAnsi="Times New Roman;sans-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EPR Secured Notes </w:t>
            </w:r>
            <w:r>
              <w:rPr>
                <w:rFonts w:ascii="Times New Roman;sans-serif" w:hAnsi="Times New Roman;sans-serif"/>
                <w:b w:val="false"/>
                <w:color w:val="000000"/>
                <w:sz w:val="13"/>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2034-2036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NRP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housing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2027-2039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Canyons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359,052 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Whistler Blackcomb employee housing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2023-2036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2,805,786 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2,847,317 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Unamortized premiums, discounts and debt issuance costs</w:t>
            </w:r>
            <w:r>
              <w:rPr>
                <w:color w:val="000000"/>
              </w:rPr>
              <w:t xml:space="preserve"> </w:t>
            </w:r>
            <w:r>
              <w:rPr>
                <w:rFonts w:ascii="Times New Roman;sans-serif" w:hAnsi="Times New Roman;sans-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Current maturities </w:t>
            </w:r>
            <w:r>
              <w:rPr>
                <w:rFonts w:ascii="Times New Roman;sans-serif" w:hAnsi="Times New Roman;sans-serif"/>
                <w:b w:val="false"/>
                <w:color w:val="000000"/>
                <w:sz w:val="13"/>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2,732,037 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2,769,698 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(a)As of October 31, 2023, the Vail Holdings Credit Agreement consists of a $500.0 million revolving credit facility and a $1.0 billion outstanding term loan. The term loan is subject to quarterly amortization of principal of approximately $15.6 million, in equal installments, for a total of 5% of principal payable in each year and the final payment of all amounts outstanding, plus accrued and unpaid interest is due upon maturity in September 2026.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bear interest annually at the Secured Overnight Financing Rate (“SOFR”) plus a spread of 1.60% as of October 31, 2023 (6.92% as of October 31, 2023).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(0.30% as of October 31, 2023). The Company is party to various interest rate swap agreements which hedge the cash flows associated with the SOFR-based variable interest rate component of $400.0 million in principal amount of its Vail Holdings Credit Agreement until September 23, 2024, at an effective rate of 1.38%.</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Company issued $575.0 million in aggregate principal amount of 0.0% Convertible Notes due 2026 (the “0.0% Convertible Notes) under an indenture dated December 18, 2020. As of October 31, 2023, the conversion price of the 0.0% Convertible Notes, adjusted for cash dividends paid since the issuance date, was $381.27.</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(c)Whistler Mountain Resort Limited Partnership (“Whistler LP”) and Blackcomb Skiing Enterprises Limited Partnership (“Blackcomb LP” and together with Whistler LP, the “WB Partnerships”) are party to a credit agreement consisting of a C$300.0 million credit facility which was most recently amended on April 14, 2023, by and among Whistler LP, Blackcomb LP, certain subsidiaries of Whistler LP and Blackcomb LP party thereto as guarantors, the financial institutions party thereto as lenders and The Toronto-Dominion Bank, as administrative agent. The Whistler Credit Agreement has a maturity date of April 14, 2028 and uses rates based on SOFR with regard to borrowings under the facility made in U.S. dollars. As of October 31, 2023, there were no borrowings under the Whistler Credit Agreement. The Whistler Credit Agreement also includes a quarterly unused commitment fee based on the Consolidated Total Leverage Ratio, which as of October 31, 2023 is equal to 0.39% per annum.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(d)In September 2019, in conjunction with the acquisition of Peak Resorts, Inc. (“Peak Resorts”),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pStyle w:val="TextBody"/>
        <w:bidi w:val="0"/>
        <w:spacing w:lineRule="auto" w:line="288" w:before="120" w:after="283"/>
        <w:ind w:left="0" w:right="0" w:hanging="465"/>
        <w:jc w:val="both"/>
        <w:rPr/>
      </w:pPr>
      <w:r>
        <w:rPr>
          <w:rFonts w:ascii="Times New Roman;sans-serif" w:hAnsi="Times New Roman;sans-serif"/>
          <w:b w:val="false"/>
          <w:color w:val="000000"/>
          <w:sz w:val="20"/>
        </w:rPr>
        <w:t>i.</w:t>
      </w:r>
      <w:r>
        <w:rPr>
          <w:rFonts w:ascii="Times New Roman;sans-serif" w:hAnsi="Times New Roman;sans-serif"/>
          <w:b w:val="false"/>
          <w:i/>
          <w:color w:val="000000"/>
          <w:sz w:val="20"/>
        </w:rPr>
        <w:t xml:space="preserve">The Alpine Valley Secured Note. </w:t>
      </w:r>
      <w:r>
        <w:rPr>
          <w:rFonts w:ascii="Times New Roman;sans-serif" w:hAnsi="Times New Roman;sans-serif"/>
          <w:b w:val="false"/>
          <w:color w:val="000000"/>
          <w:sz w:val="20"/>
        </w:rPr>
        <w:t>The $4.6 million Alpine Valley Secured Note provides for interest payments through its maturity on December 1, 2034. As of October 31, 2023, interest on this note accrued at a rate of 11.72%.</w:t>
      </w:r>
    </w:p>
    <w:p>
      <w:pPr>
        <w:pStyle w:val="TextBody"/>
        <w:bidi w:val="0"/>
        <w:spacing w:lineRule="auto" w:line="288" w:before="120" w:after="283"/>
        <w:ind w:left="0" w:right="0" w:hanging="492"/>
        <w:jc w:val="both"/>
        <w:rPr/>
      </w:pPr>
      <w:r>
        <w:rPr>
          <w:rFonts w:ascii="Times New Roman;sans-serif" w:hAnsi="Times New Roman;sans-serif"/>
          <w:b w:val="false"/>
          <w:color w:val="000000"/>
          <w:sz w:val="20"/>
        </w:rPr>
        <w:t>ii.</w:t>
      </w:r>
      <w:r>
        <w:rPr>
          <w:rFonts w:ascii="Times New Roman;sans-serif" w:hAnsi="Times New Roman;sans-serif"/>
          <w:b w:val="false"/>
          <w:i/>
          <w:color w:val="000000"/>
          <w:sz w:val="20"/>
        </w:rPr>
        <w:t>The Boston Mills/Brandywine Secured Note.</w:t>
      </w:r>
      <w:r>
        <w:rPr>
          <w:color w:val="000000"/>
        </w:rPr>
        <w:t xml:space="preserve"> </w:t>
      </w:r>
      <w:r>
        <w:rPr>
          <w:rFonts w:ascii="Times New Roman;sans-serif" w:hAnsi="Times New Roman;sans-serif"/>
          <w:b w:val="false"/>
          <w:color w:val="000000"/>
          <w:sz w:val="20"/>
        </w:rPr>
        <w:t>The $23.3 million Boston Mills/Brandywine Secured Note provides for interest payments through its maturity on December 1, 2034. As of October 31, 2023, interest on this note accrued at a rate of 11.41%.</w:t>
      </w:r>
    </w:p>
    <w:p>
      <w:pPr>
        <w:pStyle w:val="TextBody"/>
        <w:bidi w:val="0"/>
        <w:spacing w:lineRule="auto" w:line="288" w:before="120" w:after="283"/>
        <w:ind w:left="0" w:right="0" w:hanging="547"/>
        <w:jc w:val="both"/>
        <w:rPr/>
      </w:pPr>
      <w:r>
        <w:rPr>
          <w:rFonts w:ascii="Times New Roman;sans-serif" w:hAnsi="Times New Roman;sans-serif"/>
          <w:b w:val="false"/>
          <w:color w:val="000000"/>
          <w:sz w:val="20"/>
        </w:rPr>
        <w:t>iii.</w:t>
      </w:r>
      <w:r>
        <w:rPr>
          <w:rFonts w:ascii="Times New Roman;sans-serif" w:hAnsi="Times New Roman;sans-serif"/>
          <w:b w:val="false"/>
          <w:i/>
          <w:color w:val="000000"/>
          <w:sz w:val="20"/>
        </w:rPr>
        <w:t xml:space="preserve">The Jack Frost/Big Boulder Secured Note. </w:t>
      </w:r>
      <w:r>
        <w:rPr>
          <w:rFonts w:ascii="Times New Roman;sans-serif" w:hAnsi="Times New Roman;sans-serif"/>
          <w:b w:val="false"/>
          <w:color w:val="000000"/>
          <w:sz w:val="20"/>
        </w:rPr>
        <w:t xml:space="preserve">The $14.3 million Jack Frost/Big Boulder Secured Note provides for interest payments through its maturity on December 1, 2034. As of October 31, 2023, interest on this note accrued at a rate of 11.41%. </w:t>
      </w:r>
    </w:p>
    <w:p>
      <w:pPr>
        <w:pStyle w:val="TextBody"/>
        <w:bidi w:val="0"/>
        <w:spacing w:lineRule="auto" w:line="288" w:before="120" w:after="283"/>
        <w:ind w:left="0" w:right="0" w:hanging="465"/>
        <w:jc w:val="both"/>
        <w:rPr/>
      </w:pPr>
      <w:r>
        <w:rPr>
          <w:rFonts w:ascii="Times New Roman;sans-serif" w:hAnsi="Times New Roman;sans-serif"/>
          <w:b w:val="false"/>
          <w:color w:val="000000"/>
          <w:sz w:val="20"/>
        </w:rPr>
        <w:t>iv.</w:t>
      </w:r>
      <w:r>
        <w:rPr>
          <w:rFonts w:ascii="Times New Roman;sans-serif" w:hAnsi="Times New Roman;sans-serif"/>
          <w:b w:val="false"/>
          <w:i/>
          <w:color w:val="000000"/>
          <w:sz w:val="20"/>
        </w:rPr>
        <w:t>The Mount Snow Secured Note.</w:t>
      </w:r>
      <w:r>
        <w:rPr>
          <w:color w:val="000000"/>
        </w:rPr>
        <w:t xml:space="preserve"> </w:t>
      </w:r>
      <w:r>
        <w:rPr>
          <w:rFonts w:ascii="Times New Roman;sans-serif" w:hAnsi="Times New Roman;sans-serif"/>
          <w:b w:val="false"/>
          <w:color w:val="000000"/>
          <w:sz w:val="20"/>
        </w:rPr>
        <w:t>The $51.1 million Mount Snow Secured Note provides for interest payments through its maturity on December 1, 2034. As of October 31, 2023, interest on this note accrued at a rate of 12.32%.</w:t>
      </w:r>
    </w:p>
    <w:p>
      <w:pPr>
        <w:pStyle w:val="TextBody"/>
        <w:bidi w:val="0"/>
        <w:spacing w:lineRule="auto" w:line="288" w:before="120" w:after="120"/>
        <w:ind w:left="0" w:right="0" w:hanging="409"/>
        <w:jc w:val="both"/>
        <w:rPr/>
      </w:pPr>
      <w:r>
        <w:rPr>
          <w:rFonts w:ascii="Times New Roman;sans-serif" w:hAnsi="Times New Roman;sans-serif"/>
          <w:b w:val="false"/>
          <w:color w:val="000000"/>
          <w:sz w:val="20"/>
        </w:rPr>
        <w:t>v.</w:t>
      </w:r>
      <w:r>
        <w:rPr>
          <w:rFonts w:ascii="Times New Roman;sans-serif" w:hAnsi="Times New Roman;sans-serif"/>
          <w:b w:val="false"/>
          <w:i/>
          <w:color w:val="000000"/>
          <w:sz w:val="20"/>
        </w:rPr>
        <w:t>The Hunter Mountain Secured Note.</w:t>
      </w:r>
      <w:r>
        <w:rPr>
          <w:color w:val="000000"/>
        </w:rPr>
        <w:t xml:space="preserve"> </w:t>
      </w:r>
      <w:r>
        <w:rPr>
          <w:rFonts w:ascii="Times New Roman;sans-serif" w:hAnsi="Times New Roman;sans-serif"/>
          <w:b w:val="false"/>
          <w:color w:val="000000"/>
          <w:sz w:val="20"/>
        </w:rPr>
        <w:t xml:space="preserve">The $21.0 million Hunter Mountain Secured Note provides for interest payments through its maturity on January 5, 2036. As of October 31, 2023, interest on this note accrued at a rate of 9.03%.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Peak Resorts is required to maintain a debt service reserve account which amounts are applied to fund interest payments and other amounts due and payable to EPR.</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(e)Current maturities represent principal payments due in the next 12 months.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Aggregate maturities of debt outstanding as of October 31, 2023 reflected by fiscal year (August 1 through July 31) are as follows (in thousands):</w:t>
      </w:r>
    </w:p>
    <w:tbl>
      <w:tblPr>
        <w:tblW w:w="4895" w:type="dxa"/>
        <w:jc w:val="center"/>
        <w:tblInd w:w="0" w:type="dxa"/>
        <w:tblLayout w:type="fixed"/>
        <w:tblCellMar>
          <w:top w:w="28" w:type="dxa"/>
          <w:left w:w="28" w:type="dxa"/>
          <w:bottom w:w="28" w:type="dxa"/>
          <w:right w:w="28" w:type="dxa"/>
        </w:tblCellMar>
      </w:tblPr>
      <w:tblGrid>
        <w:gridCol w:w="1288"/>
        <w:gridCol w:w="1131"/>
        <w:gridCol w:w="1135"/>
        <w:gridCol w:w="211"/>
        <w:gridCol w:w="976"/>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(November 2023 through July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2,805,786 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interest expense of $40.7 million and $35.3 million for the three months ended October 31, 2023 and 2022, respectively, of which $1.6 million was amortization of deferred financing costs in both periods. The Company was in compliance with all of its financial and operating covenants required to be maintained under its debt instruments for all periods presented.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acquisition of Whistler Blackcomb, VHI funded a portion of the purchase price through an intercompany loan to Whistler Blackcomb,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$5.0 million and $6.1 million, respectively, of non-cash foreign currency losses on the intercompany loan to Whistler Blackcomb for the three months ended October 31, 2023 and 2022 on the Company’s Consolidated Condensed Statements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6.    Acquisitions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Andermatt-Sedrun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 2022, through a wholly-owned subsidiary, the Company acquired a 55% controlling interest in Andermatt-Sedrun Sport AG (“Andermatt-Sedrun”) from Andermatt Swiss Alps AG (“ASA”). The consideration paid consisted of an investment of $114.4 million (CHF 110.0 million) into Andermatt-Sedrun for use in capital investments to enhance the guest experience on mountain (which was prepaid to fund the acquisition and was recorded in other current assets on the Company’s Consolidated Condensed Balance Sheet as of July 31, 2022) and $41.3 million (CHF 39.3 million) paid to ASA (which was paid on August 3, 2022, commensurate with closing). As of August 3, 2022 the total fair value of the consideration paid was $155.4 million (CHF 149.3 million).</w:t>
      </w:r>
    </w:p>
    <w:p>
      <w:pPr>
        <w:pStyle w:val="TextBody"/>
        <w:bidi w:val="0"/>
        <w:spacing w:lineRule="auto" w:line="288" w:before="120" w:after="120"/>
        <w:jc w:val="both"/>
        <w:rPr/>
      </w:pPr>
      <w:r>
        <w:rPr>
          <w:rFonts w:ascii="Times New Roman;sans-serif" w:hAnsi="Times New Roman;sans-serif"/>
          <w:b w:val="false"/>
          <w:color w:val="000000"/>
          <w:sz w:val="20"/>
        </w:rPr>
        <w:t>Andermatt-Sedrun operates mountain and ski-related assets, including lifts, most of the restaurants and a ski school operation at the ski area. Ski operations are conducted on land owned by ASA as freehold or leasehold properties, land owned by Usern Corporation, land owned by the municipality of Tujetsch and land owned by private property owners. ASA retained a 40% ownership stake, with a group of existing shareholders comprising the remaining 5% ownership stake. ASA and the other noncontrolling economic interests contain certain protective rights pursuant to a shareholder agreement (the “Andermatt Agreement”) and no ability to participate in the day-to-day operations of Andermatt-Sedrun. The Andermatt Agreement provides that no dividend distributions be made by Andermatt-Sedrun until the end of the fiscal year ending July 31, 2026, after which time there shall be annual distributions of 50% of the available cash (as defined in the Andermatt Agreement) for the most recently completed fiscal year.</w:t>
      </w:r>
      <w:r>
        <w:rPr>
          <w:color w:val="000000"/>
        </w:rPr>
        <w:t xml:space="preserve"> </w:t>
      </w:r>
      <w:r>
        <w:rPr>
          <w:rFonts w:ascii="Times New Roman;sans-serif" w:hAnsi="Times New Roman;sans-serif"/>
          <w:b w:val="false"/>
          <w:color w:val="000000"/>
          <w:sz w:val="20"/>
        </w:rPr>
        <w:t>In addition, the distribution rights are non-transferable and transfer of the noncontrolling interests are limited.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purchase consideration and the purchase price allocation to estimated fair values of the identifiable assets acquired and liabilities assumed at the date the transaction was effective (in thousands):</w:t>
      </w:r>
    </w:p>
    <w:tbl>
      <w:tblPr>
        <w:tblW w:w="7469" w:type="dxa"/>
        <w:jc w:val="center"/>
        <w:tblInd w:w="0" w:type="dxa"/>
        <w:tblLayout w:type="fixed"/>
        <w:tblCellMar>
          <w:top w:w="28" w:type="dxa"/>
          <w:left w:w="28" w:type="dxa"/>
          <w:bottom w:w="28" w:type="dxa"/>
          <w:right w:w="28" w:type="dxa"/>
        </w:tblCellMar>
      </w:tblPr>
      <w:tblGrid>
        <w:gridCol w:w="1641"/>
        <w:gridCol w:w="1442"/>
        <w:gridCol w:w="1446"/>
        <w:gridCol w:w="521"/>
        <w:gridCol w:w="2039"/>
        <w:gridCol w:w="380"/>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 Date Estimated Fair Value</w:t>
            </w:r>
          </w:p>
        </w:tc>
      </w:tr>
      <w:tr>
        <w:trPr/>
        <w:tc>
          <w:tcPr>
            <w:tcW w:w="4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consideration paid by Vail Resorts, Inc.</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155,365 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of noncontrolling interests</w:t>
            </w:r>
          </w:p>
        </w:tc>
        <w:tc>
          <w:tcPr>
            <w:tcW w:w="2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91,524 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estimated purchase consideration</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246,889 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Allocation of total estimated purchase consideration:</w:t>
            </w:r>
          </w:p>
        </w:tc>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119,867 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2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176,805 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and other assets</w:t>
            </w:r>
          </w:p>
        </w:tc>
        <w:tc>
          <w:tcPr>
            <w:tcW w:w="2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long-term debt</w:t>
            </w:r>
          </w:p>
        </w:tc>
        <w:tc>
          <w:tcPr>
            <w:tcW w:w="2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(44,130)</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2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(16,497)</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246,889 </w:t>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acquired in the transaction were primarily related to a trade name.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 and other factors, and is not expected to be deductible for income tax purposes. The operating results of Andermatt-Sedrun are reported within the Mountain segment prospectively from the date of acquisition.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7.    Supplementary Balance Sheet Information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composition of property, plant and equipment follows (in thousands):</w:t>
      </w:r>
    </w:p>
    <w:tbl>
      <w:tblPr>
        <w:tblW w:w="8305" w:type="dxa"/>
        <w:jc w:val="center"/>
        <w:tblInd w:w="0" w:type="dxa"/>
        <w:tblLayout w:type="fixed"/>
        <w:tblCellMar>
          <w:top w:w="28" w:type="dxa"/>
          <w:left w:w="28" w:type="dxa"/>
          <w:bottom w:w="28" w:type="dxa"/>
          <w:right w:w="28" w:type="dxa"/>
        </w:tblCellMar>
      </w:tblPr>
      <w:tblGrid>
        <w:gridCol w:w="1167"/>
        <w:gridCol w:w="1026"/>
        <w:gridCol w:w="1031"/>
        <w:gridCol w:w="109"/>
        <w:gridCol w:w="109"/>
        <w:gridCol w:w="109"/>
        <w:gridCol w:w="224"/>
        <w:gridCol w:w="1040"/>
        <w:gridCol w:w="116"/>
        <w:gridCol w:w="109"/>
        <w:gridCol w:w="109"/>
        <w:gridCol w:w="109"/>
        <w:gridCol w:w="211"/>
        <w:gridCol w:w="976"/>
        <w:gridCol w:w="109"/>
        <w:gridCol w:w="109"/>
        <w:gridCol w:w="109"/>
        <w:gridCol w:w="109"/>
        <w:gridCol w:w="224"/>
        <w:gridCol w:w="1037"/>
        <w:gridCol w:w="163"/>
      </w:tblGrid>
      <w:tr>
        <w:trPr/>
        <w:tc>
          <w:tcPr>
            <w:tcW w:w="116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31, 2022</w:t>
            </w:r>
          </w:p>
        </w:tc>
      </w:tr>
      <w:tr>
        <w:trPr/>
        <w:tc>
          <w:tcPr>
            <w:tcW w:w="3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790,550 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780,977 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building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1,626,566 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1,643,517 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1,574,931 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1,781,980 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1,594,588 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302,646 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316,350 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86,173 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82,239 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property, plant and equipment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4,924,953 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4,904,794 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4,710,597 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(2,580,352)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(2,397,536)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2,344,601 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2,371,557 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2,313,061 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composition of accounts payable and accrued liabilities follows (in thousands):</w:t>
      </w:r>
    </w:p>
    <w:tbl>
      <w:tblPr>
        <w:tblW w:w="9190" w:type="dxa"/>
        <w:jc w:val="center"/>
        <w:tblInd w:w="0" w:type="dxa"/>
        <w:tblLayout w:type="fixed"/>
        <w:tblCellMar>
          <w:top w:w="28" w:type="dxa"/>
          <w:left w:w="28" w:type="dxa"/>
          <w:bottom w:w="28" w:type="dxa"/>
          <w:right w:w="28" w:type="dxa"/>
        </w:tblCellMar>
      </w:tblPr>
      <w:tblGrid>
        <w:gridCol w:w="1539"/>
        <w:gridCol w:w="1357"/>
        <w:gridCol w:w="1363"/>
        <w:gridCol w:w="109"/>
        <w:gridCol w:w="109"/>
        <w:gridCol w:w="109"/>
        <w:gridCol w:w="224"/>
        <w:gridCol w:w="1040"/>
        <w:gridCol w:w="116"/>
        <w:gridCol w:w="109"/>
        <w:gridCol w:w="109"/>
        <w:gridCol w:w="109"/>
        <w:gridCol w:w="211"/>
        <w:gridCol w:w="826"/>
        <w:gridCol w:w="109"/>
        <w:gridCol w:w="109"/>
        <w:gridCol w:w="109"/>
        <w:gridCol w:w="109"/>
        <w:gridCol w:w="224"/>
        <w:gridCol w:w="1037"/>
        <w:gridCol w:w="163"/>
      </w:tblGrid>
      <w:tr>
        <w:trPr/>
        <w:tc>
          <w:tcPr>
            <w:tcW w:w="153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31, 2022</w:t>
            </w:r>
          </w:p>
        </w:tc>
      </w:tr>
      <w:tr>
        <w:trPr/>
        <w:tc>
          <w:tcPr>
            <w:tcW w:w="4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161,581 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162,366 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872,418 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wages and deferred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payable and accrued liabilities</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1,276,525 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1,190,522 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net carrying amount of goodwill by segment for the three months ended October 31, 2023 are as follows (in thousands):</w:t>
      </w:r>
    </w:p>
    <w:tbl>
      <w:tblPr>
        <w:tblW w:w="8757" w:type="dxa"/>
        <w:jc w:val="center"/>
        <w:tblInd w:w="0" w:type="dxa"/>
        <w:tblLayout w:type="fixed"/>
        <w:tblCellMar>
          <w:top w:w="28" w:type="dxa"/>
          <w:left w:w="28" w:type="dxa"/>
          <w:bottom w:w="28" w:type="dxa"/>
          <w:right w:w="28" w:type="dxa"/>
        </w:tblCellMar>
      </w:tblPr>
      <w:tblGrid>
        <w:gridCol w:w="1604"/>
        <w:gridCol w:w="1404"/>
        <w:gridCol w:w="1417"/>
        <w:gridCol w:w="211"/>
        <w:gridCol w:w="976"/>
        <w:gridCol w:w="109"/>
        <w:gridCol w:w="109"/>
        <w:gridCol w:w="109"/>
        <w:gridCol w:w="109"/>
        <w:gridCol w:w="211"/>
        <w:gridCol w:w="721"/>
        <w:gridCol w:w="109"/>
        <w:gridCol w:w="109"/>
        <w:gridCol w:w="109"/>
        <w:gridCol w:w="109"/>
        <w:gridCol w:w="211"/>
        <w:gridCol w:w="976"/>
        <w:gridCol w:w="154"/>
      </w:tblGrid>
      <w:tr>
        <w:trPr/>
        <w:tc>
          <w:tcPr>
            <w:tcW w:w="160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Mountain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Lodging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Goodwill, net</w:t>
            </w:r>
          </w:p>
        </w:tc>
      </w:tr>
      <w:tr>
        <w:trPr/>
        <w:tc>
          <w:tcPr>
            <w:tcW w:w="4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July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changes in foreign currency exchange rates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October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1,623,022 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1,668,028 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8.    Fair Value Measurements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FASB-issued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1: Inputs that reflect unadjusted quoted prices in active markets that are accessible to the Company for identical assets or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include quoted prices for similar assets and liabilities in active and inactive markets or that are observable for the asset or liability either directly or indirectly; 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3: Unobservable inputs which are supported by little or no market activity.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Company’s cash equivalents, restricted cash, other current assets, interest rate swaps and Contingent Consideration (defined below) measured at estimated fair value (all other assets and liabilities measured at fair value are immaterial) (in thousands).</w:t>
      </w:r>
    </w:p>
    <w:tbl>
      <w:tblPr>
        <w:tblW w:w="8126" w:type="dxa"/>
        <w:jc w:val="center"/>
        <w:tblInd w:w="0" w:type="dxa"/>
        <w:tblLayout w:type="fixed"/>
        <w:tblCellMar>
          <w:top w:w="28" w:type="dxa"/>
          <w:left w:w="28" w:type="dxa"/>
          <w:bottom w:w="28" w:type="dxa"/>
          <w:right w:w="28" w:type="dxa"/>
        </w:tblCellMar>
      </w:tblPr>
      <w:tblGrid>
        <w:gridCol w:w="830"/>
        <w:gridCol w:w="729"/>
        <w:gridCol w:w="73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 Measurement as of October 31, 2023</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Contingent Consideration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 Measurement as of July 31, 2023</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Contingent Consideration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73,300 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 Measurement as of October 31, 2022</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equivalents, restricted cash, other current assets and interest rate swaps are measured utilizing quoted market prices or pricing models whereby all significant inputs are either observable or corroborated by observable market data. The estimated fair value of the interest rate swaps are included within other current assets on the Company’s Consolidated Condensed Balance Sheet as of October 31, 2023 and included within and other assets as of July 31, 2023 and October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Contingent Consideration during the three months ended October 31, 2023 and 2022 were as follows (in thousands):</w:t>
      </w:r>
    </w:p>
    <w:tbl>
      <w:tblPr>
        <w:tblW w:w="7326" w:type="dxa"/>
        <w:jc w:val="center"/>
        <w:tblInd w:w="0" w:type="dxa"/>
        <w:tblLayout w:type="fixed"/>
        <w:tblCellMar>
          <w:top w:w="28" w:type="dxa"/>
          <w:left w:w="28" w:type="dxa"/>
          <w:bottom w:w="28" w:type="dxa"/>
          <w:right w:w="28" w:type="dxa"/>
        </w:tblCellMar>
      </w:tblPr>
      <w:tblGrid>
        <w:gridCol w:w="1647"/>
        <w:gridCol w:w="1443"/>
        <w:gridCol w:w="1455"/>
        <w:gridCol w:w="109"/>
        <w:gridCol w:w="109"/>
        <w:gridCol w:w="109"/>
        <w:gridCol w:w="211"/>
        <w:gridCol w:w="721"/>
        <w:gridCol w:w="109"/>
        <w:gridCol w:w="109"/>
        <w:gridCol w:w="109"/>
        <w:gridCol w:w="109"/>
        <w:gridCol w:w="211"/>
        <w:gridCol w:w="721"/>
        <w:gridCol w:w="154"/>
      </w:tblGrid>
      <w:tr>
        <w:trPr/>
        <w:tc>
          <w:tcPr>
            <w:tcW w:w="164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2023 and 2022, respectively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October 31, 2023 and 2022, respectively</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lease for Park City provides for participating contingent payments (the “Contingent Consideration”) to the landlord of 42% of the amount by which EBITDA for the Park City resort operations, as calculated under the lease, exceeds approximately $35 million, as established upon the Company’s acquisition of the resort, with such threshold amount subsequently increased annually by an inflation linked index and an adjustment equal to 10% of any capital improvements or investments made under the lease by the Company. Contingent Consideration is classified as a liability, which is remeasured to fair value at each reporting date until the contingency is resolved.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estimated the fair value of the Contingent Consideration payments using an option pricing valuation model. The estimated fair value of Contingent Consideration includes future period resort operations of Park City in the calculation of EBITDA on which participating contingent payments are made, which is determined on the basis of estimated subsequent year performance, escalated by an assumed annual growth factor and discounted to present value. Other significant assumptions included a discount rate of 11.1%, and volatility of 17.0%, which together with future period Park City EBITDA, are all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of the resort would result in a change in the estimated fair value within the range of approximately $10.1 million to $13.7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October 31, 2023, the Company made a payment to the landlord for Contingent Consideration of approximately $17.1 million and recorded an increase of approximately $3.1 million, primarily related to the estimated Contingent Consideration payment for the fiscal year ending July 31, 2024. These changes resulted in an estimated fair value of the Contingent Consideration of approximately $59.3 million, which is reflected in other long-term liabilities in the Company’s Consolidated Condensed Balance Sheet.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9.    Commitments and Contingencies</w:t>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Guarantees/Indemnifications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October 31, 2023, the Company had various letters of credit outstanding totaling $84.1 million, consisting of $53.4 million to support the Employee Housing Bonds; $6.4 million to support bonds issued by Holland Creek Metropolitan District; and $24.3 million primarily for workers’ compensation, a wind energy purchase agreement and insurance-related deductibles. The Company also had surety bonds of $9.5 million as of October 31, 2023, primarily to provide collateral for its U.S. workers compensation self-insurance programs.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the Company makes certain indemnifications to licensees for their use of the Company’s trademarks and logos. The Company does not record any liabilities with respect to these indemnifications.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has entered into strategic long-term season pass alliance agreements with third-party mountain resorts in which the Company has committed to pay minimum revenue guarantees over the remaining terms of these agreements.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Self-Insurance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7, Supplementary Balance Sheet Information).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Legal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various lawsuits arising in the ordinary course of business. Management believes the Company has adequate insurance coverage and/or has accrued for all loss contingencies for asserted and unasserted matters deemed to be probable and estimable losses. As of October 31, 2023, July 31, 2023 and October 31, 2022, the accruals for the above loss contingencies were not material individually or in the aggregate.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10.    Segment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concessioner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reports its segment results using Reported EBITDA (defined as segment net revenue less segment operating expenses, plus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Items excluded from Reported EBITDA are significant components in understanding and assessing financial performance. Reported EBITDA should not be considered in isolation or as an alternative to, or substitute for, net loss, net change in cash and cash equivalents or other financial statement data presented in the accompanying Consolidated Condensed Financial Statements as indicators of financial performance or liquidity.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Reported EBITDA in evaluating the performance of the Company and in allocating resources to its segments. Mountain Reported EBITDA consists of Mountain net revenue less Mountain operating expense plus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 The accounting policies specific to each segment are the same as those described in Note 2, Summary of Significant Accounting Policies.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financial information by reportable segment, which is used by management in evaluating performance and allocating resources (in thousands):</w:t>
      </w:r>
    </w:p>
    <w:tbl>
      <w:tblPr>
        <w:tblW w:w="10205" w:type="dxa"/>
        <w:jc w:val="left"/>
        <w:tblInd w:w="0" w:type="dxa"/>
        <w:tblLayout w:type="fixed"/>
        <w:tblCellMar>
          <w:top w:w="28" w:type="dxa"/>
          <w:left w:w="28" w:type="dxa"/>
          <w:bottom w:w="28" w:type="dxa"/>
          <w:right w:w="28" w:type="dxa"/>
        </w:tblCellMar>
      </w:tblPr>
      <w:tblGrid>
        <w:gridCol w:w="2539"/>
        <w:gridCol w:w="2209"/>
        <w:gridCol w:w="2213"/>
        <w:gridCol w:w="211"/>
        <w:gridCol w:w="897"/>
        <w:gridCol w:w="109"/>
        <w:gridCol w:w="109"/>
        <w:gridCol w:w="109"/>
        <w:gridCol w:w="109"/>
        <w:gridCol w:w="211"/>
        <w:gridCol w:w="897"/>
        <w:gridCol w:w="109"/>
        <w:gridCol w:w="109"/>
        <w:gridCol w:w="109"/>
        <w:gridCol w:w="109"/>
        <w:gridCol w:w="156"/>
      </w:tblGrid>
      <w:tr>
        <w:trPr/>
        <w:tc>
          <w:tcPr>
            <w:tcW w:w="2539"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9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Resort net revenue</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Resort operating expense</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property</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equity investment income,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EBITDA:</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held for sale or investment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86,465 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95,608 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from net loss attributable to Vail Resorts, Inc. to Total Reported EBITDA:</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Vail Resorts,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benefit from income taxes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 of contingent consideration</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fixed assets and other,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 and other, net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 on intercompany loans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11.     Share Repurchase Program</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9, 2006, the Company’s Board of Directors approved a share repurchase program, authorizing the Company to repurchase up to 3,000,000 Vail Shares. On July 16, 2008, December 4, 2015 and March 7, 2023, the Company’s Board of Directors increased the authorization by an additional 3,000,000, 1,500,000 and 2,500,000 Vail Shares, respectively, for a total authorization to repurchase up to 10,000,000 Vail Shares. The Company repurchased 237,056 Vail Shares during the three months ended October 31, 2023 (at a total cost of approximately $50.0 million, excluding accrued excise tax). The Company did not repurchase any Vail Shares during the three months ended October 31, 2022. Since inception of its share repurchase program through October 31, 2023, the Company has repurchased 8,885,358 Vail Shares for approximately $1,029.5 million. As of October 31, 2023, 1,114,642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12.     Subsequent Event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30, 2023, the Company announced that it had entered into an agreement to acquire Crans-Montana Mountain Resort in Switzerland from CPI Property Group. Pursuant to the terms of the agreement, the Company will acquire (i) an 84% ownership stake in Remontées Mécaniques Crans Montana Aminona SA, which controls and operates all of the lifts and supporting mountain operations, including four retail and rental locations; (ii) an 80% ownership stake in SportLife AG, which operates one of the ski schools located at the resort; and (iii) 100% ownership of 11 restaurants located on and around the mountain. Subject to closing adjustments, the enterprise value of the resort operations is expected to be CHF 118.5 million. The Company expects to fund the purchase price for the acquired ownership interest of the resort operations through cash on hand.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Vail Resorts, Inc., together with its subsidiaries, is referred to throughout this Quarterly Report on Form 10-Q for the period ended October 31, 2023 (“Form 10-Q”) as “we,” “us,” “our” or the “Company.”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following Management’s Discussion and Analysis of Financial Condition and Results of Operations (“MD&amp;A”) should be read in conjunction with our Annual Report on Form 10-K for the fiscal year ended July 31, 2023 (“Form 10-K”) and the Consolidated Condensed Financial Statements as of October 31, 2023 and 2022 and for the three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w:t>
      </w:r>
      <w:r>
        <w:rPr>
          <w:color w:val="000000"/>
          <w:shd w:fill="FFFFFF" w:val="clear"/>
        </w:rPr>
        <w:t xml:space="preserve"> </w:t>
      </w:r>
      <w:r>
        <w:rPr>
          <w:rFonts w:ascii="Times New Roman;sans-serif" w:hAnsi="Times New Roman;sans-serif"/>
          <w:b w:val="false"/>
          <w:color w:val="000000"/>
          <w:sz w:val="20"/>
          <w:shd w:fill="FFFFFF" w:val="clear"/>
        </w:rPr>
        <w:t>September 28,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MD&amp;A includes discussion of financial performance within each of our three segments. We have chosen to specifically include segment Reported EBITDA (defined as segment net revenue less segment operating expense, plus segment equity investment income or loss, and for the Real Estate segment, plus gain or loss on sale of real property) in the following discussion because we consider this measurement to be a significant indication of our financial performance. We utilize segment Reported EBITDA in evaluating our performance and in allocating resources to our segments. Net Debt (defined as long-term debt, net plus long-term debt due within one year less cash and cash equivalents) is included in the following discussion because we consider this measurement to be a significant indication of our available capital resources. We also believe that Net Debt is an important measurement as it is an indicator of our ability to obtain additional capital resources for our future cash needs. Resort Reported EBITDA (defined as the combination of segment Reported EBITDA of our Mountain and Lodging segments), Total Reported EBITDA (which is Resort Reported EBITDA plus segment Reported EBITDA from our Real Estate segment) and Net Debt are not measures of financial performance or liquidity defined under accounting principles generally accepted in the United States (“GAAP”). Refer to the end of the Results of Operations section for a reconciliation of net loss attributable to Vail Resorts, Inc. to Total Reported EBITDA and Resort Reported EBITDA, and long-term debt, net to Net Debt.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Items excluded from Resort Reported EBITDA, Total Reported EBITDA and Net Debt are significant components in understanding and assessing financial performance or liquidity. Resort Reported EBITDA, Total Reported EBITDA and Net Debt should not be considered in isolation or as an alternative to, or substitute for, net loss,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grouped into three integrated and interdependent segments: Mountain, Lodging and Real Estate. We refer to “Resort” as the combination of the Mountain and Lodging segments.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Mountain Segment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Mountain segment, the Company operates the following 41 destination mountain resorts and regional ski areas (collectively, “Resorts”):</w:t>
      </w:r>
    </w:p>
    <w:p>
      <w:pPr>
        <w:pStyle w:val="TextBody"/>
        <w:bidi w:val="0"/>
        <w:spacing w:before="120" w:after="283"/>
        <w:jc w:val="both"/>
        <w:rPr/>
      </w:pPr>
      <w:r>
        <w:rPr/>
        <w:drawing>
          <wp:inline distT="0" distB="0" distL="0" distR="0">
            <wp:extent cx="6515100" cy="3067050"/>
            <wp:effectExtent l="0" t="0" r="0" b="0"/>
            <wp:docPr id="2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3" descr=""/>
                    <pic:cNvPicPr>
                      <a:picLocks noChangeAspect="1" noChangeArrowheads="1"/>
                    </pic:cNvPicPr>
                  </pic:nvPicPr>
                  <pic:blipFill>
                    <a:blip r:embed="rId4"/>
                    <a:stretch>
                      <a:fillRect/>
                    </a:stretch>
                  </pic:blipFill>
                  <pic:spPr bwMode="auto">
                    <a:xfrm>
                      <a:off x="0" y="0"/>
                      <a:ext cx="6515100" cy="3067050"/>
                    </a:xfrm>
                    <a:prstGeom prst="rect">
                      <a:avLst/>
                    </a:prstGeom>
                  </pic:spPr>
                </pic:pic>
              </a:graphicData>
            </a:graphic>
          </wp:inline>
        </w:drawing>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*Denotes a destination mountain resort, which generally receives a meaningful portion of skier visits from long-distance travelers, as opposed to our regional ski areas, which tend to generate skier visits predominantly from their respective local markets. </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Additionally, the Mountain segment includes ancillary services, primarily including ski school, dining and retail/rental operations, and for our Australian ski areas, including lodging and transportation operations. Mountain segment revenue is seasonal, with the majority of revenue earned from our North American and European ski operations occurring in our second and third fiscal quarters and the majority of revenue earned from our Australian ski operations occurring in our first and fourth fiscal quarters. Our North American and European Resorts typically experience their peak operating season for the Mountain segment from mid-December through mid-April, and our Australian ski areas typically experience their peak operating season from June to earl</w:t>
      </w:r>
      <w:r>
        <w:rPr>
          <w:rFonts w:ascii="Times New Roman;sans-serif" w:hAnsi="Times New Roman;sans-serif"/>
          <w:b w:val="false"/>
          <w:color w:val="000000"/>
          <w:sz w:val="20"/>
          <w:shd w:fill="FFFFFF" w:val="clear"/>
        </w:rPr>
        <w:t>y October</w:t>
      </w:r>
      <w:r>
        <w:rPr>
          <w:rFonts w:ascii="Times New Roman;sans-serif" w:hAnsi="Times New Roman;sans-serif"/>
          <w:b w:val="false"/>
          <w:color w:val="000000"/>
          <w:sz w:val="20"/>
        </w:rPr>
        <w:t>. Consequently, our first and fourth fiscal quarters are seasonally low periods as most of our North American and European ski operations are generally not open for business, and the activity of our Australian ski areas’ peak season and our North American and European summer operating results are not sufficient to offset the losses incurred during these seasonally low periods. Revenue of the Mountain segment during the first and fourth fiscal quarters is primarily generated from summer and group related visitation at our North American and European destination mountain resorts, retail/rental operations and peak season Australian ski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Lodging Segment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concessioner properties, including the Grand Teton Lodge Company (“GTLC”); (iv) a Colorado resort ground transportation company; and (v) mountain resort golf courses.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of the lodging segment during our first fiscal quarter is generated primarily by the operations of our NPS concessioner properties (as their peak operating season generally occurs during the months of June to October), as well as golf operations and seasonally low operations from our other owned and managed properties and businesses. Lodging properties (including managed condominium rooms) at or around our mountain resorts, and our Colorado resort ground transportation company, are closely aligned with the performance of the Mountain segment and generally experience similar seasonal trends.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and as such, the revenue and corresponding expense do not affect our Lodging Reported EBITDA, which we use to evaluate Lodging segment performance.</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Real Estate Segment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Recent Trends, Risks and Uncertainties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Together with those risk factors we have identified in our Form 10-K, we have identified the following important factors (as well as risks and uncertainties associated with such factors) that could impact our future financial performance or condition: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economies in the countries in which we operate and from which we attract our guests may be impacted by economic challenges associated with rising inflation, increasing or elevated interest rates, geopolitical conflicts and financial institution disruptions and/or fluctuating commodity prices that could adversely impact our business, including decreased guest spending or visitation or increased costs of operations. Skiing, travel and tourism are discretionary recreational activities that can entail a relatively high cost of participation. As a result, economic downturns and other negative impacts to consumer discretionary spending may have a pronounced impact on visitation to our Resorts. We cannot predict the extent to which we may be impacted by such potential economic challenges, whether in North America or globally.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Pass product sales through December 4, 2023 for the 2023/2024 North American ski season increased approximately 4% in units and approximately 11% in sales dollars as compared to the prior year through December 5, 2022. Pass product sales are adjusted to eliminate the impact of foreign currency by applying an exchange rate of $0.74 between the Canadian dollar and U.S. dollar in both periods for Whistler Blackcomb pass sales. We cannot predict the overall impact that sales of our pass products will have on total lift revenue or effective ticket price for the fiscal year ending July 31,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Given that we operate in the travel and leisure industry, we are subject to risks related to public health emergencies, including the potential outbreak and spread of contagious disease. Public health emergencies may lead to adverse economic impacts in global and local economies, including the economies in which we operate, which may in turn impact consumer demand, the willingness or ability of guests to travel, guest visitation, staffing levels or financial results. We cannot predict the ultimate impact that any potential public health emergency may have on our guest visitation, guest spending, staffing capabilities, other related trends or overall results of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 of October 31, 2023, we had $728.9 million of cash and cash equivalents, as well as $419.8 million available under the revolver component of our Eighth Amended and Restated Credit Agreement, dated as of August 15, 2018 and as amended most recently on August 31, 2022 (the “Vail Holdings Credit Agreement”), which represents the total commitment of $500.0 million less certain letters of credit outstanding of $80.2 million. Additionally, we have a credit facility which supports the liquidity needs of Whistler Blackcomb (the “Whistler Credit Agreement”). As of October 31, 2023, we had C$296.6 million ($213.9 million) available under the revolver component of the Whistler Credit Agreement, which represents the total commitment of C$300.0 million ($216.3 million) less letters of credit outstanding of C$3.4 million ($2.4 million). We believe that our existing cash and cash equivalents, availability under our credit agreements and the expected positive cash flow from operating activities of our Mountain and Lodging segments less resort capital expenditures will continue to provide us with sufficient liquidity to fund our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Summary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operating results for the three months ended October 31, 2023, compared to the three months ended October 31, 2022 (in thousands):</w:t>
      </w:r>
    </w:p>
    <w:p>
      <w:pPr>
        <w:pStyle w:val="TextBody"/>
        <w:bidi w:val="0"/>
        <w:spacing w:lineRule="auto" w:line="288" w:before="0" w:after="0"/>
        <w:jc w:val="both"/>
        <w:rPr>
          <w:color w:val="000000"/>
        </w:rPr>
      </w:pPr>
      <w:r>
        <w:rPr>
          <w:color w:val="000000"/>
        </w:rPr>
        <w:t> </w:t>
      </w:r>
    </w:p>
    <w:tbl>
      <w:tblPr>
        <w:tblW w:w="8480" w:type="dxa"/>
        <w:jc w:val="left"/>
        <w:tblInd w:w="0" w:type="dxa"/>
        <w:tblLayout w:type="fixed"/>
        <w:tblCellMar>
          <w:top w:w="28" w:type="dxa"/>
          <w:left w:w="28" w:type="dxa"/>
          <w:bottom w:w="28" w:type="dxa"/>
          <w:right w:w="28" w:type="dxa"/>
        </w:tblCellMar>
      </w:tblPr>
      <w:tblGrid>
        <w:gridCol w:w="1227"/>
        <w:gridCol w:w="1078"/>
        <w:gridCol w:w="1084"/>
        <w:gridCol w:w="109"/>
        <w:gridCol w:w="109"/>
        <w:gridCol w:w="109"/>
        <w:gridCol w:w="109"/>
        <w:gridCol w:w="109"/>
        <w:gridCol w:w="190"/>
        <w:gridCol w:w="190"/>
        <w:gridCol w:w="369"/>
        <w:gridCol w:w="1578"/>
        <w:gridCol w:w="190"/>
        <w:gridCol w:w="109"/>
        <w:gridCol w:w="109"/>
        <w:gridCol w:w="109"/>
        <w:gridCol w:w="211"/>
        <w:gridCol w:w="901"/>
        <w:gridCol w:w="109"/>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Vail Resorts, Inc.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(175,512)</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(248,207)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Reported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(139,525)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Reported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Reported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(139,761)</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Reported EBITDA</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5,393 </w:t>
            </w:r>
          </w:p>
        </w:tc>
        <w:tc>
          <w:tcPr>
            <w:tcW w:w="19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Mountain Segment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Three months ended October 31, 2023 compared to the three months ended October 31, 2022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Mountain segment operating results for the three months ended October 31, 2023 and 2022 are presented by category as follows (in thousands, except effective ticket price (“ETP”)). ETP is calculated as lift revenue divided by total skier visits for each applicable period presented.</w:t>
      </w:r>
    </w:p>
    <w:tbl>
      <w:tblPr>
        <w:tblW w:w="7938" w:type="dxa"/>
        <w:jc w:val="center"/>
        <w:tblInd w:w="0" w:type="dxa"/>
        <w:tblLayout w:type="fixed"/>
        <w:tblCellMar>
          <w:top w:w="28" w:type="dxa"/>
          <w:left w:w="28" w:type="dxa"/>
          <w:bottom w:w="28" w:type="dxa"/>
          <w:right w:w="28" w:type="dxa"/>
        </w:tblCellMar>
      </w:tblPr>
      <w:tblGrid>
        <w:gridCol w:w="1245"/>
        <w:gridCol w:w="1090"/>
        <w:gridCol w:w="1100"/>
        <w:gridCol w:w="109"/>
        <w:gridCol w:w="109"/>
        <w:gridCol w:w="109"/>
        <w:gridCol w:w="211"/>
        <w:gridCol w:w="901"/>
        <w:gridCol w:w="109"/>
        <w:gridCol w:w="109"/>
        <w:gridCol w:w="109"/>
        <w:gridCol w:w="109"/>
        <w:gridCol w:w="211"/>
        <w:gridCol w:w="796"/>
        <w:gridCol w:w="109"/>
        <w:gridCol w:w="109"/>
        <w:gridCol w:w="109"/>
        <w:gridCol w:w="109"/>
        <w:gridCol w:w="308"/>
        <w:gridCol w:w="308"/>
        <w:gridCol w:w="569"/>
      </w:tblGrid>
      <w:tr>
        <w:trPr/>
        <w:tc>
          <w:tcPr>
            <w:tcW w:w="124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Increase</w:t>
              <w:br/>
              <w:t>(Decrease)</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net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Lift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Ski school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Retail/rental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Mountain net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operating 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 and labor-related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Mountain operating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equity investment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Reported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skier visits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Mountain Reported EBITDA includes $5.8 million and $5.3 million of stock-based compensation expense for the three months ended October 31, 2023 and 2022,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first fiscal quarter historically results in negative Mountain Reported EBITDA, as most of our North American and European Resorts generally do not open for ski operations until our second fiscal quarter, which begins in November. The first fiscal quarter generally consists of operating and administrative expenses, summer activities (including dining), retail/rental operations and the winter operations of our Australian ski areas, for which the ski season generally occurs from June through early October.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Mountain Reported EBITDA decreased $47.4 million, or 51.4%, primarily driven by an increase in expenses at our North American Resorts, including increased labor costs and general and administrative expenses (which includes the incremental impact of our prior year investments in employee wages), increases in repairs and maintenance expense and professional services expense (including costs associated with our workforce planning tools implementation), and the impact of inflation. Mountain Reported EBITDA also decreased as a result of our Australian operations, which experienced weather-related challenges that impacted terrain in the current year, compared to record visitation and favorable snow conditions in the prior year. Summer revenue at our North American Resorts also decreased primarily as a result of decreased summer visitation from lower demand for summer mountain travel and weather related challenges compared to the prior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Lift revenue decreased $14.2 million, or 23.8%, primarily due to a decrease in paid lift revenue at our Australian resorts as a result of reduced visitation from weather-related disruptions and unfavorable snow conditions in the current year, compared to record visitation and favorable snow conditions in the prior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Ski school revenue decreased $1.7 million, or 19.6%, and dining revenue decreased $1.4 million, or 7.0%, each primarily driven by decreased visitation at our Australian resorts, as a result of weather-related disruptions and unfavorable snow conditions in the current year, compared to record visitation and favorable snow conditions in the prior year. Retail/rental revenue decreased $6.9 million, or 17.0%, driven by a decrease in summer visitation at our North American Resorts, which drove decreased demand at our on-mountain retail locations, as well as a decrease in retail/rental revenue at our Australian stores.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mainly consists of summer visitation and other mountain activities revenue, employee housing revenue, guest services revenue, commercial leasing revenue, marketing revenue, private club revenue (which includes both club dues and amortization of initiation fees), municipal services revenue and other recreation activity revenue. Other revenue also includes Australian ski area lodging and transportation revenue. Other revenue decreased $5.1 million, or 7.0%, primarily driven by decreased sightseeing and other on-mountain summer activities revenue due to decreased summer visitation at our North American Resorts as a result of lower demand for summer mountain travel and weather related challenges compared to the prior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 increased $18.6 million, or 6.3%. Labor and labor-related benefits increased 3.7%, primarily due to normal wage adjustments and the incremental impact of our prior year investments in wages and salaries for North American employees, which went into effect in October 2022, but were in effect for the full quarter in the current year, partially offset by lower labor costs at our Australian ski areas. Retail cost of sales decreased 14.1%, compared to a decrease in retail sales of 15.5%, reflecting decreased margins on retail products driven by higher sales of discounted inventory. General and administrative expense increased 11.9% primarily due to an increase in allocated corporate overhead costs, including the incremental impact of our prior year investments in wages and salaries for North American employees, which went into effect in October 2022, as well as an increase in marketing expense to drive incremental 2023/2024 North American pass product sales. Other expense increased 9.4% primarily due to increase in repairs and maintenance expenses ($4.6 million), professional services ($2.8 million), which includes costs associated with our workforce planning tools implementation, and the impact of inflation.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Mountain equity investment income, net primarily includes our share of income from the operations of a real estate brokerage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Lodging Segment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Three months ended October 31, 2023 compared to the three months ended October 31,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Lodging segment operating results for the three months ended October 31, 2023 and 2022 are presented by category as follows (in thousands, except average daily rates (“ADR”) and revenue per available room (“RevPAR”)):</w:t>
      </w:r>
    </w:p>
    <w:tbl>
      <w:tblPr>
        <w:tblW w:w="9502" w:type="dxa"/>
        <w:jc w:val="center"/>
        <w:tblInd w:w="0" w:type="dxa"/>
        <w:tblLayout w:type="fixed"/>
        <w:tblCellMar>
          <w:top w:w="28" w:type="dxa"/>
          <w:left w:w="28" w:type="dxa"/>
          <w:bottom w:w="28" w:type="dxa"/>
          <w:right w:w="28" w:type="dxa"/>
        </w:tblCellMar>
      </w:tblPr>
      <w:tblGrid>
        <w:gridCol w:w="1903"/>
        <w:gridCol w:w="1670"/>
        <w:gridCol w:w="1677"/>
        <w:gridCol w:w="109"/>
        <w:gridCol w:w="109"/>
        <w:gridCol w:w="109"/>
        <w:gridCol w:w="220"/>
        <w:gridCol w:w="754"/>
        <w:gridCol w:w="114"/>
        <w:gridCol w:w="114"/>
        <w:gridCol w:w="114"/>
        <w:gridCol w:w="114"/>
        <w:gridCol w:w="220"/>
        <w:gridCol w:w="754"/>
        <w:gridCol w:w="114"/>
        <w:gridCol w:w="109"/>
        <w:gridCol w:w="109"/>
        <w:gridCol w:w="109"/>
        <w:gridCol w:w="254"/>
        <w:gridCol w:w="257"/>
        <w:gridCol w:w="569"/>
      </w:tblGrid>
      <w:tr>
        <w:trPr/>
        <w:tc>
          <w:tcPr>
            <w:tcW w:w="1903"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Increase</w:t>
              <w:br/>
              <w:t>(Decrease)</w:t>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net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hotel rooms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condominium 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73,940 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cost reimbursements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Lodging net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81,821 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77,617 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operating 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 and labor-related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Reimbursed payroll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Lodging operating 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82,057 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81,974 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Reported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hotel statistics: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condominium statistics: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hotel and managed condominium statistics (combined):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Lodging Reported EBITDA includes $0.9 million and $1.0 million of stock-based compensation expense for the three months ended October 31, 2023 and 2022,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Lodging Reported EBITDA increased $4.1 million, or 94.6%. Revenue from owned hotel rooms increased $1.6 million, or 6.8%, primarily due to an increase in ADR at GTLC. Dining revenue increased $1.3 million, or 7.5%, and other revenue increased $1.9 million, or 13.0%, each primarily as a result of improved park visitation at GTLC, driven by positive weather conditions which enabled increased ancillary product sales.</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Real Estate Segment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or loss on sale of real property and Real Estate Reported EBITDA.</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Three months ended October 31, 2023 compared to the three months ended October 31, 2022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Real Estate segment operating results for the three months ended October 31, 2023 and 2022 are presented by category as follows (in thousands): </w:t>
      </w:r>
    </w:p>
    <w:tbl>
      <w:tblPr>
        <w:tblW w:w="7547" w:type="dxa"/>
        <w:jc w:val="center"/>
        <w:tblInd w:w="0" w:type="dxa"/>
        <w:tblLayout w:type="fixed"/>
        <w:tblCellMar>
          <w:top w:w="28" w:type="dxa"/>
          <w:left w:w="28" w:type="dxa"/>
          <w:bottom w:w="28" w:type="dxa"/>
          <w:right w:w="28" w:type="dxa"/>
        </w:tblCellMar>
      </w:tblPr>
      <w:tblGrid>
        <w:gridCol w:w="1101"/>
        <w:gridCol w:w="970"/>
        <w:gridCol w:w="973"/>
        <w:gridCol w:w="109"/>
        <w:gridCol w:w="109"/>
        <w:gridCol w:w="109"/>
        <w:gridCol w:w="233"/>
        <w:gridCol w:w="682"/>
        <w:gridCol w:w="120"/>
        <w:gridCol w:w="120"/>
        <w:gridCol w:w="120"/>
        <w:gridCol w:w="120"/>
        <w:gridCol w:w="233"/>
        <w:gridCol w:w="766"/>
        <w:gridCol w:w="120"/>
        <w:gridCol w:w="109"/>
        <w:gridCol w:w="109"/>
        <w:gridCol w:w="109"/>
        <w:gridCol w:w="383"/>
        <w:gridCol w:w="383"/>
        <w:gridCol w:w="569"/>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Increase</w:t>
              <w:br/>
              <w:t>(Decrease)</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net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3,695.6 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operating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0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Reported EBITDA</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October 31, 2023 we closed on the sale of a land parcel in Keystone, CO for $4.2 million, which was recorded within Real Estate net revenue, with a corresponding cost of sale of $3.6 million. Additionally, we recorded a gain on sale of real property for $6.3 million related to a land parcel sale in Beaver Creek, CO, which closed for proceeds of $6.5 million during the three months ended October 31, 2023. We did not close on any significant real estate transactions during the three months ended October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 for both the three months ended October 31, 2023 and 2022 was primarily comprised of general and administrative costs, such as labor and labor-related benefits, professional services and allocated corporate overhead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Other Items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segment operating results, the following material items contributed to our overall financial results for the three months ended October 31, 2023 and 2022 (in thousands):</w:t>
      </w:r>
    </w:p>
    <w:tbl>
      <w:tblPr>
        <w:tblW w:w="8245" w:type="dxa"/>
        <w:jc w:val="center"/>
        <w:tblInd w:w="0" w:type="dxa"/>
        <w:tblLayout w:type="fixed"/>
        <w:tblCellMar>
          <w:top w:w="28" w:type="dxa"/>
          <w:left w:w="28" w:type="dxa"/>
          <w:bottom w:w="28" w:type="dxa"/>
          <w:right w:w="28" w:type="dxa"/>
        </w:tblCellMar>
      </w:tblPr>
      <w:tblGrid>
        <w:gridCol w:w="815"/>
        <w:gridCol w:w="715"/>
        <w:gridCol w:w="719"/>
        <w:gridCol w:w="109"/>
        <w:gridCol w:w="109"/>
        <w:gridCol w:w="109"/>
        <w:gridCol w:w="109"/>
        <w:gridCol w:w="466"/>
        <w:gridCol w:w="183"/>
        <w:gridCol w:w="355"/>
        <w:gridCol w:w="1341"/>
        <w:gridCol w:w="456"/>
        <w:gridCol w:w="109"/>
        <w:gridCol w:w="109"/>
        <w:gridCol w:w="109"/>
        <w:gridCol w:w="211"/>
        <w:gridCol w:w="796"/>
        <w:gridCol w:w="271"/>
        <w:gridCol w:w="109"/>
        <w:gridCol w:w="109"/>
        <w:gridCol w:w="109"/>
        <w:gridCol w:w="255"/>
        <w:gridCol w:w="256"/>
        <w:gridCol w:w="316"/>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c>
          <w:tcPr>
            <w:tcW w:w="1154" w:type="dxa"/>
            <w:gridSpan w:val="6"/>
            <w:tcBorders/>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continue"/>
            <w:tcBorders/>
            <w:tcMar>
              <w:top w:w="0" w:type="dxa"/>
              <w:left w:w="0" w:type="dxa"/>
              <w:bottom w:w="0" w:type="dxa"/>
              <w:right w:w="0" w:type="dxa"/>
            </w:tcMar>
            <w:vAlign w:val="center"/>
          </w:tcPr>
          <w:p>
            <w:pPr>
              <w:pStyle w:val="Normal"/>
              <w:bidi w:val="0"/>
              <w:jc w:val="left"/>
              <w:rPr/>
            </w:pPr>
            <w:r>
              <w:rPr/>
            </w:r>
          </w:p>
        </w:tc>
        <w:tc>
          <w:tcPr>
            <w:tcW w:w="1154" w:type="dxa"/>
            <w:gridSpan w:val="6"/>
            <w:tcBorders/>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(40,730)</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65,160 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4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9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4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pts</w:t>
            </w:r>
          </w:p>
        </w:tc>
      </w:tr>
    </w:tbl>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i/>
          <w:color w:val="000000"/>
          <w:sz w:val="20"/>
        </w:rPr>
        <w:t xml:space="preserve">Interest expense, net. </w:t>
      </w:r>
      <w:r>
        <w:rPr>
          <w:rFonts w:ascii="Times New Roman;sans-serif" w:hAnsi="Times New Roman;sans-serif"/>
          <w:b w:val="false"/>
          <w:color w:val="000000"/>
          <w:sz w:val="20"/>
        </w:rPr>
        <w:t>Interest expense, net for the three months ended October 31, 2023 increased $5.4 million compared to the same period in the prior year, primarily due to an increase in variable interest rates associated with the unhedged portion of our term loan borrowings under the Vail Holdings Credit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Benefit from income taxes.</w:t>
      </w:r>
      <w:r>
        <w:rPr>
          <w:color w:val="000000"/>
        </w:rPr>
        <w:t> </w:t>
      </w:r>
      <w:r>
        <w:rPr>
          <w:rFonts w:ascii="Times New Roman;sans-serif" w:hAnsi="Times New Roman;sans-serif"/>
          <w:b w:val="false"/>
          <w:color w:val="000000"/>
          <w:sz w:val="20"/>
        </w:rPr>
        <w:t>At the end of each interim period, the Company estimates the annual effective tax rate and applies that rate to its ordinary quarterly earnings. The tax expense or benefit related to significant, unusual or extraordinary items that will be separately reported or reported net of their related tax effect are individually computed and recognized in the interim period in which those items occur. In addition, the effects of changes in enacted tax laws or rates or tax status are recognized in the interim period in which the change occurs. The effective tax rate for the three months ended October 31, 2023 was 26.3% compared to 28.8% for the three months ended October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the effective tax rate for the three months ended October 31, 2023 compared to the three months ended October 31, 2022 was primarily due to a decrease in favorable discrete items impacting the first quarter tax provision in the current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Reconciliation of Segment Earnings and Net Debt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loss attributable to Vail Resorts, Inc. to Total Reported EBITDA for the three months ended October 31, 2023 and 2022 (in thousands):</w:t>
      </w:r>
    </w:p>
    <w:p>
      <w:pPr>
        <w:pStyle w:val="TextBody"/>
        <w:bidi w:val="0"/>
        <w:spacing w:lineRule="auto" w:line="288" w:before="0" w:after="0"/>
        <w:jc w:val="both"/>
        <w:rPr>
          <w:color w:val="000000"/>
        </w:rPr>
      </w:pPr>
      <w:r>
        <w:rPr>
          <w:color w:val="000000"/>
        </w:rPr>
        <w:t> </w:t>
      </w:r>
    </w:p>
    <w:tbl>
      <w:tblPr>
        <w:tblW w:w="7315" w:type="dxa"/>
        <w:jc w:val="left"/>
        <w:tblInd w:w="0" w:type="dxa"/>
        <w:tblLayout w:type="fixed"/>
        <w:tblCellMar>
          <w:top w:w="28" w:type="dxa"/>
          <w:left w:w="28" w:type="dxa"/>
          <w:bottom w:w="28" w:type="dxa"/>
          <w:right w:w="28" w:type="dxa"/>
        </w:tblCellMar>
      </w:tblPr>
      <w:tblGrid>
        <w:gridCol w:w="1472"/>
        <w:gridCol w:w="1293"/>
        <w:gridCol w:w="1300"/>
        <w:gridCol w:w="211"/>
        <w:gridCol w:w="901"/>
        <w:gridCol w:w="109"/>
        <w:gridCol w:w="109"/>
        <w:gridCol w:w="109"/>
        <w:gridCol w:w="109"/>
        <w:gridCol w:w="211"/>
        <w:gridCol w:w="901"/>
        <w:gridCol w:w="109"/>
        <w:gridCol w:w="109"/>
        <w:gridCol w:w="109"/>
        <w:gridCol w:w="109"/>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Vail Resorts,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benefit from income taxes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fixed assets and other,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 and other,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 on intercompany loans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Reported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Reported EBITDA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Reported EBITDA</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Reported EBITDA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long-term debt, net to Net Debt (in thousands):</w:t>
      </w:r>
    </w:p>
    <w:p>
      <w:pPr>
        <w:pStyle w:val="TextBody"/>
        <w:bidi w:val="0"/>
        <w:spacing w:lineRule="auto" w:line="288" w:before="0" w:after="0"/>
        <w:jc w:val="both"/>
        <w:rPr>
          <w:color w:val="000000"/>
        </w:rPr>
      </w:pPr>
      <w:r>
        <w:rPr>
          <w:color w:val="000000"/>
        </w:rPr>
        <w:t> </w:t>
      </w:r>
    </w:p>
    <w:tbl>
      <w:tblPr>
        <w:tblW w:w="6321" w:type="dxa"/>
        <w:jc w:val="left"/>
        <w:tblInd w:w="0" w:type="dxa"/>
        <w:tblLayout w:type="fixed"/>
        <w:tblCellMar>
          <w:top w:w="28" w:type="dxa"/>
          <w:left w:w="28" w:type="dxa"/>
          <w:bottom w:w="28" w:type="dxa"/>
          <w:right w:w="28" w:type="dxa"/>
        </w:tblCellMar>
      </w:tblPr>
      <w:tblGrid>
        <w:gridCol w:w="1097"/>
        <w:gridCol w:w="965"/>
        <w:gridCol w:w="968"/>
        <w:gridCol w:w="109"/>
        <w:gridCol w:w="109"/>
        <w:gridCol w:w="109"/>
        <w:gridCol w:w="211"/>
        <w:gridCol w:w="976"/>
        <w:gridCol w:w="109"/>
        <w:gridCol w:w="109"/>
        <w:gridCol w:w="109"/>
        <w:gridCol w:w="109"/>
        <w:gridCol w:w="211"/>
        <w:gridCol w:w="976"/>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31,</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2,769,698 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due within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2,837,509 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1,656,567 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significant sources of cash for the three months ended October 31, 2023 and 2022 are presented by categories as follows (in thousands). </w:t>
      </w:r>
    </w:p>
    <w:tbl>
      <w:tblPr>
        <w:tblW w:w="7341" w:type="dxa"/>
        <w:jc w:val="center"/>
        <w:tblInd w:w="0" w:type="dxa"/>
        <w:tblLayout w:type="fixed"/>
        <w:tblCellMar>
          <w:top w:w="28" w:type="dxa"/>
          <w:left w:w="28" w:type="dxa"/>
          <w:bottom w:w="28" w:type="dxa"/>
          <w:right w:w="28" w:type="dxa"/>
        </w:tblCellMar>
      </w:tblPr>
      <w:tblGrid>
        <w:gridCol w:w="1520"/>
        <w:gridCol w:w="1338"/>
        <w:gridCol w:w="1342"/>
        <w:gridCol w:w="211"/>
        <w:gridCol w:w="901"/>
        <w:gridCol w:w="109"/>
        <w:gridCol w:w="109"/>
        <w:gridCol w:w="109"/>
        <w:gridCol w:w="109"/>
        <w:gridCol w:w="211"/>
        <w:gridCol w:w="901"/>
        <w:gridCol w:w="109"/>
        <w:gridCol w:w="109"/>
        <w:gridCol w:w="109"/>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(153,608)</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(104,628)</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Three months ended October 31, 2023 compared to the three months ended October 31, 2022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generated $328.5 million of cash from operating activities during the three months ended October 31, 2023, a decrease of $4.5 million compared to $333.0 million generated during the three months ended October 31, 2022. The decrease in operating cash flows was primarily a result of decreased Mountain segment results for the three months ended October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compared to the prior year, partially offset by an increase in pass and other product sales and receivable collections of approximately $37.8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(used in) investing activities for the three months ended October 31, 2023 increased by $140.1 million primarily due to (i) prior year short-term bank deposit investments of $86.8 million, which were invested in deposits with maturity dates of more than three months at the date of purchase and were therefore not reflected as cash equivalents as of October 31, 2022, of which $52.4 million matured in the current year; (ii) a decrease in capital expenditures of approximately $70.7 million as compared to the prior year, driven by our significant investment in lift upgrades in calendar year 2022; and (iii) $38.6 million of cash paid to Andermatt Swiss Alps AG upon closing the acquisition of Andermatt-Sedrun, net of cash acquired, on August 3, 2022. This increase was partially offset by the return of a cash deposit of approximately $114.5 million (CHF 110.0 million) originally made in July 2022 in conjunction with the acquisition of Andermatt-Sedrun, which closed on August 3, 2022. The cash deposit was invested into Andermatt-Sedrun, which is consolidated in our consolidated condensed financial statements subsequent to the acquisition being completed.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increased by $49.0 million during the three months ended October 31, 2023 compared to the three months ended October 31, 2022, primarily due to an increase in repurchases of common stock of $50.0 million.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Significant Sources of Cash</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had $728.9 million of cash and cash equivalents as of October 31, 2023, compared to $1,180.9 million as of October 31, 2022, and the decrease was primarily due to increased activity during the last twelve months associated with our share repurchase program. We currently anticipate that our Mountain and Lodging segment operating results will continue to provide a significant source of future operating cash flows (primarily generated in our second and third fiscal quarters).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$728.9 million of cash and cash equivalents at October 31, 2023, we had $419.8 million available under the revolver component of our Vail Holdings Credit Agreement as of October 31, 2023 (which represents the total commitment of $500.0 million less outstanding letters of credit of $80.2 million). Additionally, we had C$296.6 million ($213.9 million) available under the revolver component of our Whistler Credit Agreement (which represents the total commitment of C$300.0 million ($216.3 million) less certain outstanding letters of credit of C$3.4 million ($2.4 million)). We expect that our liquidity needs in the near term will be met by continued use of our existing cash and cash equivalents, operating cash flows and borrowings under both the Vail Holdings Credit Agreement and Whistler Credit Agreement, if needed. The Vail Holdings Credit Agreement and the Whistler Credit Agreement provide adequate flexibility with any new borrowings currently priced at the Secured Overnight Financing Rate plus 1.60% and Bankers Acceptance Rate plus 1.75%, respectively.</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Significant Uses of Cash</w:t>
      </w:r>
    </w:p>
    <w:p>
      <w:pPr>
        <w:pStyle w:val="TextBody"/>
        <w:bidi w:val="0"/>
        <w:spacing w:lineRule="auto" w:line="288" w:before="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Capital Expenditures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invested significant amounts of cash in capital expenditures for our resort operations, and we expect to continue to do so, subject to operating performance particularly as it relates to discretionary projects. Currently planned capital expenditures primarily include investments that will allow us to maintain our high-quality standards for the guest experience, as well as certain incremental discretionary improvements at our Resorts, throughout our owned hotels and in technology that can impact the full network. We evaluate additional discretionary capital improvements based on an expected level of return on investment.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anticipate we will spend approximately $180 million to $185 million on resort capital expenditures during calendar year 2023, excluding one-time investments related to integration activities, deferred capital associated with the Keystone and Park City projects, $4 million of reimbursable investments associated with insurance recoveries, and $9 million of growth capital investments at Andermatt-Sedrun. Including these one-time items, our total capital plan for calendar year 2023 is expected to be approximately $204 million to $209 million. Included in these estimated capital expenditures are approximately $112 million to $117 million of maintenance capital expenditures (excluding Andermatt-Sedrun), which are necessary to maintain appearance and level of service appropriate to our resort operations. We currently plan to utilize cash on hand, borrowings available under our credit agreements and/or cash flow generated from future operations to provide the cash necessary to complete our capital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had spent approximately $162 million for capital expenditures in calendar year 2023 as of October 31, 2023, leaving approximately $42 million to $47 million to spend in the remainder of calendar year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capital plan for calendar year 2024 will be approximately $189 million to $194 million, excluding $13 million of incremental capital investments in premium fleet and fulfillment infrastructure to support the official launch of My Epic Gear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2024/2025 winter season at 12 destination mountain resorts and regional ski areas across North America, $11 million of growth capital investments at Andermatt-Sedrun and $1 million of reimbursable capital. Including My Epic Gear and one-time investments, our total capital plan for calendar year 2024 is expected to be approximately $214 million to $219 million. We currently plan to utilize cash on hand, borrowings available under our credit agreements and/or cash generated from future operations to provide the cash necessary to complete our capital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Debt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October 31, 2023, principal payments on the majority of our long-term debt ($2.1 billion of the total $2.8 billion debt outstanding as of October 31, 2023) are not due until fiscal year 2026 and beyond. As of both October 31, 2023 and 2022, total long-term debt, net (including long-term debt due within one year) was $2.8 billion. Net Debt (defined as long-term debt, net plus long-term debt due within one year less cash and cash equivalents) increased from $1.7 billion as of October 31, 2022 to $2.1 billion as of October 31, 2023. The increase was primarily associated with the use of cash to fund share repurchases under our share repurchase program during the last twelve months.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October 31, 2023, the Vail Holdings Credit Agreement provides for (i) a revolving loan facility in an aggregate principal amount of $500.0 million and (ii) a term loan of $1.0 billion. We expect that our liquidity needs in the near term will be met by continued use of our existing cash and cash equivalents, operating cash flows and borrowings under both the Vail Holdings Credit Agreement and Whistler Credit Agreement, if needed.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debt service requirements can be impacted by changing interest rates as we had approximately $0.7 billion of variable-rate debt outstanding as of October 31, 2023. A 100-basis point change in our borrowing rates would cause our annual interest payments to change by approximately $6.5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We can respond to liquidity impacts of changes in the business and economic environment by managing our capital expenditures, variable operating expenses, the timing of new real estate development activity and the payment of cash dividends on our common stock.</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Dividend Payments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6, 2023, the Company’s Board of Directors approved a cash dividend of $2.06 per share payable on January 9, 2024 to stockholders of record as of December 26, 2023. During the three months ended October 31, 2023, we paid cash dividends of $2.06 per share ($78.5 million). During the three months ended October 31, 2022, we paid cash dividends of $1.91 per share ($77.0 million). We funded these dividends with available cash on hand.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pStyle w:val="TextBody"/>
        <w:bidi w:val="0"/>
        <w:spacing w:lineRule="auto" w:line="288" w:before="180" w:after="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Share Repurchase Program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Vail Shares (July 16, 2008), 1,500,000 Vail Shares (December 4, 2015) and 2,500,000 Vail Shares (March 7, 2023), for a total authorization to repurchase up to 10,000,000 Vail Shares. During the three months ended October 31, 2023, we repurchased 237,056 shares (at an average cost of $210.92) for a total cost of approximately $50.0 million, excluding accrued excise tax. We funded the share repurchases with available cash on hand. We did not repurchase any Vail Shares during the three months ended October 31, 2022. Since inception of this stock repurchase program through October 31, 2023, we have repurchased 8,885,358 Vail Shares at a cost of approximately $1,029.5 million. As of October 31, 2023, 1,114,642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repurchase at prices that we believe are attractive. The share repurchase program has no expiration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Covenants and Limitations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must abide by certain restrictive financial covenants under our credit agreements. The most restrictive of those covenants include the following covenants: for the Vail Holdings Credit Agreement, Net Funded Debt to Adjusted EBITDA ratio, Secured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Additionally, the New Regional Policy loan between Andermatt-Sedrun and the Canton of Uri and Canton of Graubünden dated June 24, 2016 includes restrictive covenants requiring certain minimum financial results (as defined in the agreement). In addition, our financing arrangements limit our ability to make certain restricted payments, pay dividends on or redeem or repurchase stock, make certain investments and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all restrictive financial covenants in our debt instruments as of October 31, 2023. We expect that we will meet all applicable financial maintenance covenants in effect in our credit agreements through the next twelve months.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OFF BALANCE SHEET ARRANGEMENTS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off balance sheet transactions that are expected to have a material effect on our financial condition, revenue, expenses, results of operations, liquidity, capital expenditures or capital resources.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changes to our critical accounting policies and estimates as reported in our Form 10-K for the fiscal year ended July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the economy generally, and our business and results of operations, including the ultimate amount of refunds that we would be required to refund to our pass product holders for qualifying circumstances under our Epic Coverage program;</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prolonged weakness in general economic conditions, including adverse effects on the overall travel and leisure related industries;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associated with the effects of high or prolonged inflation, rising interest rates and financial institution disruptions;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unfavorable weather conditions or the impact of natural disasters or other unexpected events;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the willingness or ability of our guests to travel due to terrorism, the uncertainty of military conflicts or public health emergencies, and the cost and availability of travel options and changing consumer preferences, discretionary spending habits or willingness to travel;</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travel and airline disruptions, and other adverse impacts on the ability of our guests to travel;</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interruptions or disruptions of our information technology systems, data security or cyberattacks;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our reliance on information technology, including our failure to maintain the integrity of our customer or employee data and our ability to adapt to technological developments or industry trends;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our ability to acquire, develop and implement relevant technology offerings for customers and partners;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the seasonality of our business combined with adverse events that may occur during our peak operating periods;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competition in our mountain and lodging businesses or with other recreational and leisure activities;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the high fixed cost structure of our business;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our ability to fund resort capital expenditures;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a disruption in our water supply that would impact our snowmaking capabilities and operations;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our reliance on government permits or approvals for our use of public land or to make operational and capital improvements;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federal, state, local and foreign government laws, rules and regulations, including environmental and health and safety laws and regulations;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changes in security and privacy laws and regulations which could increase our operating costs and adversely affect our ability to market our products, properties and services effectively;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potential failure to adapt to technological developments or industry trends regarding information technology;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our ability to successfully launch and promote adoption of new products, technology, services and programs;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our workforce, including increased labor costs, loss of key personnel and our ability to maintain adequate staffing, including hiring and retaining a sufficient seasonal workforce;</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a deterioration in the quality or reputation of our brands, including our ability to protect our intellectual property and the risk of accidents at our mountain resorts;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scrutiny and changing expectations regarding our environmental, social and governance practices and reporting;</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our ability to successfully integrate acquired businesses, including their integration into our internal controls and infrastructure; our ability to successfully navigate new markets, including Europe; or that acquired businesses may fail to perform in accordance with expectations;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associated with international operations;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fluctuations in foreign currency exchange rates where the Company has foreign currency exposure, primarily the Canadian and Australian dollars and the Swiss franc, as compared to the U.S. dollar;</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changes in tax laws, regulations or interpretations, or adverse determinations by taxing authorities;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a materially adverse change in our financial condition;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adverse consequences of current or future litigation and legal claims;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changes in accounting judgments and estimates, accounting principles, policies or guidelines; and</w:t>
      </w:r>
    </w:p>
    <w:p>
      <w:pPr>
        <w:pStyle w:val="TextBody"/>
        <w:bidi w:val="0"/>
        <w:spacing w:lineRule="auto" w:line="276" w:before="0" w:after="0"/>
        <w:ind w:left="0" w:right="0" w:hanging="720"/>
        <w:jc w:val="left"/>
        <w:rPr/>
      </w:pPr>
      <w:r>
        <w:rPr>
          <w:color w:val="000000"/>
        </w:rPr>
        <w:t>•</w:t>
      </w:r>
      <w:r>
        <w:rPr>
          <w:rFonts w:ascii="Times New Roman;sans-serif" w:hAnsi="Times New Roman;sans-serif"/>
          <w:b w:val="false"/>
          <w:i/>
          <w:color w:val="000000"/>
          <w:sz w:val="20"/>
        </w:rPr>
        <w:t>other risks and uncertainties included under Part 1. Item 1A. “Risk Factors” of our Annual Report on Form 10-K for the fiscal year ended July 31, 2023.</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attributable to us or any persons acting on our behalf are expressly qualified in their entirety by these cautionary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our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0"/>
        <w:jc w:val="both"/>
        <w:rPr/>
      </w:pPr>
      <w:r>
        <w:rPr>
          <w:rFonts w:ascii="Times New Roman;sans-serif" w:hAnsi="Times New Roman;sans-serif"/>
          <w:b w:val="false"/>
          <w:i/>
          <w:color w:val="000000"/>
          <w:sz w:val="20"/>
        </w:rPr>
        <w:t>Interest Rate Risk.</w:t>
      </w:r>
      <w:r>
        <w:rPr>
          <w:color w:val="000000"/>
        </w:rPr>
        <w:t> </w:t>
      </w:r>
      <w:r>
        <w:rPr>
          <w:rFonts w:ascii="Times New Roman;sans-serif" w:hAnsi="Times New Roman;sans-serif"/>
          <w:b w:val="false"/>
          <w:color w:val="000000"/>
          <w:sz w:val="20"/>
        </w:rPr>
        <w:t>Our exposure to market risk is limited primarily to the fluctuating interest rates associated with variable rate indebtedness. As of October 31, 2023, we had approximately $0.7 billion of variable rate indebtedness (after taking into consideration $400.0 million in interest rate swaps which converts variable-rate debt to fixed-rate debt), representing approximately 23.3% of our total debt outstanding, at an average interest rate during the three months ended October 31, 2023 of approximately 6.8%. Based on variable-rate borrowings outstanding as of October 31, 2023, a 100-basis point (or 1.0%) change in our borrowing rates would result in our annual interest payments changing by approximately $6.5 million. Our market risk exposure fluctuates based on changes in underlying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Foreign Currency Exchange Rate Risk. </w:t>
      </w:r>
      <w:r>
        <w:rPr>
          <w:rFonts w:ascii="Times New Roman;sans-serif" w:hAnsi="Times New Roman;sans-serif"/>
          <w:b w:val="false"/>
          <w:color w:val="000000"/>
          <w:sz w:val="20"/>
        </w:rPr>
        <w:t>We are exposed to currency translation risk because the results of our international entities are reported in local currency, which we then translate to U.S. dollars for inclusion in our Consolidated Condensed Financial Statements. As a result, changes between the foreign exchange rates, in particular the Canadian dollar, Australian dollar and Swiss franc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has and could materially change due to fluctuations in the Canadian dollar exchange rate. The results of Whistler Blackcomb are reported in Canadian dollars, the results of our Australian resorts are reported in Australian dollars and the results of Andermatt-Sedrun are reported in Swiss francs, each of which we then translate to U.S. dollars for inclusion in our Consolidated Condensed Financial Statements. We do not currently enter into hedging arrangements to minimize the impact of foreign currency fluctuations on our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amounts of foreign currency translation adjustments, representing losses, and foreign currency loss on intercompany loans recognized in comprehensive loss (in thousands).</w:t>
      </w:r>
    </w:p>
    <w:tbl>
      <w:tblPr>
        <w:tblW w:w="6473" w:type="dxa"/>
        <w:jc w:val="center"/>
        <w:tblInd w:w="0" w:type="dxa"/>
        <w:tblLayout w:type="fixed"/>
        <w:tblCellMar>
          <w:top w:w="28" w:type="dxa"/>
          <w:left w:w="28" w:type="dxa"/>
          <w:bottom w:w="28" w:type="dxa"/>
          <w:right w:w="28" w:type="dxa"/>
        </w:tblCellMar>
      </w:tblPr>
      <w:tblGrid>
        <w:gridCol w:w="1363"/>
        <w:gridCol w:w="1199"/>
        <w:gridCol w:w="1202"/>
        <w:gridCol w:w="211"/>
        <w:gridCol w:w="796"/>
        <w:gridCol w:w="109"/>
        <w:gridCol w:w="109"/>
        <w:gridCol w:w="109"/>
        <w:gridCol w:w="109"/>
        <w:gridCol w:w="211"/>
        <w:gridCol w:w="901"/>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 on intercompany loans</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of the Company, under the supervision and with participation of the Chief Executive Officer (the “CEO”) and Chief Financial Officer (the “CFO”), evaluated the effectiveness of the Company’s “disclosure controls and procedures” as such term is defined in Rule 13a-15(e) and 15d-15(e) under the Securities Exchange Act of 1934, as amended (the “Act”), as of the end of the period covered by this Quarterly Report on Form 10-Q.</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upon their evaluation of the Company’s disclosure controls and procedures, the CEO and the CFO concluded that, as of the end of the period covered by this Quarterly Report on Form 10-Q, the disclosure controls and procedures are effective to provide reasonable assurance that information required to be disclosed by the Company in the reports that it files or submits under the Act is accumulated and communicated to management, including the CEO and the CFO, as appropriate, to allow timely decisions regarding required disclosure and are effective to provide reasonable assurance that such information is recorded, processed, summarized and reported within the time periods specified by the SEC’s rules and forms.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Controls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3, 2022, we completed our acquisition of Andermatt-Sedrun. In accordance with the SEC’s general guidance for recently acquired businesses, our assessment of and conclusion on the effectiveness of our internal control over financial reporting as of the fiscal year ended July 31, 2023 did not include certain elements of the internal controls of Andermatt-Sedrun. However, as of October 31, 2023, Andermatt-Sedrun is now included within our assessment of and conclusion on the effectiveness of our internal control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Excluding Andermatt-Sedrun, there were no changes in the Company’s internal control over financial reporting that occurred during the three months ended October 31, 2023 that have materially affected, or are reasonably likely to materially affect, the Company’s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There have been no material changes to the risk factors we previously disclosed in our Form 10-K, which was filed on September 28, 2023 </w:t>
      </w:r>
      <w:r>
        <w:rPr>
          <w:rFonts w:ascii="Times New Roman;sans-serif" w:hAnsi="Times New Roman;sans-serif"/>
          <w:b w:val="false"/>
          <w:color w:val="000000"/>
          <w:sz w:val="20"/>
        </w:rPr>
        <w:t>as of and for the year ended</w:t>
      </w:r>
      <w:r>
        <w:rPr>
          <w:color w:val="000000"/>
          <w:shd w:fill="FFFFFF" w:val="clear"/>
        </w:rPr>
        <w:t xml:space="preserve"> </w:t>
      </w:r>
      <w:r>
        <w:rPr>
          <w:rFonts w:ascii="Times New Roman;sans-serif" w:hAnsi="Times New Roman;sans-serif"/>
          <w:b w:val="false"/>
          <w:color w:val="000000"/>
          <w:sz w:val="20"/>
          <w:shd w:fill="FFFFFF" w:val="clear"/>
        </w:rPr>
        <w:t>July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Repurchase of Equity Securities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purchases of Vail Shares during the first quarter of fiscal 2024:</w:t>
      </w:r>
    </w:p>
    <w:tbl>
      <w:tblPr>
        <w:tblW w:w="10205" w:type="dxa"/>
        <w:jc w:val="center"/>
        <w:tblInd w:w="0" w:type="dxa"/>
        <w:tblLayout w:type="fixed"/>
        <w:tblCellMar>
          <w:top w:w="28" w:type="dxa"/>
          <w:left w:w="28" w:type="dxa"/>
          <w:bottom w:w="28" w:type="dxa"/>
          <w:right w:w="28" w:type="dxa"/>
        </w:tblCellMar>
      </w:tblPr>
      <w:tblGrid>
        <w:gridCol w:w="708"/>
        <w:gridCol w:w="438"/>
        <w:gridCol w:w="447"/>
        <w:gridCol w:w="615"/>
        <w:gridCol w:w="416"/>
        <w:gridCol w:w="417"/>
        <w:gridCol w:w="109"/>
        <w:gridCol w:w="109"/>
        <w:gridCol w:w="109"/>
        <w:gridCol w:w="265"/>
        <w:gridCol w:w="908"/>
        <w:gridCol w:w="137"/>
        <w:gridCol w:w="109"/>
        <w:gridCol w:w="109"/>
        <w:gridCol w:w="109"/>
        <w:gridCol w:w="888"/>
        <w:gridCol w:w="720"/>
        <w:gridCol w:w="723"/>
        <w:gridCol w:w="109"/>
        <w:gridCol w:w="109"/>
        <w:gridCol w:w="109"/>
        <w:gridCol w:w="989"/>
        <w:gridCol w:w="640"/>
        <w:gridCol w:w="913"/>
      </w:tblGrid>
      <w:tr>
        <w:trPr/>
        <w:tc>
          <w:tcPr>
            <w:tcW w:w="70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Number of Shares that May Yet Be Purchased Under the Plans or Programs (1)</w:t>
            </w:r>
          </w:p>
        </w:tc>
      </w:tr>
      <w:tr>
        <w:trPr/>
        <w:tc>
          <w:tcPr>
            <w:tcW w:w="15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2023 - August 31, 2023</w:t>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1,351,698 </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2023 - September 30, 2023</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1,351,698 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2023 - October 31, 2023</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237,056 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237,056 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1,114,642 </w:t>
            </w:r>
          </w:p>
        </w:tc>
        <w:tc>
          <w:tcPr>
            <w:tcW w:w="9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237,056 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237,056 </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1,114,642 </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share repurchase program is conducted under authorizations made from time to time by our Board of Directors. The Board of Directors initially authorized the repurchase of up to 3,000,000 Vail Shares (March 9, 2006), and later authorized additional repurchases of up to 3,000,000 Vail Shares (July 16, 2008), 1,500,000 Vail Shares (December 4, 2015) and 2,500,000 Vail Shares (March 7, 2023), for a total authorization to repurchase up to 10,000,000 Vail Shares. As of October 31, 2023, 1,114,642 Vail Shares remained available to repurchase under the existing repurchase authorization. Repurchases under these authorizations may be made from time to time at prevailing prices as permitted by applicable laws, including under plans complying with Rule 10b5-1 under the Securities Exchange Act of 1934, as amended, and subject to market conditions and other factors. These authorizations have no expiration date.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Director and Officer Rule 10b5-1 Trading Arrangements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October 31, 2023, none of the Company’s directors or “officers” (as defined in Rule 16a-1(f) under the Exchange Act) adopted, modified or terminated “Rule 10b5-1 trading arrangements” or “non-Rule 10b5-1 trading arrangements” (each as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either filed or furnished herewith or, if so indicated, incorporated by reference to the documents indicated in parentheses, which have previously been filed or furnished with the Securities and Exchange Commission.</w:t>
      </w:r>
    </w:p>
    <w:tbl>
      <w:tblPr>
        <w:tblW w:w="10205" w:type="dxa"/>
        <w:jc w:val="center"/>
        <w:tblInd w:w="0" w:type="dxa"/>
        <w:tblLayout w:type="fixed"/>
        <w:tblCellMar>
          <w:top w:w="28" w:type="dxa"/>
          <w:left w:w="28" w:type="dxa"/>
          <w:bottom w:w="28" w:type="dxa"/>
          <w:right w:w="28" w:type="dxa"/>
        </w:tblCellMar>
      </w:tblPr>
      <w:tblGrid>
        <w:gridCol w:w="291"/>
        <w:gridCol w:w="257"/>
        <w:gridCol w:w="258"/>
        <w:gridCol w:w="2845"/>
        <w:gridCol w:w="2695"/>
        <w:gridCol w:w="3859"/>
      </w:tblGrid>
      <w:tr>
        <w:trPr/>
        <w:tc>
          <w:tcPr>
            <w:tcW w:w="2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59"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9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3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1ryanbennettsever.htm">
              <w:r>
                <w:rPr>
                  <w:rStyle w:val="InternetLink"/>
                  <w:rFonts w:ascii="Times New Roman;sans-serif" w:hAnsi="Times New Roman;sans-serif"/>
                  <w:b w:val="false"/>
                  <w:color w:val="0000FF"/>
                  <w:sz w:val="20"/>
                  <w:u w:val="single"/>
                </w:rPr>
                <w:t>Form of Separation Agreement and General Release by and between Ryan Bennett and Vail Resorts, Inc. dated October 12, 2023.</w:t>
              </w:r>
            </w:hyperlink>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3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managementincent.htm">
              <w:r>
                <w:rPr>
                  <w:rStyle w:val="InternetLink"/>
                  <w:rFonts w:ascii="Times New Roman;sans-serif" w:hAnsi="Times New Roman;sans-serif"/>
                  <w:b w:val="false"/>
                  <w:color w:val="0000FF"/>
                  <w:sz w:val="20"/>
                  <w:u w:val="single"/>
                </w:rPr>
                <w:t>Vail Resorts, Inc. Management Incentive Plan (amended September 13, 2023).</w:t>
              </w:r>
            </w:hyperlink>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3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2024-q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3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2024-q1.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3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024-q1.htm">
              <w:r>
                <w:rPr>
                  <w:rStyle w:val="InternetLink"/>
                  <w:rFonts w:ascii="Times New Roman;sans-serif" w:hAnsi="Times New Roman;sans-serif"/>
                  <w:b w:val="false"/>
                  <w:color w:val="0000FF"/>
                  <w:sz w:val="20"/>
                  <w:u w:val="single"/>
                </w:rPr>
                <w:t>Certifications of Chief Executive Officer and Chief Financial Officer pursuant to 18 U.S.C. Section 1350 as adopted pursuant to Section 906 of the Sarbanes-Oxley Act of 2002.</w:t>
              </w:r>
            </w:hyperlink>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3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as its XBRL tags are embedded within the inline XBRL document.</w:t>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3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Schema Document.</w:t>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3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Calculation Linkbase Document.</w:t>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3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Definition Linkbase Document.</w:t>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3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Label Linkbase Document.</w:t>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3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3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cover page from this Quarterly Report on Form 10-Q, formatted in inline XBRL.</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contracts and compensatory plans and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00" w:after="283"/>
        <w:jc w:val="left"/>
        <w:rPr/>
      </w:pPr>
      <w:r>
        <w:rPr/>
      </w:r>
    </w:p>
    <w:p>
      <w:pPr>
        <w:pStyle w:val="TextBody"/>
        <w:bidi w:val="0"/>
        <w:spacing w:before="0" w:after="0"/>
        <w:jc w:val="left"/>
        <w:rPr/>
      </w:pPr>
      <w:r>
        <w:rPr/>
      </w:r>
    </w:p>
    <w:tbl>
      <w:tblPr>
        <w:tblW w:w="6913" w:type="dxa"/>
        <w:jc w:val="left"/>
        <w:tblInd w:w="0" w:type="dxa"/>
        <w:tblLayout w:type="fixed"/>
        <w:tblCellMar>
          <w:top w:w="28" w:type="dxa"/>
          <w:left w:w="28" w:type="dxa"/>
          <w:bottom w:w="28" w:type="dxa"/>
          <w:right w:w="28" w:type="dxa"/>
        </w:tblCellMar>
      </w:tblPr>
      <w:tblGrid>
        <w:gridCol w:w="748"/>
        <w:gridCol w:w="659"/>
        <w:gridCol w:w="663"/>
        <w:gridCol w:w="134"/>
        <w:gridCol w:w="134"/>
        <w:gridCol w:w="136"/>
        <w:gridCol w:w="1299"/>
        <w:gridCol w:w="1299"/>
        <w:gridCol w:w="1841"/>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Vail Resorts, Inc.</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December 7,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Angela A. Korch</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Angela A. Korch</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December 7,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Nathan Gronberg</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Nathan Gronberg</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Vice President, Controller and </w:t>
              <w:br/>
              <w:t>Chief Accounting Officer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p>
    <w:p>
      <w:pPr>
        <w:pStyle w:val="TextBody"/>
        <w:bidi w:val="0"/>
        <w:spacing w:before="0" w:after="0"/>
        <w:jc w:val="left"/>
        <w:rPr/>
      </w:pPr>
      <w:r>
        <w:rPr/>
        <w:drawing>
          <wp:inline distT="0" distB="0" distL="0" distR="0">
            <wp:extent cx="3200400" cy="571500"/>
            <wp:effectExtent l="0" t="0" r="0" b="0"/>
            <wp:docPr id="3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4" descr=""/>
                    <pic:cNvPicPr>
                      <a:picLocks noChangeAspect="1" noChangeArrowheads="1"/>
                    </pic:cNvPicPr>
                  </pic:nvPicPr>
                  <pic:blipFill>
                    <a:blip r:embed="rId5"/>
                    <a:stretch>
                      <a:fillRect/>
                    </a:stretch>
                  </pic:blipFill>
                  <pic:spPr bwMode="auto">
                    <a:xfrm>
                      <a:off x="0" y="0"/>
                      <a:ext cx="3200400" cy="57150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CERTAIN PORTIONS OF THIS EXHIBIT HAVE BEEN REDACTED PURSUANT TO ITEM 601(A)(6) OF REGULATION S-K AND, WHERE APPLICABLE, HAVE BEEN MARKED WITH [***] TO INDICATE WHERE REDACTIONS HAVE BEEN MADE. THE MARKED INFORMATION HAS BEEN EXCLUDED FROM THE EXHIBIT BECAUSE IT CONTAINS INFORMATION THAT IF DISCLOSED WOULD CONSTITUTE A CLEARLY UNWARRANTED INVASION OF PERSONAL PRIVACY.</w: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October 12,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Ryan Bennett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Re: Separation from Employment – Severance Agreement and General Release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Dear Ryan: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Severance Agreement and General Release (“Letter Agreement”) confirms our discussion concerning the separation of your employment as Chief Marketing Officer, Grade 33, for The Vail Corporation d/b/a Vail Resorts Management Company, together with its affiliates, shareholders, directors, officers, employees, representatives, predecessors, successors, and assigns (the “Company”). This Letter Agreement sets forth the separation benefits you will be eligible for if you sign, do not revoke, and comply with the terms and conditions set forth in this Letter Agreement no later than November 2, 2023.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val="false"/>
          <w:color w:val="000000"/>
          <w:sz w:val="24"/>
          <w:u w:val="single"/>
        </w:rPr>
        <w:t>Separation Date</w:t>
      </w:r>
      <w:r>
        <w:rPr>
          <w:rFonts w:ascii="Times New Roman;sans-serif" w:hAnsi="Times New Roman;sans-serif"/>
          <w:b w:val="false"/>
          <w:color w:val="000000"/>
          <w:sz w:val="24"/>
        </w:rPr>
        <w:t>: Your last day as an employee of the Company will be October 20, 2023, which will be referred to as your “Separation Date.” On your Separation Date, you will be provided a check in the amount of your compensation through your Separation Date, which you acknowledge is all regular compensation owed to you by the Company.</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val="false"/>
          <w:color w:val="000000"/>
          <w:sz w:val="24"/>
          <w:u w:val="single"/>
        </w:rPr>
        <w:t>Continuing Job Duties</w:t>
      </w:r>
      <w:r>
        <w:rPr>
          <w:rFonts w:ascii="Times New Roman;sans-serif" w:hAnsi="Times New Roman;sans-serif"/>
          <w:b w:val="false"/>
          <w:color w:val="000000"/>
          <w:sz w:val="24"/>
        </w:rPr>
        <w:t>: You are expected to continue to work productively and professionally performing your current job duties through the Separation Date, unless I direct or agree otherwise. Nothing herein is intended to change your employment status from that as an “at- will” employee, and your right to remain employed through the Separation Date and to receive the Separation Benefits described below are contingent upon your continued performance of your job duties in a positive and professional manner.</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Following the Separation Date, you will no longer perform services as an employee of the Company and you will cease to be eligible to participate in benefit plans for active employees of the Company. You acknowledge that, as of the Separation Date, you have no entitlement to continued pay or benefits except as provided in this Letter Agreement.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Additionally, the employment relationship between you and the Company will terminate on the Separation Date. This Letter Agreement constitutes your resignation from all officer, director and employee positions with the Company, in each case effective on the Separation Date. You and the Company acknowledge that, following the Separation Date, you shall not be considered an officer, director or employee of the Company.</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3.</w:t>
      </w:r>
      <w:r>
        <w:rPr>
          <w:rFonts w:ascii="Times New Roman;sans-serif" w:hAnsi="Times New Roman;sans-serif"/>
          <w:b w:val="false"/>
          <w:color w:val="000000"/>
          <w:sz w:val="24"/>
          <w:u w:val="single"/>
        </w:rPr>
        <w:t>Return of Property</w:t>
      </w:r>
      <w:r>
        <w:rPr>
          <w:rFonts w:ascii="Times New Roman;sans-serif" w:hAnsi="Times New Roman;sans-serif"/>
          <w:b w:val="false"/>
          <w:color w:val="000000"/>
          <w:sz w:val="24"/>
        </w:rPr>
        <w:t>. You must return all Company property including, but not limited to, credit, identification and similar cards, keys and documents, books, records, documents, files, software, instruction manuals, laptop computers, cellular telephones, PDA and office equipment. The reconciliation of any personal or business-related balances on Company credit card accounts, if any, as well as the return of all Company property, are express conditions to your receiving the Separation Benefits described below.</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4.</w:t>
      </w:r>
      <w:r>
        <w:rPr>
          <w:rFonts w:ascii="Times New Roman;sans-serif" w:hAnsi="Times New Roman;sans-serif"/>
          <w:b w:val="false"/>
          <w:color w:val="000000"/>
          <w:sz w:val="24"/>
          <w:u w:val="single"/>
        </w:rPr>
        <w:t>Separation Benefits</w:t>
      </w:r>
      <w:r>
        <w:rPr>
          <w:rFonts w:ascii="Times New Roman;sans-serif" w:hAnsi="Times New Roman;sans-serif"/>
          <w:b w:val="false"/>
          <w:color w:val="000000"/>
          <w:sz w:val="24"/>
        </w:rPr>
        <w:t>: In consideration for your execution of this Letter Agreement, which includes a full and final release of any claims against the Company and Releasees (as defined below), and consistent with the Company’s Executive Severance Policy, provided you have complied with all of the requirements in this Letter Agreement and you have not revoked this Letter Agreement (as further explained in Section 17 below), the Company is willing to provide you with the following Separation Benefits: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4"/>
          <w:u w:val="single"/>
        </w:rPr>
        <w:t>Severance payment</w:t>
      </w:r>
      <w:r>
        <w:rPr>
          <w:rFonts w:ascii="Times New Roman;sans-serif" w:hAnsi="Times New Roman;sans-serif"/>
          <w:b w:val="false"/>
          <w:color w:val="000000"/>
          <w:sz w:val="24"/>
        </w:rPr>
        <w:t>: a payment in the amount of $486,943, equivalent to 52 weeks of pay based on your annualized base salary of $486,943 (“Severance Payment”). A check for the Severance Payment will be issued and mailed to the address noted above, less applicable deductions and withholding, in a lump sum no later than fifteen (15) days following your Separation Date or Effective Date (as defined below in Section 16), whichever is later.</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4"/>
          <w:u w:val="single"/>
        </w:rPr>
        <w:t>Transition support</w:t>
      </w:r>
      <w:r>
        <w:rPr>
          <w:rFonts w:ascii="Times New Roman;sans-serif" w:hAnsi="Times New Roman;sans-serif"/>
          <w:b w:val="false"/>
          <w:color w:val="000000"/>
          <w:sz w:val="24"/>
        </w:rPr>
        <w:t>: executive transition coaching services of Scherer Executive Advisors, to begin within three months following your execution of this Letter Agreement.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val="false"/>
          <w:color w:val="000000"/>
          <w:sz w:val="24"/>
          <w:u w:val="single"/>
        </w:rPr>
        <w:t>COBRA</w:t>
      </w:r>
      <w:r>
        <w:rPr>
          <w:rFonts w:ascii="Times New Roman;sans-serif" w:hAnsi="Times New Roman;sans-serif"/>
          <w:b w:val="false"/>
          <w:color w:val="000000"/>
          <w:sz w:val="24"/>
        </w:rPr>
        <w:t>: if you timely elect continuation coverage under COBRA and provide proof of same, a payment in the amount of $16,827.06, which is equal to the cost of COBRA coverage for six months based on your current elections. A check for this COBRA payment will be issued and mailed to the address noted above, less applicable deductions and withholding, in a lump sum no later than ten (10) days following your Separation Date or the Effective Date (as defined below in Section 16) of this Letter Agreement, whichever is later.</w:t>
      </w:r>
    </w:p>
    <w:p>
      <w:pPr>
        <w:pStyle w:val="TextBody"/>
        <w:bidi w:val="0"/>
        <w:spacing w:before="0" w:after="0"/>
        <w:jc w:val="left"/>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d.</w:t>
      </w:r>
      <w:r>
        <w:rPr>
          <w:rFonts w:ascii="Times New Roman;sans-serif" w:hAnsi="Times New Roman;sans-serif"/>
          <w:b w:val="false"/>
          <w:color w:val="000000"/>
          <w:sz w:val="24"/>
          <w:u w:val="single"/>
        </w:rPr>
        <w:t>Current season ski passes</w:t>
      </w:r>
      <w:r>
        <w:rPr>
          <w:rFonts w:ascii="Times New Roman;sans-serif" w:hAnsi="Times New Roman;sans-serif"/>
          <w:b w:val="false"/>
          <w:color w:val="000000"/>
          <w:sz w:val="24"/>
        </w:rPr>
        <w:t>: ski passes and coupons are deactivated upon separation.</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1"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agree and acknowledge that you have received all wages, compensation, benefits, or other payments due to you from the Company. You further agree and acknowledge that the Separation Benefits described in this paragraph exceed any earned wages or anything else of value otherwise owed to you by the Company. Additionally, you agree and acknowledge that the Severance Payment represents the full amount to which you are entitled under the Company’s Executive Severance Policy and you are not entitled to any other severance benefits.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2"/>
        </w:rPr>
        <w:t>5.</w:t>
      </w:r>
      <w:r>
        <w:rPr>
          <w:rFonts w:ascii="Times New Roman;sans-serif" w:hAnsi="Times New Roman;sans-serif"/>
          <w:b w:val="false"/>
          <w:color w:val="000000"/>
          <w:sz w:val="24"/>
          <w:u w:val="single"/>
        </w:rPr>
        <w:t>Employee Benefits</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understand and acknowledge that the following may be true regardless of whether the parties execute this Letter Agreement: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4"/>
          <w:u w:val="single"/>
        </w:rPr>
        <w:t>Health Coverage</w:t>
      </w:r>
      <w:r>
        <w:rPr>
          <w:rFonts w:ascii="Times New Roman;sans-serif" w:hAnsi="Times New Roman;sans-serif"/>
          <w:b w:val="false"/>
          <w:color w:val="000000"/>
          <w:sz w:val="24"/>
        </w:rPr>
        <w:t>: You will be able to continue your enrollment in the Company’s Health, Dental and Vision Plans after the last day of the month of your separation under the provisions of COBRA. Enrollment documents will be mailed to you. Your entitlement to continuing coverage is conditioned upon your timely submission of COBRA election forms and remittance of applicable premiums on a timely basis.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4"/>
          <w:u w:val="single"/>
        </w:rPr>
        <w:t>401(k) and Other Benefits</w:t>
      </w:r>
      <w:r>
        <w:rPr>
          <w:rFonts w:ascii="Times New Roman;sans-serif" w:hAnsi="Times New Roman;sans-serif"/>
          <w:b w:val="false"/>
          <w:color w:val="000000"/>
          <w:sz w:val="24"/>
        </w:rPr>
        <w:t>: Your entitlement to make contributions to the 401(k) Plan will end as of your Separation Date. However, following your Separation Date, you may retain your accounts in the Plan in accordance with the provisions of the Plan document. Your entitlement to Short Term Disability and Long Term Disability plan coverage will end as of your Separation Date. Your participation in Company- sponsored LIFE or ADD insurance programs, executive perquisite programs (except as otherwise provided by this Letter Agreement) and any other compensation or benefit plan, program or arrangements maintained or contributed to by the Company will end as of your Separation Date. Other than as expressly set forth in this Letter Agreement, you will have no rights to future benefits under any employee benefit plan or arrangement of the Company following the Separation Date, except to the extent such benefits have been earned and accrued as of the Separation Date.</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val="false"/>
          <w:color w:val="000000"/>
          <w:sz w:val="24"/>
          <w:u w:val="single"/>
        </w:rPr>
        <w:t>Equity Grants</w:t>
      </w:r>
      <w:r>
        <w:rPr>
          <w:rFonts w:ascii="Times New Roman;sans-serif" w:hAnsi="Times New Roman;sans-serif"/>
          <w:b w:val="false"/>
          <w:color w:val="000000"/>
          <w:sz w:val="24"/>
        </w:rPr>
        <w:t>: Any stock options, restricted stock or other equity-based compensation awards held by you that are not vested as of your Separation Date will be immediately cancelled and forfeited. You may retain any restricted stock units that have vested through your Separation Date. You must exercise any other outstanding equity awards vested as of your Separation Date within the time frames and in the manner set out in the plan documents applicable to such awards. No further vesting of any outstanding awards will occur after your Separation Date.</w:t>
      </w:r>
    </w:p>
    <w:p>
      <w:pPr>
        <w:pStyle w:val="TextBody"/>
        <w:bidi w:val="0"/>
        <w:spacing w:before="0" w:after="0"/>
        <w:jc w:val="left"/>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6.</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xml:space="preserve">: In return for the consideration and other promises by the Company described in this Letter Agreement, you for yourself and your representatives, heirs, successors, and assigns, hereby release and discharge the Company, and any predecessor, successor, parent, affiliate, or subsidiary company of the Company and/or Vail Resorts, Inc. (the “Companies”), their present and former officers, directors, shareholders, employees, agents, representatives, legal </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2"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representatives, accountants, successors, and assigns (collectively “Releasees”), from all claims, demands, and actions of any nature, known or unknown, that you may have against Releasees, including, but not limited to, claims that in any manner relate to, arise out of or involve any aspect of your employment with the Company, and the termination of that employment, including, but not limited to, any rights or claims under the Colorado Anti- Discrimination Act, Colo. Rev. Stat. §24-34-401, et seq.; the Lawful Off-Duty Activities Statute (LODA); the Personnel Files Employee Inspection Right Statute; the Colorado Labor Peace Act; the Colorado Labor Relations Act; the Colorado Equal Pay Act; the Colorado Minimum Wage Order; the Colorado Genetic Information Non-Disclosure Act; the Federal Family and Medical Leave Act, 29 U.S.C. §2601 et seq.; Federal Age Discrimination in Employment Act, 29 U.S.C. §621 et seq., including the Older Workers Benefit Protection Act; the Americans with Disabilities Act, 42 U.S.C. §12101, et seq.; Federal Civil Rights Act of 1964, as amended, 42 U.S.C., §2000e, et seq.; Federal Vocational Rehabilitation Act, 29 U.S.C. §701, et seq.; Federal Americans with Disabilities Act, 42 U.S.C. §12101, et seq.; Executive Order 11246; the Civil Rights Act of 1866, as reenacted, 42 U.S.C. §1981, 1982, 1983 and 1985; the Fair Labor Standards Act, 29 U.S.C. §201, et seq.; the National Labor Relations Act, as amended, 29 U.S.C. §141, et seq.; the Worker Adjustment and Retraining Notification Act, 29 U.S.C. § 2101, et. seq; the Sarbanes-Oxley Act of 2002, 18 U.S.C. §800 et seq., and any and all other municipal, state, and/or federal statutory, executive order, or constitutional provisions pertaining to an employment relationship. This release and waiver also specifically includes, without limitation, any claims in the nature of tort or contract claims, including specifically any claim of wrongful discharge, breach of contract, promissory estoppel, intentional or negligent infliction of emotional distress, interference with contract, libel, slander, breach of covenant of good faith and fair dealing, or other such claims, including, but not limited to, those arising out of or involving any aspect of your employment and the termination of your employment with the Company. This release also includes any and all claims seeking payment or reimbursement of attorneys’ fees, costs, and any and all other expenses related to the claims released herein.</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4"/>
          <w:u w:val="single"/>
        </w:rPr>
        <w:t>Claims Not Released</w:t>
      </w:r>
      <w:r>
        <w:rPr>
          <w:rFonts w:ascii="Times New Roman;sans-serif" w:hAnsi="Times New Roman;sans-serif"/>
          <w:b w:val="false"/>
          <w:color w:val="000000"/>
          <w:sz w:val="24"/>
        </w:rPr>
        <w:t>: This release and waiver shall not apply to: (i) any rights that, by law, may not be waived; (ii) rights and claims that arise from acts or events occurring after the execution of this Letter Agreement; (iii) claims with respect to your accrued benefits, as of the Separation Date, under Vail Resorts’ 401(k) Plan or other benefit plans which will be as set forth in the applicable plan documents, or any conversion or continuation right you may have under any other Company employee benefit plan which will be as set forth in the applicable plan document and shall be at your sole expense; (iv) rights to indemnification or advancement of expenses under the Articles of Incorporation or Bylaws of the Company or under Section 145 of the General Corporation Law of Delaware; (v) claims for breach by the Company of this Letter Agreement; (vi) benefits and/or the right to seek benefits under applicable workers’ compensation and/or unemployment compensation statutes.</w:t>
      </w:r>
    </w:p>
    <w:p>
      <w:pPr>
        <w:pStyle w:val="TextBody"/>
        <w:bidi w:val="0"/>
        <w:spacing w:before="0" w:after="0"/>
        <w:jc w:val="left"/>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4"/>
          <w:u w:val="single"/>
        </w:rPr>
        <w:t>Governmental Agencies</w:t>
      </w:r>
      <w:r>
        <w:rPr>
          <w:rFonts w:ascii="Times New Roman;sans-serif" w:hAnsi="Times New Roman;sans-serif"/>
          <w:b w:val="false"/>
          <w:color w:val="000000"/>
          <w:sz w:val="24"/>
        </w:rPr>
        <w:t xml:space="preserve">: This Letter Agreement also does not prevent, limit or otherwise affect your right to file a charge or complaint with or participating, testifying, or assisting in any investigation, hearing, or other proceeding before the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Equal Employment Opportunity Commission (“EEOC”), the National Labor Relations Board (“NLRB”), the Occupational Safety and Health Administration (“OSHA”), the Securities and Exchange Commission (“SEC”), the United States Department of Justice, or any other federal, state, or local government agency or commission (“Government Agency”), or making other disclosures that are protected under the whistleblower provisions of United States federal, state or local law or regulation. However, to the maximum extent permitted by law, you agree that if such an administrative claim is made, you shall not be entitled to recover any individual monetary relief or other individual remedies; provided, however, that this waiver is not intended to prohibit the provision of information to the SEC (or other Government Agency) or the receipt of any monetary award authorized by Section 21F-17 of Dodd Frank.</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val="false"/>
          <w:color w:val="000000"/>
          <w:sz w:val="24"/>
          <w:u w:val="single"/>
        </w:rPr>
        <w:t>Protected Rights</w:t>
      </w:r>
      <w:r>
        <w:rPr>
          <w:rFonts w:ascii="Times New Roman;sans-serif" w:hAnsi="Times New Roman;sans-serif"/>
          <w:b w:val="false"/>
          <w:color w:val="000000"/>
          <w:sz w:val="24"/>
        </w:rPr>
        <w:t>: You acknowledge and understand that nothing contained in this Letter Agreement limits your ability to file a complaint or communicate with a Government Agency, or otherwise participate in any investigation or proceeding that may be conducted by a Government Agency, including providing documents or other information, regarding potential violations of federal securities laws. You understand and acknowledge that you do not need the prior authorization of the Company to make any such reports or disclosures and that you are not required to notify the Company that you have made such reports or disclosures. Further, this Letter Agreement does not limit your ability to communicate with any Government Agencies or otherwise participate in any investigation or proceeding that may be conducted by any Government Agency, including providing documents or other information, without notice to the Company. This Letter Agreement also does not limit your right to receive an award for information provided to the SEC.</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d.</w:t>
      </w:r>
      <w:r>
        <w:rPr>
          <w:rFonts w:ascii="Times New Roman;sans-serif" w:hAnsi="Times New Roman;sans-serif"/>
          <w:b w:val="false"/>
          <w:color w:val="000000"/>
          <w:sz w:val="24"/>
          <w:u w:val="single"/>
        </w:rPr>
        <w:t>Covenants</w:t>
      </w:r>
      <w:r>
        <w:rPr>
          <w:rFonts w:ascii="Times New Roman;sans-serif" w:hAnsi="Times New Roman;sans-serif"/>
          <w:b w:val="false"/>
          <w:color w:val="000000"/>
          <w:sz w:val="24"/>
        </w:rPr>
        <w:t>: Also, you agree and covenant not to file any claims against Releasees, with regard to any claim, demand, liability or obligation arising out of your employment with the Company or termination therefrom. You further represent that no claims, complaints, charges, or other proceedings are pending in any court, administrative agency, commission or other forum relating directly or indirectly to your employment with the Company. If any agency, board or court assumes jurisdiction of any action against the Releasees arising out of your employment or any acts related to your employment with the Company occurring prior to the Separation Date, you will, to the greatest extent permitted by law, direct that agency, board or court to withdraw or dismiss the matter, with prejudice, and will execute any necessary paperwork to effect the withdrawal or dismissal, with prejudice. You also represent and warrant that you have not assigned or transferred, or purported to assign or transfer, to any person, firm, corporation, association, or entity whatsoever any of the released claims; and acknowledges that you cannot and will not attempt to do so.</w:t>
      </w:r>
    </w:p>
    <w:p>
      <w:pPr>
        <w:pStyle w:val="TextBody"/>
        <w:bidi w:val="0"/>
        <w:spacing w:before="0" w:after="0"/>
        <w:jc w:val="left"/>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e.</w:t>
      </w:r>
      <w:r>
        <w:rPr>
          <w:rFonts w:ascii="Times New Roman;sans-serif" w:hAnsi="Times New Roman;sans-serif"/>
          <w:b w:val="false"/>
          <w:color w:val="000000"/>
          <w:sz w:val="24"/>
          <w:u w:val="single"/>
        </w:rPr>
        <w:t>Class and Collective Waiver</w:t>
      </w:r>
      <w:r>
        <w:rPr>
          <w:rFonts w:ascii="Times New Roman;sans-serif" w:hAnsi="Times New Roman;sans-serif"/>
          <w:b w:val="false"/>
          <w:color w:val="000000"/>
          <w:sz w:val="24"/>
        </w:rPr>
        <w:t xml:space="preserve">: If any claim is not subject to release pursuant to this Letter Agreement, to the fullest extent permitted by law, you waive any right or ability to be a class or collective action representative or to otherwise participate in </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any putative or certified class, collective or multi-party action or proceeding based on such a claim in which the Company or any other Releasee identified in this Letter Agreement is a party.</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u w:val="single"/>
        </w:rPr>
        <w:t>SUMMARY OF RELEASE AND WAIVER OF CLAIMS</w:t>
      </w:r>
      <w:r>
        <w:rPr>
          <w:rFonts w:ascii="Times New Roman;sans-serif" w:hAnsi="Times New Roman;sans-serif"/>
          <w:b/>
          <w:color w:val="000000"/>
          <w:sz w:val="24"/>
        </w:rPr>
        <w:t>: Please read the immediately preceding paragraphs carefully and have them explained to you by your attorney. In general summary, but without limiting that Section, what the Section says and what you agree to do by executing this Letter Agreement is to give up your right to pursue any legal claim which you might have against the Company or Companies, The Vail Corporation, Vail Resorts, Inc., and other affiliated companies, their agents, shareholders, officers, directors and/or employees. It applies whether or not you are aware of the claims. It applies to claims that arose (meaning the important facts and occurrences which create or support the claim happened) at any time up to and including the time of your execution of this Letter Agreement. It does not apply to any claims that might arise (meaning that the important facts or occurrences that create or support the claim happen) after the date of execution of this Letter Agreement or claims arising under the Company’s Health and 401(k) Plans. As stated above, the release and waiver includes, but is not limited to, any and all claims arising from your employment or the termination of your employment with the Company. Such claims would include claims of employment discrimination, wrongful discharge and claims arising under any federal, state, and local laws, including, but not limited to, those listed by name above. Once you have entered into this Letter Agreement, you will have agreed not to seek to bring those claims in a court or other forum at any time in the future. In effect, you are exchanging your right to bring or pursue such claims, whether they are worth anything or not, for the actions to be taken for your benefit by the Company and other promises in this Letter Agreement.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2"/>
        </w:rPr>
        <w:t>7.</w:t>
      </w:r>
      <w:r>
        <w:rPr>
          <w:rFonts w:ascii="Times New Roman;sans-serif" w:hAnsi="Times New Roman;sans-serif"/>
          <w:b w:val="false"/>
          <w:color w:val="000000"/>
          <w:sz w:val="24"/>
          <w:u w:val="single"/>
        </w:rPr>
        <w:t>Protecting Trade Secret and Confidential Information</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4"/>
          <w:u w:val="single"/>
        </w:rPr>
        <w:t>Confidential Information</w:t>
      </w:r>
      <w:r>
        <w:rPr>
          <w:rFonts w:ascii="Times New Roman;sans-serif" w:hAnsi="Times New Roman;sans-serif"/>
          <w:b w:val="false"/>
          <w:color w:val="000000"/>
          <w:sz w:val="24"/>
        </w:rPr>
        <w:t>: The Company has developed, compiled and owns certain proprietary techniques and confidential information that have great value in its business. This information includes, but is not limited to, any and all information (in any medium, including but not limited to, written documents and electronic files) concerning unpublished financial data, financial projections, terms of transactions under consideration, plans or drawings, lease terms, marketing and sales data, budgets, product and product development information, client and customer lists, prospect lists, rates and preferences, employee lists, equipment programs, contracts, licensing agreements, processes, formulas, trade secrets, inventions, discoveries, improvements, data, know-how, formats, marketing plans, business plans, strategies, forecasts, and supplier and vendor identities, characteristics and agreements (“Confidential Information”). In addition, without in any way limiting the foregoing, Confidential Information is to be broadly defined.</w:t>
      </w:r>
    </w:p>
    <w:p>
      <w:pPr>
        <w:pStyle w:val="TextBody"/>
        <w:bidi w:val="0"/>
        <w:spacing w:before="0" w:after="0"/>
        <w:jc w:val="left"/>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4"/>
          <w:u w:val="single"/>
        </w:rPr>
        <w:t>Exclusions</w:t>
      </w:r>
      <w:r>
        <w:rPr>
          <w:rFonts w:ascii="Times New Roman;sans-serif" w:hAnsi="Times New Roman;sans-serif"/>
          <w:b w:val="false"/>
          <w:color w:val="000000"/>
          <w:sz w:val="24"/>
        </w:rPr>
        <w:t xml:space="preserve">: Confidential Information does not include (i) any information that is generally available to the public or hereafter becomes available to the public not through your fault; (ii) information that is or becomes known in the industry not </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5"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through your fault; (iii) information that is received from a third party outside of the Company which to your knowledge is not a violation of a confidentiality agreement with the Company; or (iv) general industry skills, knowledge and experience.</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val="false"/>
          <w:color w:val="000000"/>
          <w:sz w:val="24"/>
          <w:u w:val="single"/>
        </w:rPr>
        <w:t>Access and Use</w:t>
      </w:r>
      <w:r>
        <w:rPr>
          <w:rFonts w:ascii="Times New Roman;sans-serif" w:hAnsi="Times New Roman;sans-serif"/>
          <w:b w:val="false"/>
          <w:color w:val="000000"/>
          <w:sz w:val="24"/>
        </w:rPr>
        <w:t>: You acknowledge that by virtue of your executive leadership position with the Company, you have had extensive access to and use of Confidential Information and that you acquired substantial information concerning the business of the Company and its predecessors, parents, subsidiaries and affiliates, shareholders, directors, officers, employees, agents, and representatives, all of which is deemed to be proprietary, confidential and/or trade secret.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d.</w:t>
      </w:r>
      <w:r>
        <w:rPr>
          <w:rFonts w:ascii="Times New Roman;sans-serif" w:hAnsi="Times New Roman;sans-serif"/>
          <w:b w:val="false"/>
          <w:color w:val="000000"/>
          <w:sz w:val="24"/>
          <w:u w:val="single"/>
        </w:rPr>
        <w:t>Covenants</w:t>
      </w:r>
      <w:r>
        <w:rPr>
          <w:rFonts w:ascii="Times New Roman;sans-serif" w:hAnsi="Times New Roman;sans-serif"/>
          <w:b w:val="false"/>
          <w:color w:val="000000"/>
          <w:sz w:val="24"/>
        </w:rPr>
        <w:t>: You thus agree that at all times after your employment with the Company ends, you will (i) immediately return to the Company all Confidential Information within your possession, custody, or control; (ii) hold in trust, keep confidential, and not disclose to any third party or make any use of the Confidential Information of the Company or its clients and customers; (iii) not cause the transmission, removal or transport of Confidential Information of the Company or its clients and customers; and (iv) not publish, disclose, or otherwise disseminate Confidential Information of the Company or its clients or customers. Except as provided elsewhere in this Letter Agreement, you also affirm that you have not divulged any Confidential Information and will continue to maintain the confidentiality of such information consistent with your separate agreement(s) with the Company regarding trade secrets and confidentiality, which is/are incorporated herein by reference.</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e.</w:t>
      </w:r>
      <w:r>
        <w:rPr>
          <w:rFonts w:ascii="Times New Roman;sans-serif" w:hAnsi="Times New Roman;sans-serif"/>
          <w:b w:val="false"/>
          <w:color w:val="000000"/>
          <w:sz w:val="24"/>
          <w:u w:val="single"/>
        </w:rPr>
        <w:t>Specific Enforcement/Injunctive Relief</w:t>
      </w:r>
      <w:r>
        <w:rPr>
          <w:rFonts w:ascii="Times New Roman;sans-serif" w:hAnsi="Times New Roman;sans-serif"/>
          <w:b w:val="false"/>
          <w:color w:val="000000"/>
          <w:sz w:val="24"/>
        </w:rPr>
        <w:t>: As further explained in Section 13, you acknowledge it would be difficult to measure any damages to the Company from a breach of this Section 7. You further acknowledge that the potential for such damages would be great, incalculable and irremediable, and that monetary damages alone would be an inadequate remedy. Accordingly, you agree that the Company shall be entitled to seek immediate injunctive relief against such breach, or threatened breach without the need to post bond. You acknowledge that the remedies described above shall not be the exclusive remedies, and the Company may seek any other remedy available to it either in law or in equity, including, by way of example only, statutory remedies for misappropriation of trade secrets, and including the recovery of compensatory or punitive damages. You further agree that the Company shall be entitled to an award of all costs and attorneys’ fees incurred by it if successful in establishing a violation of this Letter Agreement.</w:t>
      </w:r>
    </w:p>
    <w:p>
      <w:pPr>
        <w:pStyle w:val="TextBody"/>
        <w:bidi w:val="0"/>
        <w:spacing w:before="0" w:after="0"/>
        <w:jc w:val="left"/>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f.</w:t>
      </w:r>
      <w:r>
        <w:rPr>
          <w:rFonts w:ascii="Times New Roman;sans-serif" w:hAnsi="Times New Roman;sans-serif"/>
          <w:b w:val="false"/>
          <w:color w:val="000000"/>
          <w:sz w:val="24"/>
          <w:u w:val="single"/>
        </w:rPr>
        <w:t>Defend Trade Secrets Act Notice</w:t>
      </w:r>
      <w:r>
        <w:rPr>
          <w:rFonts w:ascii="Times New Roman;sans-serif" w:hAnsi="Times New Roman;sans-serif"/>
          <w:b w:val="false"/>
          <w:color w:val="000000"/>
          <w:sz w:val="24"/>
        </w:rPr>
        <w:t xml:space="preserve">: Under the federal Defend Trade Secrets Act of 2016, you are immunized and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to your attorney in relation to a lawsuit for retaliation against you for reporting a suspected violation of law; or </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is made in a complaint or other document filed in a lawsuit or other proceeding, if such filing is made under seal.</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8.</w:t>
      </w:r>
      <w:r>
        <w:rPr>
          <w:rFonts w:ascii="Times New Roman;sans-serif" w:hAnsi="Times New Roman;sans-serif"/>
          <w:b w:val="false"/>
          <w:color w:val="000000"/>
          <w:sz w:val="24"/>
          <w:u w:val="single"/>
        </w:rPr>
        <w:t>Personal Property</w:t>
      </w:r>
      <w:r>
        <w:rPr>
          <w:rFonts w:ascii="Times New Roman;sans-serif" w:hAnsi="Times New Roman;sans-serif"/>
          <w:b w:val="false"/>
          <w:color w:val="000000"/>
          <w:sz w:val="24"/>
        </w:rPr>
        <w:t>: With Company authorization, if not already done, you agree to remove all of your personal property from the office by no later than the Separation Date, and that you shall not return to the office after the Separation Date other than as may be approved in advance in writing by the Company. You agree to return all materials of the Company that may have been issued to you, including, but not limited to, keys, written or electronic Confidential Information, and credit cards, and to promptly file any outstanding final expense report. Subject to compliance with your obligations herein with respect to the use and disclosure of Confidential Information, you will be entitled to make a copy of your electronic rolodex (or contact files in Outlook) and schedule.</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9.</w:t>
      </w:r>
      <w:r>
        <w:rPr>
          <w:rFonts w:ascii="Times New Roman;sans-serif" w:hAnsi="Times New Roman;sans-serif"/>
          <w:b w:val="false"/>
          <w:color w:val="000000"/>
          <w:sz w:val="24"/>
          <w:u w:val="single"/>
        </w:rPr>
        <w:t>Nondisparagement</w:t>
      </w:r>
      <w:r>
        <w:rPr>
          <w:rFonts w:ascii="Times New Roman;sans-serif" w:hAnsi="Times New Roman;sans-serif"/>
          <w:b w:val="false"/>
          <w:color w:val="000000"/>
          <w:sz w:val="24"/>
        </w:rPr>
        <w:t>: To the extent permitted by law, you agree to refrain from disparaging the Company, the Companies, the Board of Directors of Vail Resorts, Inc., or the officers, directors, stockholders, or employees of any of the Companies, the Companies’ business strategies, practices, plans, and projects. For the avoidance of doubt, nothing in this Section 9, Section 7(d) above, Sections 11 and 12 below, or this Letter Agreement limits your ability to disclose or discuss, either orally or in writing, any alleged discriminatory or unfair employment practice, or in any way restricts or impedes you from exercising protected rights, including rights under the National Labor Relations Act or the federal securities laws. Further, this Letter Agreement does not limit your ability to communicate with any Government Agencies or otherwise participate in any investigation or proceeding that may be conducted by any Government Agency, including providing non-privileged documents or other information, without notice to the Company. References to prospective employers will be provided upon your request. Reference requests should be referred to the Company’s Human Resources department, which will confirm your service date(s) and job title.</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10.</w:t>
      </w:r>
      <w:r>
        <w:rPr>
          <w:rFonts w:ascii="Times New Roman;sans-serif" w:hAnsi="Times New Roman;sans-serif"/>
          <w:b w:val="false"/>
          <w:color w:val="000000"/>
          <w:sz w:val="24"/>
          <w:u w:val="single"/>
        </w:rPr>
        <w:t>No Admission of Wrongdoing</w:t>
      </w:r>
      <w:r>
        <w:rPr>
          <w:rFonts w:ascii="Times New Roman;sans-serif" w:hAnsi="Times New Roman;sans-serif"/>
          <w:b w:val="false"/>
          <w:color w:val="000000"/>
          <w:sz w:val="24"/>
        </w:rPr>
        <w:t>: The entry into this Letter Agreement by the parties is not and may not be construed to be an admission of any act, practice or policy by the Company or any of the Companies, in violation of any statute, common law duty, constitution, or administrative rule or regulation. Further, this Letter Agreement may not constitute evidence of any such proscribed or wrongful act, practice or policy by the Company or any of the Companies.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11.</w:t>
      </w:r>
      <w:r>
        <w:rPr>
          <w:rFonts w:ascii="Times New Roman;sans-serif" w:hAnsi="Times New Roman;sans-serif"/>
          <w:b w:val="false"/>
          <w:color w:val="000000"/>
          <w:sz w:val="24"/>
          <w:u w:val="single"/>
        </w:rPr>
        <w:t>Agreement Not Admissible</w:t>
      </w:r>
      <w:r>
        <w:rPr>
          <w:rFonts w:ascii="Times New Roman;sans-serif" w:hAnsi="Times New Roman;sans-serif"/>
          <w:b w:val="false"/>
          <w:color w:val="000000"/>
          <w:sz w:val="24"/>
        </w:rPr>
        <w:t>: To the extent permitted by law, you and the Company agree that this Letter Agreement may not be tendered or admissible as evidence in any proceeding by either of us for any purpose, except that this Letter Agreement may be offered as evidence in a proceeding involving one or both of us, in which this Letter Agreement or any part of this Letter Agreement, an alleged breach of this Letter Agreement, the enforcement of this Letter Agreement, and/or the validity of any term of this Letter Agreement is at issue.</w:t>
      </w:r>
    </w:p>
    <w:p>
      <w:pPr>
        <w:pStyle w:val="TextBody"/>
        <w:bidi w:val="0"/>
        <w:spacing w:before="0" w:after="0"/>
        <w:jc w:val="left"/>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12.</w:t>
      </w:r>
      <w:r>
        <w:rPr>
          <w:rFonts w:ascii="Times New Roman;sans-serif" w:hAnsi="Times New Roman;sans-serif"/>
          <w:b w:val="false"/>
          <w:color w:val="000000"/>
          <w:sz w:val="24"/>
          <w:u w:val="single"/>
        </w:rPr>
        <w:t>Agreement to Be Kept Confidential</w:t>
      </w:r>
      <w:r>
        <w:rPr>
          <w:rFonts w:ascii="Times New Roman;sans-serif" w:hAnsi="Times New Roman;sans-serif"/>
          <w:b w:val="false"/>
          <w:color w:val="000000"/>
          <w:sz w:val="24"/>
        </w:rPr>
        <w:t xml:space="preserve">: Except as provided elsewhere in this Letter Agreement, you confirm that you have not disclosed and agree that you will forever refrain from disclosing to any person or entity the terms and conditions of this Letter Agreement. You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may, however, disclose this Letter Agreement to your spouse or significant other, legal counsel and tax advisor, as necessary, provided that they are instructed, and agree, not to disclose the terms and conditions to anyone or as required by law or as ordered by a court. You also agree that if your spouse or significant other breaches this confidentiality provision it shall be as if you yourself breached the provision and you shall be liable for all ensuing damages as if you yourself had breached this provision. You also agree that the Company is not obligated to keep this Letter Agreement confidential and may elect in its sole discretion to disclose it, including by attaching a copy to its quarterly report on Form 10-Q, its annual report on Form 10-K, or any other public filing made in association with the Company’s securities.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13.</w:t>
      </w:r>
      <w:r>
        <w:rPr>
          <w:rFonts w:ascii="Times New Roman;sans-serif" w:hAnsi="Times New Roman;sans-serif"/>
          <w:b w:val="false"/>
          <w:color w:val="000000"/>
          <w:sz w:val="24"/>
          <w:u w:val="single"/>
        </w:rPr>
        <w:t>Acknowledgment</w:t>
      </w:r>
      <w:r>
        <w:rPr>
          <w:rFonts w:ascii="Times New Roman;sans-serif" w:hAnsi="Times New Roman;sans-serif"/>
          <w:b w:val="false"/>
          <w:color w:val="000000"/>
          <w:sz w:val="24"/>
        </w:rPr>
        <w:t>: You acknowledge and agree that the restrictions and obligations contained in this Letter Agreement are reasonable and necessary to protect and preserve the legitimate interests, properties, goodwill and business of the Company, that the Company would not have entered into this Letter Agreement in the absence of such restrictions and that irreparable injury will be suffered by the Company should you breach any such provisions. You further acknowledge and agree that a breach of any of such restrictions and obligations cannot be adequately compensated by monetary damages. You agree that the Company shall be entitled to preliminary and permanent injunctive relief, without the necessity of proving actual damages, as well as an equitable accounting of all earnings, profits and other benefits arising from any violation of such restrictions, which rights shall be cumulative and in addition to any other rights or remedies to which the Company may be entitled. In the event that any of such restrictions should ever be adjudicated to exceed the time, geographic, service, or other limitations permitted by applicable law in any jurisdiction, it is the intention of the parties that the provision shall be amended to the extent of the maximum time, geographic, service, or other limitations permitted by applicable law, that such amendment shall apply only within the jurisdiction of the court that made such adjudication and that the provision otherwise be enforced to the maximum extent permitted by law.</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2"/>
        </w:rPr>
        <w:t>14.</w:t>
      </w:r>
      <w:r>
        <w:rPr>
          <w:rFonts w:ascii="Times New Roman;sans-serif" w:hAnsi="Times New Roman;sans-serif"/>
          <w:b w:val="false"/>
          <w:color w:val="000000"/>
          <w:sz w:val="24"/>
          <w:u w:val="single"/>
        </w:rPr>
        <w:t>Affirmations</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No Claims</w:t>
      </w:r>
      <w:r>
        <w:rPr>
          <w:rFonts w:ascii="Times New Roman;sans-serif" w:hAnsi="Times New Roman;sans-serif"/>
          <w:b w:val="false"/>
          <w:color w:val="000000"/>
          <w:sz w:val="24"/>
        </w:rPr>
        <w:t>: You affirm that you have not filed, caused to be filed, or presently are a party to any claim against any of the Releasees. You agree you will not, directly or indirectly, in the future file any claim based on matters released herein against the Releasees, with any court or in any proceeding; nor will you, directly or indirectly, file any claim seeking individual relief with any local, state or federal governmental agency, with the exception of any claims that cannot be released as a matter of law or public policy. For the avoidance of doubt, nothing in this Section limits your ability to communicate with any Government Agencies or otherwise participate in any investigation or proceeding that may be conducted by any Government Agency, including providing non-privileged documents or other information, without notice to the Company.</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8"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4"/>
          <w:u w:val="single"/>
        </w:rPr>
        <w:t>Pay Received</w:t>
      </w:r>
      <w:r>
        <w:rPr>
          <w:rFonts w:ascii="Times New Roman;sans-serif" w:hAnsi="Times New Roman;sans-serif"/>
          <w:b w:val="false"/>
          <w:color w:val="000000"/>
          <w:sz w:val="24"/>
        </w:rPr>
        <w:t>: You also affirm that you have been paid and/or has received from the Company or its agents any and all compensation, wages, bonuses, commissions, and/or benefits which are due and payable as of the date you sign this Letter Agreement.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val="false"/>
          <w:color w:val="000000"/>
          <w:sz w:val="24"/>
          <w:u w:val="single"/>
        </w:rPr>
        <w:t>Leave Granted</w:t>
      </w:r>
      <w:r>
        <w:rPr>
          <w:rFonts w:ascii="Times New Roman;sans-serif" w:hAnsi="Times New Roman;sans-serif"/>
          <w:b w:val="false"/>
          <w:color w:val="000000"/>
          <w:sz w:val="24"/>
        </w:rPr>
        <w:t>: You agree that you have been granted any leave to which you were entitled under the Family and Medical Leave Act or state or local leave or disability accommodation laws.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d.</w:t>
      </w:r>
      <w:r>
        <w:rPr>
          <w:rFonts w:ascii="Times New Roman;sans-serif" w:hAnsi="Times New Roman;sans-serif"/>
          <w:b w:val="false"/>
          <w:color w:val="000000"/>
          <w:sz w:val="24"/>
          <w:u w:val="single"/>
        </w:rPr>
        <w:t>No Injuries or Expenses</w:t>
      </w:r>
      <w:r>
        <w:rPr>
          <w:rFonts w:ascii="Times New Roman;sans-serif" w:hAnsi="Times New Roman;sans-serif"/>
          <w:b w:val="false"/>
          <w:color w:val="000000"/>
          <w:sz w:val="24"/>
        </w:rPr>
        <w:t>: You agree that you have no known workplace injuries or occupational diseases, nor are you aware of any facts supporting any claim against, the Releasees under which the Releasees could be liable for medical expenses incurred by you before or after the execution of this Letter Agreement.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e.</w:t>
      </w:r>
      <w:r>
        <w:rPr>
          <w:rFonts w:ascii="Times New Roman;sans-serif" w:hAnsi="Times New Roman;sans-serif"/>
          <w:b w:val="false"/>
          <w:color w:val="000000"/>
          <w:sz w:val="24"/>
          <w:u w:val="single"/>
        </w:rPr>
        <w:t>No Retaliation</w:t>
      </w:r>
      <w:r>
        <w:rPr>
          <w:rFonts w:ascii="Times New Roman;sans-serif" w:hAnsi="Times New Roman;sans-serif"/>
          <w:b w:val="false"/>
          <w:color w:val="000000"/>
          <w:sz w:val="24"/>
        </w:rPr>
        <w:t>: You further affirm that you have not been retaliated against for reporting any allegations of wrongdoing by the Company or its officers, including any allegations of corporate fraud.</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f.</w:t>
      </w:r>
      <w:r>
        <w:rPr>
          <w:rFonts w:ascii="Times New Roman;sans-serif" w:hAnsi="Times New Roman;sans-serif"/>
          <w:b w:val="false"/>
          <w:color w:val="000000"/>
          <w:sz w:val="24"/>
          <w:u w:val="single"/>
        </w:rPr>
        <w:t>No Discrimination</w:t>
      </w:r>
      <w:r>
        <w:rPr>
          <w:rFonts w:ascii="Times New Roman;sans-serif" w:hAnsi="Times New Roman;sans-serif"/>
          <w:b w:val="false"/>
          <w:color w:val="000000"/>
          <w:sz w:val="24"/>
        </w:rPr>
        <w:t>: You affirm that all of the Company’s decisions regarding your pay and benefits through the date of your execution of this Letter Agreement were not discriminatory based on age, disability, race, color, sex, religion, national origin or any other classification protected by law.</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2"/>
        </w:rPr>
        <w:t>15.</w:t>
      </w:r>
      <w:r>
        <w:rPr>
          <w:rFonts w:ascii="Times New Roman;sans-serif" w:hAnsi="Times New Roman;sans-serif"/>
          <w:b w:val="false"/>
          <w:color w:val="000000"/>
          <w:sz w:val="24"/>
          <w:u w:val="single"/>
        </w:rPr>
        <w:t>Enforceability of Release</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4"/>
        </w:rPr>
        <w:t>The Company advises and encourages you to consult an attorney before signing this Letter Agreement, and you acknowledge that you have had a full and fair opportunity to consult with an attorney of your choice before signing this Letter Agreement, and to discuss with such attorney all issues relevant to you, including the potential application of Section 409A (as defined in Section 18 below).</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4"/>
        </w:rPr>
        <w:t>You acknowledge the adequacy and sufficiency of the consideration outlined in this Letter Agreement for your promises set forth in this Letter Agreement. The Separation Benefits that we have offered to provide to you are not items that the Company is obligated to provide pursuant to any separation plan or policy. You are estopped from raising and hereby expressly waive any defense regarding the receipt and/or legal sufficiency of the consideration provided under this Letter Agreement.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16.</w:t>
      </w:r>
      <w:r>
        <w:rPr>
          <w:rFonts w:ascii="Times New Roman;sans-serif" w:hAnsi="Times New Roman;sans-serif"/>
          <w:b w:val="false"/>
          <w:color w:val="000000"/>
          <w:sz w:val="24"/>
          <w:u w:val="single"/>
        </w:rPr>
        <w:t>Waiver of Rights under the Age Discrimination in Employment Act and Older Workers Benefit</w:t>
      </w:r>
      <w:r>
        <w:rPr>
          <w:color w:val="000000"/>
        </w:rPr>
        <w:t xml:space="preserve"> </w:t>
      </w:r>
      <w:r>
        <w:rPr>
          <w:rFonts w:ascii="Times New Roman;sans-serif" w:hAnsi="Times New Roman;sans-serif"/>
          <w:b w:val="false"/>
          <w:color w:val="000000"/>
          <w:sz w:val="24"/>
          <w:u w:val="single"/>
        </w:rPr>
        <w:t>Protection Act of 1990</w:t>
      </w:r>
      <w:r>
        <w:rPr>
          <w:rFonts w:ascii="Times New Roman;sans-serif" w:hAnsi="Times New Roman;sans-serif"/>
          <w:b w:val="false"/>
          <w:color w:val="000000"/>
          <w:sz w:val="24"/>
        </w:rPr>
        <w:t>: You specifically understand and acknowledge that because you are at least forty (40) years of age, the Age Discrimination in Employment Act of 1967, as amended (the “ADEA”), provides you the right to bring a claim against the Company if you believe that you have been discriminated against on the basis of age.</w:t>
      </w:r>
    </w:p>
    <w:p>
      <w:pPr>
        <w:pStyle w:val="TextBody"/>
        <w:bidi w:val="0"/>
        <w:spacing w:before="0" w:after="0"/>
        <w:jc w:val="left"/>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4"/>
          <w:u w:val="single"/>
        </w:rPr>
        <w:t>Employee Rights</w:t>
      </w:r>
      <w:r>
        <w:rPr>
          <w:rFonts w:ascii="Times New Roman;sans-serif" w:hAnsi="Times New Roman;sans-serif"/>
          <w:b w:val="false"/>
          <w:color w:val="000000"/>
          <w:sz w:val="24"/>
        </w:rPr>
        <w:t xml:space="preserve">: You hereby acknowledge and represent that, in accordance with the ADEA, your execution of this Letter Agreement is voluntary and knowing; this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9"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Letter Agreement has been written in a manner that is easy to understand and you understand the Letter Agreement; you have received a written copy of this Letter Agreement; that the Company has advised you in writing to consult with an attorney prior to executing this Letter Agreement; that you have had the opportunity to ask any questions that you may have of legal or other personal advisors of your choosing; that you have had at least twenty-one (21) days to review and consider this Letter Agreement; and that you have received valuable and good consideration to which the you are otherwise not entitled in exchange for your execution of this Letter Agreement.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4"/>
          <w:u w:val="single"/>
        </w:rPr>
        <w:t>Voluntary and Knowing Waiver</w:t>
      </w:r>
      <w:r>
        <w:rPr>
          <w:rFonts w:ascii="Times New Roman;sans-serif" w:hAnsi="Times New Roman;sans-serif"/>
          <w:b w:val="false"/>
          <w:color w:val="000000"/>
          <w:sz w:val="24"/>
        </w:rPr>
        <w:t>: You understand the rights afforded to you under the ADEA and agrees that you will not file any claim or action against the Company or any of the Releasees based on any alleged violations of the ADEA. You hereby knowingly and voluntarily waive any right to assert a claim for relief under the ADEA, including but not limited to back pay, front pay, attorneys’ fees, damages, reinstatement or injunctive relief. Notwithstanding the foregoing, you do not waive any ADEA claim that may arise after this Letter Agreement is executed, and nothing in this Letter Agreement prevents or precludes you from challenging or seeking a determination in good faith of the validity of this waiver under the ADEA, nor does it impose any condition precedent, penalties or costs for doing so, unless specifically authorized by federal law.</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val="false"/>
          <w:color w:val="000000"/>
          <w:sz w:val="24"/>
          <w:u w:val="single"/>
        </w:rPr>
        <w:t>Consideration Period</w:t>
      </w:r>
      <w:r>
        <w:rPr>
          <w:rFonts w:ascii="Times New Roman;sans-serif" w:hAnsi="Times New Roman;sans-serif"/>
          <w:b w:val="false"/>
          <w:color w:val="000000"/>
          <w:sz w:val="24"/>
        </w:rPr>
        <w:t>: You understand and acknowledge that the ADEA requires the Company to provide you with at least twenty-one (21) calendar days to consider this Letter Agreement (“Consideration Period”) prior to its execution. You acknowledge that you were provided with the required Consideration Period and hereby knowingly and voluntarily, after the opportunity to consult with an attorney, either has used the Consideration Period or waives the remainder of the Consideration Period by executing this Letter Agreement.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d.</w:t>
      </w:r>
      <w:r>
        <w:rPr>
          <w:rFonts w:ascii="Times New Roman;sans-serif" w:hAnsi="Times New Roman;sans-serif"/>
          <w:b w:val="false"/>
          <w:color w:val="000000"/>
          <w:sz w:val="24"/>
          <w:u w:val="single"/>
        </w:rPr>
        <w:t>Revocation Period</w:t>
      </w:r>
      <w:r>
        <w:rPr>
          <w:rFonts w:ascii="Times New Roman;sans-serif" w:hAnsi="Times New Roman;sans-serif"/>
          <w:b w:val="false"/>
          <w:color w:val="000000"/>
          <w:sz w:val="24"/>
        </w:rPr>
        <w:t xml:space="preserve">: You understand you are entitled to revoke this Letter Agreement at any time during the seven (7) days following your execution of this Letter Agreement. This Letter Agreement shall not become effective or enforceable until the eighth (8th) day after you sign this Letter Agreement without having revoked it (the “Effective Date”). You also understand that any revocation of this Letter Agreement must be in writing and delivered to the attention of to the Lynanne Kunkel, EVP, Chief HR Resources Officer, at </w:t>
      </w:r>
      <w:r>
        <w:rPr>
          <w:rFonts w:ascii="Times New Roman;sans-serif" w:hAnsi="Times New Roman;sans-serif"/>
          <w:b w:val="false"/>
          <w:color w:val="0562C1"/>
          <w:sz w:val="24"/>
          <w:u w:val="single"/>
        </w:rPr>
        <w:t>ljkunkel@vailresorts.com</w:t>
      </w:r>
      <w:r>
        <w:rPr>
          <w:rFonts w:ascii="Times New Roman;sans-serif" w:hAnsi="Times New Roman;sans-serif"/>
          <w:b w:val="false"/>
          <w:color w:val="000000"/>
          <w:sz w:val="24"/>
        </w:rPr>
        <w:t>, prior to the expiration of the Revocation Period. In the event that you revoke the Letter Agreement, the Company shall have no obligations under the Letter Agreement, no amounts will be payable under this Letter Agreement, and this Letter Agreement shall be voided in its entirety and of no further force or effect.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17.</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There may be no modification of this Letter Agreement, except in writing, executed by both you and the Company with the same formalities as this Letter Agreement.</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0"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18.</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This Letter Agreement is intended to comply with Section 409A of the Internal Revenue Code of 1986, as amended (“Section 409A”) or an exemption thereunder and shall be construed and administered in accordance with Section 409A. Notwithstanding any other provision of this Letter Agreement, payments provided under this Letter Agreement may only be made upon an event and in a manner that complies with Section 409A or an applicable exemption. Any payments under this Letter Agreement that may be excluded from Section 409A (as separation pay due to an involuntary separation from service, a short-term deferral, or a settlement payment pursuant to a bona fide legal dispute, etc.) shall be excluded from Section 409A to the maximum extent possible. For purposes of Section 409A, each installment payment provided under this Letter Agreement shall be treated as a separate payment. Any payments to be made under this Letter Agreement upon a termination of employment shall only be made upon a “separation from service” under Section 409A. Notwithstanding the foregoing, the Company makes no representations that the payments and benefits provided under this Letter Agreement comply with Section 409A and in no event shall the Company be liable for all or any portion of any taxes, penalties, interest or other expenses that may be incurred by you on account of non- compliance with Section 409A.</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19.</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In accordance with the terms of the Separation Benefits, the parties agree to make all necessary and usual reports to the Internal Revenue Service, state taxing authorities, and any similar agencies and to perform all withholdings normally applicable to the type and amount of payment you is to receive as a result of this Letter Agreement. You understand and agree that any and all federal, state or local tax liability that may be due or become due because of the Separation Benefits is your sole responsibility, and that you will pay any such taxes that may be due or become due, and you agree to bear all tax consequences, if any, attendant upon the payment of the above-recited sums. You further agree to indemnify, defend, and hold the Company harmless from, any actions, proceedings, claims, judgments, settlements, and/or demands for the payment of any taxes, interest, penalties, levies, or assessments applicable to the Separation Benefits under this Letter Agreement. The Company makes no representation as to the taxability of the amounts paid to you.</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20.</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Each of us agrees to indemnify the other for any costs, losses, damages, or expenses, including attorney fees, which arise from a breach of this Letter Agreement.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21.</w:t>
      </w:r>
      <w:r>
        <w:rPr>
          <w:rFonts w:ascii="Times New Roman;sans-serif" w:hAnsi="Times New Roman;sans-serif"/>
          <w:b w:val="false"/>
          <w:color w:val="000000"/>
          <w:sz w:val="24"/>
          <w:u w:val="single"/>
        </w:rPr>
        <w:t>Governing Law/Arbitration</w:t>
      </w:r>
      <w:r>
        <w:rPr>
          <w:rFonts w:ascii="Times New Roman;sans-serif" w:hAnsi="Times New Roman;sans-serif"/>
          <w:b w:val="false"/>
          <w:color w:val="000000"/>
          <w:sz w:val="24"/>
        </w:rPr>
        <w:t>: Any controversy or claim arising out of, or relating to, this Letter Agreement, or its breach, will be governed by the laws of the State of Colorado and will be resolved by final and binding arbitration in Denver, Colorado, in accordance with the American Arbitration Association’s (“AAA”) Employment Arbitration Rules and Mediation Procedures, as amended, but excluding application of the Supplementary Rules for Class Arbitrations effective as of October 10, 2003 and judgment on the award rendered may be entered in any court having jurisdiction.</w:t>
      </w:r>
    </w:p>
    <w:p>
      <w:pPr>
        <w:pStyle w:val="TextBody"/>
        <w:bidi w:val="0"/>
        <w:spacing w:before="0" w:after="0"/>
        <w:jc w:val="left"/>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22.</w:t>
      </w:r>
      <w:r>
        <w:rPr>
          <w:rFonts w:ascii="Times New Roman;sans-serif" w:hAnsi="Times New Roman;sans-serif"/>
          <w:b w:val="false"/>
          <w:color w:val="000000"/>
          <w:sz w:val="24"/>
          <w:u w:val="single"/>
        </w:rPr>
        <w:t>Complete Agreement</w:t>
      </w:r>
      <w:r>
        <w:rPr>
          <w:rFonts w:ascii="Times New Roman;sans-serif" w:hAnsi="Times New Roman;sans-serif"/>
          <w:b w:val="false"/>
          <w:color w:val="000000"/>
          <w:sz w:val="24"/>
        </w:rPr>
        <w:t xml:space="preserve">: Except as otherwise provided herein, this Letter Agreement represents the entire agreement between you and the Company concerning the subject matter herein, </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and it supersedes all prior agreements or understandings, written or oral. This Letter Agreement is binding upon the heirs, successors, and assigns of both you and the Company.</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23.</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terms of this Letter Agreement are severable. If any part of this Letter Agreement is determined to be illegal, invalid or unenforceable, the remaining parts shall not be affected thereby and the illegal, unenforceable or invalid part(s) shall be deemed not to be part of this Letter Agreement. The parties further agree that any such void or unenforceable provision(s) of this Letter Agreement may be replaced with a valid and enforceable provision that will achieve, to the extent possible, the economic, business, or other purposes of the unenforceable provision(s).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24.</w:t>
      </w:r>
      <w:r>
        <w:rPr>
          <w:rFonts w:ascii="Times New Roman;sans-serif" w:hAnsi="Times New Roman;sans-serif"/>
          <w:b w:val="false"/>
          <w:color w:val="000000"/>
          <w:sz w:val="24"/>
          <w:u w:val="single"/>
        </w:rPr>
        <w:t>Construction</w:t>
      </w:r>
      <w:r>
        <w:rPr>
          <w:rFonts w:ascii="Times New Roman;sans-serif" w:hAnsi="Times New Roman;sans-serif"/>
          <w:b w:val="false"/>
          <w:color w:val="000000"/>
          <w:sz w:val="24"/>
        </w:rPr>
        <w:t>: The language in all parts of this Letter Agreement shall in all cases be construed as a whole according to its fair meaning and not strictly for or against any of the parties. You and the Company each acknowledge the opportunity to be represented by counsel in connection with this Letter Agreement and the matters contemplated by this Letter Agreement, and that, accordingly, no part of this Letter Agreement should be construed against either party on the basis of authorship.</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25.</w:t>
      </w:r>
      <w:r>
        <w:rPr>
          <w:rFonts w:ascii="Times New Roman;sans-serif" w:hAnsi="Times New Roman;sans-serif"/>
          <w:b w:val="false"/>
          <w:color w:val="000000"/>
          <w:sz w:val="24"/>
          <w:u w:val="single"/>
        </w:rPr>
        <w:t>Attorneys’ Fees</w:t>
      </w:r>
      <w:r>
        <w:rPr>
          <w:rFonts w:ascii="Times New Roman;sans-serif" w:hAnsi="Times New Roman;sans-serif"/>
          <w:b w:val="false"/>
          <w:color w:val="000000"/>
          <w:sz w:val="24"/>
        </w:rPr>
        <w:t>: Each party shall bear its own attorneys’ fees in the preparation and review of this Letter Agreement. Should action be brought to enforce any term of this Letter Agreement, the prevailing party shall be entitled to recover its costs and reasonable attorneys’ fees.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these terms are acceptable, please indicate your acceptance by completing the DocuSign process (issued via separate email) to sign and return this Agreement no earlier than October 20, 2023 and no later than November 11,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bidi w:val="0"/>
        <w:spacing w:lineRule="auto" w:line="288" w:before="0" w:after="0"/>
        <w:jc w:val="both"/>
        <w:rPr/>
      </w:pPr>
      <w:r>
        <w:rPr>
          <w:rFonts w:ascii="Times New Roman;sans-serif" w:hAnsi="Times New Roman;sans-serif"/>
          <w:b w:val="false"/>
          <w:color w:val="000000"/>
          <w:sz w:val="24"/>
          <w:u w:val="single"/>
        </w:rPr>
        <w:t xml:space="preserve">/s/ Kirsten Lynch </w:t>
      </w:r>
      <w:r>
        <w:rPr>
          <w:color w:val="000000"/>
        </w:rPr>
        <w:t>        </w:t>
      </w:r>
      <w:r>
        <w:rPr>
          <w:rFonts w:ascii="Times New Roman;sans-serif" w:hAnsi="Times New Roman;sans-serif"/>
          <w:b w:val="false"/>
          <w:color w:val="000000"/>
          <w:sz w:val="24"/>
        </w:rPr>
        <w:t xml:space="preserve">Dated: </w:t>
      </w:r>
      <w:r>
        <w:rPr>
          <w:rFonts w:ascii="Times New Roman;sans-serif" w:hAnsi="Times New Roman;sans-serif"/>
          <w:b w:val="false"/>
          <w:color w:val="000000"/>
          <w:sz w:val="24"/>
          <w:u w:val="single"/>
        </w:rPr>
        <w:t xml:space="preserve">Oct-18-2023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Kirsten Lynch</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Vail Resorts Management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I have read and understand the Severance Agreement and General Release set forth above. I accept the consideration stated above and agree to be bound by the terms of this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u w:val="single"/>
        </w:rPr>
        <w:t xml:space="preserve">/s/ Ryan Bennett </w:t>
      </w:r>
      <w:r>
        <w:rPr>
          <w:color w:val="000000"/>
        </w:rPr>
        <w:t>        </w:t>
      </w:r>
      <w:r>
        <w:rPr>
          <w:rFonts w:ascii="Times New Roman;sans-serif" w:hAnsi="Times New Roman;sans-serif"/>
          <w:b w:val="false"/>
          <w:color w:val="000000"/>
          <w:sz w:val="24"/>
        </w:rPr>
        <w:t xml:space="preserve">Dated: </w:t>
      </w:r>
      <w:r>
        <w:rPr>
          <w:rFonts w:ascii="Times New Roman;sans-serif" w:hAnsi="Times New Roman;sans-serif"/>
          <w:b w:val="false"/>
          <w:color w:val="000000"/>
          <w:sz w:val="24"/>
          <w:u w:val="single"/>
        </w:rPr>
        <w:t xml:space="preserve">Oct-23-2023 </w:t>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Ryan Bennett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3600450" cy="361950"/>
            <wp:effectExtent l="0" t="0" r="0" b="0"/>
            <wp:docPr id="5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 descr=""/>
                    <pic:cNvPicPr>
                      <a:picLocks noChangeAspect="1" noChangeArrowheads="1"/>
                    </pic:cNvPicPr>
                  </pic:nvPicPr>
                  <pic:blipFill>
                    <a:blip r:embed="rId6"/>
                    <a:stretch>
                      <a:fillRect/>
                    </a:stretch>
                  </pic:blipFill>
                  <pic:spPr bwMode="auto">
                    <a:xfrm>
                      <a:off x="0" y="0"/>
                      <a:ext cx="3600450" cy="3619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Management Incentive Plan</w:t>
      </w:r>
    </w:p>
    <w:p>
      <w:pPr>
        <w:pStyle w:val="TextBody"/>
        <w:bidi w:val="0"/>
        <w:spacing w:lineRule="auto" w:line="288" w:before="0" w:after="0"/>
        <w:jc w:val="center"/>
        <w:rPr/>
      </w:pPr>
      <w:r>
        <w:rPr>
          <w:rFonts w:ascii="Times New Roman;sans-serif" w:hAnsi="Times New Roman;sans-serif"/>
          <w:b/>
          <w:color w:val="000000"/>
          <w:sz w:val="28"/>
        </w:rPr>
        <w:t>(amended September 13, 2023)</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Grades 33 &amp; Above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Objective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purpose of the Management Incentive Plan (the “Plan”) is to reinforce individual employee behaviors that contribute to the mission, values, growth and profitability of Vail Resorts, Inc. and its wholly owned subsidiaries (collectively, the “Company”) by: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Rewarding and recognizing performance in one or more of the following areas: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4"/>
        </w:rPr>
        <w:t xml:space="preserve">Financial - </w:t>
      </w:r>
      <w:r>
        <w:rPr>
          <w:rFonts w:ascii="Times New Roman;sans-serif" w:hAnsi="Times New Roman;sans-serif"/>
          <w:b w:val="false"/>
          <w:color w:val="000000"/>
          <w:sz w:val="24"/>
        </w:rPr>
        <w:t>Financial results at the end of the fiscal year are compared to EBITDA targets determined at the beginning of the fiscal year. EBITDA (Earnings before Interest, Taxes and Depreciation and Amortization excluding stock-based compensation) results are consolidated into various divisions of the Company and are defined in the funding section below.</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4"/>
        </w:rPr>
        <w:t>Individual Employee Performance</w:t>
      </w:r>
      <w:r>
        <w:rPr>
          <w:color w:val="000000"/>
        </w:rPr>
        <w:t xml:space="preserve"> </w:t>
      </w:r>
      <w:r>
        <w:rPr>
          <w:rFonts w:ascii="Times New Roman;sans-serif" w:hAnsi="Times New Roman;sans-serif"/>
          <w:b w:val="false"/>
          <w:color w:val="000000"/>
          <w:sz w:val="24"/>
        </w:rPr>
        <w:t xml:space="preserve">- Includes adherence to the Company’s mission and values.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Effective Dates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Plan is effective and will remain in effect until amended or terminated. The Plan Year will run concurrently with the fiscal year under which the employee is governed.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Eligibility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 full-time employees of the Company at grade levels 33 and above during the measurement period as identified in the Company’s compensation grade structures are eligible to participate in the Plan.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Target Percentages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target bonus percentages for employees are determined by the Compensation Committee in its sole discretion on a yearly basis by the end of the first quarter of each fiscal year and while the attainment of EBITDA performance targets are substantially uncertain.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Target Incentives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Each eligible employee’s target bonus incentive is calculated based on the target bonus percentage of his or her annual salary as of the last day of the measurement period the employee was classified in a Grade 33 or above position, except where proration rules apply as defined in the Proration sections.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Funding </w:t>
      </w:r>
    </w:p>
    <w:p>
      <w:pPr>
        <w:pStyle w:val="TextBody"/>
        <w:bidi w:val="0"/>
        <w:spacing w:lineRule="auto" w:line="288" w:before="240" w:after="283"/>
        <w:jc w:val="both"/>
        <w:rPr/>
      </w:pPr>
      <w:r>
        <w:rPr>
          <w:rFonts w:ascii="Times New Roman;sans-serif" w:hAnsi="Times New Roman;sans-serif"/>
          <w:b w:val="false"/>
          <w:color w:val="000000"/>
          <w:sz w:val="24"/>
        </w:rPr>
        <w:t xml:space="preserve">The funding at the end of the fiscal year is based on the final EBITDA results of the Company’s business divisions and the eligible employee’s incentive target amounts as determined by the Compensation Committee and as defined in </w:t>
      </w:r>
      <w:r>
        <w:rPr>
          <w:rFonts w:ascii="Times New Roman;sans-serif" w:hAnsi="Times New Roman;sans-serif"/>
          <w:b w:val="false"/>
          <w:color w:val="000000"/>
          <w:sz w:val="24"/>
          <w:u w:val="single"/>
        </w:rPr>
        <w:t>Exhibit A and B</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EBITDA Results for the Company are based on overall Vail Resorts EBITDA which includes all Mountain resorts, Lodging divisions and Retail divisions combined.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 all Vail Resorts Executives</w:t>
      </w:r>
      <w:r>
        <w:rPr>
          <w:rFonts w:ascii="Times New Roman;sans-serif" w:hAnsi="Times New Roman;sans-serif"/>
          <w:b w:val="false"/>
          <w:color w:val="000000"/>
          <w:sz w:val="24"/>
        </w:rPr>
        <w:t>, the Plan is 100% funded based on Resort EBITDA.</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maximum amount that may be earned as an award under the Plan for any Plan year by any one eligible employee shall be $4,000,000.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Funding Variable</w:t>
      </w:r>
    </w:p>
    <w:p>
      <w:pPr>
        <w:pStyle w:val="TextBody"/>
        <w:bidi w:val="0"/>
        <w:spacing w:lineRule="auto" w:line="288" w:before="240" w:after="283"/>
        <w:jc w:val="both"/>
        <w:rPr/>
      </w:pPr>
      <w:r>
        <w:rPr>
          <w:rFonts w:ascii="Times New Roman;sans-serif" w:hAnsi="Times New Roman;sans-serif"/>
          <w:b w:val="false"/>
          <w:color w:val="000000"/>
          <w:sz w:val="24"/>
        </w:rPr>
        <w:t xml:space="preserve">At each fiscal year-end, the funding will be based on the percentage of EBITDA target achieved. The schedule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is used to determine the percent of the target incentive funded by overall Vail Resorts EBITDA performance. The Compensation Committee will establish the Resort EBITDA performance targets and corresponding funding levels and may amend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by the end of the first quarter of each fiscal year and while the attainment of such goals is substantially uncertain. EBITDA results are rounded to the nearest whole percentage using simple rounding.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Individual Performance Rating Variable</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all employees excluding the Chief Executive Officer, the target incentive will be influenced based on individual performance. The Chief Executive Officer’s total bonus will be equal to, and based solely on, the funded target incentive amount.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Individual performance for all employees participating in the Plan will be determined through the applicable fiscal year performance review process, which will be determined by the Chief Executive Officer. With the exception of promoted employees, the final performance score will determine the incentive payment with higher performing employees receiving larger rewards than their lower performing peers. For those employees promoted into a higher-level position, any applicable incentive payments will be calculated by applying the Achieves Expectations performance variable to the incentive target for the new position.</w:t>
      </w:r>
    </w:p>
    <w:p>
      <w:pPr>
        <w:pStyle w:val="TextBody"/>
        <w:bidi w:val="0"/>
        <w:spacing w:lineRule="auto" w:line="288" w:before="240" w:after="283"/>
        <w:jc w:val="both"/>
        <w:rPr>
          <w:rFonts w:ascii="Times New Roman;sans-serif" w:hAnsi="Times New Roman;sans-serif"/>
          <w:b/>
          <w:color w:val="000000"/>
          <w:sz w:val="24"/>
          <w:u w:val="single"/>
        </w:rPr>
      </w:pPr>
      <w:r>
        <w:rPr>
          <w:rFonts w:ascii="Times New Roman;sans-serif" w:hAnsi="Times New Roman;sans-serif"/>
          <w:b/>
          <w:color w:val="000000"/>
          <w:sz w:val="24"/>
          <w:u w:val="single"/>
        </w:rPr>
        <w:t>Example Payout</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4"/>
        </w:rPr>
        <w:t>Grade 33 employee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$200,000 annual salary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Target incentive % = 42.5%</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Target incentive $ = $200,000 x 42.5% = $85,000</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Resort EBITDA results are at 101% of target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Resort EBITDA funding = 107.5%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Accordingly, with the above, the funded incentive = 107.5% x 85,000 = $91,375.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above employee receives an individual performance rating of “Achieves Expectations.”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Achieves Expectations” = 100% of funded incentive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$91,375 x 100% - $91,375 payout.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Individual performance can multiply the incentive payout by 0% to 130% of the target amount as displayed in Exhibit B.</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Proration for New Hires</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 employee hired into a position eligible for this Plan will receive a prorated incentive for the Plan Year based on the hire date and following schedule. Anyone hired after April 30 will not be eligible to receive an award for that fiscal year, except at the sole discretion of the CEO.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348" w:type="dxa"/>
        <w:jc w:val="center"/>
        <w:tblInd w:w="0" w:type="dxa"/>
        <w:tblLayout w:type="fixed"/>
        <w:tblCellMar>
          <w:top w:w="28" w:type="dxa"/>
          <w:left w:w="28" w:type="dxa"/>
          <w:bottom w:w="28" w:type="dxa"/>
          <w:right w:w="28" w:type="dxa"/>
        </w:tblCellMar>
      </w:tblPr>
      <w:tblGrid>
        <w:gridCol w:w="1131"/>
        <w:gridCol w:w="992"/>
        <w:gridCol w:w="996"/>
        <w:gridCol w:w="359"/>
        <w:gridCol w:w="359"/>
        <w:gridCol w:w="511"/>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left w:val="single" w:sz="8" w:space="0" w:color="000000"/>
            </w:tcBorders>
            <w:shd w:fill="DDD9C3" w:val="clear"/>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Month of Hire</w:t>
            </w:r>
          </w:p>
        </w:tc>
        <w:tc>
          <w:tcPr>
            <w:tcW w:w="1229" w:type="dxa"/>
            <w:gridSpan w:val="3"/>
            <w:tcBorders>
              <w:top w:val="single" w:sz="8" w:space="0" w:color="000000"/>
              <w:left w:val="single" w:sz="8" w:space="0" w:color="000000"/>
              <w:right w:val="single" w:sz="8" w:space="0" w:color="000000"/>
            </w:tcBorders>
            <w:shd w:fill="DDD9C3" w:val="clear"/>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Prorate %</w:t>
            </w:r>
          </w:p>
        </w:tc>
      </w:tr>
      <w:tr>
        <w:trPr/>
        <w:tc>
          <w:tcPr>
            <w:tcW w:w="31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August, September, October</w:t>
            </w:r>
          </w:p>
        </w:tc>
        <w:tc>
          <w:tcPr>
            <w:tcW w:w="1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31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November, December, January</w:t>
            </w:r>
          </w:p>
        </w:tc>
        <w:tc>
          <w:tcPr>
            <w:tcW w:w="1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67%</w:t>
            </w:r>
          </w:p>
        </w:tc>
      </w:tr>
      <w:tr>
        <w:trPr/>
        <w:tc>
          <w:tcPr>
            <w:tcW w:w="31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February, March, April</w:t>
            </w:r>
          </w:p>
        </w:tc>
        <w:tc>
          <w:tcPr>
            <w:tcW w:w="1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w:t>
            </w:r>
          </w:p>
        </w:tc>
      </w:tr>
      <w:tr>
        <w:trPr/>
        <w:tc>
          <w:tcPr>
            <w:tcW w:w="31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May, June, July</w:t>
            </w:r>
          </w:p>
        </w:tc>
        <w:tc>
          <w:tcPr>
            <w:tcW w:w="122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w:t>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Proration for Internal Promotions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rPr>
        <w:t>The proration calculation for employees who have been promoted into a Plan eligible position will be based on number of days in each role and performance rating earned in each position. For the purposes of this Plan, a promotion is defined as position change resulting in an increase in grade assignment and individual bonus target percentage.</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Example of Prorated Bonus due to Promotion</w:t>
      </w:r>
    </w:p>
    <w:tbl>
      <w:tblPr>
        <w:tblW w:w="10205" w:type="dxa"/>
        <w:jc w:val="center"/>
        <w:tblInd w:w="0" w:type="dxa"/>
        <w:tblLayout w:type="fixed"/>
        <w:tblCellMar>
          <w:top w:w="28" w:type="dxa"/>
          <w:left w:w="28" w:type="dxa"/>
          <w:bottom w:w="28" w:type="dxa"/>
          <w:right w:w="28" w:type="dxa"/>
        </w:tblCellMar>
      </w:tblPr>
      <w:tblGrid>
        <w:gridCol w:w="296"/>
        <w:gridCol w:w="261"/>
        <w:gridCol w:w="262"/>
        <w:gridCol w:w="434"/>
        <w:gridCol w:w="378"/>
        <w:gridCol w:w="351"/>
        <w:gridCol w:w="317"/>
        <w:gridCol w:w="317"/>
        <w:gridCol w:w="318"/>
        <w:gridCol w:w="334"/>
        <w:gridCol w:w="334"/>
        <w:gridCol w:w="338"/>
        <w:gridCol w:w="377"/>
        <w:gridCol w:w="377"/>
        <w:gridCol w:w="378"/>
        <w:gridCol w:w="641"/>
        <w:gridCol w:w="641"/>
        <w:gridCol w:w="642"/>
        <w:gridCol w:w="574"/>
        <w:gridCol w:w="574"/>
        <w:gridCol w:w="575"/>
        <w:gridCol w:w="432"/>
        <w:gridCol w:w="432"/>
        <w:gridCol w:w="622"/>
      </w:tblGrid>
      <w:tr>
        <w:trPr/>
        <w:tc>
          <w:tcPr>
            <w:tcW w:w="29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819" w:type="dxa"/>
            <w:gridSpan w:val="3"/>
            <w:tcBorders>
              <w:top w:val="single" w:sz="8" w:space="0" w:color="000000"/>
              <w:left w:val="single" w:sz="8" w:space="0" w:color="000000"/>
            </w:tcBorders>
            <w:shd w:fill="DDD9C3"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Grade</w:t>
            </w:r>
          </w:p>
        </w:tc>
        <w:tc>
          <w:tcPr>
            <w:tcW w:w="1163" w:type="dxa"/>
            <w:gridSpan w:val="3"/>
            <w:tcBorders>
              <w:top w:val="single" w:sz="8" w:space="0" w:color="000000"/>
              <w:left w:val="single" w:sz="8" w:space="0" w:color="000000"/>
            </w:tcBorders>
            <w:shd w:fill="DDD9C3"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Base Salary</w:t>
            </w:r>
          </w:p>
        </w:tc>
        <w:tc>
          <w:tcPr>
            <w:tcW w:w="952" w:type="dxa"/>
            <w:gridSpan w:val="3"/>
            <w:tcBorders>
              <w:top w:val="single" w:sz="8" w:space="0" w:color="000000"/>
              <w:left w:val="single" w:sz="8" w:space="0" w:color="000000"/>
            </w:tcBorders>
            <w:shd w:fill="DDD9C3"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Target %</w:t>
            </w:r>
          </w:p>
        </w:tc>
        <w:tc>
          <w:tcPr>
            <w:tcW w:w="1006" w:type="dxa"/>
            <w:gridSpan w:val="3"/>
            <w:tcBorders>
              <w:top w:val="single" w:sz="8" w:space="0" w:color="000000"/>
              <w:left w:val="single" w:sz="8" w:space="0" w:color="000000"/>
            </w:tcBorders>
            <w:shd w:fill="DDD9C3"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Target $</w:t>
            </w:r>
          </w:p>
        </w:tc>
        <w:tc>
          <w:tcPr>
            <w:tcW w:w="1132" w:type="dxa"/>
            <w:gridSpan w:val="3"/>
            <w:tcBorders>
              <w:top w:val="single" w:sz="8" w:space="0" w:color="000000"/>
              <w:left w:val="single" w:sz="8" w:space="0" w:color="000000"/>
            </w:tcBorders>
            <w:shd w:fill="DDD9C3"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Funding %</w:t>
            </w:r>
          </w:p>
        </w:tc>
        <w:tc>
          <w:tcPr>
            <w:tcW w:w="1924" w:type="dxa"/>
            <w:gridSpan w:val="3"/>
            <w:tcBorders>
              <w:top w:val="single" w:sz="8" w:space="0" w:color="000000"/>
              <w:left w:val="single" w:sz="8" w:space="0" w:color="000000"/>
            </w:tcBorders>
            <w:shd w:fill="DDD9C3"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Performance Variable</w:t>
            </w:r>
          </w:p>
        </w:tc>
        <w:tc>
          <w:tcPr>
            <w:tcW w:w="1723" w:type="dxa"/>
            <w:gridSpan w:val="3"/>
            <w:tcBorders>
              <w:top w:val="single" w:sz="8" w:space="0" w:color="000000"/>
              <w:left w:val="single" w:sz="8" w:space="0" w:color="000000"/>
            </w:tcBorders>
            <w:shd w:fill="DDD9C3"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 of Rounded Months</w:t>
            </w:r>
          </w:p>
        </w:tc>
        <w:tc>
          <w:tcPr>
            <w:tcW w:w="1486" w:type="dxa"/>
            <w:gridSpan w:val="3"/>
            <w:tcBorders>
              <w:top w:val="single" w:sz="8" w:space="0" w:color="000000"/>
              <w:left w:val="single" w:sz="8" w:space="0" w:color="000000"/>
              <w:right w:val="single" w:sz="8" w:space="0" w:color="000000"/>
            </w:tcBorders>
            <w:shd w:fill="DDD9C3" w:val="clear"/>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Prorated Payout</w:t>
            </w:r>
          </w:p>
        </w:tc>
      </w:tr>
      <w:tr>
        <w:trPr/>
        <w:tc>
          <w:tcPr>
            <w:tcW w:w="8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 SVP</w:t>
            </w:r>
          </w:p>
        </w:tc>
        <w:tc>
          <w:tcPr>
            <w:tcW w:w="11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$250,000</w:t>
            </w:r>
          </w:p>
        </w:tc>
        <w:tc>
          <w:tcPr>
            <w:tcW w:w="9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42.5%</w:t>
            </w:r>
          </w:p>
        </w:tc>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$106,250</w:t>
            </w:r>
          </w:p>
        </w:tc>
        <w:tc>
          <w:tcPr>
            <w:tcW w:w="11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c>
          <w:tcPr>
            <w:tcW w:w="19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c>
          <w:tcPr>
            <w:tcW w:w="1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92</w:t>
            </w:r>
          </w:p>
        </w:tc>
        <w:tc>
          <w:tcPr>
            <w:tcW w:w="14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$26,781</w:t>
            </w:r>
          </w:p>
        </w:tc>
      </w:tr>
      <w:tr>
        <w:trPr/>
        <w:tc>
          <w:tcPr>
            <w:tcW w:w="8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 VP</w:t>
            </w:r>
          </w:p>
        </w:tc>
        <w:tc>
          <w:tcPr>
            <w:tcW w:w="116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$225,000</w:t>
            </w:r>
          </w:p>
        </w:tc>
        <w:tc>
          <w:tcPr>
            <w:tcW w:w="95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35.0%</w:t>
            </w:r>
          </w:p>
        </w:tc>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$78,750</w:t>
            </w:r>
          </w:p>
        </w:tc>
        <w:tc>
          <w:tcPr>
            <w:tcW w:w="113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c>
          <w:tcPr>
            <w:tcW w:w="19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c>
          <w:tcPr>
            <w:tcW w:w="172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273</w:t>
            </w:r>
          </w:p>
        </w:tc>
        <w:tc>
          <w:tcPr>
            <w:tcW w:w="14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$58,901</w:t>
            </w:r>
          </w:p>
        </w:tc>
      </w:tr>
      <w:tr>
        <w:trPr/>
        <w:tc>
          <w:tcPr>
            <w:tcW w:w="8719" w:type="dxa"/>
            <w:gridSpan w:val="21"/>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Final Amount</w:t>
            </w:r>
          </w:p>
        </w:tc>
        <w:tc>
          <w:tcPr>
            <w:tcW w:w="148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right"/>
              <w:rPr>
                <w:rFonts w:ascii="Times New Roman;sans-serif" w:hAnsi="Times New Roman;sans-serif"/>
                <w:b/>
                <w:color w:val="000000"/>
                <w:sz w:val="24"/>
              </w:rPr>
            </w:pPr>
            <w:r>
              <w:rPr>
                <w:rFonts w:ascii="Times New Roman;sans-serif" w:hAnsi="Times New Roman;sans-serif"/>
                <w:b/>
                <w:color w:val="000000"/>
                <w:sz w:val="24"/>
              </w:rPr>
              <w:t>$85,682</w:t>
            </w:r>
          </w:p>
        </w:tc>
      </w:tr>
    </w:tbl>
    <w:p>
      <w:pPr>
        <w:pStyle w:val="TextBody"/>
        <w:bidi w:val="0"/>
        <w:spacing w:lineRule="auto" w:line="268" w:before="240" w:after="283"/>
        <w:jc w:val="left"/>
        <w:rPr>
          <w:rFonts w:ascii="Times New Roman;sans-serif" w:hAnsi="Times New Roman;sans-serif"/>
          <w:b/>
          <w:color w:val="000000"/>
          <w:sz w:val="24"/>
        </w:rPr>
      </w:pPr>
      <w:r>
        <w:rPr>
          <w:rFonts w:ascii="Times New Roman;sans-serif" w:hAnsi="Times New Roman;sans-serif"/>
          <w:b/>
          <w:color w:val="000000"/>
          <w:sz w:val="24"/>
        </w:rPr>
        <w:t>Pro-Ration for Leave of Absence</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Employees who have a paid or unpaid leave of absence (not including vacation) that lasts more than 30 continuous days during the Plan Year will receive a prorated payment, unless required otherwise by applicable law or authorized in the sole discretion of the CEO. The proration will account for any time on leave beyond 30 continuous days. Employees who take a leave of absence lasting 30 or fewer continuous calendar days will not have their payment prorated. For example, an employee who takes a 28-day unpaid leave of absence will receive the same payment they would have had they not taken a leave of absence. An employee who takes a 60-day paid leave of absence will only have the last 30 days of their leave of absence prorated, resulting in a payment of about 11/12s of their full award.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Plan Payouts</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Individual incentive determinations calculated in accordance with the terms of this Plan will be paid in cash or pursuant to equity awards granted under the Company’s equity compensation plan, or a combination thereof, at the discretion of the Compensation Committee, minus applicable deductions and withholding as required by law, by the close of the first quarter following the previous fiscal year end. Payouts will be rounded to the nearest whole dollar amount.</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Termination of Employment</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Incentive payments under the Plan do not vest until the date Plan payments are made. To be eligible to receive a payment, a participant must be employed by the Company on the date Plan payments are made. Employees whose employment ends prior to the payment date under the Plan for any fiscal year will not be eligible, subject to the discretion of the Compensation Committee. However, if an otherwise eligible employee is not employed as of the date of the payout under the Plan due to death or long-term disability under the Company long-term disability plan, such employee, if he or she would have otherwise received a payout under the Plan but for his or her death or disability, shall be entitled to receive a pro-rated payment for the portion of the fiscal year the employee was actively employed.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an employee terminates employment and is subsequently rehired, eligibility under this Plan restarts with the employee’s rehire date.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Material Restatement of Financial Results</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the Board determines there has been a material restatement of publicly issued financial results from those previously issued to the public , the Board will review all incentive payments made to executive officers on the basis of having met or exceeded specific performance targets and, if such payments would have been lower had they been calculated based on such restated results, the Board will, to the extent permitted by governing law, seek to recoup for the benefit of our company such payments made in excess of the amount that would have been paid based on the restated results. This will apply to all incentive payments made during the three-year period prior to the restatement, beginning with payments earned for the 2012 fiscal year. For purposes of this policy, the term “executive officers” has the meaning given in Rule 3b-7 under the Securities Exchange Act of 1934, as amended, and the term “incentive payments” means bonuses and awards under the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Plan Administration, Modification and Discontinuance</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This Plan is administered by the Compensation Committee. The Compensation Committee has authority to interpret the Plan and to make, amend, or nullify any rules and procedures deemed necessary for proper Plan administration, including, but not limited to, performance targets, results and extraordinary events. The EBITDA performance targets and corresponding funding levels shall be adjusted for acquisitions, divestitures, or board imposed unbudgeted expenses in the discretion of the Compensation Committee.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no Plan payouts will be made until and unless the Compensation Committee has certified that the performance goals and all other material terms have been satisfied. The Compensation Committee has the sole discretion to modify the application of this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Continued Employment</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Plan is not intended to and does not give any employee the right to continued employment with the Company. The Plan does not create a contract of employment with any employee and does not alter the at-will nature of employee’s employment with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76"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EBITDA Funding Matrix*</w:t>
      </w:r>
    </w:p>
    <w:p>
      <w:pPr>
        <w:pStyle w:val="TextBody"/>
        <w:bidi w:val="0"/>
        <w:spacing w:lineRule="auto" w:line="276"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(*Actual funding percentages round to one-hundredth of one percent for achievement percentage and funding percentage)</w:t>
      </w:r>
    </w:p>
    <w:tbl>
      <w:tblPr>
        <w:tblW w:w="10205" w:type="dxa"/>
        <w:jc w:val="center"/>
        <w:tblInd w:w="0" w:type="dxa"/>
        <w:tblLayout w:type="fixed"/>
        <w:tblCellMar>
          <w:top w:w="28" w:type="dxa"/>
          <w:left w:w="28" w:type="dxa"/>
          <w:bottom w:w="28" w:type="dxa"/>
          <w:right w:w="28" w:type="dxa"/>
        </w:tblCellMar>
      </w:tblPr>
      <w:tblGrid>
        <w:gridCol w:w="1999"/>
        <w:gridCol w:w="1756"/>
        <w:gridCol w:w="1766"/>
        <w:gridCol w:w="1368"/>
        <w:gridCol w:w="1368"/>
        <w:gridCol w:w="1948"/>
      </w:tblGrid>
      <w:tr>
        <w:trPr/>
        <w:tc>
          <w:tcPr>
            <w:tcW w:w="199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top w:val="single" w:sz="8" w:space="0" w:color="000000"/>
              <w:left w:val="single" w:sz="8" w:space="0" w:color="000000"/>
              <w:bottom w:val="single" w:sz="8" w:space="0" w:color="000000"/>
            </w:tcBorders>
            <w:shd w:fill="DDD9C3" w:val="clear"/>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Percent of the EBITDA Target Obtained for the Division</w:t>
            </w:r>
          </w:p>
        </w:tc>
        <w:tc>
          <w:tcPr>
            <w:tcW w:w="4684" w:type="dxa"/>
            <w:gridSpan w:val="3"/>
            <w:tcBorders>
              <w:top w:val="single" w:sz="8" w:space="0" w:color="000000"/>
              <w:left w:val="single" w:sz="8" w:space="0" w:color="000000"/>
              <w:bottom w:val="single" w:sz="8" w:space="0" w:color="000000"/>
              <w:right w:val="single" w:sz="8" w:space="0" w:color="000000"/>
            </w:tcBorders>
            <w:shd w:fill="DDD9C3" w:val="clear"/>
            <w:tcMar>
              <w:top w:w="30" w:type="dxa"/>
              <w:bottom w:w="3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Percent of Incentive Target Funded- Grade 33+</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&lt;80%</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80%</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15.00%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16.00%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82%</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17.00%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83%</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18.00%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84%</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19.00%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85%</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86%</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21.00%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87%</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88%</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23.00%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89%</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24.00%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90%</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25.00%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91%</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30.00%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92%</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35.00%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93%</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40.00%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94%</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45.00%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95%</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50.00%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96%</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60.00%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97%</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70.00%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98%</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80.00%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99%</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90.00%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100%</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100.00%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101%</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107.50%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102%</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115.00%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103%</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122.50%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104%</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130.00%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105%</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137.50%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106%</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145.00%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107%</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152.50%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108%</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160.00%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109%</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167.50%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110%</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175.00%</w:t>
            </w:r>
          </w:p>
        </w:tc>
      </w:tr>
      <w:tr>
        <w:trPr/>
        <w:tc>
          <w:tcPr>
            <w:tcW w:w="55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111%</w:t>
            </w:r>
          </w:p>
        </w:tc>
        <w:tc>
          <w:tcPr>
            <w:tcW w:w="468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177.50%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99"/>
        <w:gridCol w:w="1756"/>
        <w:gridCol w:w="1766"/>
        <w:gridCol w:w="1368"/>
        <w:gridCol w:w="1368"/>
        <w:gridCol w:w="1948"/>
      </w:tblGrid>
      <w:tr>
        <w:trPr/>
        <w:tc>
          <w:tcPr>
            <w:tcW w:w="199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r>
      <w:tr>
        <w:trPr/>
        <w:tc>
          <w:tcPr>
            <w:tcW w:w="5521" w:type="dxa"/>
            <w:gridSpan w:val="3"/>
            <w:tcBorders>
              <w:top w:val="single" w:sz="8" w:space="0" w:color="000000"/>
              <w:left w:val="single" w:sz="8" w:space="0" w:color="000000"/>
            </w:tcBorders>
            <w:shd w:fill="DDD9C3"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Percent of the EBITDA Target Obtained for the Division</w:t>
            </w:r>
          </w:p>
        </w:tc>
        <w:tc>
          <w:tcPr>
            <w:tcW w:w="4684" w:type="dxa"/>
            <w:gridSpan w:val="3"/>
            <w:tcBorders>
              <w:top w:val="single" w:sz="8" w:space="0" w:color="000000"/>
              <w:left w:val="single" w:sz="8" w:space="0" w:color="000000"/>
              <w:right w:val="single" w:sz="8" w:space="0" w:color="000000"/>
            </w:tcBorders>
            <w:shd w:fill="DDD9C3" w:val="clear"/>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Percent of Incentive Target Funded- Grade 33+</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112%</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180.00%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113%</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182.50%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114%</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185.00%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115%</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187.50%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116%</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190.00%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117%</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192.50%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118%</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195.00%</w:t>
            </w:r>
          </w:p>
        </w:tc>
      </w:tr>
      <w:tr>
        <w:trPr/>
        <w:tc>
          <w:tcPr>
            <w:tcW w:w="5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119%</w:t>
            </w:r>
          </w:p>
        </w:tc>
        <w:tc>
          <w:tcPr>
            <w:tcW w:w="46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197.50%</w:t>
            </w:r>
          </w:p>
        </w:tc>
      </w:tr>
      <w:tr>
        <w:trPr/>
        <w:tc>
          <w:tcPr>
            <w:tcW w:w="55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&gt;=120%</w:t>
            </w:r>
          </w:p>
        </w:tc>
        <w:tc>
          <w:tcPr>
            <w:tcW w:w="468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200.00%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bidi w:val="0"/>
        <w:spacing w:lineRule="auto" w:line="268"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Performance Rating Variable</w:t>
      </w:r>
    </w:p>
    <w:p>
      <w:pPr>
        <w:pStyle w:val="TextBody"/>
        <w:bidi w:val="0"/>
        <w:spacing w:lineRule="auto" w:line="26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The following table illustrates how an individual’s performance rating will apply to the calculation of the overall Management Incentive Plan Payout.</w:t>
      </w:r>
    </w:p>
    <w:tbl>
      <w:tblPr>
        <w:tblW w:w="5475" w:type="dxa"/>
        <w:jc w:val="center"/>
        <w:tblInd w:w="0" w:type="dxa"/>
        <w:tblLayout w:type="fixed"/>
        <w:tblCellMar>
          <w:top w:w="28" w:type="dxa"/>
          <w:left w:w="28" w:type="dxa"/>
          <w:bottom w:w="28" w:type="dxa"/>
          <w:right w:w="28" w:type="dxa"/>
        </w:tblCellMar>
      </w:tblPr>
      <w:tblGrid>
        <w:gridCol w:w="1073"/>
        <w:gridCol w:w="939"/>
        <w:gridCol w:w="943"/>
        <w:gridCol w:w="734"/>
        <w:gridCol w:w="734"/>
        <w:gridCol w:w="1052"/>
      </w:tblGrid>
      <w:tr>
        <w:trPr/>
        <w:tc>
          <w:tcPr>
            <w:tcW w:w="107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5475" w:type="dxa"/>
            <w:gridSpan w:val="6"/>
            <w:tcBorders>
              <w:top w:val="single" w:sz="8" w:space="0" w:color="000000"/>
              <w:left w:val="single" w:sz="8" w:space="0" w:color="000000"/>
              <w:right w:val="single" w:sz="8" w:space="0" w:color="000000"/>
            </w:tcBorders>
            <w:shd w:fill="DDD9C3" w:val="clear"/>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Performance Rating Chart</w:t>
            </w:r>
          </w:p>
        </w:tc>
      </w:tr>
      <w:tr>
        <w:trPr/>
        <w:tc>
          <w:tcPr>
            <w:tcW w:w="29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Performance Rating</w:t>
            </w:r>
          </w:p>
        </w:tc>
        <w:tc>
          <w:tcPr>
            <w:tcW w:w="25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 Incentive Influenced</w:t>
            </w:r>
          </w:p>
        </w:tc>
      </w:tr>
      <w:tr>
        <w:trPr/>
        <w:tc>
          <w:tcPr>
            <w:tcW w:w="29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Greatly Exceeds Expectations</w:t>
            </w:r>
          </w:p>
        </w:tc>
        <w:tc>
          <w:tcPr>
            <w:tcW w:w="25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130%</w:t>
            </w:r>
          </w:p>
        </w:tc>
      </w:tr>
      <w:tr>
        <w:trPr/>
        <w:tc>
          <w:tcPr>
            <w:tcW w:w="29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Exceeds Expectations</w:t>
            </w:r>
          </w:p>
        </w:tc>
        <w:tc>
          <w:tcPr>
            <w:tcW w:w="25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120%</w:t>
            </w:r>
          </w:p>
        </w:tc>
      </w:tr>
      <w:tr>
        <w:trPr/>
        <w:tc>
          <w:tcPr>
            <w:tcW w:w="29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Achieves Expectations</w:t>
            </w:r>
          </w:p>
        </w:tc>
        <w:tc>
          <w:tcPr>
            <w:tcW w:w="25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29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Meets Most Expectations</w:t>
            </w:r>
          </w:p>
        </w:tc>
        <w:tc>
          <w:tcPr>
            <w:tcW w:w="25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r>
      <w:tr>
        <w:trPr/>
        <w:tc>
          <w:tcPr>
            <w:tcW w:w="29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Meets Some Expectations</w:t>
            </w:r>
          </w:p>
        </w:tc>
        <w:tc>
          <w:tcPr>
            <w:tcW w:w="252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Kirsten A. Lynch, certify that:</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242"/>
        <w:gridCol w:w="918"/>
        <w:gridCol w:w="918"/>
        <w:gridCol w:w="2396"/>
        <w:gridCol w:w="1812"/>
        <w:gridCol w:w="25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Vail Resorts,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4199" w:type="dxa"/>
        <w:jc w:val="left"/>
        <w:tblInd w:w="0" w:type="dxa"/>
        <w:tblLayout w:type="fixed"/>
        <w:tblCellMar>
          <w:top w:w="28" w:type="dxa"/>
          <w:left w:w="28" w:type="dxa"/>
          <w:bottom w:w="28" w:type="dxa"/>
          <w:right w:w="28" w:type="dxa"/>
        </w:tblCellMar>
      </w:tblPr>
      <w:tblGrid>
        <w:gridCol w:w="748"/>
        <w:gridCol w:w="659"/>
        <w:gridCol w:w="663"/>
        <w:gridCol w:w="622"/>
        <w:gridCol w:w="622"/>
        <w:gridCol w:w="885"/>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December 7, 2023</w:t>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KIRSTEN A. LYNCH</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Kirsten A. Lynch</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color w:val="000000"/>
        </w:rPr>
        <w:t> </w:t>
      </w: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Angela A. Korch, certify that:</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242"/>
        <w:gridCol w:w="918"/>
        <w:gridCol w:w="918"/>
        <w:gridCol w:w="2396"/>
        <w:gridCol w:w="1812"/>
        <w:gridCol w:w="25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Vail Resorts,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6510" w:type="dxa"/>
        <w:jc w:val="left"/>
        <w:tblInd w:w="0" w:type="dxa"/>
        <w:tblLayout w:type="fixed"/>
        <w:tblCellMar>
          <w:top w:w="28" w:type="dxa"/>
          <w:left w:w="28" w:type="dxa"/>
          <w:bottom w:w="28" w:type="dxa"/>
          <w:right w:w="28" w:type="dxa"/>
        </w:tblCellMar>
      </w:tblPr>
      <w:tblGrid>
        <w:gridCol w:w="748"/>
        <w:gridCol w:w="659"/>
        <w:gridCol w:w="663"/>
        <w:gridCol w:w="1300"/>
        <w:gridCol w:w="1300"/>
        <w:gridCol w:w="1840"/>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December 7, 2023</w:t>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ANGELA A. KORCH</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Angela A. Korch</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Section 906 of the Sarbanes-Oxley Act of 2002, each of the undersigned hereby certifies in their capacity as an officer of Vail Resorts, Inc. (the “Company”) that the Company's Quarterly Report on Form 10-Q for the quarter ended October 31, 2023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 </w:t>
      </w:r>
    </w:p>
    <w:p>
      <w:pPr>
        <w:pStyle w:val="TextBody"/>
        <w:bidi w:val="0"/>
        <w:spacing w:lineRule="auto" w:line="288" w:before="0" w:after="0"/>
        <w:jc w:val="left"/>
        <w:rPr>
          <w:color w:val="000000"/>
        </w:rPr>
      </w:pPr>
      <w:r>
        <w:rPr>
          <w:color w:val="000000"/>
        </w:rPr>
        <w:t> </w:t>
      </w:r>
    </w:p>
    <w:tbl>
      <w:tblPr>
        <w:tblW w:w="4199" w:type="dxa"/>
        <w:jc w:val="left"/>
        <w:tblInd w:w="0" w:type="dxa"/>
        <w:tblLayout w:type="fixed"/>
        <w:tblCellMar>
          <w:top w:w="28" w:type="dxa"/>
          <w:left w:w="28" w:type="dxa"/>
          <w:bottom w:w="28" w:type="dxa"/>
          <w:right w:w="28" w:type="dxa"/>
        </w:tblCellMar>
      </w:tblPr>
      <w:tblGrid>
        <w:gridCol w:w="748"/>
        <w:gridCol w:w="659"/>
        <w:gridCol w:w="663"/>
        <w:gridCol w:w="622"/>
        <w:gridCol w:w="622"/>
        <w:gridCol w:w="885"/>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December 7, 2023</w:t>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KIRSTEN A. LYNCH</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Kirsten A. Lynch</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88" w:before="0" w:after="0"/>
        <w:jc w:val="left"/>
        <w:rPr>
          <w:color w:val="000000"/>
        </w:rPr>
      </w:pPr>
      <w:r>
        <w:rPr>
          <w:color w:val="000000"/>
        </w:rPr>
        <w:t> </w:t>
      </w:r>
    </w:p>
    <w:tbl>
      <w:tblPr>
        <w:tblW w:w="6510" w:type="dxa"/>
        <w:jc w:val="left"/>
        <w:tblInd w:w="0" w:type="dxa"/>
        <w:tblLayout w:type="fixed"/>
        <w:tblCellMar>
          <w:top w:w="28" w:type="dxa"/>
          <w:left w:w="28" w:type="dxa"/>
          <w:bottom w:w="28" w:type="dxa"/>
          <w:right w:w="28" w:type="dxa"/>
        </w:tblCellMar>
      </w:tblPr>
      <w:tblGrid>
        <w:gridCol w:w="748"/>
        <w:gridCol w:w="659"/>
        <w:gridCol w:w="663"/>
        <w:gridCol w:w="1300"/>
        <w:gridCol w:w="1300"/>
        <w:gridCol w:w="1840"/>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December 7, 2023</w:t>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ANGELA A. KORCH</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Angela A. Korch</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1.jpeg"/><Relationship Id="rId6" Type="http://schemas.openxmlformats.org/officeDocument/2006/relationships/image" Target="media/image3.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25865</Words>
  <Characters>143854</Characters>
  <CharactersWithSpaces>168216</CharactersWithSpaces>
  <Paragraphs>2593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