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63"/>
          <w:szCs w:val="63"/>
          <w:color w:val="auto"/>
          <w:vertAlign w:val="subscript"/>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8"/>
          <w:szCs w:val="38"/>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October 31, 2020</w:t>
      </w:r>
    </w:p>
    <w:p>
      <w:pPr>
        <w:spacing w:after="0" w:line="266" w:lineRule="exact"/>
        <w:rPr>
          <w:sz w:val="24"/>
          <w:szCs w:val="24"/>
          <w:color w:val="auto"/>
        </w:rPr>
      </w:pPr>
    </w:p>
    <w:p>
      <w:pPr>
        <w:ind w:left="720" w:right="400" w:hanging="685"/>
        <w:spacing w:after="0" w:line="231" w:lineRule="auto"/>
        <w:tabs>
          <w:tab w:leader="none" w:pos="720" w:val="left"/>
        </w:tabs>
        <w:numPr>
          <w:ilvl w:val="0"/>
          <w:numId w:val="2"/>
        </w:numPr>
        <w:rPr>
          <w:rFonts w:ascii="MS PGothic" w:cs="MS PGothic" w:eastAsia="MS PGothic" w:hAnsi="MS PGothic"/>
          <w:sz w:val="55"/>
          <w:szCs w:val="55"/>
          <w:color w:val="auto"/>
          <w:vertAlign w:val="subscript"/>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51" w:lineRule="exact"/>
        <w:rPr>
          <w:sz w:val="24"/>
          <w:szCs w:val="24"/>
          <w:color w:val="auto"/>
        </w:rPr>
      </w:pPr>
    </w:p>
    <w:p>
      <w:pPr>
        <w:ind w:left="388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85725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Vail Resorts,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7" w:lineRule="exact"/>
        <w:rPr>
          <w:sz w:val="24"/>
          <w:szCs w:val="24"/>
          <w:color w:val="auto"/>
        </w:rPr>
      </w:pPr>
    </w:p>
    <w:tbl>
      <w:tblPr>
        <w:tblLayout w:type="fixed"/>
        <w:tblInd w:w="880" w:type="dxa"/>
        <w:tblCellMar>
          <w:top w:w="0" w:type="dxa"/>
          <w:left w:w="0" w:type="dxa"/>
          <w:bottom w:w="0" w:type="dxa"/>
          <w:right w:w="0" w:type="dxa"/>
        </w:tblCellMar>
      </w:tblPr>
      <w:tr>
        <w:trPr>
          <w:trHeight w:val="238"/>
        </w:trPr>
        <w:tc>
          <w:tcPr>
            <w:tcW w:w="57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00" w:type="dxa"/>
            <w:vAlign w:val="bottom"/>
          </w:tcPr>
          <w:p>
            <w:pPr>
              <w:jc w:val="right"/>
              <w:ind w:right="1381"/>
              <w:spacing w:after="0"/>
              <w:rPr>
                <w:sz w:val="20"/>
                <w:szCs w:val="20"/>
                <w:color w:val="auto"/>
              </w:rPr>
            </w:pPr>
            <w:r>
              <w:rPr>
                <w:rFonts w:ascii="Times New Roman" w:cs="Times New Roman" w:eastAsia="Times New Roman" w:hAnsi="Times New Roman"/>
                <w:sz w:val="18"/>
                <w:szCs w:val="18"/>
                <w:b w:val="1"/>
                <w:bCs w:val="1"/>
                <w:color w:val="auto"/>
              </w:rPr>
              <w:t>51-0291762</w:t>
            </w:r>
          </w:p>
        </w:tc>
      </w:tr>
      <w:tr>
        <w:trPr>
          <w:trHeight w:val="27"/>
        </w:trPr>
        <w:tc>
          <w:tcPr>
            <w:tcW w:w="476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46"/>
        </w:trPr>
        <w:tc>
          <w:tcPr>
            <w:tcW w:w="5700" w:type="dxa"/>
            <w:vAlign w:val="bottom"/>
            <w:gridSpan w:val="2"/>
          </w:tcPr>
          <w:p>
            <w:pPr>
              <w:jc w:val="center"/>
              <w:ind w:right="980"/>
              <w:spacing w:after="0" w:line="147"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8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70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523"/>
        </w:trPr>
        <w:tc>
          <w:tcPr>
            <w:tcW w:w="57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390 Interlocken Crescent</w:t>
            </w:r>
          </w:p>
        </w:tc>
        <w:tc>
          <w:tcPr>
            <w:tcW w:w="3800" w:type="dxa"/>
            <w:vAlign w:val="bottom"/>
          </w:tcPr>
          <w:p>
            <w:pPr>
              <w:spacing w:after="0"/>
              <w:rPr>
                <w:sz w:val="24"/>
                <w:szCs w:val="24"/>
                <w:color w:val="auto"/>
              </w:rPr>
            </w:pPr>
          </w:p>
        </w:tc>
      </w:tr>
      <w:tr>
        <w:trPr>
          <w:trHeight w:val="270"/>
        </w:trPr>
        <w:tc>
          <w:tcPr>
            <w:tcW w:w="570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3800" w:type="dxa"/>
            <w:vAlign w:val="bottom"/>
          </w:tcPr>
          <w:p>
            <w:pPr>
              <w:jc w:val="right"/>
              <w:ind w:right="1601"/>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27"/>
        </w:trPr>
        <w:tc>
          <w:tcPr>
            <w:tcW w:w="476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86"/>
        </w:trPr>
        <w:tc>
          <w:tcPr>
            <w:tcW w:w="570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08"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(303) 404-1800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34290</wp:posOffset>
            </wp:positionV>
            <wp:extent cx="28117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5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4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37"/>
        </w:trPr>
        <w:tc>
          <w:tcPr>
            <w:tcW w:w="4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bl>
    <w:p>
      <w:pPr>
        <w:spacing w:after="0" w:line="225" w:lineRule="exact"/>
        <w:rPr>
          <w:sz w:val="24"/>
          <w:szCs w:val="24"/>
          <w:color w:val="auto"/>
        </w:rPr>
      </w:pPr>
    </w:p>
    <w:p>
      <w:pPr>
        <w:jc w:val="both"/>
        <w:ind w:right="20"/>
        <w:spacing w:after="0" w:line="26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96" w:lineRule="exact"/>
        <w:rPr>
          <w:sz w:val="24"/>
          <w:szCs w:val="24"/>
          <w:color w:val="auto"/>
        </w:rPr>
      </w:pPr>
    </w:p>
    <w:p>
      <w:pPr>
        <w:jc w:val="both"/>
        <w:ind w:right="20"/>
        <w:spacing w:after="0" w:line="26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9"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33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4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73"/>
        </w:trPr>
        <w:tc>
          <w:tcPr>
            <w:tcW w:w="2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2" w:lineRule="exact"/>
        <w:rPr>
          <w:sz w:val="24"/>
          <w:szCs w:val="24"/>
          <w:color w:val="auto"/>
        </w:rPr>
      </w:pPr>
    </w:p>
    <w:p>
      <w:pPr>
        <w:ind w:right="20"/>
        <w:spacing w:after="0" w:line="27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67" w:lineRule="exact"/>
        <w:rPr>
          <w:sz w:val="24"/>
          <w:szCs w:val="24"/>
          <w:color w:val="auto"/>
        </w:rPr>
      </w:pPr>
    </w:p>
    <w:p>
      <w:pPr>
        <w:ind w:right="1700"/>
        <w:spacing w:after="0" w:line="33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December 7, 2020, 40,251,595 shares of the registrant’s common stock were outstanding.</w:t>
      </w:r>
    </w:p>
    <w:p>
      <w:pPr>
        <w:sectPr>
          <w:pgSz w:w="11900" w:h="16838" w:orient="portrait"/>
          <w:cols w:equalWidth="0" w:num="1">
            <w:col w:w="11260"/>
          </w:cols>
          <w:pgMar w:left="320" w:top="700" w:right="319" w:bottom="557"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r>
        <w:trPr>
          <w:trHeight w:val="323"/>
        </w:trPr>
        <w:tc>
          <w:tcPr>
            <w:tcW w:w="86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9820" w:type="dxa"/>
            <w:vAlign w:val="bottom"/>
          </w:tcPr>
          <w:p>
            <w:pPr>
              <w:ind w:left="1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Condensed Balance Sheets as of October 31, 2020, July 31, 2020 and October 31, 2019</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2</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98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Condensed Statements of Operations for the Three Months Ended October 31, 2020 and 2019</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3</w:t>
              </w:r>
            </w:hyperlink>
          </w:p>
        </w:tc>
      </w:tr>
      <w:tr>
        <w:trPr>
          <w:trHeight w:val="243"/>
        </w:trPr>
        <w:tc>
          <w:tcPr>
            <w:tcW w:w="860" w:type="dxa"/>
            <w:vAlign w:val="bottom"/>
          </w:tcPr>
          <w:p>
            <w:pPr>
              <w:spacing w:after="0"/>
              <w:rPr>
                <w:sz w:val="21"/>
                <w:szCs w:val="21"/>
                <w:color w:val="auto"/>
              </w:rPr>
            </w:pPr>
          </w:p>
        </w:tc>
        <w:tc>
          <w:tcPr>
            <w:tcW w:w="9820" w:type="dxa"/>
            <w:vAlign w:val="bottom"/>
          </w:tcPr>
          <w:p>
            <w:pPr>
              <w:ind w:left="18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Consolidated Condensed Statements of Comprehensive Loss for the Three Months Ended October 31, 2020 and 2019</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4</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98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Consolidated Condensed Statements of Stockholders’ Equity for the Three Months Ended October 31, 2020 and 2019</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5</w:t>
              </w:r>
            </w:hyperlink>
          </w:p>
        </w:tc>
      </w:tr>
      <w:tr>
        <w:trPr>
          <w:trHeight w:val="243"/>
        </w:trPr>
        <w:tc>
          <w:tcPr>
            <w:tcW w:w="860" w:type="dxa"/>
            <w:vAlign w:val="bottom"/>
          </w:tcPr>
          <w:p>
            <w:pPr>
              <w:spacing w:after="0"/>
              <w:rPr>
                <w:sz w:val="21"/>
                <w:szCs w:val="21"/>
                <w:color w:val="auto"/>
              </w:rPr>
            </w:pPr>
          </w:p>
        </w:tc>
        <w:tc>
          <w:tcPr>
            <w:tcW w:w="9820" w:type="dxa"/>
            <w:vAlign w:val="bottom"/>
          </w:tcPr>
          <w:p>
            <w:pPr>
              <w:ind w:left="18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Consolidated Condensed Statements of Cash Flows for the Three Months Ended October 31, 2020 and 2019</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6</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98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Consolidated Condensed Financial Statements</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7</w:t>
              </w:r>
            </w:hyperlink>
          </w:p>
        </w:tc>
      </w:tr>
      <w:tr>
        <w:trPr>
          <w:trHeight w:val="243"/>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8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20</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Quantitative and Qualitative Disclosures About Market Risk</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34</w:t>
              </w:r>
            </w:hyperlink>
          </w:p>
        </w:tc>
      </w:tr>
      <w:tr>
        <w:trPr>
          <w:trHeight w:val="243"/>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8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Controls and Procedures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35</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338"/>
        </w:trPr>
        <w:tc>
          <w:tcPr>
            <w:tcW w:w="860" w:type="dxa"/>
            <w:vAlign w:val="bottom"/>
            <w:shd w:val="clear" w:color="auto" w:fill="CCEEFF"/>
          </w:tcPr>
          <w:p>
            <w:pPr>
              <w:spacing w:after="0"/>
              <w:rPr>
                <w:sz w:val="24"/>
                <w:szCs w:val="24"/>
                <w:color w:val="auto"/>
              </w:rPr>
            </w:pPr>
          </w:p>
        </w:tc>
        <w:tc>
          <w:tcPr>
            <w:tcW w:w="98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43"/>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60" w:type="dxa"/>
            <w:vAlign w:val="bottom"/>
          </w:tcPr>
          <w:p>
            <w:pPr>
              <w:spacing w:after="0"/>
              <w:rPr>
                <w:sz w:val="21"/>
                <w:szCs w:val="21"/>
                <w:color w:val="auto"/>
              </w:rPr>
            </w:pPr>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338"/>
        </w:trPr>
        <w:tc>
          <w:tcPr>
            <w:tcW w:w="860" w:type="dxa"/>
            <w:vAlign w:val="bottom"/>
            <w:shd w:val="clear" w:color="auto" w:fill="CCEEFF"/>
          </w:tcPr>
          <w:p>
            <w:pPr>
              <w:spacing w:after="0"/>
              <w:rPr>
                <w:sz w:val="24"/>
                <w:szCs w:val="24"/>
                <w:color w:val="auto"/>
              </w:rPr>
            </w:pPr>
          </w:p>
        </w:tc>
        <w:tc>
          <w:tcPr>
            <w:tcW w:w="98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43"/>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8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Legal Proceedings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35</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8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Risk Factors</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35</w:t>
              </w:r>
            </w:hyperlink>
          </w:p>
        </w:tc>
      </w:tr>
      <w:tr>
        <w:trPr>
          <w:trHeight w:val="243"/>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8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Unregistered Sales of Equity Securities and Use of Proceeds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36</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Defaults Upon Senior Securities</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37</w:t>
              </w:r>
            </w:hyperlink>
          </w:p>
        </w:tc>
      </w:tr>
      <w:tr>
        <w:trPr>
          <w:trHeight w:val="243"/>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8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Mine Safety Disclosures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37</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Other Information</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37</w:t>
              </w:r>
            </w:hyperlink>
          </w:p>
        </w:tc>
      </w:tr>
      <w:tr>
        <w:trPr>
          <w:trHeight w:val="243"/>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9820" w:type="dxa"/>
            <w:vAlign w:val="bottom"/>
          </w:tcPr>
          <w:p>
            <w:pPr>
              <w:ind w:left="18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Exhibits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37</w:t>
              </w:r>
            </w:hyperlink>
          </w:p>
        </w:tc>
      </w:tr>
    </w:tbl>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248"/>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462,212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390,980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136,326</w:t>
            </w:r>
          </w:p>
        </w:tc>
      </w:tr>
      <w:tr>
        <w:trPr>
          <w:trHeight w:val="243"/>
        </w:trPr>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10,163</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11,106</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14,027</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208,540</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106,664</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87,301</w:t>
            </w:r>
          </w:p>
        </w:tc>
      </w:tr>
      <w:tr>
        <w:trPr>
          <w:trHeight w:val="243"/>
        </w:trPr>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100,879</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101,856</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127,859</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59,821</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54,482</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62,821</w:t>
            </w:r>
          </w:p>
        </w:tc>
      </w:tr>
      <w:tr>
        <w:trPr>
          <w:trHeight w:val="237"/>
        </w:trPr>
        <w:tc>
          <w:tcPr>
            <w:tcW w:w="5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841,615</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665,088</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428,334</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 (Note 7)</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2,166,604</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2,192,679</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2,280,089</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held for sale and investment</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96,668</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96,844</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96,938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net (Note 7)</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1,711,870</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1,709,020</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1,757,463</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313,445</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314,776</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324,178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218,902</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225,744</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229,709</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41,420</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40,081</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41,036</w:t>
            </w:r>
          </w:p>
        </w:tc>
      </w:tr>
      <w:tr>
        <w:trPr>
          <w:trHeight w:val="27"/>
        </w:trPr>
        <w:tc>
          <w:tcPr>
            <w:tcW w:w="5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8"/>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5,390,524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5,244,232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5,157,747</w:t>
            </w: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liabilities (Note 7)</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846,614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499,108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856,934</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39,909</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40,680</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50,759</w:t>
            </w:r>
          </w:p>
        </w:tc>
      </w:tr>
      <w:tr>
        <w:trPr>
          <w:trHeight w:val="243"/>
        </w:trPr>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debt due within one year (Note 5)</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63,707</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63,677</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63,807</w:t>
            </w:r>
          </w:p>
        </w:tc>
      </w:tr>
      <w:tr>
        <w:trPr>
          <w:trHeight w:val="27"/>
        </w:trPr>
        <w:tc>
          <w:tcPr>
            <w:tcW w:w="5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950,230</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603,465</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971,500</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 (Note 5)</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2,387,861</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2,387,122</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2,005,057</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213,073</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217,542</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231,182</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 (Note 7)</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253,108</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270,245</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238,964</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210,525</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234,191</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188,608</w:t>
            </w:r>
          </w:p>
        </w:tc>
      </w:tr>
      <w:tr>
        <w:trPr>
          <w:trHeight w:val="237"/>
        </w:trPr>
        <w:tc>
          <w:tcPr>
            <w:tcW w:w="5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4,014,797</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3,712,565</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3,635,311</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Preferred stock, $0.01 par value, 25,000 shares authorized, no shares issued</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1"/>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and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$0.01 par value, 100,000 shares authorized, 46,412, 46,350</w:t>
            </w: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46,257 shares issued, respectively</w:t>
            </w:r>
          </w:p>
        </w:tc>
        <w:tc>
          <w:tcPr>
            <w:tcW w:w="320" w:type="dxa"/>
            <w:vAlign w:val="bottom"/>
          </w:tcPr>
          <w:p>
            <w:pPr>
              <w:spacing w:after="0"/>
              <w:rPr>
                <w:sz w:val="20"/>
                <w:szCs w:val="20"/>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464</w:t>
            </w:r>
          </w:p>
        </w:tc>
        <w:tc>
          <w:tcPr>
            <w:tcW w:w="340" w:type="dxa"/>
            <w:vAlign w:val="bottom"/>
          </w:tcPr>
          <w:p>
            <w:pPr>
              <w:spacing w:after="0"/>
              <w:rPr>
                <w:sz w:val="20"/>
                <w:szCs w:val="20"/>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464</w:t>
            </w:r>
          </w:p>
        </w:tc>
        <w:tc>
          <w:tcPr>
            <w:tcW w:w="30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462</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Exchangeable shares, $0.01 par value, 35, 36 and 55 shares issued and</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1"/>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outstanding, respectively (Note 4)</w:t>
            </w: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1,130,318</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1,131,624</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1,126,492</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(52,387)</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(56,837)</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(27,269)</w:t>
            </w:r>
          </w:p>
        </w:tc>
      </w:tr>
      <w:tr>
        <w:trPr>
          <w:trHeight w:val="243"/>
        </w:trPr>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492,136</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645,902</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582,235</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at cost, 6,161, 6,161, and 6,000 shares, respectively (Note</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66"/>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(404,411)</w:t>
            </w:r>
          </w:p>
        </w:tc>
        <w:tc>
          <w:tcPr>
            <w:tcW w:w="3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(404,411)</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(379,433)</w:t>
            </w:r>
          </w:p>
        </w:tc>
      </w:tr>
      <w:tr>
        <w:trPr>
          <w:trHeight w:val="236"/>
        </w:trPr>
        <w:tc>
          <w:tcPr>
            <w:tcW w:w="5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1,166,120</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1,316,742</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1,302,488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209,607</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214,925</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219,948</w:t>
            </w:r>
          </w:p>
        </w:tc>
      </w:tr>
      <w:tr>
        <w:trPr>
          <w:trHeight w:val="236"/>
        </w:trPr>
        <w:tc>
          <w:tcPr>
            <w:tcW w:w="5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1,375,727</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1,531,667</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1,522,436</w:t>
            </w:r>
          </w:p>
        </w:tc>
      </w:tr>
      <w:tr>
        <w:trPr>
          <w:trHeight w:val="27"/>
        </w:trPr>
        <w:tc>
          <w:tcPr>
            <w:tcW w:w="5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5,390,524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5,244,232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5,157,747</w:t>
            </w: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ectPr>
          <w:pgSz w:w="11900" w:h="16838" w:orient="portrait"/>
          <w:cols w:equalWidth="0" w:num="1">
            <w:col w:w="11240"/>
          </w:cols>
          <w:pgMar w:left="320" w:top="549"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549"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63"/>
        </w:trPr>
        <w:tc>
          <w:tcPr>
            <w:tcW w:w="79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104,274</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180,031</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27,258</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83,559</w:t>
            </w:r>
          </w:p>
        </w:tc>
      </w:tr>
      <w:tr>
        <w:trPr>
          <w:trHeight w:val="237"/>
        </w:trPr>
        <w:tc>
          <w:tcPr>
            <w:tcW w:w="79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Resort net revenue</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131,532</w:t>
            </w: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263,590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254</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4,180</w:t>
            </w:r>
          </w:p>
        </w:tc>
      </w:tr>
      <w:tr>
        <w:trPr>
          <w:trHeight w:val="237"/>
        </w:trPr>
        <w:tc>
          <w:tcPr>
            <w:tcW w:w="79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net revenue</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131,786</w:t>
            </w: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267,770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 (exclusive of depreciation and amortization shown separately below):</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3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154,137</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228,710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17,132</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37,735</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59,029</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75,055</w:t>
            </w:r>
          </w:p>
        </w:tc>
      </w:tr>
      <w:tr>
        <w:trPr>
          <w:trHeight w:val="27"/>
        </w:trPr>
        <w:tc>
          <w:tcPr>
            <w:tcW w:w="7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Resort 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230,298</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341,500</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3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1,450</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5,293</w:t>
            </w:r>
          </w:p>
        </w:tc>
      </w:tr>
      <w:tr>
        <w:trPr>
          <w:trHeight w:val="27"/>
        </w:trPr>
        <w:tc>
          <w:tcPr>
            <w:tcW w:w="7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231,748</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346,793</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(62,628)</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(57,845)</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3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 (Note 8)</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2,267</w:t>
            </w:r>
          </w:p>
        </w:tc>
      </w:tr>
      <w:tr>
        <w:trPr>
          <w:trHeight w:val="27"/>
        </w:trPr>
        <w:tc>
          <w:tcPr>
            <w:tcW w:w="7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(163,961)</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(135,530)</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3,986</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1,191</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343</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gain on intercompany loans (Note 5)</w:t>
            </w:r>
          </w:p>
        </w:tc>
        <w:tc>
          <w:tcPr>
            <w:tcW w:w="3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540</w:t>
            </w:r>
          </w:p>
        </w:tc>
        <w:tc>
          <w:tcPr>
            <w:tcW w:w="4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(22,690)</w:t>
            </w:r>
          </w:p>
        </w:tc>
      </w:tr>
      <w:tr>
        <w:trPr>
          <w:trHeight w:val="237"/>
        </w:trPr>
        <w:tc>
          <w:tcPr>
            <w:tcW w:w="7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(194,499)</w:t>
            </w: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(156,392)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37,478</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46,563</w:t>
            </w:r>
          </w:p>
        </w:tc>
      </w:tr>
      <w:tr>
        <w:trPr>
          <w:trHeight w:val="237"/>
        </w:trPr>
        <w:tc>
          <w:tcPr>
            <w:tcW w:w="7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(157,021)</w:t>
            </w: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(109,829)</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3,255</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3,354</w:t>
            </w:r>
          </w:p>
        </w:tc>
      </w:tr>
      <w:tr>
        <w:trPr>
          <w:trHeight w:val="237"/>
        </w:trPr>
        <w:tc>
          <w:tcPr>
            <w:tcW w:w="7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(153,766)</w:t>
            </w:r>
          </w:p>
        </w:tc>
        <w:tc>
          <w:tcPr>
            <w:tcW w:w="4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(106,475)</w:t>
            </w:r>
          </w:p>
        </w:tc>
      </w:tr>
      <w:tr>
        <w:trPr>
          <w:trHeight w:val="67"/>
        </w:trPr>
        <w:tc>
          <w:tcPr>
            <w:tcW w:w="7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 share amounts (Note 4):</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 net loss per share attributable to Vail Resorts, Inc.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 net loss per share attributable to Vail Resorts, Inc.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2"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13335</wp:posOffset>
            </wp:positionV>
            <wp:extent cx="2211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0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(157,021)</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(109,829)</w:t>
            </w:r>
          </w:p>
        </w:tc>
      </w:tr>
      <w:tr>
        <w:trPr>
          <w:trHeight w:val="243"/>
        </w:trPr>
        <w:tc>
          <w:tcPr>
            <w:tcW w:w="6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200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1,773</w:t>
            </w:r>
          </w:p>
        </w:tc>
        <w:tc>
          <w:tcPr>
            <w:tcW w:w="4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5,323</w:t>
            </w: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estimated fair value of hedging instruments</w:t>
            </w:r>
          </w:p>
        </w:tc>
        <w:tc>
          <w:tcPr>
            <w:tcW w:w="20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4,655</w:t>
            </w:r>
          </w:p>
        </w:tc>
        <w:tc>
          <w:tcPr>
            <w:tcW w:w="4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20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(150,593)</w:t>
            </w:r>
          </w:p>
        </w:tc>
        <w:tc>
          <w:tcPr>
            <w:tcW w:w="4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(104,506)</w:t>
            </w: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20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1,277</w:t>
            </w:r>
          </w:p>
        </w:tc>
        <w:tc>
          <w:tcPr>
            <w:tcW w:w="4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2,492</w:t>
            </w:r>
          </w:p>
        </w:tc>
      </w:tr>
      <w:tr>
        <w:trPr>
          <w:trHeight w:val="237"/>
        </w:trPr>
        <w:tc>
          <w:tcPr>
            <w:tcW w:w="6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Vail Resorts, Inc.</w:t>
            </w:r>
          </w:p>
        </w:tc>
        <w:tc>
          <w:tcPr>
            <w:tcW w:w="20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(149,316)</w:t>
            </w:r>
          </w:p>
        </w:tc>
        <w:tc>
          <w:tcPr>
            <w:tcW w:w="4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(102,014)</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Total Vail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2"/>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Resorts, Inc.</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9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720" w:type="dxa"/>
            <w:vAlign w:val="bottom"/>
          </w:tcPr>
          <w:p>
            <w:pPr>
              <w:jc w:val="right"/>
              <w:ind w:right="12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8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76"/>
        </w:trPr>
        <w:tc>
          <w:tcPr>
            <w:tcW w:w="3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Treasury Stock</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264"/>
        </w:trPr>
        <w:tc>
          <w:tcPr>
            <w:tcW w:w="3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b w:val="1"/>
                <w:bCs w:val="1"/>
                <w:color w:val="auto"/>
                <w:w w:val="93"/>
              </w:rPr>
              <w:t>Vail Resorts</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Exchangeable</w:t>
            </w: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36"/>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July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58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$ 1,130,083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759,801</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(357,989)</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$1,500,627</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226,213</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$1,726,840</w:t>
            </w:r>
          </w:p>
        </w:tc>
      </w:tr>
      <w:tr>
        <w:trPr>
          <w:trHeight w:val="237"/>
        </w:trPr>
        <w:tc>
          <w:tcPr>
            <w:tcW w:w="3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loss: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(106,475)</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(106,475)</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(109,829)</w:t>
            </w:r>
          </w:p>
        </w:tc>
      </w:tr>
      <w:tr>
        <w:trPr>
          <w:trHeight w:val="216"/>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and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 of tax</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4,461</w:t>
            </w:r>
          </w:p>
        </w:tc>
        <w:tc>
          <w:tcPr>
            <w:tcW w:w="1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4,461</w:t>
            </w: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862</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5,323</w:t>
            </w: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(102,014)</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(104,506)</w:t>
            </w:r>
          </w:p>
        </w:tc>
      </w:tr>
      <w:tr>
        <w:trPr>
          <w:trHeight w:val="217"/>
        </w:trPr>
        <w:tc>
          <w:tcPr>
            <w:tcW w:w="3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5,251</w:t>
            </w:r>
          </w:p>
        </w:tc>
        <w:tc>
          <w:tcPr>
            <w:tcW w:w="12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5,251</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5,251</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w:t>
            </w:r>
          </w:p>
        </w:tc>
      </w:tr>
      <w:tr>
        <w:trPr>
          <w:trHeight w:val="223"/>
        </w:trPr>
        <w:tc>
          <w:tcPr>
            <w:tcW w:w="3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common stock (Note 11)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(21,444)</w:t>
            </w:r>
          </w:p>
        </w:tc>
        <w:tc>
          <w:tcPr>
            <w:tcW w:w="16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(21,444)</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(Note 4)</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(71,091)</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(71,091)</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(71,091)</w:t>
            </w:r>
          </w:p>
        </w:tc>
      </w:tr>
      <w:tr>
        <w:trPr>
          <w:trHeight w:val="224"/>
        </w:trPr>
        <w:tc>
          <w:tcPr>
            <w:tcW w:w="3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w:t>
            </w:r>
          </w:p>
        </w:tc>
      </w:tr>
      <w:tr>
        <w:trPr>
          <w:trHeight w:val="33"/>
        </w:trPr>
        <w:tc>
          <w:tcPr>
            <w:tcW w:w="3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October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58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$ 1,126,492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582,235</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(379,433)</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$1,302,488</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219,948</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$1,522,436</w:t>
            </w:r>
          </w:p>
        </w:tc>
      </w:tr>
      <w:tr>
        <w:trPr>
          <w:trHeight w:val="20"/>
        </w:trPr>
        <w:tc>
          <w:tcPr>
            <w:tcW w:w="3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04"/>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July 31,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58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$ 1,131,624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645,902</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(404,411)</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$1,316,742</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214,925</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$1,531,667</w:t>
            </w:r>
          </w:p>
        </w:tc>
      </w:tr>
      <w:tr>
        <w:trPr>
          <w:trHeight w:val="237"/>
        </w:trPr>
        <w:tc>
          <w:tcPr>
            <w:tcW w:w="3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loss: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(153,766)</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(153,766)</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(157,021)</w:t>
            </w:r>
          </w:p>
        </w:tc>
      </w:tr>
      <w:tr>
        <w:trPr>
          <w:trHeight w:val="216"/>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tax</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1,978</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1,773</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estimated fair value of hedging</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4,655</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4,655</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4,655</w:t>
            </w:r>
          </w:p>
        </w:tc>
      </w:tr>
      <w:tr>
        <w:trPr>
          <w:trHeight w:val="217"/>
        </w:trPr>
        <w:tc>
          <w:tcPr>
            <w:tcW w:w="31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(149,316)</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(150,593)</w:t>
            </w: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5,754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5,754</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5,754</w:t>
            </w:r>
          </w:p>
        </w:tc>
      </w:tr>
      <w:tr>
        <w:trPr>
          <w:trHeight w:val="216"/>
        </w:trPr>
        <w:tc>
          <w:tcPr>
            <w:tcW w:w="3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3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w:t>
            </w:r>
          </w:p>
        </w:tc>
        <w:tc>
          <w:tcPr>
            <w:tcW w:w="12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w:t>
            </w: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2"/>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w:t>
            </w:r>
          </w:p>
        </w:tc>
      </w:tr>
      <w:tr>
        <w:trPr>
          <w:trHeight w:val="217"/>
        </w:trPr>
        <w:tc>
          <w:tcPr>
            <w:tcW w:w="3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October 31, 2020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58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$ 1,130,318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(52,387)</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492,136</w:t>
            </w: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(404,411)</w:t>
            </w:r>
          </w:p>
        </w:tc>
        <w:tc>
          <w:tcPr>
            <w:tcW w:w="8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$1,166,120</w:t>
            </w: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209,607</w:t>
            </w:r>
          </w:p>
        </w:tc>
        <w:tc>
          <w:tcPr>
            <w:tcW w:w="8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$1,375,727</w:t>
            </w:r>
          </w:p>
        </w:tc>
      </w:tr>
      <w:tr>
        <w:trPr>
          <w:trHeight w:val="33"/>
        </w:trPr>
        <w:tc>
          <w:tcPr>
            <w:tcW w:w="3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63"/>
        </w:trPr>
        <w:tc>
          <w:tcPr>
            <w:tcW w:w="77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(157,021)</w:t>
            </w:r>
          </w:p>
        </w:tc>
        <w:tc>
          <w:tcPr>
            <w:tcW w:w="4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(109,829)</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20"/>
                <w:szCs w:val="20"/>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62,628</w:t>
            </w:r>
          </w:p>
        </w:tc>
        <w:tc>
          <w:tcPr>
            <w:tcW w:w="4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57,845</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5,754</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5,251</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4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(36,199)</w:t>
            </w: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(43,979)</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non-cash income,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(3,237)</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r>
      <w:tr>
        <w:trPr>
          <w:trHeight w:val="223"/>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Trade receivables,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(102,387)</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184,821</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Inventories, net</w:t>
            </w:r>
          </w:p>
        </w:tc>
        <w:tc>
          <w:tcPr>
            <w:tcW w:w="400" w:type="dxa"/>
            <w:vAlign w:val="bottom"/>
          </w:tcPr>
          <w:p>
            <w:pPr>
              <w:spacing w:after="0"/>
              <w:rPr>
                <w:sz w:val="20"/>
                <w:szCs w:val="20"/>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745</w:t>
            </w: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(27,967)</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43,638</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(26,505)</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400" w:type="dxa"/>
            <w:vAlign w:val="bottom"/>
          </w:tcPr>
          <w:p>
            <w:pPr>
              <w:spacing w:after="0"/>
              <w:rPr>
                <w:sz w:val="20"/>
                <w:szCs w:val="20"/>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303,308</w:t>
            </w:r>
          </w:p>
        </w:tc>
        <w:tc>
          <w:tcPr>
            <w:tcW w:w="4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194,597</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payable - excess tax benefit from share award exercises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(1,279)</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taxes payable - other</w:t>
            </w:r>
          </w:p>
        </w:tc>
        <w:tc>
          <w:tcPr>
            <w:tcW w:w="4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(359)</w:t>
            </w: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(9,405)</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(3,598)</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(12,158)</w:t>
            </w:r>
          </w:p>
        </w:tc>
      </w:tr>
      <w:tr>
        <w:trPr>
          <w:trHeight w:val="231"/>
        </w:trPr>
        <w:tc>
          <w:tcPr>
            <w:tcW w:w="77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111,993</w:t>
            </w:r>
          </w:p>
        </w:tc>
        <w:tc>
          <w:tcPr>
            <w:tcW w:w="4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209,339</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(30,168)</w:t>
            </w: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(52,621)</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(327,581)</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400" w:type="dxa"/>
            <w:vAlign w:val="bottom"/>
          </w:tcPr>
          <w:p>
            <w:pPr>
              <w:spacing w:after="0"/>
              <w:rPr>
                <w:sz w:val="20"/>
                <w:szCs w:val="20"/>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894</w:t>
            </w:r>
          </w:p>
        </w:tc>
        <w:tc>
          <w:tcPr>
            <w:tcW w:w="4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3,448</w:t>
            </w:r>
          </w:p>
        </w:tc>
      </w:tr>
      <w:tr>
        <w:trPr>
          <w:trHeight w:val="33"/>
        </w:trPr>
        <w:tc>
          <w:tcPr>
            <w:tcW w:w="7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(29,274)</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(376,754)</w:t>
            </w:r>
          </w:p>
        </w:tc>
      </w:tr>
      <w:tr>
        <w:trPr>
          <w:trHeight w:val="223"/>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borrowings under Vail Holdings Credit Agreement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492,625</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borrowings under Whistler Credit Agreement</w:t>
            </w:r>
          </w:p>
        </w:tc>
        <w:tc>
          <w:tcPr>
            <w:tcW w:w="400" w:type="dxa"/>
            <w:vAlign w:val="bottom"/>
          </w:tcPr>
          <w:p>
            <w:pPr>
              <w:spacing w:after="0"/>
              <w:rPr>
                <w:sz w:val="20"/>
                <w:szCs w:val="20"/>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18,021</w:t>
            </w:r>
          </w:p>
        </w:tc>
        <w:tc>
          <w:tcPr>
            <w:tcW w:w="4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Repayments of borrowings under Vail Holdings Credit Agreement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(15,625)</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(175,000)</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Repayments of borrowings under Whistler Credit Agreement</w:t>
            </w:r>
          </w:p>
        </w:tc>
        <w:tc>
          <w:tcPr>
            <w:tcW w:w="4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(3,834)</w:t>
            </w: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(7,529)</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Employee taxes paid for share award exercises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(7,060)</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Dividends paid</w:t>
            </w:r>
          </w:p>
        </w:tc>
        <w:tc>
          <w:tcPr>
            <w:tcW w:w="400" w:type="dxa"/>
            <w:vAlign w:val="bottom"/>
          </w:tcPr>
          <w:p>
            <w:pPr>
              <w:spacing w:after="0"/>
              <w:rPr>
                <w:sz w:val="20"/>
                <w:szCs w:val="20"/>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(71,091)</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(21,444)</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4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(4,186)</w:t>
            </w: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(10,279)</w:t>
            </w:r>
          </w:p>
        </w:tc>
      </w:tr>
      <w:tr>
        <w:trPr>
          <w:trHeight w:val="33"/>
        </w:trPr>
        <w:tc>
          <w:tcPr>
            <w:tcW w:w="7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(12,684)</w:t>
            </w:r>
          </w:p>
        </w:tc>
        <w:tc>
          <w:tcPr>
            <w:tcW w:w="4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198,440</w:t>
            </w:r>
          </w:p>
        </w:tc>
      </w:tr>
      <w:tr>
        <w:trPr>
          <w:trHeight w:val="230"/>
        </w:trPr>
        <w:tc>
          <w:tcPr>
            <w:tcW w:w="77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254</w:t>
            </w:r>
          </w:p>
        </w:tc>
        <w:tc>
          <w:tcPr>
            <w:tcW w:w="4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939</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70,289</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31,964</w:t>
            </w:r>
          </w:p>
        </w:tc>
      </w:tr>
      <w:tr>
        <w:trPr>
          <w:trHeight w:val="223"/>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402,086</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118,389</w:t>
            </w:r>
          </w:p>
        </w:tc>
      </w:tr>
      <w:tr>
        <w:trPr>
          <w:trHeight w:val="230"/>
        </w:trPr>
        <w:tc>
          <w:tcPr>
            <w:tcW w:w="77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End of period</w:t>
            </w: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472,375</w:t>
            </w:r>
          </w:p>
        </w:tc>
        <w:tc>
          <w:tcPr>
            <w:tcW w:w="4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150,353</w:t>
            </w:r>
          </w:p>
        </w:tc>
      </w:tr>
      <w:tr>
        <w:trPr>
          <w:trHeight w:val="73"/>
        </w:trPr>
        <w:tc>
          <w:tcPr>
            <w:tcW w:w="77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18,132</w:t>
            </w:r>
          </w:p>
        </w:tc>
        <w:tc>
          <w:tcPr>
            <w:tcW w:w="4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32,038</w:t>
            </w:r>
          </w:p>
        </w:tc>
      </w:tr>
      <w:tr>
        <w:trPr>
          <w:trHeight w:val="230"/>
        </w:trPr>
        <w:tc>
          <w:tcPr>
            <w:tcW w:w="9500" w:type="dxa"/>
            <w:vAlign w:val="bottom"/>
            <w:gridSpan w:val="3"/>
          </w:tcPr>
          <w:p>
            <w:pPr>
              <w:ind w:left="208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549"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refers to “Resort” as the combination of the Mountain and Lodging segments. In the Mountain segment, the Company operates the following thirty-seven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46445" cy="3857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549"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mountain business and its lodging properties at or around the Company’s mountain resorts are seasonal in nature with peak operating seasons primarily from mid-November through mid-April in North America. The peak operating season at the Company’s Australian resorts, NPS concessionaire properties and golf courses generally occurs from June to early October.</w:t>
      </w:r>
    </w:p>
    <w:p>
      <w:pPr>
        <w:spacing w:after="0" w:line="172"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Consolidated Condensed Financial Statements — </w:t>
      </w:r>
      <w:r>
        <w:rPr>
          <w:rFonts w:ascii="Times New Roman" w:cs="Times New Roman" w:eastAsia="Times New Roman" w:hAnsi="Times New Roman"/>
          <w:sz w:val="18"/>
          <w:szCs w:val="18"/>
          <w:color w:val="auto"/>
        </w:rPr>
        <w:t>In the opinion of the Company, the accompanying Consolidated Condensed Financial Statements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2020.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2020 was derived from audited financial statements.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recorded amounts for cash and cash equivalents, restricted cash, receivables, other current assets and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and accrued liabilities approximate fair value due to their short-term nature. The fair value of amounts outstanding under the Company’s credit agreements and the Employee Housing Bonds (as defined in Note 5, Long-Term Debt) approximate book value due to the variable nature of the interest rate associated with the debt. The estimated fair value of the 6.25% Notes (as defined in Note 5, Long-Term Debt) is based on quoted market prices (a Level 2 input). The estimated fair value of the EPR Secured Notes and EB-5 Development Notes (each as defined in Note 5, Long-Term Debt), have been estimated using analyses based on current borrowing rates for debt with similar remaining maturities and ratings (a Level 2 input). The carrying values, including any unamortized premium or discount, and estimated fair values of the 6.25% Notes, EPR Secured Notes and EB-5 Development Notes as of October 31, 2020 are presented below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60" w:type="dxa"/>
            <w:vAlign w:val="bottom"/>
            <w:gridSpan w:val="3"/>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October 31, 2020</w:t>
            </w:r>
          </w:p>
        </w:tc>
      </w:tr>
      <w:tr>
        <w:trPr>
          <w:trHeight w:val="27"/>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20"/>
                <w:szCs w:val="20"/>
                <w:color w:val="auto"/>
              </w:rPr>
            </w:pPr>
          </w:p>
        </w:tc>
        <w:tc>
          <w:tcPr>
            <w:tcW w:w="2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7"/>
        </w:trPr>
        <w:tc>
          <w:tcPr>
            <w:tcW w:w="6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6.25% Notes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633,750</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EPR Secured Notes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159,713</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EB-5 Development Notes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48,660</w:t>
            </w:r>
          </w:p>
        </w:tc>
      </w:tr>
      <w:tr>
        <w:trPr>
          <w:trHeight w:val="20"/>
        </w:trPr>
        <w:tc>
          <w:tcPr>
            <w:tcW w:w="6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Being Evaluated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through December 31, 2022. The amendments in this update may be applied as of any date from the beginning of an interim period that includes or is subsequent to March 12, 2020, or prospectively from a date within an interim period that includes or is subsequent to March 12, 2020, up to the date that the financial statements are available to be issued. All other amendments should be applied on a prospective basis. The Company is in the process of evaluating the effect that the adoption of this standard will have on its Consolidated Condensed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553" w:right="339" w:bottom="1440" w:gutter="0" w:footer="0" w:header="0"/>
        </w:sectPr>
      </w:pPr>
    </w:p>
    <w:bookmarkStart w:id="9" w:name="page10"/>
    <w:bookmarkEnd w:id="9"/>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2020/2021 North American Credit Offer and Epic Coverage</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result of the COVID-19 pandemic, the Company closed its North American destination mountain resorts, regional ski areas and retail stores early during the 2019/2020 North American ski season, beginning on March 15, 2020. Subsequently, the Company announced a credit offer for all existing 2019/2020 North American ski season pass product holders to purchase 2020/2021 North American ski season pass products at a discount (the “Credit Offer”). The Credit Offer discounts ranged from a minimum of 20% to a maximum of 80% for season pass holders, depending on the number of days the pass holder used their pass product during the 2019/2020 season and a credit, with no minimum, but up to 80% for multi-day pass products, such as the Epic Day Pass, based on total unused days. The Credit Offer was considered a contract modification which constituted a material right to 2019/2020 North American ski season guests and, as such, represents a separate performance obligation to which the Company allocated a transaction price of approximately $120.9 million. As a result, the Company deferred $120.9 million of pass product revenue, which would have otherwise been recognized as lift revenue during the year ended July 31, 2020. The Credit Offer expired on September 17, 2020 and the Company estimates the amount of Credit Offer discounts redeemed will be approximately $15.4 million less than the $120.9 million of deferred pass product revenue. As a result, the Company recognized $15.4 million as lift revenue during the three months ended October 31, 2020. The remaining deferred revenue associated with the Credit Offer will be recognized as lift revenue as the performance obligations are satisfied, which the Company expects will be primarily in the second and third quarters of the fiscal year ending July 31, 2021. In the event that a pass product holder obtains a refund under Epic Coverage (as discussed below) for the 2020/2021 North American ski season and is eligible to utilize their credit toward the purchase of a pass product purchase for the 2021/2022 North American ski season, a portion of this remaining deferred revenue will be recognized in the year ending July 31, 2022.</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2020, the Company announced Epic Coverage, which is included with the purchase of all 2020/2021 North American pass products for no additional charge. Epic Coverage offers refunds to 2020/2021 North American pass product holders if certain qualifying personal or resort closure events occur before or during the 2020/2021 North American ski season, as well as in the event that the pass product holder cannot reserve their preferred days between December 8, 2020 and April 4, 2021, and the amount of expected refunds will reduce the amount of pass product revenue recognized during the year ending July 31, 2021. To estimate the amount of refunds under Epic Coverage, the Company considered historical claims data for personal events, current travel restrictions (primarily associated with travel into Canada from the United States and other countries), state, county and local regulations (e.g. quarantines and stay-at-home orders), the ability for the Company’s pass holders to make reservations on their preferred days, and the Company’s current operating plans for its resorts. The Company believes the estimates of refunds are reasonable; however, actual results could vary materially from such estimates, and such estimates will be remeasured at each reporting date.</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for the 2020/2021 North American ski season, the Company introduced Epic Mountain Rewards, a program which provides pass product holders a discount of 20% off on-mountain food and beverage, lodging, group ski and ride school lessons, equipment rentals and more at the Company's North American owned and operated Resorts. Epic Mountain Rewards constitutes a material right to pass product holders and as a result, the Company will allocate a portion of the transaction price based on the standalone selling price of the customer option to acquire additional goods or services at a discount and the expected redemption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54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revenues disaggregated by segment and major revenue type for the three months ended October 31, 2020 and 2019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63"/>
        </w:trPr>
        <w:tc>
          <w:tcPr>
            <w:tcW w:w="8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net revenue: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Lift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33,091</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41,829</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Ski School</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2,044</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8,534</w:t>
            </w:r>
          </w:p>
        </w:tc>
      </w:tr>
      <w:tr>
        <w:trPr>
          <w:trHeight w:val="243"/>
        </w:trPr>
        <w:tc>
          <w:tcPr>
            <w:tcW w:w="8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Dining</w:t>
            </w:r>
          </w:p>
        </w:tc>
        <w:tc>
          <w:tcPr>
            <w:tcW w:w="3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3,068</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21,629</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Retail/Rental</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22,306</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47,915</w:t>
            </w:r>
          </w:p>
        </w:tc>
      </w:tr>
      <w:tr>
        <w:trPr>
          <w:trHeight w:val="243"/>
        </w:trPr>
        <w:tc>
          <w:tcPr>
            <w:tcW w:w="8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34,205</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60,925</w:t>
            </w:r>
          </w:p>
        </w:tc>
      </w:tr>
      <w:tr>
        <w:trPr>
          <w:trHeight w:val="27"/>
        </w:trPr>
        <w:tc>
          <w:tcPr>
            <w:tcW w:w="8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94,714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180,832</w:t>
            </w:r>
          </w:p>
        </w:tc>
      </w:tr>
      <w:tr>
        <w:trPr>
          <w:trHeight w:val="237"/>
        </w:trPr>
        <w:tc>
          <w:tcPr>
            <w:tcW w:w="8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Lodging net revenue:</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Owned hotel rooms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7,365</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19,946</w:t>
            </w:r>
          </w:p>
        </w:tc>
      </w:tr>
      <w:tr>
        <w:trPr>
          <w:trHeight w:val="243"/>
        </w:trPr>
        <w:tc>
          <w:tcPr>
            <w:tcW w:w="8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9,329</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14,740</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Dining</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1,093</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18,143</w:t>
            </w:r>
          </w:p>
        </w:tc>
      </w:tr>
      <w:tr>
        <w:trPr>
          <w:trHeight w:val="243"/>
        </w:trPr>
        <w:tc>
          <w:tcPr>
            <w:tcW w:w="8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Transportation</w:t>
            </w:r>
          </w:p>
        </w:tc>
        <w:tc>
          <w:tcPr>
            <w:tcW w:w="3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2,351</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Golf</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8,454</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10,221</w:t>
            </w:r>
          </w:p>
        </w:tc>
      </w:tr>
      <w:tr>
        <w:trPr>
          <w:trHeight w:val="243"/>
        </w:trPr>
        <w:tc>
          <w:tcPr>
            <w:tcW w:w="8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9,374</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14,166</w:t>
            </w:r>
          </w:p>
        </w:tc>
      </w:tr>
      <w:tr>
        <w:trPr>
          <w:trHeight w:val="27"/>
        </w:trPr>
        <w:tc>
          <w:tcPr>
            <w:tcW w:w="8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35,615</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79,567</w:t>
            </w:r>
          </w:p>
        </w:tc>
      </w:tr>
      <w:tr>
        <w:trPr>
          <w:trHeight w:val="243"/>
        </w:trPr>
        <w:tc>
          <w:tcPr>
            <w:tcW w:w="8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1,203</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3,191</w:t>
            </w:r>
          </w:p>
        </w:tc>
      </w:tr>
      <w:tr>
        <w:trPr>
          <w:trHeight w:val="27"/>
        </w:trPr>
        <w:tc>
          <w:tcPr>
            <w:tcW w:w="8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36,818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82,758</w:t>
            </w:r>
          </w:p>
        </w:tc>
      </w:tr>
      <w:tr>
        <w:trPr>
          <w:trHeight w:val="237"/>
        </w:trPr>
        <w:tc>
          <w:tcPr>
            <w:tcW w:w="8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Resort net revenue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131,532</w:t>
            </w:r>
          </w:p>
        </w:tc>
        <w:tc>
          <w:tcPr>
            <w:tcW w:w="4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263,590</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254</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4,180</w:t>
            </w:r>
          </w:p>
        </w:tc>
      </w:tr>
      <w:tr>
        <w:trPr>
          <w:trHeight w:val="237"/>
        </w:trPr>
        <w:tc>
          <w:tcPr>
            <w:tcW w:w="82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131,786</w:t>
            </w:r>
          </w:p>
        </w:tc>
        <w:tc>
          <w:tcPr>
            <w:tcW w:w="4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267,770</w:t>
            </w:r>
          </w:p>
        </w:tc>
      </w:tr>
      <w:tr>
        <w:trPr>
          <w:trHeight w:val="27"/>
        </w:trPr>
        <w:tc>
          <w:tcPr>
            <w:tcW w:w="8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balances of a short-term nature were $559.3 million and $256.4 million as of October 31, 2020 and July 31, 2020, respectively. Deferred revenue balances of a long-term nature, comprised primarily of long-term private club initiation fee revenue, were $120.7 million and $121.9 million as of October 31, 2020 and July 31, 2020, respectively. For the three months ended October 31, 2020, the Company recognized approximately $35.8 million of revenue that was included in the deferred revenue balance as of July 31, 2020. As of October 31, 2020, the weighted average remaining period over which revenue for unsatisfied performance obligations on long-term private club contracts will be recognized was approximately 16 years. Trade receivable balances were $208.5 million and $106.7 million as of October 31, 2020 and July 31, 2020,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Contracts with Customers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2020, $8.8 million of costs to obtain contracts with customers were recorded within other current assets on the Company’s Consolidated Condensed Balance Sheet. The amounts capitalized are subject to amortization generally beginning in the second quarter of fiscal 2021, commensurate with the revenue recognized for skier visits, and will be recorded within Mountain and Lodging operating expenses on the Company’s Consolidated Condensed Statement of Operations.</w:t>
      </w:r>
    </w:p>
    <w:p>
      <w:pPr>
        <w:spacing w:after="0" w:line="17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loss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767"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acquisition of Whistler Blackcomb in October 2016,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three months ended October 31, 2020 and 2019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3"/>
        </w:trPr>
        <w:tc>
          <w:tcPr>
            <w:tcW w:w="5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tcBorders>
              <w:bottom w:val="single" w:sz="8" w:color="auto"/>
            </w:tcBorders>
          </w:tcPr>
          <w:p>
            <w:pPr>
              <w:spacing w:after="0"/>
              <w:rPr>
                <w:sz w:val="22"/>
                <w:szCs w:val="22"/>
                <w:color w:val="auto"/>
              </w:rPr>
            </w:pPr>
          </w:p>
        </w:tc>
      </w:tr>
      <w:tr>
        <w:trPr>
          <w:trHeight w:val="264"/>
        </w:trPr>
        <w:tc>
          <w:tcPr>
            <w:tcW w:w="5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48"/>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Vail Resorts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(153,766)</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(153,766)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(106,475)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(106,475)</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40,213</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40,213</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40,286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40,286</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Weighted-average Exchangeco Shares outstanding</w:t>
            </w:r>
          </w:p>
        </w:tc>
        <w:tc>
          <w:tcPr>
            <w:tcW w:w="32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40,248</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40,248</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40,342</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40,342</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8"/>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40,248</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40,248</w:t>
            </w: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40,342</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40,342</w:t>
            </w:r>
          </w:p>
        </w:tc>
      </w:tr>
      <w:tr>
        <w:trPr>
          <w:trHeight w:val="237"/>
        </w:trPr>
        <w:tc>
          <w:tcPr>
            <w:tcW w:w="5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loss per share attributable to Vail Resorts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upon the exercise of share based awards excluded from the calculation of diluted EPS because the effect of their inclusion would have been anti-dilutive totaled approximately 0.6 million and 0.7 million for the three months ended October 31, 2020 and 2019,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pay cash dividends during the three months ended October 31, 2020. The Company paid cash dividends of $1.76 per share ($71.1 million in the aggregate) during the three months ended October 31, 2019.</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as of October 31, 2020, July 31, 2020 and October 31, 2019 is summarized as follows (in thousands):</w:t>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6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Vail Holdings Credit Agreement term loan (a)</w:t>
            </w:r>
          </w:p>
        </w:tc>
        <w:tc>
          <w:tcPr>
            <w:tcW w:w="1480" w:type="dxa"/>
            <w:vAlign w:val="bottom"/>
            <w:tcBorders>
              <w:bottom w:val="single" w:sz="8" w:color="CCEEFF"/>
            </w:tcBorders>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2024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1,187,500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1,203,125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1,250,000</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Vail Holdings Credit Agreement revolver (a)</w:t>
            </w:r>
          </w:p>
        </w:tc>
        <w:tc>
          <w:tcPr>
            <w:tcW w:w="14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2024</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190,000</w:t>
            </w:r>
          </w:p>
        </w:tc>
      </w:tr>
      <w:tr>
        <w:trPr>
          <w:trHeight w:val="27"/>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6.25% Notes</w:t>
            </w:r>
          </w:p>
        </w:tc>
        <w:tc>
          <w:tcPr>
            <w:tcW w:w="1480" w:type="dxa"/>
            <w:vAlign w:val="bottom"/>
            <w:tcBorders>
              <w:bottom w:val="single" w:sz="8" w:color="CCEEFF"/>
            </w:tcBorders>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2025</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600,000</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Whistler Credit Agreement revolver (b)</w:t>
            </w:r>
          </w:p>
        </w:tc>
        <w:tc>
          <w:tcPr>
            <w:tcW w:w="14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2024</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72,778</w:t>
            </w:r>
          </w:p>
        </w:tc>
        <w:tc>
          <w:tcPr>
            <w:tcW w:w="32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58,236</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37,962</w:t>
            </w:r>
          </w:p>
        </w:tc>
      </w:tr>
      <w:tr>
        <w:trPr>
          <w:trHeight w:val="27"/>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EPR Secured Notes (c)</w:t>
            </w:r>
          </w:p>
        </w:tc>
        <w:tc>
          <w:tcPr>
            <w:tcW w:w="1480" w:type="dxa"/>
            <w:vAlign w:val="bottom"/>
            <w:tcBorders>
              <w:bottom w:val="single" w:sz="8" w:color="CCEEFF"/>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2034-2036</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114,162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114,162</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114,162</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EB-5 Development Notes</w:t>
            </w:r>
          </w:p>
        </w:tc>
        <w:tc>
          <w:tcPr>
            <w:tcW w:w="14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2021</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51,500</w:t>
            </w:r>
          </w:p>
        </w:tc>
        <w:tc>
          <w:tcPr>
            <w:tcW w:w="32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51,500</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52,000</w:t>
            </w:r>
          </w:p>
        </w:tc>
      </w:tr>
      <w:tr>
        <w:trPr>
          <w:trHeight w:val="27"/>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housing bonds</w:t>
            </w:r>
          </w:p>
        </w:tc>
        <w:tc>
          <w:tcPr>
            <w:tcW w:w="1480" w:type="dxa"/>
            <w:vAlign w:val="bottom"/>
            <w:tcBorders>
              <w:bottom w:val="single" w:sz="8" w:color="CCEEFF"/>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2027-2039</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52,575</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52,575</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52,575</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Canyons obligation</w:t>
            </w:r>
          </w:p>
        </w:tc>
        <w:tc>
          <w:tcPr>
            <w:tcW w:w="14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2063</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347,481</w:t>
            </w:r>
          </w:p>
        </w:tc>
        <w:tc>
          <w:tcPr>
            <w:tcW w:w="32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346,034</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341,704</w:t>
            </w:r>
          </w:p>
        </w:tc>
      </w:tr>
      <w:tr>
        <w:trPr>
          <w:trHeight w:val="27"/>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CCEEFF"/>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2020-2033</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18,115</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18,616</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19,583</w:t>
            </w:r>
          </w:p>
        </w:tc>
      </w:tr>
      <w:tr>
        <w:trPr>
          <w:trHeight w:val="237"/>
        </w:trPr>
        <w:tc>
          <w:tcPr>
            <w:tcW w:w="46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14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2,444,111</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2,444,248</w:t>
            </w: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2,057,986</w:t>
            </w:r>
          </w:p>
        </w:tc>
      </w:tr>
      <w:tr>
        <w:trPr>
          <w:trHeight w:val="27"/>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premiums, discounts and debt issuance</w:t>
            </w:r>
          </w:p>
        </w:tc>
        <w:tc>
          <w:tcPr>
            <w:tcW w:w="1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1"/>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4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 (d)</w:t>
            </w:r>
          </w:p>
        </w:tc>
        <w:tc>
          <w:tcPr>
            <w:tcW w:w="1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63,707</w:t>
            </w:r>
          </w:p>
        </w:tc>
        <w:tc>
          <w:tcPr>
            <w:tcW w:w="32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63,677</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63,807</w:t>
            </w:r>
          </w:p>
        </w:tc>
      </w:tr>
      <w:tr>
        <w:trPr>
          <w:trHeight w:val="27"/>
        </w:trPr>
        <w:tc>
          <w:tcPr>
            <w:tcW w:w="4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4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Long-term debt, net</w:t>
            </w:r>
          </w:p>
        </w:tc>
        <w:tc>
          <w:tcPr>
            <w:tcW w:w="14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2,387,861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2,387,122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2,005,057</w:t>
            </w:r>
          </w:p>
        </w:tc>
      </w:tr>
      <w:tr>
        <w:trPr>
          <w:trHeight w:val="20"/>
        </w:trPr>
        <w:tc>
          <w:tcPr>
            <w:tcW w:w="46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553" w:right="339" w:bottom="1440" w:gutter="0" w:footer="0" w:header="0"/>
        </w:sectPr>
      </w:pPr>
    </w:p>
    <w:bookmarkStart w:id="12" w:name="page13"/>
    <w:bookmarkEnd w:id="12"/>
    <w:p>
      <w:pPr>
        <w:jc w:val="both"/>
        <w:ind w:left="320" w:hanging="316"/>
        <w:spacing w:after="0" w:line="255"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2020, Vail Holdings, Inc. (“VHI”), certain subsidiaries of the Company, as guarantors, Bank of America, N.A., as administrative agent, and certain Lenders entered into a Third Amendment to the Vail Holdings Credit Agreement (the “Third Amendment”). Pursuant to the Third Amendment, among other terms, VHI is exempt from complying with the Vail Holdings Credit Agreement’s maximum leverage ratio and minimum interest coverage ratio financial maintenance covenants for each of the fiscal quarters ending July 31, 2020 through January 31, 2022 (unless VHI makes a one-time irrevocable election to terminate such exemption period prior to such date) (such period, the “Financial Covenants Temporary Waiver Period”), after which VHI will again be required to comply with such covenants starting with the fiscal quarter ending April 30, 2022 (or such earlier fiscal quarter as elected by VHI).</w:t>
      </w:r>
    </w:p>
    <w:p>
      <w:pPr>
        <w:spacing w:after="0" w:line="189" w:lineRule="exact"/>
        <w:rPr>
          <w:sz w:val="20"/>
          <w:szCs w:val="20"/>
          <w:color w:val="auto"/>
        </w:rPr>
      </w:pPr>
    </w:p>
    <w:p>
      <w:pPr>
        <w:jc w:val="both"/>
        <w:ind w:left="360"/>
        <w:spacing w:after="0" w:line="261" w:lineRule="auto"/>
        <w:rPr>
          <w:sz w:val="20"/>
          <w:szCs w:val="20"/>
          <w:color w:val="auto"/>
        </w:rPr>
      </w:pPr>
      <w:r>
        <w:rPr>
          <w:rFonts w:ascii="Times New Roman" w:cs="Times New Roman" w:eastAsia="Times New Roman" w:hAnsi="Times New Roman"/>
          <w:sz w:val="18"/>
          <w:szCs w:val="18"/>
          <w:color w:val="auto"/>
        </w:rPr>
        <w:t>In addition, VHI is required to comply with a monthly minimum liquidity test (liquidity is defined as unrestricted cash and temporary cash investments of VHI and its restricted subsidiaries and available commitments under the Vail Holdings Credit Agreement revolver) of not less than $150.0 million, during the period that began July 31, 2020 and ending on the date VHI delivers a compliance certificate for the Company and its subsidiaries’ first fiscal quarter following the end of the Financial Covenants Temporary Waiver Period.</w:t>
      </w:r>
    </w:p>
    <w:p>
      <w:pPr>
        <w:spacing w:after="0" w:line="180" w:lineRule="exact"/>
        <w:rPr>
          <w:sz w:val="20"/>
          <w:szCs w:val="20"/>
          <w:color w:val="auto"/>
        </w:rPr>
      </w:pPr>
    </w:p>
    <w:p>
      <w:pPr>
        <w:jc w:val="both"/>
        <w:ind w:left="360"/>
        <w:spacing w:after="0" w:line="258" w:lineRule="auto"/>
        <w:rPr>
          <w:sz w:val="20"/>
          <w:szCs w:val="20"/>
          <w:color w:val="auto"/>
        </w:rPr>
      </w:pPr>
      <w:r>
        <w:rPr>
          <w:rFonts w:ascii="Times New Roman" w:cs="Times New Roman" w:eastAsia="Times New Roman" w:hAnsi="Times New Roman"/>
          <w:sz w:val="18"/>
          <w:szCs w:val="18"/>
          <w:color w:val="auto"/>
        </w:rPr>
        <w:t>During the Financial Covenants Temporary Waiver Period, borrowings under the Vail Holdings Credit Agreement, including the term loan facility, bear interest annually at LIBOR plus 2.50% and, for amounts in excess of $400.0 million, LIBOR is subject to a floor of 0.75%. In addition, pursuant to the Third Amendment, the amount by which the Company is able to increase availability (under the revolver or in the form of term loans) was increased to an aggregate principal amount not to exceed the greater of (i) $2.25 billion and (ii) the product of 3.25 and the trailing four-quarter Adjusted EBITDA (as defined in the Credit Agreement).</w:t>
      </w:r>
    </w:p>
    <w:p>
      <w:pPr>
        <w:spacing w:after="0" w:line="183"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As of October 31, 2020, the Vail Holdings Credit Agreement consists of a $500.0 million revolving credit facility and a $1.2 billion outstanding term loan facility. The term loan facility is subject to quarterly amortization of principal of approximately $15.6 million (which began in January 2020), in equal installments, for a total of 5% of principal payable in each year and the final payment of all amounts outstanding, plus accrued and unpaid interest due in September 2024. The proceeds of the loans made under the Vail Holdings Credit Agreement may be used to fund the Company’s working capital needs, capital expenditures, acquisitions, investments and other general corporate purposes, including the issuance of letters of credit, subject to the Financial Covenants Temporary Waiver Period limitations. Borrowings under the Vail Holdings Credit Agreement, including the term loan facility, bear interest annually at LIBOR plus 2.50% as of October 31, 2020 (2.65% for the first $400.0 million of borrowings, and for amounts in excess of $400.0 million for which LIBOR is subject to a floor of 0.75% during the Financial Covenants Temporary Waiver Period, 3.25%). Other than as impacted by the provisions in place during the Financial Covenants Temporary Waiver Period,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(0.4% as of October 31, 2020).</w:t>
      </w:r>
    </w:p>
    <w:p>
      <w:pPr>
        <w:spacing w:after="0" w:line="25" w:lineRule="exact"/>
        <w:rPr>
          <w:sz w:val="20"/>
          <w:szCs w:val="20"/>
          <w:color w:val="auto"/>
        </w:rPr>
      </w:pPr>
    </w:p>
    <w:p>
      <w:pPr>
        <w:jc w:val="both"/>
        <w:ind w:left="320" w:hanging="316"/>
        <w:spacing w:after="0" w:line="254"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As of October 31, 2020, all borrowings under the Whistler Credit Agreement were made in Canadian dollars and by way of the issuance of bankers’ acceptances plus 2.25% (approximately 2.77% as of October 31, 2020). The Whistler Credit Agreement also includes a quarterly unused commitment fee based on the Consolidated Total Leverage Ratio, which as of October 31, 2020 is equal to 0.5063% per annum.</w:t>
      </w:r>
    </w:p>
    <w:p>
      <w:pPr>
        <w:spacing w:after="0" w:line="29" w:lineRule="exact"/>
        <w:rPr>
          <w:rFonts w:ascii="Times New Roman" w:cs="Times New Roman" w:eastAsia="Times New Roman" w:hAnsi="Times New Roman"/>
          <w:sz w:val="18"/>
          <w:szCs w:val="18"/>
          <w:color w:val="auto"/>
        </w:rPr>
      </w:pPr>
    </w:p>
    <w:p>
      <w:pPr>
        <w:jc w:val="both"/>
        <w:ind w:left="320" w:hanging="316"/>
        <w:spacing w:after="0" w:line="266"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2019, in conjunction with the acquisition of Peak Resorts (see Note 6, Acquisitions),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119" w:lineRule="exact"/>
        <w:rPr>
          <w:rFonts w:ascii="Times New Roman" w:cs="Times New Roman" w:eastAsia="Times New Roman" w:hAnsi="Times New Roman"/>
          <w:sz w:val="18"/>
          <w:szCs w:val="18"/>
          <w:color w:val="auto"/>
        </w:rPr>
      </w:pPr>
    </w:p>
    <w:p>
      <w:pPr>
        <w:ind w:left="980" w:hanging="328"/>
        <w:spacing w:after="0" w:line="284"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Alpine Valley Secured Note. </w:t>
      </w:r>
      <w:r>
        <w:rPr>
          <w:rFonts w:ascii="Times New Roman" w:cs="Times New Roman" w:eastAsia="Times New Roman" w:hAnsi="Times New Roman"/>
          <w:sz w:val="18"/>
          <w:szCs w:val="18"/>
          <w:color w:val="auto"/>
        </w:rPr>
        <w:t>The $4.6 million Alpine Valley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October 31, 2020, interest on this note accrued at a rate of 11.21%.</w:t>
      </w:r>
    </w:p>
    <w:p>
      <w:pPr>
        <w:spacing w:after="0" w:line="50" w:lineRule="exact"/>
        <w:rPr>
          <w:rFonts w:ascii="Times New Roman" w:cs="Times New Roman" w:eastAsia="Times New Roman" w:hAnsi="Times New Roman"/>
          <w:sz w:val="18"/>
          <w:szCs w:val="18"/>
          <w:color w:val="auto"/>
        </w:rPr>
      </w:pPr>
    </w:p>
    <w:p>
      <w:pPr>
        <w:ind w:left="980" w:hanging="328"/>
        <w:spacing w:after="0" w:line="284"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Boston Mills/Brandywine Secured Note. </w:t>
      </w:r>
      <w:r>
        <w:rPr>
          <w:rFonts w:ascii="Times New Roman" w:cs="Times New Roman" w:eastAsia="Times New Roman" w:hAnsi="Times New Roman"/>
          <w:sz w:val="18"/>
          <w:szCs w:val="18"/>
          <w:color w:val="auto"/>
        </w:rPr>
        <w:t>The $23.3 million Boston Mills/Brandywine Secured Note provides for interest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maturity on December 1, 2034. As of October 31, 2020, interest on this note accrued at a rate of 10.91%.</w:t>
      </w:r>
    </w:p>
    <w:p>
      <w:pPr>
        <w:spacing w:after="0" w:line="1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540" w:top="553" w:right="339" w:bottom="1440" w:gutter="0" w:footer="0" w:header="0"/>
        </w:sectPr>
      </w:pPr>
    </w:p>
    <w:bookmarkStart w:id="13" w:name="page14"/>
    <w:bookmarkEnd w:id="13"/>
    <w:p>
      <w:pPr>
        <w:ind w:left="1200" w:right="20" w:hanging="328"/>
        <w:spacing w:after="0" w:line="284"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Jack Frost/Big Boulder Secured Note. </w:t>
      </w:r>
      <w:r>
        <w:rPr>
          <w:rFonts w:ascii="Times New Roman" w:cs="Times New Roman" w:eastAsia="Times New Roman" w:hAnsi="Times New Roman"/>
          <w:sz w:val="18"/>
          <w:szCs w:val="18"/>
          <w:color w:val="auto"/>
        </w:rPr>
        <w:t>The $14.3 million Jack Frost/Big Boulder Secured Note provides for interest payments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maturity on December 1, 2034. As of October 31, 2020, interest on this note accrued at a rate of 10.91%.</w:t>
      </w:r>
    </w:p>
    <w:p>
      <w:pPr>
        <w:spacing w:after="0" w:line="50" w:lineRule="exact"/>
        <w:rPr>
          <w:rFonts w:ascii="Times New Roman" w:cs="Times New Roman" w:eastAsia="Times New Roman" w:hAnsi="Times New Roman"/>
          <w:sz w:val="18"/>
          <w:szCs w:val="18"/>
          <w:color w:val="auto"/>
        </w:rPr>
      </w:pPr>
    </w:p>
    <w:p>
      <w:pPr>
        <w:ind w:left="1200" w:right="20" w:hanging="328"/>
        <w:spacing w:after="0" w:line="284"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Mount Snow Secured Note. </w:t>
      </w:r>
      <w:r>
        <w:rPr>
          <w:rFonts w:ascii="Times New Roman" w:cs="Times New Roman" w:eastAsia="Times New Roman" w:hAnsi="Times New Roman"/>
          <w:sz w:val="18"/>
          <w:szCs w:val="18"/>
          <w:color w:val="auto"/>
        </w:rPr>
        <w:t>The $51.1 million Mount Snow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October 31, 2020, interest on this note accrued at a rate of 11.78%.</w:t>
      </w:r>
    </w:p>
    <w:p>
      <w:pPr>
        <w:spacing w:after="0" w:line="50" w:lineRule="exact"/>
        <w:rPr>
          <w:rFonts w:ascii="Times New Roman" w:cs="Times New Roman" w:eastAsia="Times New Roman" w:hAnsi="Times New Roman"/>
          <w:sz w:val="18"/>
          <w:szCs w:val="18"/>
          <w:color w:val="auto"/>
        </w:rPr>
      </w:pPr>
    </w:p>
    <w:p>
      <w:pPr>
        <w:ind w:left="1200" w:hanging="328"/>
        <w:spacing w:after="0" w:line="284"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Hunter Mountain Secured Note. </w:t>
      </w:r>
      <w:r>
        <w:rPr>
          <w:rFonts w:ascii="Times New Roman" w:cs="Times New Roman" w:eastAsia="Times New Roman" w:hAnsi="Times New Roman"/>
          <w:sz w:val="18"/>
          <w:szCs w:val="18"/>
          <w:color w:val="auto"/>
        </w:rPr>
        <w:t>The $21.0 million Hunter Mountain Secured Note provides for interest payments through its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5, 2036. As of October 31, 2020, interest on this note accrued at a rate of 8.57%.</w:t>
      </w:r>
    </w:p>
    <w:p>
      <w:pPr>
        <w:spacing w:after="0" w:line="52"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In addition, Peak Resorts is required to maintain a debt service reserve account which amounts are applied to fund interest payments and other amounts due and payable to EPR. As of October 31, 2020 the Company had funded the EPR debt service reserve account in an amount equal to approximately $2.1 million, which was included in other current assets in the Company’s Consolidated Balance Sheet.</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 Current maturities represent principal payments due in the next 12 months.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debt outstanding as of October 31, 2020 reflected by fiscal year (August 1 through July 31) are as follows (in thousands):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2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(November 2020 through July 2021)</w:t>
            </w:r>
          </w:p>
        </w:tc>
        <w:tc>
          <w:tcPr>
            <w:tcW w:w="35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53,699</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5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115,195</w:t>
            </w:r>
          </w:p>
        </w:tc>
      </w:tr>
      <w:tr>
        <w:trPr>
          <w:trHeight w:val="27"/>
        </w:trPr>
        <w:tc>
          <w:tcPr>
            <w:tcW w:w="6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63,740</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5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63,796</w:t>
            </w:r>
          </w:p>
        </w:tc>
      </w:tr>
      <w:tr>
        <w:trPr>
          <w:trHeight w:val="27"/>
        </w:trPr>
        <w:tc>
          <w:tcPr>
            <w:tcW w:w="6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1,626,662</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5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521,019</w:t>
            </w:r>
          </w:p>
        </w:tc>
      </w:tr>
      <w:tr>
        <w:trPr>
          <w:trHeight w:val="27"/>
        </w:trPr>
        <w:tc>
          <w:tcPr>
            <w:tcW w:w="62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35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2,444,111</w:t>
            </w:r>
          </w:p>
        </w:tc>
      </w:tr>
      <w:tr>
        <w:trPr>
          <w:trHeight w:val="20"/>
        </w:trPr>
        <w:tc>
          <w:tcPr>
            <w:tcW w:w="626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gross interest expense of $35.4 million and $22.7 million for the three months ended October 31, 2020 and 2019, respectively, of which $0.7 million and $0.4 million, respectively, was amortization of deferred financing costs. The Company was in compliance with all of its financial and operating covenants required to be maintained under its debt instruments for all periods presented.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acquisition of Whistler Blackcomb in October 2016,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$0.5 million and $0.4 million, respectively, of non-cash foreign currency gains on the intercompany loan to Whistler Blackcomb for the three months ended October 31, 2020 and 2019 on the Company’s Consolidated Condensed Statements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659" w:right="339" w:bottom="1440" w:gutter="0" w:footer="0" w:header="0"/>
        </w:sectPr>
      </w:pPr>
    </w:p>
    <w:bookmarkStart w:id="14" w:name="page15"/>
    <w:bookmarkEnd w:id="14"/>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Peak Resorts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24, 2019, the Company, through a wholly-owned subsidiary, acquired 100 percent of the outstanding stock of Peak Resorts, Inc. (“Peak Resorts”) at a purchase price of $11.00 per share or approximately $264.5 million. In addition, contemporaneous with the closing of the transaction, Peak Resorts was required to pay approximately $70.2 million of certain outstanding debt instruments and lease obligations in order to complete the transaction. Accordingly, the total purchase price, including the repayment of certain outstanding debt instruments and lease obligations, was approximately $334.7 million, for which the Company borrowed approximately $335.6 million under the Vail Holdings Credit Agreement (see Note 5, Long-Term Debt) to fund the acquisition, repayment of debt instruments and lease obligations, and associated acquisition related expenses. The newly acquired resorts include: Mount Snow in Vermont; Hunter Mountain in New York; Attitash Mountain Resort, Wildcat Mountain and Crotched Mountain in New Hampshire; Liberty Mountain Resort, Roundtop Mountain Resort, Whitetail Resort, Jack Frost and Big Boulder in Pennsylvania; Alpine Valley, Boston Mills, Brandywine and Mad River Mountain in Ohio; Hidden Valley and Snow Creek in Missouri; and Paoli Peaks in Indiana. The Company assumed the Special Use Permits from the U.S. Forest Service for Attitash, Mount Snow and Wildcat Mountain, and assumed the land leases for Mad River and Paoli Peaks. The acquisition included the mountain operations of the resorts, including base area skier services (food and beverage, retail and rental, lift ticket offices and ski and snowboard school facilities), as well as lodging operations at certain resorts.</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95"/>
        </w:trPr>
        <w:tc>
          <w:tcPr>
            <w:tcW w:w="59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48"/>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19,578</w:t>
            </w:r>
          </w:p>
        </w:tc>
      </w:tr>
      <w:tr>
        <w:trPr>
          <w:trHeight w:val="243"/>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427,793</w:t>
            </w:r>
          </w:p>
        </w:tc>
      </w:tr>
      <w:tr>
        <w:trPr>
          <w:trHeight w:val="27"/>
        </w:trPr>
        <w:tc>
          <w:tcPr>
            <w:tcW w:w="59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135,879</w:t>
            </w:r>
          </w:p>
        </w:tc>
      </w:tr>
      <w:tr>
        <w:trPr>
          <w:trHeight w:val="243"/>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8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19,221</w:t>
            </w:r>
          </w:p>
        </w:tc>
      </w:tr>
      <w:tr>
        <w:trPr>
          <w:trHeight w:val="27"/>
        </w:trPr>
        <w:tc>
          <w:tcPr>
            <w:tcW w:w="59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8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16,203</w:t>
            </w:r>
          </w:p>
        </w:tc>
      </w:tr>
      <w:tr>
        <w:trPr>
          <w:trHeight w:val="243"/>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Assumed long-term debt</w:t>
            </w:r>
          </w:p>
        </w:tc>
        <w:tc>
          <w:tcPr>
            <w:tcW w:w="38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(184,668)</w:t>
            </w:r>
          </w:p>
        </w:tc>
      </w:tr>
      <w:tr>
        <w:trPr>
          <w:trHeight w:val="27"/>
        </w:trPr>
        <w:tc>
          <w:tcPr>
            <w:tcW w:w="59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38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(99,275)</w:t>
            </w:r>
          </w:p>
        </w:tc>
      </w:tr>
      <w:tr>
        <w:trPr>
          <w:trHeight w:val="237"/>
        </w:trPr>
        <w:tc>
          <w:tcPr>
            <w:tcW w:w="59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assets acquired</w:t>
            </w:r>
          </w:p>
        </w:tc>
        <w:tc>
          <w:tcPr>
            <w:tcW w:w="3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334,731</w:t>
            </w:r>
          </w:p>
        </w:tc>
      </w:tr>
      <w:tr>
        <w:trPr>
          <w:trHeight w:val="27"/>
        </w:trPr>
        <w:tc>
          <w:tcPr>
            <w:tcW w:w="59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trade names and property management contracts, which had acquisition date estimated fair values of approximately $15.8 million and $3.1 million, respectively.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assumed various debt obligations of Peak Resorts, which were recorded at their respective estimated fair values as of the acquisition date (see Note 5, Long-Term Debt). The Company recognized $3.2 million of acquisition related expenses associated with the transaction within Mountain and Lodging operating expense in its Consolidated Condensed Statement of Operations for the three months ended October 31, 2019. The operating results of Peak Resorts are reported within the Mountain and Lodging segments prospectively from the date of acquisition.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presents the unaudited pro forma consolidated financial information of the Company as if the acquisition of Peak Resorts was completed on August 1, 2019. The following unaudited pro forma financial information includes adjustments for (i) depreciation on acquired property, plant and equipment; (ii) amortization of intangible assets recorded at the date of the transaction; (iii) transaction and business integration related costs; and (iv) interest expense associated with financing the transaction. This unaudited pro forma financial information is presented for informational purposes only and does not purport to be indicative of the results of future operations or the results that would have occurred had the transaction taken place on August 1, 2019 (in thousands, except per share amounts).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54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8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50"/>
        </w:trPr>
        <w:tc>
          <w:tcPr>
            <w:tcW w:w="85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8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274,429</w:t>
            </w:r>
          </w:p>
        </w:tc>
      </w:tr>
      <w:tr>
        <w:trPr>
          <w:trHeight w:val="243"/>
        </w:trPr>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loss attributable to Vail Resorts, Inc.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(111,843)</w:t>
            </w: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basic net loss per share attributable to Vail Resorts,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43"/>
        </w:trPr>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diluted net loss per share attributable to Vail Resorts, Inc.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7"/>
        </w:trPr>
        <w:tc>
          <w:tcPr>
            <w:tcW w:w="8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249"/>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752,259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750,714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745,846</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1,475,857</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1,475,661</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1,458,465</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1,363,279</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1,361,178</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1,189,951</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313,815</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308,267</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435,663</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99,077</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104,223</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118,961</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80,552</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80,510</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68,662</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105,866</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81,967</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113,570</w:t>
            </w:r>
          </w:p>
        </w:tc>
      </w:tr>
      <w:tr>
        <w:trPr>
          <w:trHeight w:val="237"/>
        </w:trPr>
        <w:tc>
          <w:tcPr>
            <w:tcW w:w="61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4,190,705</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4,162,520</w:t>
            </w: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4,131,118</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(2,024,101)</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(1,969,841)</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(1,851,029)</w:t>
            </w:r>
          </w:p>
        </w:tc>
      </w:tr>
      <w:tr>
        <w:trPr>
          <w:trHeight w:val="237"/>
        </w:trPr>
        <w:tc>
          <w:tcPr>
            <w:tcW w:w="61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2,166,604</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2,192,679</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2,280,089</w:t>
            </w:r>
          </w:p>
        </w:tc>
      </w:tr>
      <w:tr>
        <w:trPr>
          <w:trHeight w:val="27"/>
        </w:trPr>
        <w:tc>
          <w:tcPr>
            <w:tcW w:w="6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2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accounts payable and accrued liabilities follows (in thousands):</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0"/>
        </w:trPr>
        <w:tc>
          <w:tcPr>
            <w:tcW w:w="6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248"/>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payables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74,609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59,692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141,714</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559,323</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256,402</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549,144</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33,131</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25,588</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22,798</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benefits</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39,625</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43,704</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38,695</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20,644</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20,070</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34,202</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36,185</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36,604</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35,136</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83,097</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57,048</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35,245</w:t>
            </w:r>
          </w:p>
        </w:tc>
      </w:tr>
      <w:tr>
        <w:trPr>
          <w:trHeight w:val="237"/>
        </w:trPr>
        <w:tc>
          <w:tcPr>
            <w:tcW w:w="61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846,614</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499,108</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856,934</w:t>
            </w:r>
          </w:p>
        </w:tc>
      </w:tr>
      <w:tr>
        <w:trPr>
          <w:trHeight w:val="27"/>
        </w:trPr>
        <w:tc>
          <w:tcPr>
            <w:tcW w:w="6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other long-term liabilities follows (in thousands):</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0"/>
        </w:trPr>
        <w:tc>
          <w:tcPr>
            <w:tcW w:w="6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249"/>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Private club deferred initiation fee revenue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103,714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105,108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109,011</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149,394</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165,137</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129,953</w:t>
            </w:r>
          </w:p>
        </w:tc>
      </w:tr>
      <w:tr>
        <w:trPr>
          <w:trHeight w:val="27"/>
        </w:trPr>
        <w:tc>
          <w:tcPr>
            <w:tcW w:w="6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253,108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270,245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238,964</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net carrying amount of goodwill allocated between the Company’s segments for the three months ended October 31, 2020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Mountain</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Lodging</w:t>
            </w: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Goodwill, net</w:t>
            </w:r>
          </w:p>
        </w:tc>
      </w:tr>
      <w:tr>
        <w:trPr>
          <w:trHeight w:val="249"/>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July 31, 2020</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1,666,809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1,709,020</w:t>
            </w: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2,850</w:t>
            </w:r>
          </w:p>
        </w:tc>
      </w:tr>
      <w:tr>
        <w:trPr>
          <w:trHeight w:val="27"/>
        </w:trPr>
        <w:tc>
          <w:tcPr>
            <w:tcW w:w="4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8"/>
        </w:trPr>
        <w:tc>
          <w:tcPr>
            <w:tcW w:w="4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Balance at October 31, 2020</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1,669,659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1,711,870</w:t>
            </w: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845"/>
        </w:trPr>
        <w:tc>
          <w:tcPr>
            <w:tcW w:w="4720" w:type="dxa"/>
            <w:vAlign w:val="bottom"/>
          </w:tcPr>
          <w:p>
            <w:pPr>
              <w:spacing w:after="0"/>
              <w:rPr>
                <w:sz w:val="24"/>
                <w:szCs w:val="24"/>
                <w:color w:val="auto"/>
              </w:rPr>
            </w:pP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240"/>
          </w:cols>
          <w:pgMar w:left="320" w:top="776" w:right="339" w:bottom="1440" w:gutter="0" w:footer="0" w:header="0"/>
        </w:sectPr>
      </w:pPr>
    </w:p>
    <w:bookmarkStart w:id="16" w:name="page17"/>
    <w:bookmarkEnd w:id="1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cash equivalents, other current assets, Interest Rate Swaps and Contingent Consideration measured at estimated fair value (all other assets and liabilities measured at fair value are immaterial)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October 31, 2020</w:t>
            </w:r>
          </w:p>
        </w:tc>
        <w:tc>
          <w:tcPr>
            <w:tcW w:w="980" w:type="dxa"/>
            <w:vAlign w:val="bottom"/>
            <w:tcBorders>
              <w:bottom w:val="single" w:sz="8" w:color="auto"/>
            </w:tcBorders>
          </w:tcPr>
          <w:p>
            <w:pPr>
              <w:spacing w:after="0"/>
              <w:rPr>
                <w:sz w:val="16"/>
                <w:szCs w:val="16"/>
                <w:color w:val="auto"/>
              </w:rPr>
            </w:pPr>
          </w:p>
        </w:tc>
      </w:tr>
      <w:tr>
        <w:trPr>
          <w:trHeight w:val="265"/>
        </w:trPr>
        <w:tc>
          <w:tcPr>
            <w:tcW w:w="5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73"/>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204,036</w:t>
            </w:r>
          </w:p>
        </w:tc>
        <w:tc>
          <w:tcPr>
            <w:tcW w:w="3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204,036</w:t>
            </w:r>
          </w:p>
        </w:tc>
        <w:tc>
          <w:tcPr>
            <w:tcW w:w="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2,401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2,401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8,076</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8,076</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17,855</w:t>
            </w:r>
          </w:p>
        </w:tc>
        <w:tc>
          <w:tcPr>
            <w:tcW w:w="3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17,855</w:t>
            </w:r>
          </w:p>
        </w:tc>
        <w:tc>
          <w:tcPr>
            <w:tcW w:w="4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16,000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16,000</w:t>
            </w:r>
          </w:p>
        </w:tc>
      </w:tr>
      <w:tr>
        <w:trPr>
          <w:trHeight w:val="527"/>
        </w:trPr>
        <w:tc>
          <w:tcPr>
            <w:tcW w:w="55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420" w:type="dxa"/>
            <w:vAlign w:val="bottom"/>
            <w:tcBorders>
              <w:top w:val="single" w:sz="8" w:color="auto"/>
              <w:bottom w:val="single" w:sz="8" w:color="auto"/>
            </w:tcBorders>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July 31, 2020</w:t>
            </w:r>
          </w:p>
        </w:tc>
        <w:tc>
          <w:tcPr>
            <w:tcW w:w="980" w:type="dxa"/>
            <w:vAlign w:val="bottom"/>
            <w:tcBorders>
              <w:top w:val="single" w:sz="8" w:color="auto"/>
              <w:bottom w:val="single" w:sz="8" w:color="auto"/>
            </w:tcBorders>
          </w:tcPr>
          <w:p>
            <w:pPr>
              <w:spacing w:after="0"/>
              <w:rPr>
                <w:sz w:val="24"/>
                <w:szCs w:val="24"/>
                <w:color w:val="auto"/>
              </w:rPr>
            </w:pPr>
          </w:p>
        </w:tc>
      </w:tr>
      <w:tr>
        <w:trPr>
          <w:trHeight w:val="265"/>
        </w:trPr>
        <w:tc>
          <w:tcPr>
            <w:tcW w:w="5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73"/>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203,158</w:t>
            </w:r>
          </w:p>
        </w:tc>
        <w:tc>
          <w:tcPr>
            <w:tcW w:w="3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203,158</w:t>
            </w:r>
          </w:p>
        </w:tc>
        <w:tc>
          <w:tcPr>
            <w:tcW w:w="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2,401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2,401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8,208</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8,208</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22,510</w:t>
            </w:r>
          </w:p>
        </w:tc>
        <w:tc>
          <w:tcPr>
            <w:tcW w:w="3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22,510</w:t>
            </w: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17,800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17,800</w:t>
            </w:r>
          </w:p>
        </w:tc>
      </w:tr>
      <w:tr>
        <w:trPr>
          <w:trHeight w:val="527"/>
        </w:trPr>
        <w:tc>
          <w:tcPr>
            <w:tcW w:w="55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420" w:type="dxa"/>
            <w:vAlign w:val="bottom"/>
            <w:tcBorders>
              <w:top w:val="single" w:sz="8" w:color="auto"/>
              <w:bottom w:val="single" w:sz="8" w:color="auto"/>
            </w:tcBorders>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October 31, 2019</w:t>
            </w:r>
          </w:p>
        </w:tc>
        <w:tc>
          <w:tcPr>
            <w:tcW w:w="980" w:type="dxa"/>
            <w:vAlign w:val="bottom"/>
            <w:tcBorders>
              <w:top w:val="single" w:sz="8" w:color="auto"/>
              <w:bottom w:val="single" w:sz="8" w:color="auto"/>
            </w:tcBorders>
          </w:tcPr>
          <w:p>
            <w:pPr>
              <w:spacing w:after="0"/>
              <w:rPr>
                <w:sz w:val="24"/>
                <w:szCs w:val="24"/>
                <w:color w:val="auto"/>
              </w:rPr>
            </w:pPr>
          </w:p>
        </w:tc>
      </w:tr>
      <w:tr>
        <w:trPr>
          <w:trHeight w:val="265"/>
        </w:trPr>
        <w:tc>
          <w:tcPr>
            <w:tcW w:w="5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1"/>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3,047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3,047</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2,401</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2,401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7,932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7,932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21,900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21,900</w:t>
            </w:r>
          </w:p>
        </w:tc>
      </w:tr>
      <w:tr>
        <w:trPr>
          <w:trHeight w:val="20"/>
        </w:trPr>
        <w:tc>
          <w:tcPr>
            <w:tcW w:w="5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equivalents, other current assets and Interest Rate Swaps are measured utilizing quoted market prices or pricing models whereby all significant inputs are either observable or corroborated by observable market data. The estimated fair value of the Interest Rate Swaps are included within other long-term liabilities on the Company’s Consolidated Condensed Balance Sheet as of October 31, 2020.</w:t>
      </w:r>
    </w:p>
    <w:p>
      <w:pPr>
        <w:sectPr>
          <w:pgSz w:w="11900" w:h="16838" w:orient="portrait"/>
          <w:cols w:equalWidth="0" w:num="1">
            <w:col w:w="11240"/>
          </w:cols>
          <w:pgMar w:left="320" w:top="549"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54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changes in Contingent Consideration during the three months ended October 31, 2020 and 2019 were as follows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7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July 31, 2020 and 2019, respectively</w:t>
            </w:r>
          </w:p>
        </w:tc>
        <w:tc>
          <w:tcPr>
            <w:tcW w:w="24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17,800</w:t>
            </w:r>
          </w:p>
        </w:tc>
        <w:tc>
          <w:tcPr>
            <w:tcW w:w="7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27,200</w:t>
            </w:r>
          </w:p>
        </w:tc>
      </w:tr>
      <w:tr>
        <w:trPr>
          <w:trHeight w:val="243"/>
        </w:trPr>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w:t>
            </w:r>
          </w:p>
        </w:tc>
        <w:tc>
          <w:tcPr>
            <w:tcW w:w="24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(2,602)</w:t>
            </w:r>
          </w:p>
        </w:tc>
        <w:tc>
          <w:tcPr>
            <w:tcW w:w="7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r>
      <w:tr>
        <w:trPr>
          <w:trHeight w:val="27"/>
        </w:trPr>
        <w:tc>
          <w:tcPr>
            <w:tcW w:w="5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802</w:t>
            </w:r>
          </w:p>
        </w:tc>
        <w:tc>
          <w:tcPr>
            <w:tcW w:w="7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w:t>
            </w:r>
          </w:p>
        </w:tc>
      </w:tr>
      <w:tr>
        <w:trPr>
          <w:trHeight w:val="237"/>
        </w:trPr>
        <w:tc>
          <w:tcPr>
            <w:tcW w:w="5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Balance as of October 31, 2020 and 2019, respectively</w:t>
            </w:r>
          </w:p>
        </w:tc>
        <w:tc>
          <w:tcPr>
            <w:tcW w:w="24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16,000</w:t>
            </w:r>
          </w:p>
        </w:tc>
        <w:tc>
          <w:tcPr>
            <w:tcW w:w="7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21,900</w:t>
            </w:r>
          </w:p>
        </w:tc>
      </w:tr>
      <w:tr>
        <w:trPr>
          <w:trHeight w:val="27"/>
        </w:trPr>
        <w:tc>
          <w:tcPr>
            <w:tcW w:w="57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10.49%, volatility of 17.0% and future period Park City EBITDA,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$3.1 million to $4.1 million.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Contingent Consideration is classified as a liability, which is remeasured to fair value at each reporting date until the contingency is resolved. During the three months ended October 31, 2020, the Company made a payment to the landlord for Contingent Consideration of approximately $2.6 million and recorded an increase of approximately $0.8 million. These changes resulted in an estimated fair value of the Contingent Consideration of approximately $16.0 million, which is reflected in other long-term liabilities in the Company’s Consolidated Condensed Balance Sheet.</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Metropolitan Districts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$2.1 million, $2.1 million and $2.0 million primarily within other long-term liabilities in the accompanying Consolidated Condensed Balance Sheets, as of October 31, 2020, July 31, 2020 and October 31, 2019, respectively, with respect to the estimated present value of future RSRMD capital improvement fees. The Company estimates it will make capital improvement fee payments under this arrangement through the fiscal year ending July 31, 2031.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Guarantees/Indemnifications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2020, the Company had various letters of credit outstanding totaling $75.6 million, consisting of $53.4 million to support the Employee Housing Bonds and $22.2 million primarily for workers’ compensation, a wind energy purchase agreement and insurance-related deductibles. The Company also had surety bonds of $13.2 million as of October 31, 2020, primarily to provide collateral for its U.S. workers compensation self-insurance programs.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553" w:right="339" w:bottom="144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indemnification agreements is unlimited; however, the Company has a director and officer insurance policy that should enable the Company to recover a portion of any amounts paid.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Self-Insurance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Management believes the Company has adequate insurance coverage and/or has accrued for all loss contingencies for asserted and unasserted matters deemed to be probable and estimable losses. As of October 31, 2020, July 31, 2020 and October 31, 2019, the accruals for the above loss contingencies were not material individually or in the aggregate.</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Items excluded from Reported EBITDA are significant components in understanding and assessing financial performance. Reported EBITDA should not be considered in isolation or as an alternative to, or substitute for, other indicators of financial performance or liquidity presented in the Consolidated Condensed Financial Statements, such as net loss or net change in cash and cash equivalents.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553" w:right="339" w:bottom="1440" w:gutter="0" w:footer="0" w:header="0"/>
        </w:sectPr>
      </w:pPr>
    </w:p>
    <w:bookmarkStart w:id="19" w:name="page20"/>
    <w:bookmarkEnd w:id="19"/>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financial information by reportable segment, which is used by management in evaluating performance and allocating resources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63"/>
        </w:trPr>
        <w:tc>
          <w:tcPr>
            <w:tcW w:w="77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Lift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33,091</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41,829</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Ski school</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2,044</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8,534</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Dining</w:t>
            </w:r>
          </w:p>
        </w:tc>
        <w:tc>
          <w:tcPr>
            <w:tcW w:w="40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3,068</w:t>
            </w:r>
          </w:p>
        </w:tc>
        <w:tc>
          <w:tcPr>
            <w:tcW w:w="4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21,629</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Retail/rental</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22,306</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47,915</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34,205</w:t>
            </w:r>
          </w:p>
        </w:tc>
        <w:tc>
          <w:tcPr>
            <w:tcW w:w="4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60,925</w:t>
            </w:r>
          </w:p>
        </w:tc>
      </w:tr>
      <w:tr>
        <w:trPr>
          <w:trHeight w:val="27"/>
        </w:trPr>
        <w:tc>
          <w:tcPr>
            <w:tcW w:w="7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94,714</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180,832</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Lodging</w:t>
            </w:r>
          </w:p>
        </w:tc>
        <w:tc>
          <w:tcPr>
            <w:tcW w:w="40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36,818</w:t>
            </w:r>
          </w:p>
        </w:tc>
        <w:tc>
          <w:tcPr>
            <w:tcW w:w="4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82,758</w:t>
            </w:r>
          </w:p>
        </w:tc>
      </w:tr>
      <w:tr>
        <w:trPr>
          <w:trHeight w:val="27"/>
        </w:trPr>
        <w:tc>
          <w:tcPr>
            <w:tcW w:w="7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Resort net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131,532</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263,590</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 Estate</w:t>
            </w:r>
          </w:p>
        </w:tc>
        <w:tc>
          <w:tcPr>
            <w:tcW w:w="40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254</w:t>
            </w:r>
          </w:p>
        </w:tc>
        <w:tc>
          <w:tcPr>
            <w:tcW w:w="4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4,180</w:t>
            </w:r>
          </w:p>
        </w:tc>
      </w:tr>
      <w:tr>
        <w:trPr>
          <w:trHeight w:val="27"/>
        </w:trPr>
        <w:tc>
          <w:tcPr>
            <w:tcW w:w="7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131,786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267,770</w:t>
            </w:r>
          </w:p>
        </w:tc>
      </w:tr>
      <w:tr>
        <w:trPr>
          <w:trHeight w:val="20"/>
        </w:trPr>
        <w:tc>
          <w:tcPr>
            <w:tcW w:w="7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Mountain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186,092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262,008</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Lodging</w:t>
            </w:r>
          </w:p>
        </w:tc>
        <w:tc>
          <w:tcPr>
            <w:tcW w:w="40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44,206</w:t>
            </w:r>
          </w:p>
        </w:tc>
        <w:tc>
          <w:tcPr>
            <w:tcW w:w="4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79,492</w:t>
            </w:r>
          </w:p>
        </w:tc>
      </w:tr>
      <w:tr>
        <w:trPr>
          <w:trHeight w:val="27"/>
        </w:trPr>
        <w:tc>
          <w:tcPr>
            <w:tcW w:w="7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Resort operating expense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230,298</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341,500</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 Estate</w:t>
            </w:r>
          </w:p>
        </w:tc>
        <w:tc>
          <w:tcPr>
            <w:tcW w:w="40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1,450</w:t>
            </w:r>
          </w:p>
        </w:tc>
        <w:tc>
          <w:tcPr>
            <w:tcW w:w="4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5,293</w:t>
            </w:r>
          </w:p>
        </w:tc>
      </w:tr>
      <w:tr>
        <w:trPr>
          <w:trHeight w:val="27"/>
        </w:trPr>
        <w:tc>
          <w:tcPr>
            <w:tcW w:w="7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231,748</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346,793</w:t>
            </w:r>
          </w:p>
        </w:tc>
      </w:tr>
      <w:tr>
        <w:trPr>
          <w:trHeight w:val="20"/>
        </w:trPr>
        <w:tc>
          <w:tcPr>
            <w:tcW w:w="7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3,986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1,191</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Reported EBITDA:</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Mountain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(79,985)</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Lodging</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4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3,266</w:t>
            </w:r>
          </w:p>
        </w:tc>
      </w:tr>
      <w:tr>
        <w:trPr>
          <w:trHeight w:val="27"/>
        </w:trPr>
        <w:tc>
          <w:tcPr>
            <w:tcW w:w="7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Resort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(94,780)</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(76,719)</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 Estate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4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7"/>
        </w:trPr>
        <w:tc>
          <w:tcPr>
            <w:tcW w:w="7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Reported EBITDA</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(77,625)</w:t>
            </w:r>
          </w:p>
        </w:tc>
      </w:tr>
      <w:tr>
        <w:trPr>
          <w:trHeight w:val="20"/>
        </w:trPr>
        <w:tc>
          <w:tcPr>
            <w:tcW w:w="7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held for sale and investment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96,668</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96,938</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Reconciliation from net loss attributable to Vail Resorts, Inc. to Total Reported EBITDA:</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(153,766)</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(106,475)</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4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r>
      <w:tr>
        <w:trPr>
          <w:trHeight w:val="237"/>
        </w:trPr>
        <w:tc>
          <w:tcPr>
            <w:tcW w:w="77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(157,021)</w:t>
            </w:r>
          </w:p>
        </w:tc>
        <w:tc>
          <w:tcPr>
            <w:tcW w:w="4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(109,829)</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(37,478)</w:t>
            </w:r>
          </w:p>
        </w:tc>
        <w:tc>
          <w:tcPr>
            <w:tcW w:w="4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(46,563)</w:t>
            </w:r>
          </w:p>
        </w:tc>
      </w:tr>
      <w:tr>
        <w:trPr>
          <w:trHeight w:val="237"/>
        </w:trPr>
        <w:tc>
          <w:tcPr>
            <w:tcW w:w="77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(194,499)</w:t>
            </w:r>
          </w:p>
        </w:tc>
        <w:tc>
          <w:tcPr>
            <w:tcW w:w="4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(156,392)</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62,628</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57,845</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40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802</w:t>
            </w:r>
          </w:p>
        </w:tc>
        <w:tc>
          <w:tcPr>
            <w:tcW w:w="4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1,136</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569</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gain on intercompany loans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35,407</w:t>
            </w:r>
          </w:p>
        </w:tc>
        <w:tc>
          <w:tcPr>
            <w:tcW w:w="4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22,690</w:t>
            </w:r>
          </w:p>
        </w:tc>
      </w:tr>
      <w:tr>
        <w:trPr>
          <w:trHeight w:val="27"/>
        </w:trPr>
        <w:tc>
          <w:tcPr>
            <w:tcW w:w="7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Reported EBITDA</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(77,625)</w:t>
            </w:r>
          </w:p>
        </w:tc>
      </w:tr>
      <w:tr>
        <w:trPr>
          <w:trHeight w:val="20"/>
        </w:trPr>
        <w:tc>
          <w:tcPr>
            <w:tcW w:w="7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77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0" w:name="page21"/>
    <w:bookmarkEnd w:id="20"/>
    <w:p>
      <w:pPr>
        <w:ind w:left="440" w:hanging="432"/>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did not repurchase any Vail Shares during the three months ended October 31, 2020. The Company repurchased 95,618 Vail Shares (at a total cost of approximately $21.4 million) during the three months ended October 31, 2019. Since inception of its share repurchase program through October 31, 2020, the Company has repurchased 6,161,141 Vail Shares for approximately $404.4 million. As of October 31, 2020, 1,338,859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Quarterly Report on Form 10-Q for the period ended October 31, 2020 (“Form 10-Q”) as “we,” “us,” “our” or the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our Annual Report on Form 10-K for the fiscal year ended July 31, 2020 (“Form 10-K”) and the Consolidated Condensed Financial Statements as of October 31, 2020 and 2019 and for the three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24, 2020.</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segment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under accounting principles generally accepted in the United States (“GAAP”). We utilize segment Reported EBITDA in evaluating our performance and in allocating resources to our segments. We also believe that Net Debt is an important measurement as it is an indicator of our ability to obtain additional capital resources for our future cash needs. Refer to the end of the Results of Operations section for a reconciliation of net loss attributable to Vail Resorts, Inc. to Total Reported EBITDA and long-term debt, net to Net Debt.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We refer to “Resort” as the combination of the Mountain and Lodging segments.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54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thirty-seven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846445" cy="3857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ski operations occurring in our second and third fiscal quarters and the majority of revenue earned from our Australian ski operations occurring in our first and fourth fiscal quarters. Our North American destination mountain resorts and regional ski areas (collectively, “Resorts”) are typically open for business from mid-November through mid-April, which is the peak operating season for the Mountain segment, and our Australian ski areas are typically open for business from June to early October. Consequently, our first fiscal quarter is a seasonally low period as our North American ski operations are generally not open for business until our second fiscal quarter, while the activity of our Australian ski areas’ peak season and our North American summer operating results are not sufficient to offset the losses incurred during the seasonally low periods at our North American Resorts. Revenue of the Mountain segment during the first and fourth fiscal quarters is primarily generated from summer and group related visitation at our North American destination mountain resorts, retail/rental operations and peak season Australian ski operations.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ongoing impacts of the COVID-19 pandemic have resulted in restrictions, limitations, or closures of our 2020 Australian ski area operations and 2020 North American summer operations. Two of our Australian ski areas, Mount Hotham and Falls Creek, opened for their 2020 winter season on July 6, 2020, but we decided to close them four days later due to a “stay at home” order put in place by the Victorian government and specifically for the Melbourne metropolitan area, which represents the majority of visitors for Mount Hotham and Falls Creek, as a result of the reemergence of COVID-19 in the region (the “Australian Resort Closures”). These actions, and the COVID-19 pandemic in general, had a significant adverse impact to our results of operations for the three months ended October 31, 2020, and we expect them to continue to have a significant adverse impact for the remainder of the year ending July 31, 2021 (“Fiscal 2021”).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54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concessionaire properties, including the Grand Teton Lodge Company (“GTLC”); (iv) a Colorado resort ground transportation company; and (v) mountain resort golf courses.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of the lodging segment during our first fiscal quarter is generated primarily by the operations of our NPS concessionaire properties (as their peak operating season generally occurs during the months of June to October), as well as golf operations and seasonally low operations from our other owned and managed properties and businesses. Lodging properties (including managed condominium rooms) at or around our mountain resorts, and our Colorado resort ground transportation company, are closely aligned with the performance of the Mountain segment and generally experience similar seasonal trends.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the ongoing impacts of the COVID-19 pandemic have resulted in restrictions, limitations, or closures of our 2020 North American summer operations, including at GTLC with the closures of Jackson Lake Lodge and Jenny Lake Lodge, as well as restrictions on guided activities, in-restaurant dining and the temporary closure of many facilities, among others. These actions, and the COVID-19 pandemic in general, had a significant adverse impact to our results of operations for the three months ended October 31, 2020, and we expect them to continue to have a significant adverse impact for the remainder of Fiscal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62" w:lineRule="exact"/>
        <w:rPr>
          <w:sz w:val="20"/>
          <w:szCs w:val="20"/>
          <w:color w:val="auto"/>
        </w:rPr>
      </w:pPr>
    </w:p>
    <w:p>
      <w:pPr>
        <w:jc w:val="both"/>
        <w:ind w:left="660" w:hanging="328"/>
        <w:spacing w:after="0" w:line="25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outbreak of COVID-19 has led to travel restrictions and other adverse economic impacts including reduced consumer confidence, an increase in unemployment rates and volatility in global and local economies. Although we are uncertain as to the ultimate severity and duration of the COVID-19 pandemic and the impact it may have on our business, we have seen a significant negative change in performance and expect our future performance will also be negatively impacted. In addition, the North American economy may be impacted by economic challenges in North America or declining or slowing growth in economies outside of North America, accompanied by devaluation of currencies, rising inflation, trade tariffs and lower commodity prices. We cannot predict the ultimate impact of the global economic uncertainty as a result of the COVID-19 pandemic will have on overall travel and leisure spending or more specifically, on our guest visitation, guest spending or other related trends for the upcoming 2020/2021 North American ski season.</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early closure of the 2019/2020 North American ski season, we announced that we would offer customers who had purchased 2019/2020 North American pass products credits towards the purchase of a 2020/2021 North American pass product if such purchase was made by September 17, 2020 (the “Credit Offer”). The Credit Offer discounts ranged from a minimum of 20% to a maximum of 80% for season pass holders, depending on the number of days the pass holder used their pass product during the 2019/2020 season and a credit, with no minimum, but up to 80% for multi-day pass products, such as the Epic Day Pass, based on total unused days. As a result of the Credit Offer to 2019/2020 pass product holders, we delayed the recognition of approximately $120.9 million of deferred season pass revenue, as well as approximately $2.9 million of related deferred costs, that would have been recognized in the year ended July 31, 2020 (“Fiscal 2020”). The Credit Offer expired on September 17, 2020, and we estimate that the amount of Credit Offer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549" w:right="339" w:bottom="1440" w:gutter="0" w:footer="0" w:header="0"/>
        </w:sectPr>
      </w:pPr>
    </w:p>
    <w:bookmarkStart w:id="23" w:name="page24"/>
    <w:bookmarkEnd w:id="23"/>
    <w:p>
      <w:pPr>
        <w:jc w:val="both"/>
        <w:ind w:left="342"/>
        <w:spacing w:after="0" w:line="256" w:lineRule="auto"/>
        <w:rPr>
          <w:sz w:val="20"/>
          <w:szCs w:val="20"/>
          <w:color w:val="auto"/>
        </w:rPr>
      </w:pPr>
      <w:r>
        <w:rPr>
          <w:rFonts w:ascii="Times New Roman" w:cs="Times New Roman" w:eastAsia="Times New Roman" w:hAnsi="Times New Roman"/>
          <w:sz w:val="18"/>
          <w:szCs w:val="18"/>
          <w:color w:val="auto"/>
        </w:rPr>
        <w:t>discounts redeemed will be approximately $15.4 million less than the $120.9 million of deferred pass product revenue. As a result, we recognized $15.4 million as lift revenue during the three months ended October 31, 2020. The remaining deferred revenue associated with the Credit Offer will be recognized as lift revenue as the performance obligations are satisfied, which we expect will primarily be in the second and third quarters of Fiscal 2021. In the event that a pass product holder obtains a refund under Epic Coverage (as discussed below) for the 2020/2021 North American ski season and is eligible to utilize their credit toward the purchase of a pass product purchase for the 2021/2022 North American ski season, a portion of this remaining deferred revenue will be recognized during the year ending July 31, 2022 (“Fiscal 2022”).</w:t>
      </w:r>
    </w:p>
    <w:p>
      <w:pPr>
        <w:spacing w:after="0" w:line="187" w:lineRule="exact"/>
        <w:rPr>
          <w:sz w:val="20"/>
          <w:szCs w:val="20"/>
          <w:color w:val="auto"/>
        </w:rPr>
      </w:pPr>
    </w:p>
    <w:p>
      <w:pPr>
        <w:jc w:val="both"/>
        <w:ind w:left="342" w:hanging="328"/>
        <w:spacing w:after="0" w:line="253" w:lineRule="auto"/>
        <w:tabs>
          <w:tab w:leader="none" w:pos="34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Through December 6, 2020, sales of North American ski season pass products increased approximately 20% in units and were flat in sales dollars as compared to the period in the prior year period ended December 8, 2019, with sales dollars for this year reduced by the value of the redeemed credits provided to 2019/2020 North American pass product holders. Without deducting for the value of the redeemed credits, sales dollars increased approximately 19% compared to the prior year. Pass sales are adjusted to eliminate the impact of foreign currency by applying an exchange rate of $0.78 between the Canadian dollar and U.S. dollar in both periods for Whistler Blackcomb pass sales. We cannot predict the ultimate impact that sales of our pass products will have on total lift revenue or effective ticket price for the 2020/2021 North American ski season.</w:t>
      </w:r>
    </w:p>
    <w:p>
      <w:pPr>
        <w:spacing w:after="0" w:line="194" w:lineRule="exact"/>
        <w:rPr>
          <w:rFonts w:ascii="Times New Roman" w:cs="Times New Roman" w:eastAsia="Times New Roman" w:hAnsi="Times New Roman"/>
          <w:sz w:val="18"/>
          <w:szCs w:val="18"/>
          <w:color w:val="auto"/>
        </w:rPr>
      </w:pPr>
    </w:p>
    <w:p>
      <w:pPr>
        <w:jc w:val="both"/>
        <w:ind w:left="342" w:hanging="328"/>
        <w:spacing w:after="0" w:line="255" w:lineRule="auto"/>
        <w:tabs>
          <w:tab w:leader="none" w:pos="34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address the uncertainty surrounding the upcoming season, we introduced Epic Coverage for the 2020/2021 North American ski season, which is included with the purchase of all 2020/2021 North American pass products for no additional charge. Epic Coverage provides refunds in the event of certain resort closures (e.g. for COVID-19), giving pass product holders a refund for any portion of the season that is lost due to qualifying circumstances. Additionally, Epic Coverage provides a refund for qualifying personal circumstances that were historically covered by our pass insurance program for eligible injuries, job losses and many other personal events, as well as in the event that the pass product holder cannot reserve their preferred days between December 8, 2020 and April 4, 2021, and the amount of expected refunds will reduce the amount of pass product revenue recognized during Fiscal 2021.</w:t>
      </w:r>
    </w:p>
    <w:p>
      <w:pPr>
        <w:spacing w:after="0" w:line="188" w:lineRule="exact"/>
        <w:rPr>
          <w:rFonts w:ascii="Times New Roman" w:cs="Times New Roman" w:eastAsia="Times New Roman" w:hAnsi="Times New Roman"/>
          <w:sz w:val="18"/>
          <w:szCs w:val="18"/>
          <w:color w:val="auto"/>
        </w:rPr>
      </w:pPr>
    </w:p>
    <w:p>
      <w:pPr>
        <w:jc w:val="both"/>
        <w:ind w:left="342"/>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for the 2020/2021 North American ski season, we introduced Epic Mountain Rewards, a program which provides pass product holders a discount of 20% off on-mountain food and beverage, lodging, group ski and ride school lessons, equipment rentals and more at our North American owned and operated Resorts. Epic Mountain Rewards constitutes a material right to pass product holders and as a result, we will allocate a portion of the transaction price based on the standalone selling price of the customer option to acquire additional goods or services at a discount and the expected redemption rate.</w:t>
      </w:r>
    </w:p>
    <w:p>
      <w:pPr>
        <w:spacing w:after="0" w:line="183" w:lineRule="exact"/>
        <w:rPr>
          <w:rFonts w:ascii="Times New Roman" w:cs="Times New Roman" w:eastAsia="Times New Roman" w:hAnsi="Times New Roman"/>
          <w:sz w:val="18"/>
          <w:szCs w:val="18"/>
          <w:color w:val="auto"/>
        </w:rPr>
      </w:pPr>
    </w:p>
    <w:p>
      <w:pPr>
        <w:jc w:val="both"/>
        <w:ind w:left="322" w:hanging="322"/>
        <w:spacing w:after="0" w:line="255" w:lineRule="auto"/>
        <w:tabs>
          <w:tab w:leader="none" w:pos="32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31, 2020, we had $462.2 million of cash and cash equivalents, as well as $418.8 million available under the revolver component of our Eighth Amended and Restated Credit Agreement, dated as of August 15, 2018 and as amended most recently on April 28, 2020 (the “Vail Holdings Credit Agreement”), which represents the total commitment of $500.0 million less certain letters of credit outstanding of $81.2 million. Additionally, we have a credit facility which supports the liquidity needs of Whistler Blackcomb (the “Whistler Credit Agreement”). As of October 31, 2020, we had C$202.1 million ($151.7 million) available under the revolver component of the Whistler Credit Agreement (which represents the total commitment of C$300.0 million ($225.1 million) less outstanding borrowings of C$97.0 million ($72.7 million) and a letter of credit outstanding of C$0.9 million ($0.7 million)).</w:t>
      </w:r>
    </w:p>
    <w:p>
      <w:pPr>
        <w:spacing w:after="0" w:line="188" w:lineRule="exact"/>
        <w:rPr>
          <w:rFonts w:ascii="Times New Roman" w:cs="Times New Roman" w:eastAsia="Times New Roman" w:hAnsi="Times New Roman"/>
          <w:sz w:val="18"/>
          <w:szCs w:val="18"/>
          <w:color w:val="auto"/>
        </w:rPr>
      </w:pPr>
    </w:p>
    <w:p>
      <w:pPr>
        <w:jc w:val="both"/>
        <w:ind w:left="34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2020, we entered into the Third Amendment to our Vail Holdings Credit Agreement (the “Third Amendment”). Pursuant to the Third Amendment, the Company is exempt from complying with the Vail Holdings Credit Agreement’s maximum leverage ratio and minimum interest coverage ratio financial maintenance covenants for each of the fiscal quarters ended July 31, 2020 through January 31, 2022 (unless we make a one-time irrevocable election to terminate such exemption prior to such date) (such period, the “Financial Covenants Temporary Waiver Period”), after which we will be required to comply with such covenants starting with the fiscal quarter ending April 30, 2022 (or such earlier fiscal quarter as elected by us). During the Financial Covenants Temporary Waiver Period, we are subject to other restrictions which will limit our ability to make future acquisitions, investments, distributions to stockholders, share repurchases or incur additional debt. See Liquidity and Capital Resources for additional information. Additionally, on May 4, 2020, we completed an offering of $600.0 million in aggregate principal amount of 6.25% Senior Notes due 2025 (the “Notes”) in a private placement conducted pursuant to Rule 144A and Regulation S under the Securities Act of 1933, as amended. The Notes are guaranteed on a senior subordinated basis by certain of the Company’s domestic subsidiaries.</w:t>
      </w:r>
    </w:p>
    <w:p>
      <w:pPr>
        <w:spacing w:after="0" w:line="194" w:lineRule="exact"/>
        <w:rPr>
          <w:sz w:val="20"/>
          <w:szCs w:val="20"/>
          <w:color w:val="auto"/>
        </w:rPr>
      </w:pPr>
    </w:p>
    <w:p>
      <w:pPr>
        <w:jc w:val="center"/>
        <w:ind w:right="318"/>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2"/>
          </w:cols>
          <w:pgMar w:left="638" w:top="553" w:right="339" w:bottom="1440" w:gutter="0" w:footer="0" w:header="0"/>
        </w:sectPr>
      </w:pPr>
    </w:p>
    <w:bookmarkStart w:id="24" w:name="page25"/>
    <w:bookmarkEnd w:id="24"/>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 through at least the 2021/2022 ski season, even in the event of extended resort shutdowns.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Below is a summary of operating results for the three months ended October 31, 2020, compared to the three months ended October 31, 2019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2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760" w:type="dxa"/>
            <w:vAlign w:val="bottom"/>
            <w:tcBorders>
              <w:bottom w:val="single" w:sz="8" w:color="auto"/>
            </w:tcBorders>
          </w:tcPr>
          <w:p>
            <w:pPr>
              <w:spacing w:after="0"/>
              <w:rPr>
                <w:sz w:val="16"/>
                <w:szCs w:val="16"/>
                <w:color w:val="auto"/>
              </w:rPr>
            </w:pPr>
          </w:p>
        </w:tc>
      </w:tr>
      <w:tr>
        <w:trPr>
          <w:trHeight w:val="263"/>
        </w:trPr>
        <w:tc>
          <w:tcPr>
            <w:tcW w:w="7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r>
      <w:tr>
        <w:trPr>
          <w:trHeight w:val="248"/>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1040" w:type="dxa"/>
            <w:vAlign w:val="bottom"/>
            <w:tcBorders>
              <w:bottom w:val="single" w:sz="8" w:color="CCEEFF"/>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(153,766)</w:t>
            </w:r>
          </w:p>
        </w:tc>
        <w:tc>
          <w:tcPr>
            <w:tcW w:w="1100" w:type="dxa"/>
            <w:vAlign w:val="bottom"/>
            <w:tcBorders>
              <w:bottom w:val="single" w:sz="8" w:color="CCEEFF"/>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(106,475)</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104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(194,499)</w:t>
            </w:r>
          </w:p>
        </w:tc>
        <w:tc>
          <w:tcPr>
            <w:tcW w:w="110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(156,392)</w:t>
            </w:r>
          </w:p>
        </w:tc>
      </w:tr>
      <w:tr>
        <w:trPr>
          <w:trHeight w:val="27"/>
        </w:trPr>
        <w:tc>
          <w:tcPr>
            <w:tcW w:w="7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Reported EBITDA</w:t>
            </w:r>
          </w:p>
        </w:tc>
        <w:tc>
          <w:tcPr>
            <w:tcW w:w="1040" w:type="dxa"/>
            <w:vAlign w:val="bottom"/>
            <w:tcBorders>
              <w:bottom w:val="single" w:sz="8" w:color="CCEEFF"/>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(87,392)</w:t>
            </w:r>
          </w:p>
        </w:tc>
        <w:tc>
          <w:tcPr>
            <w:tcW w:w="1100" w:type="dxa"/>
            <w:vAlign w:val="bottom"/>
            <w:tcBorders>
              <w:bottom w:val="single" w:sz="8" w:color="CCEEFF"/>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(79,985)</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Lodging Reported EBITDA</w:t>
            </w:r>
          </w:p>
        </w:tc>
        <w:tc>
          <w:tcPr>
            <w:tcW w:w="10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(7,388)</w:t>
            </w:r>
          </w:p>
        </w:tc>
        <w:tc>
          <w:tcPr>
            <w:tcW w:w="11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3,266</w:t>
            </w:r>
          </w:p>
        </w:tc>
      </w:tr>
      <w:tr>
        <w:trPr>
          <w:trHeight w:val="27"/>
        </w:trPr>
        <w:tc>
          <w:tcPr>
            <w:tcW w:w="7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Resort Reported EBITDA</w:t>
            </w:r>
          </w:p>
        </w:tc>
        <w:tc>
          <w:tcPr>
            <w:tcW w:w="1040" w:type="dxa"/>
            <w:vAlign w:val="bottom"/>
            <w:tcBorders>
              <w:bottom w:val="single" w:sz="8" w:color="CCEEFF"/>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(94,780)</w:t>
            </w:r>
          </w:p>
        </w:tc>
        <w:tc>
          <w:tcPr>
            <w:tcW w:w="1100" w:type="dxa"/>
            <w:vAlign w:val="bottom"/>
            <w:tcBorders>
              <w:bottom w:val="single" w:sz="8" w:color="CCEEFF"/>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(76,719)</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4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c>
          <w:tcPr>
            <w:tcW w:w="110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7"/>
        </w:trPr>
        <w:tc>
          <w:tcPr>
            <w:tcW w:w="7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condensed results of operations, including any consolidated financial metrics pertaining thereto, include the operations of Peak Resorts (acquired September 24, 2019), prospectively from the date of acquisition.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COVID-19 pandemic and the Australian Resort Closures both had a significant adverse impact to our results of operations for the three months ended October 31, 2020, as further described below in our segment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2020 compared to the three months ended October 31, 2019</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 segment operating results for the three months ended October 31, 2020 and 2019 are presented by category as follows (in thousands, except effective ticket price (“ETP”)). ETP is calculated as lift revenue divided by total skier visits for each applicable period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720" w:type="dxa"/>
            <w:vAlign w:val="bottom"/>
          </w:tcPr>
          <w:p>
            <w:pPr>
              <w:spacing w:after="0"/>
              <w:rPr>
                <w:sz w:val="13"/>
                <w:szCs w:val="13"/>
                <w:color w:val="auto"/>
              </w:rPr>
            </w:pPr>
          </w:p>
        </w:tc>
        <w:tc>
          <w:tcPr>
            <w:tcW w:w="202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20" w:type="dxa"/>
            <w:vAlign w:val="bottom"/>
            <w:vMerge w:val="restart"/>
          </w:tcPr>
          <w:p>
            <w:pPr>
              <w:jc w:val="center"/>
              <w:ind w:left="13"/>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63"/>
        </w:trPr>
        <w:tc>
          <w:tcPr>
            <w:tcW w:w="5520" w:type="dxa"/>
            <w:vAlign w:val="bottom"/>
          </w:tcPr>
          <w:p>
            <w:pPr>
              <w:spacing w:after="0"/>
              <w:rPr>
                <w:sz w:val="5"/>
                <w:szCs w:val="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Pr>
          <w:p>
            <w:pPr>
              <w:spacing w:after="0"/>
              <w:rPr>
                <w:sz w:val="5"/>
                <w:szCs w:val="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Mountain revenue:</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Lift</w:t>
            </w:r>
          </w:p>
        </w:tc>
        <w:tc>
          <w:tcPr>
            <w:tcW w:w="108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33,091</w:t>
            </w:r>
          </w:p>
        </w:tc>
        <w:tc>
          <w:tcPr>
            <w:tcW w:w="11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41,829</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Ski school</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2,044</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Dining</w:t>
            </w:r>
          </w:p>
        </w:tc>
        <w:tc>
          <w:tcPr>
            <w:tcW w:w="10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3,068</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21,629</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Retail/rental</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22,306</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47,915</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34,205</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60,925</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10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94,714</w:t>
            </w:r>
          </w:p>
        </w:tc>
        <w:tc>
          <w:tcPr>
            <w:tcW w:w="1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180,832</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7"/>
        </w:trPr>
        <w:tc>
          <w:tcPr>
            <w:tcW w:w="5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10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65,298</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91,475</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Retail cost of sales</w:t>
            </w:r>
          </w:p>
        </w:tc>
        <w:tc>
          <w:tcPr>
            <w:tcW w:w="10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12,626</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23,279</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49,955</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64,669</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58,213</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82,585</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186,092</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262,008</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10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3,986</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1,191</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234.7 %</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Reported EBITDA</w:t>
            </w: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(87,392)</w:t>
            </w:r>
          </w:p>
        </w:tc>
        <w:tc>
          <w:tcPr>
            <w:tcW w:w="1140" w:type="dxa"/>
            <w:vAlign w:val="bottom"/>
            <w:tcBorders>
              <w:bottom w:val="single" w:sz="8" w:color="CCEEFF"/>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(79,985)</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5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skier visits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287</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ETP</w:t>
            </w:r>
          </w:p>
        </w:tc>
        <w:tc>
          <w:tcPr>
            <w:tcW w:w="108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115.30</w:t>
            </w:r>
          </w:p>
        </w:tc>
        <w:tc>
          <w:tcPr>
            <w:tcW w:w="11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44.78</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$4.8 million and $4.4 million of stock-based compensation expense for the three months ended October 31, 2020 and 2019,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first fiscal quarter historically results in negative Mountain Reported EBITDA, as our North American mountain resorts and ski areas generally do not open for ski operations until our second fiscal quarter, which begins in November. The first fiscal quarter generally consists of operating and administrative expenses, summer activities (including dining), retail/rental operations and the operations of our Australian ski areas, for which the winter season generally occurs from June through early October. However, our operations during the three months ended October 31, 2020 were significantly impacted by the Australian Resort Closures and overall impacts of the COVID-19 pandemic.</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Mountain Reported EBITDA decreased by $7.4 million, or 9.3%, primarily due to the Australian Resort Closures and reduced winter operations at Perisher resulting from the impacts of COVID-19. This decrease also reflects incremental off-season losses from Peak Resorts for the respective period that it was not owned in the prior year and reduced summer operations at Whistler Blackcomb resulting from the impacts of COVID-19. These decreases were partially offset by the recognition of $15.4 million of revenue related to the expiration of the Credit Offer, as well as decreases in operating expenses as a result of cost discipline efforts associated with lower levels of operations. Mountain segment results also include $0.3 million and $9.0 million of acquisition and integration related expenses for the three months ended October 31, 2020 and 2019, respectively, which are recorded within Mountain other operating expense. Additionally, operating results from our Australian ski areas, which are translated from Australian dollars to U.S. dollars, were favorably affected by an increase in the Australian dollar exchange rate relative to the U.S. dollar as compared to the prior year, resulting in an increase in Mountain Reported EBITDA of approximately $2.4 million, which the Company calculated by applying current period foreign exchange rates to the prior period results.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Lift revenue decreased $8.7 million, or 20.9%, primarily due to the Australian Resort Closures and limitations and restrictions on our Perisher winter operations resulting from COVID-19, partially offset by the recognition of $15.4 million of revenue related to the expiration of the Credit Offer. Excluding the revenue recognized for the expiration of the Credit Offer, Total ETP increased approximately 37.7%, primarily due to capacity-driven lift ticket pricing at Perisher as a result of the reservation system put in place for the 2020 Australian ski season, as well as a favorable increase in the Australian dollar exchange rate relative to the U.S. dollar as compared to the prior year. Ski school revenue decreased $6.5 million, or 76.0%, primarily due to the Australian Resort</w:t>
      </w:r>
    </w:p>
    <w:p>
      <w:pPr>
        <w:sectPr>
          <w:pgSz w:w="11900" w:h="16838" w:orient="portrait"/>
          <w:cols w:equalWidth="0" w:num="1">
            <w:col w:w="11240"/>
          </w:cols>
          <w:pgMar w:left="320" w:top="549"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549" w:right="339" w:bottom="1440" w:gutter="0" w:footer="0" w:header="0"/>
          <w:type w:val="continuous"/>
        </w:sectPr>
      </w:pPr>
    </w:p>
    <w:bookmarkStart w:id="26" w:name="page27"/>
    <w:bookmarkEnd w:id="2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Closures and the impact of limitations and restrictions on our Perisher winter operations resulting from COVID-19. Dining revenue decreased $18.6 million, or 85.8%, and retail/rental revenue decreased $25.6 million, or 53.4%, both primarily due to the ongoing impacts of COVID-19 on our business, including limitations, restrictions and closures of our operations in Australia and North America.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revenue mainly consists of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Australian resort lodging and transportation revenue. Other revenue decreased $26.7 million, or 43.9%, primarily due to decreased revenue as a result of the impacts of COVID-19, which impacted our North American summer activities operations and Australian lodging and transportation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 decreased $75.9 million, or 29.0%, which was primarily attributable to cost discipline efforts associated with lower levels of operations, the Australian Resort Closures, and limitations and restrictions on North American summer operations and Perisher winter operations resulting from COVID-19. These decreases were partially offset by incremental operating expenses from Peak Resorts for the respective period that it was not owned in the prior year of approximately $7.8 million. Additionally, operating expense includes $0.3 million and $9.0 million of acquisition and integration related expenses for the three months ended October 31, 2020 and 2019, respectively.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Labor and labor-related benefits decreased 28.6%, primarily due to cost actions associated with limitations and restrictions on North American summer operations, Perisher winter operations and the Australian Resort Closures, all as a result of COVID-19, including decreased staffing and salary reductions, as well as tax credits of approximately $3.7 million associated with recent COVID-19 related legislation passed in Canada and Australia, partially offset by incremental expenses from Peak Resorts of approximately $3.3 million. Retail cost of sales decreased 45.8% compared to a decrease in retail sales of 52.3%, reflecting a reduction in gross margin as a result of higher discounts on aged retail products. General and administrative expense decreased 22.8%, primarily due to a decrease in allocated corporate overhead costs for all corporate functions, particularly associated with marketing and human resources, as well as tax credits of approximately $2.8 million associated with recent COVID-19 related legislation passed in Canada and Australia. Other expense decreased 29.5% primarily due to decreases in variable operating expenses associated with reduced revenues, as well as a decrease in acquisition and integration related expenses of $8.7 million, partially offset by incremental expenses from Peak Resorts of approximately $3.5 million.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joint venture. Mountain equity investment income from the real estate brokerage joint venture increased $2.8 million (234.7%) for the three months ended October 31, 2020 compared to the same period in the prior year due to a significant increase in both the number of real estate sales and the average price of those sales.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2020 compared to the three months ended October 31, 2019</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Lodging segment operating results for the three months ended October 31, 2020 and 2019 are presented by category as follows (in thousands, except average daily rates (“ADR”) and revenue per available room (“RevPAR”)):</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80" w:type="dxa"/>
            <w:vAlign w:val="bottom"/>
            <w:gridSpan w:val="3"/>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0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54"/>
        </w:trPr>
        <w:tc>
          <w:tcPr>
            <w:tcW w:w="62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0" w:type="dxa"/>
            <w:vAlign w:val="bottom"/>
            <w:vMerge w:val="restart"/>
          </w:tcPr>
          <w:p>
            <w:pPr>
              <w:jc w:val="center"/>
              <w:ind w:left="12"/>
              <w:spacing w:after="0" w:line="137"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63"/>
        </w:trPr>
        <w:tc>
          <w:tcPr>
            <w:tcW w:w="6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5"/>
                <w:szCs w:val="5"/>
                <w:color w:val="auto"/>
              </w:rPr>
            </w:pPr>
          </w:p>
        </w:tc>
        <w:tc>
          <w:tcPr>
            <w:tcW w:w="12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Lodging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Owned hotel rooms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7,365</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19,946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9,329</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14,740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Dining</w:t>
            </w:r>
          </w:p>
        </w:tc>
        <w:tc>
          <w:tcPr>
            <w:tcW w:w="3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1,093</w:t>
            </w:r>
          </w:p>
        </w:tc>
        <w:tc>
          <w:tcPr>
            <w:tcW w:w="4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18,143</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Transportation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Golf</w:t>
            </w:r>
          </w:p>
        </w:tc>
        <w:tc>
          <w:tcPr>
            <w:tcW w:w="3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8,454</w:t>
            </w:r>
          </w:p>
        </w:tc>
        <w:tc>
          <w:tcPr>
            <w:tcW w:w="4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10,221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9,374</w:t>
            </w:r>
          </w:p>
        </w:tc>
        <w:tc>
          <w:tcPr>
            <w:tcW w:w="4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14,166</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35,615</w:t>
            </w:r>
          </w:p>
        </w:tc>
        <w:tc>
          <w:tcPr>
            <w:tcW w:w="4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79,567</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1,203</w:t>
            </w:r>
          </w:p>
        </w:tc>
        <w:tc>
          <w:tcPr>
            <w:tcW w:w="4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36,818</w:t>
            </w:r>
          </w:p>
        </w:tc>
        <w:tc>
          <w:tcPr>
            <w:tcW w:w="4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82,758</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19,977</w:t>
            </w:r>
          </w:p>
        </w:tc>
        <w:tc>
          <w:tcPr>
            <w:tcW w:w="4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37,615</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9,074</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10,386</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13,952</w:t>
            </w:r>
          </w:p>
        </w:tc>
        <w:tc>
          <w:tcPr>
            <w:tcW w:w="4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28,300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43,003</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76,301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1,203</w:t>
            </w:r>
          </w:p>
        </w:tc>
        <w:tc>
          <w:tcPr>
            <w:tcW w:w="4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44,206</w:t>
            </w:r>
          </w:p>
        </w:tc>
        <w:tc>
          <w:tcPr>
            <w:tcW w:w="4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79,492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Lodging Reported EBITDA</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(7,388)</w:t>
            </w:r>
          </w:p>
        </w:tc>
        <w:tc>
          <w:tcPr>
            <w:tcW w:w="4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3,266</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67"/>
        </w:trPr>
        <w:tc>
          <w:tcPr>
            <w:tcW w:w="6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Owned hotel statistics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204.44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238.49</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57.33</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163.61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Managed condominium statistics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232.11</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189.22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29.32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52.83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70"/>
        </w:trPr>
        <w:tc>
          <w:tcPr>
            <w:tcW w:w="62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Owned hotel and managed condominium statistics (combined)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224.59</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210.60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35.00</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79.18</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firstLine="8"/>
        <w:spacing w:after="0" w:line="218" w:lineRule="auto"/>
        <w:tabs>
          <w:tab w:leader="none" w:pos="221"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RevPAR for the three months ended October 31, 2020 declined from the prior comparative period primarily due to the impact of limitations and restrictions on North American summer operations resulting from COVID-19.</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Lodging Reported EBITDA includes $0.9 million and $0.8 million of stock-based compensation expense for the three months ended October 31, 2020 and 2019, respectively. Lodging Reported EBITDA decreased $10.7 million, or 326.2%, primarily as a result of reduced North American summer operations as a result of the COVID-19 pandemic.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owned hotel rooms, managed condominium rooms, dining, transportation, golf and other revenue each decreased primarily as a result of the impacts of the COVID-19 pandemic.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 (excluding reimbursed payroll costs) decreased 43.6%. Labor and labor related benefits decreased 46.9%, primarily due to decreased staffing and salary reductions associated with COVID-19, as well as tax credits of approximately $0.4 million associated with recent COVID-19 related legislation passed in Canada and Australia. General and administrative expense decreased 12.6% primarily due to lower allocated corporate overhead costs as well as tax credits of approximately $0.5 million</w:t>
      </w:r>
    </w:p>
    <w:p>
      <w:pPr>
        <w:sectPr>
          <w:pgSz w:w="11900" w:h="16838" w:orient="portrait"/>
          <w:cols w:equalWidth="0" w:num="1">
            <w:col w:w="11240"/>
          </w:cols>
          <w:pgMar w:left="320" w:top="549"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549" w:right="339" w:bottom="1440" w:gutter="0" w:footer="0" w:header="0"/>
          <w:type w:val="continuous"/>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associated with recent COVID-19 related legislation passed in Canada and Australia. Other expense decreased 50.7%, primarily related to lower variable expenses associated with reduced revenues as a result of the COVID-19 pandemic.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2020 compared to the three months ended October 31, 2019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three months ended October 31, 2020 and 2019 are presented by category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304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20" w:type="dxa"/>
            <w:vAlign w:val="bottom"/>
          </w:tcPr>
          <w:p>
            <w:pPr>
              <w:spacing w:after="0"/>
              <w:rPr>
                <w:sz w:val="13"/>
                <w:szCs w:val="13"/>
                <w:color w:val="auto"/>
              </w:rPr>
            </w:pPr>
          </w:p>
        </w:tc>
        <w:tc>
          <w:tcPr>
            <w:tcW w:w="202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20" w:type="dxa"/>
            <w:vAlign w:val="bottom"/>
            <w:vMerge w:val="restart"/>
          </w:tcPr>
          <w:p>
            <w:pPr>
              <w:jc w:val="center"/>
              <w:ind w:left="16"/>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63"/>
        </w:trPr>
        <w:tc>
          <w:tcPr>
            <w:tcW w:w="5560" w:type="dxa"/>
            <w:vAlign w:val="bottom"/>
          </w:tcPr>
          <w:p>
            <w:pPr>
              <w:spacing w:after="0"/>
              <w:rPr>
                <w:sz w:val="5"/>
                <w:szCs w:val="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Pr>
          <w:p>
            <w:pPr>
              <w:spacing w:after="0"/>
              <w:rPr>
                <w:sz w:val="5"/>
                <w:szCs w:val="5"/>
                <w:color w:val="auto"/>
              </w:rPr>
            </w:pPr>
          </w:p>
        </w:tc>
        <w:tc>
          <w:tcPr>
            <w:tcW w:w="12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254</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sales (including sales commission)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3,932</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43"/>
        </w:trPr>
        <w:tc>
          <w:tcPr>
            <w:tcW w:w="5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1,247</w:t>
            </w: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1,361</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1,450</w:t>
            </w: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5,293</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11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5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2020</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of $1.2 million was primarily comprised of general and administrative costs, such as labor and labor-related benefits, professional services and allocated corporate overhead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2019</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2019, we closed on the sale of a development land parcel for $4.1 million which was recorded within Real Estate net revenue, with a corresponding cost of sale (including sales commission) of $3.9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of $1.4 million was primarily comprised of general and administrative costs, such as labor and labor-related benefits, professional services and allocated corporate overhead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segment operating results, the following material items contributed to our overall financial results for the three months ended October 31, 2020 and 2019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68"/>
        </w:trPr>
        <w:tc>
          <w:tcPr>
            <w:tcW w:w="6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vMerge w:val="restart"/>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Pr>
          <w:p>
            <w:pPr>
              <w:spacing w:after="0"/>
              <w:rPr>
                <w:sz w:val="5"/>
                <w:szCs w:val="5"/>
                <w:color w:val="auto"/>
              </w:rPr>
            </w:pPr>
          </w:p>
        </w:tc>
        <w:tc>
          <w:tcPr>
            <w:tcW w:w="1000" w:type="dxa"/>
            <w:vAlign w:val="bottom"/>
            <w:vMerge w:val="restart"/>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(62,628)</w:t>
            </w:r>
          </w:p>
        </w:tc>
        <w:tc>
          <w:tcPr>
            <w:tcW w:w="7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(57,845)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(35,407)</w:t>
            </w:r>
          </w:p>
        </w:tc>
        <w:tc>
          <w:tcPr>
            <w:tcW w:w="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(22,690)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37,478</w:t>
            </w:r>
          </w:p>
        </w:tc>
        <w:tc>
          <w:tcPr>
            <w:tcW w:w="7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46,563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7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 pts)</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for the three months ended October 31, 2020 increased approximately $4.8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the prior year, primarily due to incremental depreciation and amortization expense associated with assets acquired in the Peak Resorts acquisition.</w:t>
      </w:r>
    </w:p>
    <w:p>
      <w:pPr>
        <w:sectPr>
          <w:pgSz w:w="11900" w:h="16838" w:orient="portrait"/>
          <w:cols w:equalWidth="0" w:num="1">
            <w:col w:w="11240"/>
          </w:cols>
          <w:pgMar w:left="320" w:top="769" w:right="33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769" w:right="339" w:bottom="1440" w:gutter="0" w:footer="0" w:header="0"/>
          <w:type w:val="continuous"/>
        </w:sectPr>
      </w:pPr>
    </w:p>
    <w:bookmarkStart w:id="29" w:name="page30"/>
    <w:bookmarkEnd w:id="29"/>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for the three months ended October 31, 2020 increased $12.7 million, compared to the same period in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primarily due to borrowings under the Notes, which was completed on May 4, 2020, and debt obligations assumed in the Peak Resorts acquisition.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Benefit from income taxes. </w:t>
      </w:r>
      <w:r>
        <w:rPr>
          <w:rFonts w:ascii="Times New Roman" w:cs="Times New Roman" w:eastAsia="Times New Roman" w:hAnsi="Times New Roman"/>
          <w:sz w:val="18"/>
          <w:szCs w:val="18"/>
          <w:color w:val="auto"/>
        </w:rPr>
        <w:t>The effective tax rate for the three months ended October 31, 2020 was 19.3%, compared to 29.8%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2019. The interim period effective tax rate is primarily driven by (i) anticipated pre-tax book income for the full fiscal year, adjusted for items that are deductible/non-deductible for tax purposes only (i.e., permanent items); (ii) excess tax benefits from employee share awards and enacted tax legislation, which are both recorded as discrete items; (iii) taxable income generated by state and foreign jurisdictions that varies from anticipated consolidated pre-tax book loss, (iv) the amount of net loss attributable to noncontrolling interests and (v) other discrete items.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the effective tax rate during the three months ended October 31, 2020 compared to the three months ended October 31, 2019 was primarily due to greater impact of permanent items on the interim effective tax rate based on lower estimated full year pre-tax net income, partially offset by a decrease in excess tax benefits from employee share awards that were exercised (stock appreciation rights) and that vested (restricted stock awards), which are recorded within benefit from income taxes on the Company’s Consolidated Condensed Statements of Operations. Excess tax benefits totaled $1.3 million and $2.5 million, respectively, for the three months ended October 31, 2020 and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and Net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loss attributable to Vail Resorts, Inc. to Total Reported EBITDA for the three months ended October 31, 2020 and 2019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780" w:type="dxa"/>
            <w:vAlign w:val="bottom"/>
            <w:tcBorders>
              <w:bottom w:val="single" w:sz="8" w:color="auto"/>
            </w:tcBorders>
          </w:tcPr>
          <w:p>
            <w:pPr>
              <w:spacing w:after="0"/>
              <w:rPr>
                <w:sz w:val="16"/>
                <w:szCs w:val="16"/>
                <w:color w:val="auto"/>
              </w:rPr>
            </w:pPr>
          </w:p>
        </w:tc>
      </w:tr>
      <w:tr>
        <w:trPr>
          <w:trHeight w:val="263"/>
        </w:trPr>
        <w:tc>
          <w:tcPr>
            <w:tcW w:w="466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r>
      <w:tr>
        <w:trPr>
          <w:trHeight w:val="248"/>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378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(153,766)</w:t>
            </w:r>
          </w:p>
        </w:tc>
        <w:tc>
          <w:tcPr>
            <w:tcW w:w="118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(106,475)</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(3,255)</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r>
      <w:tr>
        <w:trPr>
          <w:trHeight w:val="27"/>
        </w:trPr>
        <w:tc>
          <w:tcPr>
            <w:tcW w:w="46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(157,021)</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(109,829)</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(37,478)</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(46,563)</w:t>
            </w:r>
          </w:p>
        </w:tc>
      </w:tr>
      <w:tr>
        <w:trPr>
          <w:trHeight w:val="27"/>
        </w:trPr>
        <w:tc>
          <w:tcPr>
            <w:tcW w:w="46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(194,499)</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(156,392)</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62,628</w:t>
            </w: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57,845</w:t>
            </w:r>
          </w:p>
        </w:tc>
      </w:tr>
      <w:tr>
        <w:trPr>
          <w:trHeight w:val="27"/>
        </w:trPr>
        <w:tc>
          <w:tcPr>
            <w:tcW w:w="4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569</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802</w:t>
            </w: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w:t>
            </w:r>
          </w:p>
        </w:tc>
      </w:tr>
      <w:tr>
        <w:trPr>
          <w:trHeight w:val="27"/>
        </w:trPr>
        <w:tc>
          <w:tcPr>
            <w:tcW w:w="4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gain on intercompany loans</w:t>
            </w:r>
          </w:p>
        </w:tc>
        <w:tc>
          <w:tcPr>
            <w:tcW w:w="2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7"/>
        </w:trPr>
        <w:tc>
          <w:tcPr>
            <w:tcW w:w="4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6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35,407</w:t>
            </w:r>
          </w:p>
        </w:tc>
        <w:tc>
          <w:tcPr>
            <w:tcW w:w="1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22,690</w:t>
            </w:r>
          </w:p>
        </w:tc>
      </w:tr>
      <w:tr>
        <w:trPr>
          <w:trHeight w:val="237"/>
        </w:trPr>
        <w:tc>
          <w:tcPr>
            <w:tcW w:w="46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Reported EBITDA</w:t>
            </w:r>
          </w:p>
        </w:tc>
        <w:tc>
          <w:tcPr>
            <w:tcW w:w="3780" w:type="dxa"/>
            <w:vAlign w:val="bottom"/>
            <w:tcBorders>
              <w:top w:val="single" w:sz="8" w:color="auto"/>
            </w:tcBorders>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(95,976)</w:t>
            </w:r>
          </w:p>
        </w:tc>
        <w:tc>
          <w:tcPr>
            <w:tcW w:w="1180" w:type="dxa"/>
            <w:vAlign w:val="bottom"/>
            <w:tcBorders>
              <w:top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(77,625)</w:t>
            </w:r>
          </w:p>
        </w:tc>
      </w:tr>
      <w:tr>
        <w:trPr>
          <w:trHeight w:val="67"/>
        </w:trPr>
        <w:tc>
          <w:tcPr>
            <w:tcW w:w="466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305"/>
        </w:trPr>
        <w:tc>
          <w:tcPr>
            <w:tcW w:w="466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7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(87,392)</w:t>
            </w:r>
          </w:p>
        </w:tc>
        <w:tc>
          <w:tcPr>
            <w:tcW w:w="118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(79,985)</w:t>
            </w:r>
          </w:p>
        </w:tc>
      </w:tr>
      <w:tr>
        <w:trPr>
          <w:trHeight w:val="27"/>
        </w:trPr>
        <w:tc>
          <w:tcPr>
            <w:tcW w:w="4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Lodging Reported EBITDA</w:t>
            </w:r>
          </w:p>
        </w:tc>
        <w:tc>
          <w:tcPr>
            <w:tcW w:w="26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(7,388)</w:t>
            </w:r>
          </w:p>
        </w:tc>
        <w:tc>
          <w:tcPr>
            <w:tcW w:w="1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3,266</w:t>
            </w:r>
          </w:p>
        </w:tc>
      </w:tr>
      <w:tr>
        <w:trPr>
          <w:trHeight w:val="237"/>
        </w:trPr>
        <w:tc>
          <w:tcPr>
            <w:tcW w:w="46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Resort Reported EBITDA</w:t>
            </w:r>
          </w:p>
        </w:tc>
        <w:tc>
          <w:tcPr>
            <w:tcW w:w="26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(94,780)</w:t>
            </w:r>
          </w:p>
        </w:tc>
        <w:tc>
          <w:tcPr>
            <w:tcW w:w="1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(76,719)</w:t>
            </w:r>
          </w:p>
        </w:tc>
      </w:tr>
      <w:tr>
        <w:trPr>
          <w:trHeight w:val="27"/>
        </w:trPr>
        <w:tc>
          <w:tcPr>
            <w:tcW w:w="4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26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c>
          <w:tcPr>
            <w:tcW w:w="1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37"/>
        </w:trPr>
        <w:tc>
          <w:tcPr>
            <w:tcW w:w="46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Reported EBITDA</w:t>
            </w:r>
          </w:p>
        </w:tc>
        <w:tc>
          <w:tcPr>
            <w:tcW w:w="3780" w:type="dxa"/>
            <w:vAlign w:val="bottom"/>
            <w:tcBorders>
              <w:top w:val="single" w:sz="8" w:color="auto"/>
            </w:tcBorders>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(95,976)</w:t>
            </w:r>
          </w:p>
        </w:tc>
        <w:tc>
          <w:tcPr>
            <w:tcW w:w="1180" w:type="dxa"/>
            <w:vAlign w:val="bottom"/>
            <w:tcBorders>
              <w:top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(77,625)</w:t>
            </w:r>
          </w:p>
        </w:tc>
      </w:tr>
      <w:tr>
        <w:trPr>
          <w:trHeight w:val="27"/>
        </w:trPr>
        <w:tc>
          <w:tcPr>
            <w:tcW w:w="46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13"/>
        </w:trPr>
        <w:tc>
          <w:tcPr>
            <w:tcW w:w="4660" w:type="dxa"/>
            <w:vAlign w:val="bottom"/>
          </w:tcPr>
          <w:p>
            <w:pPr>
              <w:spacing w:after="0"/>
              <w:rPr>
                <w:sz w:val="24"/>
                <w:szCs w:val="24"/>
                <w:color w:val="auto"/>
              </w:rPr>
            </w:pPr>
          </w:p>
        </w:tc>
        <w:tc>
          <w:tcPr>
            <w:tcW w:w="2660" w:type="dxa"/>
            <w:vAlign w:val="bottom"/>
          </w:tcPr>
          <w:p>
            <w:pPr>
              <w:jc w:val="right"/>
              <w:ind w:right="1513"/>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240"/>
          </w:cols>
          <w:pgMar w:left="320" w:top="76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table reconciles long-term debt, net to Net Debt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340" w:type="dxa"/>
            <w:vAlign w:val="bottom"/>
            <w:tcBorders>
              <w:bottom w:val="single" w:sz="8" w:color="auto"/>
            </w:tcBorders>
          </w:tcPr>
          <w:p>
            <w:pPr>
              <w:spacing w:after="0"/>
              <w:rPr>
                <w:sz w:val="16"/>
                <w:szCs w:val="16"/>
                <w:color w:val="auto"/>
              </w:rPr>
            </w:pPr>
          </w:p>
        </w:tc>
      </w:tr>
      <w:tr>
        <w:trPr>
          <w:trHeight w:val="263"/>
        </w:trPr>
        <w:tc>
          <w:tcPr>
            <w:tcW w:w="7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2,387,861</w:t>
            </w:r>
          </w:p>
        </w:tc>
        <w:tc>
          <w:tcPr>
            <w:tcW w:w="6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2,005,057</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4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63,707</w:t>
            </w:r>
          </w:p>
        </w:tc>
        <w:tc>
          <w:tcPr>
            <w:tcW w:w="6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63,807</w:t>
            </w:r>
          </w:p>
        </w:tc>
      </w:tr>
      <w:tr>
        <w:trPr>
          <w:trHeight w:val="27"/>
        </w:trPr>
        <w:tc>
          <w:tcPr>
            <w:tcW w:w="7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2,451,568</w:t>
            </w:r>
          </w:p>
        </w:tc>
        <w:tc>
          <w:tcPr>
            <w:tcW w:w="6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2,068,864</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4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462,212</w:t>
            </w:r>
          </w:p>
        </w:tc>
        <w:tc>
          <w:tcPr>
            <w:tcW w:w="6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136,326</w:t>
            </w:r>
          </w:p>
        </w:tc>
      </w:tr>
      <w:tr>
        <w:trPr>
          <w:trHeight w:val="27"/>
        </w:trPr>
        <w:tc>
          <w:tcPr>
            <w:tcW w:w="7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7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Debt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1,989,356</w:t>
            </w:r>
          </w:p>
        </w:tc>
        <w:tc>
          <w:tcPr>
            <w:tcW w:w="6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1,932,538</w:t>
            </w: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significant sources of cash for the three months ended October 31, 2020 and 2019 are presented by categories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2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760" w:type="dxa"/>
            <w:vAlign w:val="bottom"/>
            <w:tcBorders>
              <w:bottom w:val="single" w:sz="8" w:color="auto"/>
            </w:tcBorders>
          </w:tcPr>
          <w:p>
            <w:pPr>
              <w:spacing w:after="0"/>
              <w:rPr>
                <w:sz w:val="16"/>
                <w:szCs w:val="16"/>
                <w:color w:val="auto"/>
              </w:rPr>
            </w:pPr>
          </w:p>
        </w:tc>
      </w:tr>
      <w:tr>
        <w:trPr>
          <w:trHeight w:val="263"/>
        </w:trPr>
        <w:tc>
          <w:tcPr>
            <w:tcW w:w="7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r>
      <w:tr>
        <w:trPr>
          <w:trHeight w:val="248"/>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111,993</w:t>
            </w:r>
          </w:p>
        </w:tc>
        <w:tc>
          <w:tcPr>
            <w:tcW w:w="1100" w:type="dxa"/>
            <w:vAlign w:val="bottom"/>
            <w:tcBorders>
              <w:bottom w:val="single" w:sz="8" w:color="CCEEFF"/>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209,339</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(29,274)</w:t>
            </w:r>
          </w:p>
        </w:tc>
        <w:tc>
          <w:tcPr>
            <w:tcW w:w="110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(376,754)</w:t>
            </w:r>
          </w:p>
        </w:tc>
      </w:tr>
      <w:tr>
        <w:trPr>
          <w:trHeight w:val="27"/>
        </w:trPr>
        <w:tc>
          <w:tcPr>
            <w:tcW w:w="7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8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(12,684)</w:t>
            </w:r>
          </w:p>
        </w:tc>
        <w:tc>
          <w:tcPr>
            <w:tcW w:w="110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198,440</w:t>
            </w:r>
          </w:p>
        </w:tc>
      </w:tr>
      <w:tr>
        <w:trPr>
          <w:trHeight w:val="27"/>
        </w:trPr>
        <w:tc>
          <w:tcPr>
            <w:tcW w:w="7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our operations generate seasonally low operating cash flow in the first fiscal quarter given that the first and the prior year’s fourth fiscal quarters have limited North American Mountain segment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2020 compared to the three months ended October 31, 2019</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generated $112.0 million of cash from operating activities during the three months ended October 31, 2020, a decrease of $97.3 million compared to $209.3 million of cash generated during the three months ended October 31, 2019. The decrease in operating cash flows was primarily a result of a decrease in season pass accounts receivable collections, net of an increase in season pass sales during the three months ended October 31, 2020 compared to the prior year, due to the Credit Offer and the delayed timing of pass purchases and payment collections associated with the impacts of COVID-19. Additionally, operating cash flows decreased due to decreased Mountain and Lodging segment operating results for the three months ended October 31, 2020 as compared to the three months ended October 31, 2019, primarily due to the Australian Resort Closures and ongoing impacts of COVID-19 on both our Perisher winter operations and North American summer operations. These decreases were partially offset by (i) an increase in accounts payable and accrued liabilities (excluding accounts payable and accrued liabilities assumed through acquisitions) primarily associated with deferred fees and payroll taxes as a result of COVID-19; (ii) a decrease in inventory purchases as a result of excess inventory already on hand; and (iii) a decrease in estimated income tax payments of $9.1 million as a result of lower estimated full year income. Additionally we generated approximately $0.2 million of proceeds from real estate development land parcel sales during the three months ended October 31, 2020 compared to $4.2 million in proceeds from real estate development land parcel sales that occurred in the prior year period.</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October 31, 2020 decreased by $347.5 million primarily due to cash payments of $327.6 million, net of cash acquired, related to the acquisition of Peak Resorts during the three months ended October 31, 2019. Additionally, capital expenditures decreased by $22.5 million primarily as a result of actions associated with the deferral of discretionary capital projects related to the Company’s decision to prioritize near-term liquidity.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used in financing activities increased by $211.1 million during the three months ended October 31, 2020 compared to the three months ended October 31, 2019, primarily due to a decrease in proceeds from incremental borrowings under the term loan portion of our Vail Holdings Credit Agreement of $335.6 million during the during the three months ended October 31, 2019, which was used to fund the Peak Resorts acquisition. Additionally, cash used in financing activities increased due to a quarterly $15.6 million payment on the term loan portion of our Vail Holdings Credit Agreement during the three months ended October 31, 2020 (for which the quarterly term loan payments began in January 2020). These increases were partially offset by (i) a decrease in dividends paid of $71.1 million; (ii) an increase in net borrowings under the revolver component of our Whistler Credit Agreement of $21.7 million; (iii) a decrease in repurchases of common stock of $21.4 million; and (iv) a decrease in net payments under the revolver portion of our Vail Holdings Credit Agreement of $18.0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7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$462.2 million of cash and cash equivalents as of October 31, 2020, compared to $136.3 million as of October 31, 2019. Although we cannot predict the future impact associated with COVID-19 on our business, we currently anticipate that our Mountain and Lodging segment operating results will continue to provide a significant source of future operating cash flows (primarily those generated in our second and third fiscal quarters).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$462.2 million of cash and cash equivalents at October 31, 2020, we had $418.8 million available under the revolver component of our Vail Holdings Credit Agreement as of October 31, 2020 (which represents the total commitment of $500.0 million less certain letters of credit outstanding of $81.2 million). Additionally, we had C$202.1 million ($151.7 million) available under the revolver component of our Whistler Credit Agreement (which represents the total commitment of C$300.0 million ($225.1 million) less outstanding borrowings of C$97.0 million ($72.7 million) and a letter of credit outstanding of C$0.9 million ($0.7 million). We expect that our liquidity needs in the near term will be met by continued use of operating cash flows (including pass product accounts receivable collections which are expected to occur during the three months ending January 31, 2021) and borrowings under both the Vail Holdings Credit Agreement and Whistler Credit Agreement, if needed. The Vail Holdings Credit Agreement and the Whistler Credit Agreement provide adequate flexibility and are priced favorably with any new borrowings currently priced at LIBOR plus 2.5% and Bankers Acceptance Rate plus 1.75%,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On April 1, 2020, we announced that we would be reducing our capital plan for calendar year 2020 as compared to our previously issued guidance by approximately $80 million to $85 million, with the vast majority of these savings coming from the deferral of many of our discretionary capital projects. We are planning to defer all new chair lifts, terrain expansions and other mountain and base area improvements, while continuing with the vast majority of our maintenance capital spending. Accordingly, we now currently anticipate that we will spend approximately $125 million to $130 million on resort capital expenditures during calendar year 2020. In addition, we may incur capital expenditures for retained ownership interests associated with third-party real estate development projects. Normal discretionary capital expenditures primarily include investments that will allow us to maintain our high-quality standards,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$81 million was spent for capital expenditures in calendar year 2020 as of October 31, 2020, leaving approximately $44 million to $49 million to spend in the remainder of calendar year 2020.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our capital plan for calendar year 2021 will be approximately $110 million to $115 million, excluding one-time items associated with integrations of $4 million and $11 million of reimbursable investments. Including these one-time items, we expect that our total capital plan will be approximately $125 million to $130 million. We currently plan to utilize cash on hand, borrowings available under our credit agreements and/or cash flow generated from future operations to provide the cash necessary to complete our capital plans.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Third Amendment of our Vail Holdings Credit Agreement, we are prohibited, during the Financial Covenants Temporary Waiver Period, from making capital expenditures in excess of $200.0 million per twelve-month period ending January 31, other than non-recurring extraordinary capital expenditures incurred in connection with emergency repairs, life safety repairs or ordinary course maintenance repairs.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2020, principal payments on the majority of our long-term debt ($2.1 billion of the total $2.4 billion debt outstanding as of October 31, 2020) are not due until fiscal year 2025 and beyond. As of October 31, 2020 and 2019, total long-term debt, net (including long-term debt due within one year) was $2,451.6 million and $2,068.9 million, respectively. Net Debt (defined as long-term debt, net plus long-term debt due within one year less cash and cash equivalents) increased from $1,932.5 million as of October 31, 2019 to $1,989.4 million as of October 31, 2020.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Vail Holdings Credit Agreement provides for (i) a revolving loan facility in an aggregate principal amount of $500.0 million and (ii) a term loan facility of $1.25 billion. We expect that our liquidity needs in the near term will be met by continued use of operating cash flows and borrowings under the Notes, the Vail Holdings Credit Agreement and the Whistler Credit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549" w:right="339" w:bottom="1440" w:gutter="0" w:footer="0" w:header="0"/>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18"/>
          <w:szCs w:val="18"/>
          <w:color w:val="auto"/>
        </w:rPr>
        <w:t>Our debt service requirements can be impacted by changing interest rates as we had approximately $0.9 billion of variable-rate debt outstanding as of October 31, 2020. A 100-basis point change in our borrowing rates would cause our annual interest payments to change by approximately $9.1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continue to respond to liquidity impacts of changes in the business and economic environment, including the effects of the COVID-19 pandemic, by managing our capital expenditures, variable operating expenses, the timing of new real estate development activity and the payment of cash dividends on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announced on April 1, 2020 that we suspended the declaration of our quarterly dividend for at least two quarters in response to the COVID-19 pandemic. Additionally, pursuant to the Third Amendment of the Vail Holdings Credit Agreement, we are prohibited from paying any dividends during the Financial Covenants Temporary Waiver Period unless (x) no default or potential default exists under the Vail Holdings Credit Agreement and (y) the Company has liquidity (as defined below) of at least $400.0 million, and the aggregate amount of dividends paid and share repurchases made by the Company during the Financial Covenants Temporary Waiver Period may not exceed $38.2 million in any fiscal quarter. For the three months ended October 31, 2020, we did not pay any cash dividends.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Pursuant to the Third Amendment of the Vail Holdings Credit Agreement, we are prohibited from repurchasing shares of common stock during the Financial Covenants Temporary Waiver Period unless (x) no default or potential default exists under the Vail Holdings Credit Agreement and (y) the Company has liquidity (as defined below) of at least $400.0 million, and the aggregate amount of dividends paid and share repurchases made by the Company during the Financial Covenants Temporary Waiver Period may not exceed $38.2 million in any fiscal quarter. We did not repurchase Vail Shares during the three months ended October 31, 2020. During the three months ended October 31, 2019, we repurchased 95,618 Vail Shares (at a total cost of approximately $21.4 million). Since inception of this stock repurchase program through October 31, 2020, we have repurchased 6,161,141 Vail Shares at a cost of approximately $404.4 million. As of October 31, 2020, 1,338,859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553"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Third Amendment of the Vail Holdings Credit Agreement, we are exempt from complying with the restrictive covenants of the Vail Holdings Credit Agreement during the Financial Covenants Temporary Waiver Period, but are required to comply with a monthly minimum liquidity test during such period (liquidity is defined as unrestricted cash and temporary cash investments of VHI and its restricted subsidiaries and available commitments under the Vail Holdings Credit Agreement revolver).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October 31, 2020. We expect that we will meet all applicable financial maintenance covenants in effect in our credit agreements throughout the fiscal year ending July 31, 2021.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81" w:lineRule="exact"/>
        <w:rPr>
          <w:sz w:val="20"/>
          <w:szCs w:val="20"/>
          <w:color w:val="auto"/>
        </w:rPr>
      </w:pPr>
    </w:p>
    <w:p>
      <w:pPr>
        <w:jc w:val="both"/>
        <w:ind w:left="820" w:hanging="650"/>
        <w:spacing w:after="0" w:line="258" w:lineRule="auto"/>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ultimate duration of COVID-19 and its short-term and long-term impacts on consumer behaviors, the economy generally, and our business and results of operations, including the ultimate amount of refunds that we would be required to refund to our pass product holders for qualifying circumstances under our recently launched Epic Coverage program;</w:t>
      </w:r>
    </w:p>
    <w:p>
      <w:pPr>
        <w:ind w:left="820" w:hanging="650"/>
        <w:spacing w:after="0" w:line="250" w:lineRule="auto"/>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willingness of our guests to travel due to terrorism, the uncertainty of military conflicts or outbreaks of contagious diseases (such as the current outbreak of COVID-19), and the cost and availability of travel options and changing consumer preferences or willingness to travel;</w:t>
      </w: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prolonged weakness in general economic conditions, including adverse effects on the overall travel and leisure related industries;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unfavorable weather conditions or the impact of natural disasters;</w:t>
      </w:r>
    </w:p>
    <w:p>
      <w:pPr>
        <w:spacing w:after="0" w:line="9" w:lineRule="exact"/>
        <w:rPr>
          <w:rFonts w:ascii="Times New Roman" w:cs="Times New Roman" w:eastAsia="Times New Roman" w:hAnsi="Times New Roman"/>
          <w:sz w:val="18"/>
          <w:szCs w:val="18"/>
          <w:color w:val="auto"/>
        </w:rPr>
      </w:pPr>
    </w:p>
    <w:p>
      <w:pPr>
        <w:ind w:left="820" w:hanging="650"/>
        <w:spacing w:after="0" w:line="250"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cyber-attacks;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seasonality of our business combined with adverse events that may occur during our peak operating periods;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mountain and lodging businesses;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high fixed cost structure of our business;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fund resort capital expenditures;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 and operations;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line="250" w:lineRule="auto"/>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 loss of key personnel and our ability to hire and retain a sufficient seasonal workforce;</w:t>
      </w: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consequences of current or future legal claims;</w:t>
      </w:r>
    </w:p>
    <w:p>
      <w:pPr>
        <w:spacing w:after="0" w:line="9" w:lineRule="exact"/>
        <w:rPr>
          <w:rFonts w:ascii="Times New Roman" w:cs="Times New Roman" w:eastAsia="Times New Roman" w:hAnsi="Times New Roman"/>
          <w:sz w:val="18"/>
          <w:szCs w:val="18"/>
          <w:i w:val="1"/>
          <w:iCs w:val="1"/>
          <w:color w:val="auto"/>
        </w:rPr>
      </w:pPr>
    </w:p>
    <w:p>
      <w:pPr>
        <w:ind w:left="820" w:right="20" w:hanging="650"/>
        <w:spacing w:after="0" w:line="250" w:lineRule="auto"/>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60" w:lineRule="auto"/>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or that acquired businesses may fail to perform in accordance with expectations, including Peak Resorts, Hotham, Falls Creek or future acquisitions;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553" w:right="339" w:bottom="1440" w:gutter="0" w:footer="0" w:header="0"/>
        </w:sectPr>
      </w:pPr>
    </w:p>
    <w:bookmarkStart w:id="34" w:name="page35"/>
    <w:bookmarkEnd w:id="34"/>
    <w:p>
      <w:pPr>
        <w:ind w:left="820" w:hanging="650"/>
        <w:spacing w:after="0"/>
        <w:tabs>
          <w:tab w:leader="none" w:pos="8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satisfy the requirements of Section 404 of the Sarbanes-Oxley Act of 2002 with respect to acquired businesses;</w:t>
      </w:r>
    </w:p>
    <w:p>
      <w:pPr>
        <w:spacing w:after="0" w:line="2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international operations;</w:t>
      </w:r>
    </w:p>
    <w:p>
      <w:pPr>
        <w:spacing w:after="0" w:line="9" w:lineRule="exact"/>
        <w:rPr>
          <w:rFonts w:ascii="Times New Roman" w:cs="Times New Roman" w:eastAsia="Times New Roman" w:hAnsi="Times New Roman"/>
          <w:sz w:val="18"/>
          <w:szCs w:val="18"/>
          <w:i w:val="1"/>
          <w:iCs w:val="1"/>
          <w:color w:val="auto"/>
        </w:rPr>
      </w:pPr>
    </w:p>
    <w:p>
      <w:pPr>
        <w:ind w:left="820" w:right="20" w:hanging="650"/>
        <w:spacing w:after="0" w:line="250" w:lineRule="auto"/>
        <w:tabs>
          <w:tab w:leader="none" w:pos="8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foreign currency exchange rates where the Company has foreign currency exposure, primarily the Canadian and Australian dollars, as compared to the U.S. dollar;</w:t>
      </w:r>
    </w:p>
    <w:p>
      <w:pPr>
        <w:ind w:left="820" w:hanging="650"/>
        <w:spacing w:after="0" w:line="250" w:lineRule="auto"/>
        <w:tabs>
          <w:tab w:leader="none" w:pos="8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judgments and estimates, accounting principles, policies or guidelines or adverse determinations by taxing authorities, as well as risks associated with uncertainty of the impact of tax reform legislation in the United States;</w:t>
      </w:r>
    </w:p>
    <w:p>
      <w:pPr>
        <w:jc w:val="both"/>
        <w:ind w:left="820" w:hanging="650"/>
        <w:spacing w:after="0" w:line="250" w:lineRule="auto"/>
        <w:tabs>
          <w:tab w:leader="none" w:pos="8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 and</w:t>
      </w:r>
    </w:p>
    <w:p>
      <w:pPr>
        <w:spacing w:after="0" w:line="1"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October 31, 2020, we had approximately $0.9 billion of variable rate indebtedness (after taking into consideration $400.0 million in interest rate swaps which converts variable-rate debt to fixed-rate debt), representing approximately 37% of our total debt outstanding, at an average interest rate of approximately 3.1% for the three months ended October 31, 2020. Based on variable-rate borrowings outstanding as of October 31, 2020, a 100-basis point (or 1.0%) change in our borrowing rates would result in our annual interest payments changing by approximately $9.1 million. Our market risk exposure fluctuates based on changes in underlying interest rates.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and our Australian resorts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adjustments, net of tax, representing gains, and foreign currency gain on intercompany loans recognized in comprehensive loss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64"/>
        </w:trPr>
        <w:tc>
          <w:tcPr>
            <w:tcW w:w="464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3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1,773</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5,323</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gain on intercompany loans</w:t>
            </w:r>
          </w:p>
        </w:tc>
        <w:tc>
          <w:tcPr>
            <w:tcW w:w="3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540</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360</w:t>
            </w:r>
          </w:p>
        </w:tc>
      </w:tr>
      <w:tr>
        <w:trPr>
          <w:trHeight w:val="34"/>
        </w:trPr>
        <w:tc>
          <w:tcPr>
            <w:tcW w:w="46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648"/>
        </w:trPr>
        <w:tc>
          <w:tcPr>
            <w:tcW w:w="4640" w:type="dxa"/>
            <w:vAlign w:val="bottom"/>
          </w:tcPr>
          <w:p>
            <w:pPr>
              <w:spacing w:after="0"/>
              <w:rPr>
                <w:sz w:val="24"/>
                <w:szCs w:val="24"/>
                <w:color w:val="auto"/>
              </w:rPr>
            </w:pPr>
          </w:p>
        </w:tc>
        <w:tc>
          <w:tcPr>
            <w:tcW w:w="290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240"/>
          </w:cols>
          <w:pgMar w:left="320" w:top="55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October 31, 2020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information set forth below and elsewhere in this Form 10-Q, you should carefully consider the factors we previously disclosed in our Annual Report on Form 10-K, filed with the SEC on September 24, 2020, as of and for the year ended July 31, 2020, in addition to the risk factor set forth below. These risks could materially and adversely affect our business, financial condition and results of operations.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212529"/>
        </w:rPr>
        <w:t>The current outbreak of the novel coronavirus, or COVID-19, has had, and is expected to continue to have, a significant negative impact on our financial condition and operations. Further, the spread of the COVID-19 outbreak has caused severe disruptions in the U.S. and global economy and financial markets and could potentially create widespread business continuity issues of an as yet unknown magnitude and duration. Any future outbreak of any other highly infectious or contagious disease could have a similar impact.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Governmental authorities nationally and in affected regions have taken and continue to take dramatic actions by mandating various restrictions in an effort to slow the spread of the novel coronavirus (COVID-19), including travel restrictions, restrictions on public gatherings, “shelter at home’’ orders and advisories and quarantining of people who may have been exposed to the virus or who are traveling to or from a certain state. The outbreak of COVID-19 has severely impacted global economic activity and caused significant volatility and negative pressure in financial markets. Many experts predict that the outbreak will trigger a period of material global economic slowdown or a global recession, with particular risk to the travel and leisure industry, which is disproportionately impacted by travel restrictions and other public health restrictions.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In response to the continued challenges associated with the spread of COVID-19, we closed all of our North American mountain resorts, retail/rental stores and lodging properties early for the 2019/2020 North American ski season in March 2020. Additionally, although our Hotham and Falls Creek resorts opened for their winter season on July 6, 2020, we closed such resorts four days later due to a “stay at home” order put in place by the Victorian government as a result of a reemergence of COVID-19 in the region that prohibited certain travel within the province to the resorts. Many of our resorts have opened for the 2020/2021 North American ski season, and we are monitoring public health orders and regulations affecting our operations. The outbreak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549"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212529"/>
        </w:rPr>
        <w:t>COVID-19 has disrupted our business and has had and is expected to continue to have a significant negative impact on our business, financial performance and condition, operating results, liquidity and cash flows. Factors that would negatively impact our ability to successfully operate during the current outbreak of COVID-19 or another pandemic include:</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our ability to keep open our North American Resorts for their winter season;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our ability to attract and retain guests given the risks, or perceived risks, of gathering in public places;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willingness of guests to travel or purchase advanced commitment products, such as our portfolio of season pass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existing or future restrictions imposed by governmental authorities, including capacity, indoor dining or other restrictions that may affect our operations or the ability of our guests to return to our Resorts;</w:t>
      </w: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actual or perceived deterioration or weakness in economic conditions, unemployment levels, the job or housing markets, consumer debt levels or consumer confidence, as well as other adverse economic or market conditions due to COVID-19 or otherwise, and their collective impacts on demand for travel and leisure;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our ability to adjust capital spending and maintain sufficient liquidity to remain positioned for long-term success;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our ability to incentivize and retain our current employees, and attract and hire sufficient future seasonal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risk of lawsuits related to COVID-19;</w:t>
      </w:r>
    </w:p>
    <w:p>
      <w:pPr>
        <w:spacing w:after="0" w:line="9" w:lineRule="exact"/>
        <w:rPr>
          <w:rFonts w:ascii="Times New Roman" w:cs="Times New Roman" w:eastAsia="Times New Roman" w:hAnsi="Times New Roman"/>
          <w:sz w:val="18"/>
          <w:szCs w:val="18"/>
          <w:color w:val="212529"/>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our ability to access debt and equity capital on attractive terms, or at all;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impact of disruption and instability in the global financial markets or deteriorations in credit and financing conditions on our access to capital necessary to fund operating costs, including maintenance capital spending, or to address maturing liabilities.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The extent and duration of the impact of the outbreak of COVID-19 on our business, consolidated results of operations, consolidated financial position and consolidated cash flows, will depend largely on future developments, including the duration and spread of the outbreak within the U.S., the related impact on factors affecting guest behavior, including consumer confidence and spending and when we will be able to resume normal operations, all of which are highly uncertain and cannot be predicted. In April 2020 we introduced Epic Coverage for the 2020/2021 North American ski season, which provides refunds to all pass holders in the event of certain resort closures (including closures due to COVID-19) for any portion of the season that is not able to be utilized, subject to express terms and conditions. Accordingly, to the extent that any of our Resorts would need to be closed for all or any portion of the 2020/2021 North American ski season (including due to COVID-19), we could be required to provide a significant amount of refunds to our customers, subject to express terms and conditions, which could have a material negative impact on our financial performance and condition.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We may be required to raise additional capital in the future and our access to and cost of financing will depend on, among other things, global economic conditions, conditions in the global financing markets, the availability of sufficient amounts of financing, our prospects and our credit ratings. The terms of future debt agreements could include more restrictive covenants, or require incremental collateral, which may further restrict our business operations. There is no guarantee that debt financings will be available in the future to fund our obligations, or that they will be available on terms consistent with our expectations. In addition, because of reduced travel demand, certain of our leased properties may not generate revenue sufficient to meet operating expenses.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COVID-19 presents material uncertainty and risk with respect to our business, financial performance and condition, operating results, liquidity and cash flows. To the extent the COVID-19 pandemic adversely affects our business and financial results, it may also have the effect of heightening many of the other risks described in the Risk Factors presented in our Annual Report on Form 10-K, and our subsequent filings with the SEC. Any future outbreak of any other highly infectious or contagious disease could have a similar impact.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Exchangeable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October 31, 2020, 34.975 Exchangeco Shares had not yet been exchanged into Vail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553"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60" w:type="dxa"/>
            <w:vAlign w:val="bottom"/>
            <w:vMerge w:val="restart"/>
          </w:tcPr>
          <w:p>
            <w:pPr>
              <w:ind w:left="49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660" w:type="dxa"/>
            <w:vAlign w:val="bottom"/>
          </w:tcPr>
          <w:p>
            <w:pPr>
              <w:ind w:left="42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Description of Securities.</w:t>
              </w:r>
            </w:hyperlink>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660" w:type="dxa"/>
            <w:vAlign w:val="bottom"/>
          </w:tcPr>
          <w:p>
            <w:pPr>
              <w:ind w:left="42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Vail Resorts, Inc. Management Incentive Plan.</w:t>
              </w:r>
            </w:hyperlink>
          </w:p>
        </w:tc>
        <w:tc>
          <w:tcPr>
            <w:tcW w:w="0" w:type="dxa"/>
            <w:vAlign w:val="bottom"/>
          </w:tcPr>
          <w:p>
            <w:pPr>
              <w:spacing w:after="0"/>
              <w:rPr>
                <w:sz w:val="1"/>
                <w:szCs w:val="1"/>
                <w:color w:val="auto"/>
              </w:rPr>
            </w:pP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660" w:type="dxa"/>
            <w:vAlign w:val="bottom"/>
          </w:tcPr>
          <w:p>
            <w:pPr>
              <w:ind w:left="420"/>
              <w:spacing w:after="0"/>
              <w:rPr>
                <w:rFonts w:ascii="Times New Roman" w:cs="Times New Roman" w:eastAsia="Times New Roman" w:hAnsi="Times New Roman"/>
                <w:sz w:val="18"/>
                <w:szCs w:val="18"/>
                <w:u w:val="single" w:color="auto"/>
                <w:color w:val="0000FF"/>
                <w:w w:val="99"/>
              </w:rPr>
            </w:pPr>
            <w:hyperlink w:anchor="page48">
              <w:r>
                <w:rPr>
                  <w:rFonts w:ascii="Times New Roman" w:cs="Times New Roman" w:eastAsia="Times New Roman" w:hAnsi="Times New Roman"/>
                  <w:sz w:val="18"/>
                  <w:szCs w:val="18"/>
                  <w:u w:val="single" w:color="auto"/>
                  <w:color w:val="0000FF"/>
                  <w:w w:val="99"/>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660" w:type="dxa"/>
            <w:vAlign w:val="bottom"/>
          </w:tcPr>
          <w:p>
            <w:pPr>
              <w:ind w:left="42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80" w:right="40" w:hanging="1345"/>
        <w:spacing w:after="0" w:line="282" w:lineRule="auto"/>
        <w:tabs>
          <w:tab w:leader="none" w:pos="1380" w:val="left"/>
        </w:tabs>
        <w:numPr>
          <w:ilvl w:val="0"/>
          <w:numId w:val="17"/>
        </w:numPr>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w:t>
        </w:r>
      </w:hyperlink>
      <w:r>
        <w:rPr>
          <w:rFonts w:ascii="Times New Roman" w:cs="Times New Roman" w:eastAsia="Times New Roman" w:hAnsi="Times New Roman"/>
          <w:sz w:val="18"/>
          <w:szCs w:val="18"/>
          <w:u w:val="single" w:color="auto"/>
          <w:color w:val="0000FF"/>
        </w:rPr>
        <w:t xml:space="preserve"> </w:t>
      </w:r>
      <w:hyperlink w:anchor="page50">
        <w:r>
          <w:rPr>
            <w:rFonts w:ascii="Times New Roman" w:cs="Times New Roman" w:eastAsia="Times New Roman" w:hAnsi="Times New Roman"/>
            <w:sz w:val="18"/>
            <w:szCs w:val="18"/>
            <w:u w:val="single" w:color="auto"/>
            <w:color w:val="0000FF"/>
          </w:rPr>
          <w:t>906 of the Sarbanes-Oxley Act of 2002.</w:t>
        </w:r>
      </w:hyperlink>
    </w:p>
    <w:p>
      <w:pPr>
        <w:spacing w:after="0" w:line="162" w:lineRule="exact"/>
        <w:rPr>
          <w:rFonts w:ascii="Times New Roman" w:cs="Times New Roman" w:eastAsia="Times New Roman" w:hAnsi="Times New Roman"/>
          <w:sz w:val="18"/>
          <w:szCs w:val="18"/>
          <w:color w:val="auto"/>
        </w:rPr>
      </w:pPr>
    </w:p>
    <w:tbl>
      <w:tblPr>
        <w:tblLayout w:type="fixed"/>
        <w:tblInd w:w="4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as its XBRL tags are embedded within the</w:t>
            </w:r>
          </w:p>
        </w:tc>
      </w:tr>
      <w:tr>
        <w:trPr>
          <w:trHeight w:val="234"/>
        </w:trPr>
        <w:tc>
          <w:tcPr>
            <w:tcW w:w="1000" w:type="dxa"/>
            <w:vAlign w:val="bottom"/>
          </w:tcPr>
          <w:p>
            <w:pPr>
              <w:spacing w:after="0"/>
              <w:rPr>
                <w:sz w:val="20"/>
                <w:szCs w:val="20"/>
                <w:color w:val="auto"/>
              </w:rPr>
            </w:pPr>
          </w:p>
        </w:tc>
        <w:tc>
          <w:tcPr>
            <w:tcW w:w="10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rFonts w:ascii="Times New Roman" w:cs="Times New Roman" w:eastAsia="Times New Roman" w:hAnsi="Times New Roman"/>
          <w:sz w:val="18"/>
          <w:szCs w:val="18"/>
          <w:color w:val="auto"/>
        </w:rPr>
      </w:pPr>
    </w:p>
    <w:p>
      <w:pPr>
        <w:ind w:right="3700" w:firstLine="35"/>
        <w:spacing w:after="0" w:line="563" w:lineRule="auto"/>
        <w:tabs>
          <w:tab w:leader="none" w:pos="13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*Management contracts and compensatory plans and arrangements.</w:t>
      </w:r>
    </w:p>
    <w:p>
      <w:pPr>
        <w:spacing w:after="0" w:line="13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769" w:right="33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Vail Resorts, Inc.</w:t>
      </w:r>
    </w:p>
    <w:p>
      <w:pPr>
        <w:spacing w:after="0" w:line="387" w:lineRule="exact"/>
        <w:rPr>
          <w:sz w:val="20"/>
          <w:szCs w:val="20"/>
          <w:color w:val="auto"/>
        </w:rPr>
      </w:pPr>
    </w:p>
    <w:p>
      <w:pPr>
        <w:ind w:left="40"/>
        <w:spacing w:after="0"/>
        <w:tabs>
          <w:tab w:leader="none" w:pos="5580" w:val="left"/>
          <w:tab w:leader="none" w:pos="7720" w:val="left"/>
        </w:tabs>
        <w:rPr>
          <w:sz w:val="20"/>
          <w:szCs w:val="20"/>
          <w:color w:val="auto"/>
        </w:rPr>
      </w:pPr>
      <w:r>
        <w:rPr>
          <w:rFonts w:ascii="Times New Roman" w:cs="Times New Roman" w:eastAsia="Times New Roman" w:hAnsi="Times New Roman"/>
          <w:sz w:val="18"/>
          <w:szCs w:val="18"/>
          <w:color w:val="auto"/>
        </w:rPr>
        <w:t>Date: December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34290</wp:posOffset>
            </wp:positionV>
            <wp:extent cx="3042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Michael Z. Barkin</w:t>
      </w:r>
    </w:p>
    <w:p>
      <w:pPr>
        <w:spacing w:after="0" w:line="63"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63"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87" w:lineRule="exact"/>
        <w:rPr>
          <w:sz w:val="20"/>
          <w:szCs w:val="20"/>
          <w:color w:val="auto"/>
        </w:rPr>
      </w:pPr>
    </w:p>
    <w:p>
      <w:pPr>
        <w:ind w:left="40"/>
        <w:spacing w:after="0"/>
        <w:tabs>
          <w:tab w:leader="none" w:pos="5580" w:val="left"/>
          <w:tab w:leader="none" w:pos="7760" w:val="left"/>
        </w:tabs>
        <w:rPr>
          <w:sz w:val="20"/>
          <w:szCs w:val="20"/>
          <w:color w:val="auto"/>
        </w:rPr>
      </w:pPr>
      <w:r>
        <w:rPr>
          <w:rFonts w:ascii="Times New Roman" w:cs="Times New Roman" w:eastAsia="Times New Roman" w:hAnsi="Times New Roman"/>
          <w:sz w:val="18"/>
          <w:szCs w:val="18"/>
          <w:color w:val="auto"/>
        </w:rPr>
        <w:t>Date: December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Nathan Gronberg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34290</wp:posOffset>
            </wp:positionV>
            <wp:extent cx="3042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Nathan Gronberg</w:t>
      </w:r>
    </w:p>
    <w:p>
      <w:pPr>
        <w:spacing w:after="0" w:line="6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Vice President, Controller and</w:t>
      </w:r>
    </w:p>
    <w:p>
      <w:pPr>
        <w:spacing w:after="0" w:line="27"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4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549" w:right="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 EXCHANGE ACT OF 1934</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of the Quarterly Report on Form 10-Q of which this exhibit is a part, Vail Resorts, Inc. (the “Company”) has one class of securities registered under Section 12 of the Securities Exchange Act of 1934, as amended: our common stock, $0.01 par value per share.</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description summarizes certain important terms of common stock, as currently in effect. Because it is only a summary, it does not contain all the information that may be important to you. For a complete description of the matters set forth below, please refer to our Amended and Restated Certificate of Incorporation, as amended (the “charter”) and our Amended and Restated Bylaws (the “bylaws”), each of which is incorporated by reference as an exhibit to our Annual Report on Form 10-K for the fiscal year ended July 31, 2020, and the applicable provisions of the Delaware General Corporation Law (“DGCL”).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charter authorizes the issuance of up to 100,000,000 shares of common stock, par value $0.01 per share, and 25,000,000 shares of preferred stock, par value $0.01 per share. Shares of the preferred stock may be issued from time to time in one or more series with such distinctive designations as may be stated in the resolution or resolutions providing for the issue of such stock from time to time adopted by our board of directors (the “Board”). All of our outstanding shares of common stock are fully paid and nonassessable. The holders of our shares of common stock are not entitled to preemptive rights, and are not subject to conversion, redemption or sinking fund provisions.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“MTN.” The registrar and transfer agent for our common stock is Equiniti Trust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held as of the record date of any meeting on each matter submitted to a vote of the stockholders. When a quorum is present at any meeting, the affirmative vote of the holders of a majority of the voting power of the shares of common stock present in person or represented by proxy at the meeting and entitled to vote on the subject matter and which have actually been voted affirmatively or negatively on the matter will be the act of the stockholders, except as otherwise required by the charter, bylaws or by law. Except as otherwise required by law or the charter, the holders of a majority of our common stock issued and outstanding and entitled to vote, present in person or represented by proxy, will constitute a quorum at all meetings of the stockholders for the transaction of business. The affirmative vote of the holders of not less than 51% of the outstanding shares of common stock entitled to vote generally in the election of directors is required to amend or repeal the charter in any respect.</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Directors are elected by the affirmative vote of the majority of votes cast at a meeting at which a quorum is present, except that if the number of nominees exceeds the number of directors to be elected as of the date that is five business days prior to the day on which we file our definitive proxy statement, the directors will be elected by a plurality of the voting power of the shares represented in person or by proxy at the meeting and entitled to vote. A majority of the votes cast means that the number of shares voted “for” a director must exceed the number of votes cast “against” that director.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our common stock do not have cumulative voting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When and as dividends are declared, whether payable in cash, in property or in our securities, the holders of our common stock are entitled to share ratably, on a share-for-share basis, in such dividends.</w:t>
      </w:r>
    </w:p>
    <w:p>
      <w:pPr>
        <w:sectPr>
          <w:pgSz w:w="11900" w:h="16838" w:orient="portrait"/>
          <w:cols w:equalWidth="0" w:num="1">
            <w:col w:w="11240"/>
          </w:cols>
          <w:pgMar w:left="320" w:top="54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event of our voluntary or involuntary liquidation, dissolution, distribution of assets or winding up, the holders of our common stock shall be entitled to share ratably as a single class in all of the remaining assets of the Company of whatever kind available for distribution to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provisions in our bylaws may make a takeover of the Company more difficult:</w:t>
      </w:r>
    </w:p>
    <w:p>
      <w:pPr>
        <w:spacing w:after="0" w:line="225"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bylaw limiting the persons who may call special meetings of stockholders to the Chairman of the Board or the Secretary of the Company, in each case, within ten calendar days after receipt of the written request of a majority of the Board; and</w:t>
      </w:r>
    </w:p>
    <w:p>
      <w:pPr>
        <w:spacing w:after="0" w:line="161"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establishing an advance written notice procedure for stockholders seeking to nominate candidates for election to the Board or for proposing matters which can be acted upon at stockholders’ meetings.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provisions may delay stockholder actions with respect to business combinations and the election of new members to our Board. As such, the provisions could discourage open market purchases of our common stock because a stockholder who desires to participate in a business combination or elect a new director may consider them disadvantageous. Additionally, the issuance of preferred stock could delay or prevent a change of control or other corporate action.</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Delaware corporation, we are subject to Section 203 of the DGCL. In general, Section 203 prevents an “interested stockholder” from engaging in a “business combination” with us for three years following the date that person became an interested stockholder, unless:</w:t>
      </w:r>
    </w:p>
    <w:p>
      <w:pPr>
        <w:spacing w:after="0" w:line="162" w:lineRule="exact"/>
        <w:rPr>
          <w:sz w:val="20"/>
          <w:szCs w:val="20"/>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that person became an interested stockholder, our Board approved the transaction in which the interested stockholder became an interested stockholder or approved the 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interested stockholder becoming an interested stockholder, the interested stockholder owned at least 85% of our voting stock outstanding at the time the transaction commenced, excluding stock held by persons who are both directors and officers of our corporation or by certain employee stock plans; or</w:t>
      </w:r>
    </w:p>
    <w:p>
      <w:pPr>
        <w:spacing w:after="0" w:line="17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following the date on which that person became an interested stockholder, the business combination is approved by our Board and authorized at a meeting of stockholders by the affirmative vote of the holders of at least 66 2/3% of our outstanding voting stock excluding shares held by the interested stockholder.</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 “interested stockholder” is generally a person owning 15% or more of our outstanding voting stock. A “business combination” includes mergers, asset sales and other transactions resulting in a financial benefit to the interested stockholder.</w:t>
      </w:r>
    </w:p>
    <w:p>
      <w:pPr>
        <w:sectPr>
          <w:pgSz w:w="11900" w:h="16838" w:orient="portrait"/>
          <w:cols w:equalWidth="0" w:num="1">
            <w:col w:w="11220"/>
          </w:cols>
          <w:pgMar w:left="320" w:top="549"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636905</wp:posOffset>
            </wp:positionV>
            <wp:extent cx="5846445" cy="1011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644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Management Incentive Plan</w:t>
      </w:r>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Grades 26-34</w:t>
      </w:r>
    </w:p>
    <w:p>
      <w:pPr>
        <w:spacing w:after="0" w:line="2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FY21</w:t>
      </w:r>
    </w:p>
    <w:p>
      <w:pPr>
        <w:sectPr>
          <w:pgSz w:w="11900" w:h="16838" w:orient="portrait"/>
          <w:cols w:equalWidth="0" w:num="1">
            <w:col w:w="10120"/>
          </w:cols>
          <w:pgMar w:left="1440" w:top="60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Objective</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objective of the Management Incentive Plan (the “Plan”) is to reward individual employee behaviors, performance and contributions to the mission, values, growth and profitability of Vail Resorts, Inc. and its wholly owned subsidiaries (collectively, the “Company”).</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Although the Plan’s overall intent remains unchanged, the COVID-19 pandemic negatively affected both fiscal 2020 business results and also employees’ rewards. For example, employee base salaries were reduced for a period of six months during fiscal 2020, the Company ceased matching 401(k) contributions for six months and no MIP award was paid to employees for fiscal 2020. Accordingly, for fiscal 2021 only, the Plan is being updated to recognize and retain our talent and ensure our ongoing organizational health.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is effective August 1, 2020 through July 31, 2021. The Plan year runs concurrently with the fiscal year under which the employee is governed.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All full-time, year-round employees of the Company, including 10 and 11 month employees, assigned to grade levels 26 to 34, as identified in the Company’s compensation grade structures, performing work in U.S., Canada and Australia (Grade 31 and above only in Australia) are eligible to participate in the Plan. Employees who participate in any other Vail Resort’s funded nondiscretionary or performance based incentive plan, or who collect commission payments throughout the year, are ineligible to participate in the Plan. Employees designated as part-time, seasonal, or “season to season” are ineligible to participate in this plan for the period of time they are designated as such.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Funding</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Due to financial and other uncertainties in fiscal 2021, rather than a variable Plan payment based on Company EBIDTA performance relative to target, the FY21 Plan payment is 90% of target incentive, subject to increase or decrease based on an employee’s individual performance rating.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Incentives by Grade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individual targets for eligible employees are a percentage of base salary based on grade level, as of the last day of the measurement period, except where proration is needed for new hire or internal promotion during the year. The target bonus percentages for employees may be amended at any time by the Compensation Committee in its sole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Performance Rating Multiplier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 individual’s performance rating is determined through the annual fiscal year performance review process. The rating determines the incentive multiplier, with higher performing employees receiving larger percentages than their lower performing peers. Individual performance ratings multiply the incentive payment by 0% to 130% of the target amount as displayed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Proration for New Hires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employee hired into a position eligible for this Plan receives a prorated payment based on the hire date, per the following schedule. As noted, anyone hired in the fourth quarter is ineligible to receive an award in that fiscal year, except at the sole discretion of the Compensation Committee.</w:t>
      </w:r>
    </w:p>
    <w:p>
      <w:pPr>
        <w:spacing w:after="0" w:line="187" w:lineRule="exact"/>
        <w:rPr>
          <w:sz w:val="20"/>
          <w:szCs w:val="20"/>
          <w:color w:val="auto"/>
        </w:rPr>
      </w:pPr>
    </w:p>
    <w:tbl>
      <w:tblPr>
        <w:tblLayout w:type="fixed"/>
        <w:tblInd w:w="1030" w:type="dxa"/>
        <w:tblCellMar>
          <w:top w:w="0" w:type="dxa"/>
          <w:left w:w="0" w:type="dxa"/>
          <w:bottom w:w="0" w:type="dxa"/>
          <w:right w:w="0" w:type="dxa"/>
        </w:tblCellMar>
      </w:tblPr>
      <w:tr>
        <w:trPr>
          <w:trHeight w:val="288"/>
        </w:trPr>
        <w:tc>
          <w:tcPr>
            <w:tcW w:w="960" w:type="dxa"/>
            <w:vAlign w:val="bottom"/>
            <w:tcBorders>
              <w:top w:val="single" w:sz="8" w:color="auto"/>
              <w:left w:val="single" w:sz="8" w:color="auto"/>
              <w:bottom w:val="single" w:sz="8" w:color="DDD9C3"/>
              <w:right w:val="single" w:sz="8" w:color="auto"/>
            </w:tcBorders>
            <w:shd w:val="clear" w:color="auto" w:fill="DDD9C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3400" w:type="dxa"/>
            <w:vAlign w:val="bottom"/>
            <w:tcBorders>
              <w:top w:val="single" w:sz="8" w:color="auto"/>
              <w:bottom w:val="single" w:sz="8" w:color="DDD9C3"/>
              <w:right w:val="single" w:sz="8" w:color="auto"/>
            </w:tcBorders>
            <w:shd w:val="clear" w:color="auto" w:fill="DDD9C3"/>
          </w:tcPr>
          <w:p>
            <w:pPr>
              <w:ind w:left="20"/>
              <w:spacing w:after="0"/>
              <w:rPr>
                <w:sz w:val="20"/>
                <w:szCs w:val="20"/>
                <w:color w:val="auto"/>
              </w:rPr>
            </w:pPr>
            <w:r>
              <w:rPr>
                <w:rFonts w:ascii="Times New Roman" w:cs="Times New Roman" w:eastAsia="Times New Roman" w:hAnsi="Times New Roman"/>
                <w:sz w:val="18"/>
                <w:szCs w:val="18"/>
                <w:b w:val="1"/>
                <w:bCs w:val="1"/>
                <w:color w:val="auto"/>
              </w:rPr>
              <w:t>Month of Hire</w:t>
            </w:r>
          </w:p>
        </w:tc>
        <w:tc>
          <w:tcPr>
            <w:tcW w:w="3400" w:type="dxa"/>
            <w:vAlign w:val="bottom"/>
            <w:tcBorders>
              <w:top w:val="single" w:sz="8" w:color="auto"/>
              <w:bottom w:val="single" w:sz="8" w:color="DDD9C3"/>
              <w:right w:val="single" w:sz="8" w:color="auto"/>
            </w:tcBorders>
            <w:shd w:val="clear" w:color="auto" w:fill="DDD9C3"/>
          </w:tcPr>
          <w:p>
            <w:pPr>
              <w:ind w:left="20"/>
              <w:spacing w:after="0"/>
              <w:rPr>
                <w:sz w:val="20"/>
                <w:szCs w:val="20"/>
                <w:color w:val="auto"/>
              </w:rPr>
            </w:pPr>
            <w:r>
              <w:rPr>
                <w:rFonts w:ascii="Times New Roman" w:cs="Times New Roman" w:eastAsia="Times New Roman" w:hAnsi="Times New Roman"/>
                <w:sz w:val="18"/>
                <w:szCs w:val="18"/>
                <w:b w:val="1"/>
                <w:bCs w:val="1"/>
                <w:color w:val="auto"/>
              </w:rPr>
              <w:t>Month of Hire (Managed Properties)</w:t>
            </w:r>
          </w:p>
        </w:tc>
        <w:tc>
          <w:tcPr>
            <w:tcW w:w="1460" w:type="dxa"/>
            <w:vAlign w:val="bottom"/>
            <w:tcBorders>
              <w:top w:val="single" w:sz="8" w:color="auto"/>
              <w:bottom w:val="single" w:sz="8" w:color="DDD9C3"/>
              <w:right w:val="single" w:sz="8" w:color="auto"/>
            </w:tcBorders>
            <w:shd w:val="clear" w:color="auto" w:fill="DDD9C3"/>
          </w:tcPr>
          <w:p>
            <w:pPr>
              <w:ind w:left="240"/>
              <w:spacing w:after="0"/>
              <w:rPr>
                <w:sz w:val="20"/>
                <w:szCs w:val="20"/>
                <w:color w:val="auto"/>
              </w:rPr>
            </w:pPr>
            <w:r>
              <w:rPr>
                <w:rFonts w:ascii="Times New Roman" w:cs="Times New Roman" w:eastAsia="Times New Roman" w:hAnsi="Times New Roman"/>
                <w:sz w:val="18"/>
                <w:szCs w:val="18"/>
                <w:b w:val="1"/>
                <w:bCs w:val="1"/>
                <w:color w:val="auto"/>
              </w:rPr>
              <w:t>Proration %</w:t>
            </w:r>
          </w:p>
        </w:tc>
      </w:tr>
      <w:tr>
        <w:trPr>
          <w:trHeight w:val="237"/>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4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September, October</w:t>
            </w:r>
          </w:p>
        </w:tc>
        <w:tc>
          <w:tcPr>
            <w:tcW w:w="34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February, March</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37"/>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December, January</w:t>
            </w:r>
          </w:p>
        </w:tc>
        <w:tc>
          <w:tcPr>
            <w:tcW w:w="3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May, June</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r>
      <w:tr>
        <w:trPr>
          <w:trHeight w:val="27"/>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37"/>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 March, April</w:t>
            </w:r>
          </w:p>
        </w:tc>
        <w:tc>
          <w:tcPr>
            <w:tcW w:w="3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August, September</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r>
      <w:tr>
        <w:trPr>
          <w:trHeight w:val="27"/>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37"/>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May, June, July</w:t>
            </w:r>
          </w:p>
        </w:tc>
        <w:tc>
          <w:tcPr>
            <w:tcW w:w="3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November, December</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40"/>
          </w:cols>
          <w:pgMar w:left="320" w:top="65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Proration for Internal Promotions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Employees who are promoted to a higher grade level after the first quarter of the fiscal year receive a prorated payment rounded to nearest month based on the effective date of the grade change.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Example of prorated payment calculation resulting from internal promotion in October</w:t>
      </w:r>
    </w:p>
    <w:p>
      <w:pPr>
        <w:spacing w:after="0" w:line="36" w:lineRule="exact"/>
        <w:rPr>
          <w:sz w:val="20"/>
          <w:szCs w:val="20"/>
          <w:color w:val="auto"/>
        </w:rPr>
      </w:pPr>
    </w:p>
    <w:tbl>
      <w:tblPr>
        <w:tblLayout w:type="fixed"/>
        <w:tblInd w:w="830" w:type="dxa"/>
        <w:tblCellMar>
          <w:top w:w="0" w:type="dxa"/>
          <w:left w:w="0" w:type="dxa"/>
          <w:bottom w:w="0" w:type="dxa"/>
          <w:right w:w="0" w:type="dxa"/>
        </w:tblCellMar>
      </w:tblPr>
      <w:tr>
        <w:trPr>
          <w:trHeight w:val="234"/>
        </w:trPr>
        <w:tc>
          <w:tcPr>
            <w:tcW w:w="1000" w:type="dxa"/>
            <w:vAlign w:val="bottom"/>
            <w:tcBorders>
              <w:top w:val="single" w:sz="8" w:color="auto"/>
              <w:left w:val="single" w:sz="8" w:color="auto"/>
              <w:right w:val="single" w:sz="8" w:color="auto"/>
            </w:tcBorders>
            <w:shd w:val="clear" w:color="auto" w:fill="DDD9C3"/>
          </w:tcPr>
          <w:p>
            <w:pPr>
              <w:spacing w:after="0"/>
              <w:rPr>
                <w:sz w:val="20"/>
                <w:szCs w:val="20"/>
                <w:color w:val="auto"/>
              </w:rPr>
            </w:pPr>
          </w:p>
        </w:tc>
        <w:tc>
          <w:tcPr>
            <w:tcW w:w="2220" w:type="dxa"/>
            <w:vAlign w:val="bottom"/>
            <w:tcBorders>
              <w:top w:val="single" w:sz="8" w:color="auto"/>
              <w:right w:val="single" w:sz="8" w:color="auto"/>
            </w:tcBorders>
            <w:shd w:val="clear" w:color="auto" w:fill="DDD9C3"/>
          </w:tcPr>
          <w:p>
            <w:pPr>
              <w:spacing w:after="0"/>
              <w:rPr>
                <w:sz w:val="20"/>
                <w:szCs w:val="20"/>
                <w:color w:val="auto"/>
              </w:rPr>
            </w:pPr>
          </w:p>
        </w:tc>
        <w:tc>
          <w:tcPr>
            <w:tcW w:w="960" w:type="dxa"/>
            <w:vAlign w:val="bottom"/>
            <w:tcBorders>
              <w:top w:val="single" w:sz="8" w:color="auto"/>
              <w:right w:val="single" w:sz="8" w:color="auto"/>
            </w:tcBorders>
            <w:shd w:val="clear" w:color="auto" w:fill="DDD9C3"/>
          </w:tcPr>
          <w:p>
            <w:pPr>
              <w:spacing w:after="0"/>
              <w:rPr>
                <w:sz w:val="20"/>
                <w:szCs w:val="20"/>
                <w:color w:val="auto"/>
              </w:rPr>
            </w:pPr>
          </w:p>
        </w:tc>
        <w:tc>
          <w:tcPr>
            <w:tcW w:w="1160" w:type="dxa"/>
            <w:vAlign w:val="bottom"/>
            <w:tcBorders>
              <w:top w:val="single" w:sz="8" w:color="auto"/>
              <w:right w:val="single" w:sz="8" w:color="auto"/>
            </w:tcBorders>
            <w:shd w:val="clear" w:color="auto" w:fill="DDD9C3"/>
          </w:tcPr>
          <w:p>
            <w:pPr>
              <w:spacing w:after="0"/>
              <w:rPr>
                <w:sz w:val="20"/>
                <w:szCs w:val="20"/>
                <w:color w:val="auto"/>
              </w:rPr>
            </w:pPr>
          </w:p>
        </w:tc>
        <w:tc>
          <w:tcPr>
            <w:tcW w:w="1920" w:type="dxa"/>
            <w:vAlign w:val="bottom"/>
            <w:tcBorders>
              <w:top w:val="single" w:sz="8" w:color="auto"/>
              <w:right w:val="single" w:sz="8" w:color="auto"/>
            </w:tcBorders>
            <w:shd w:val="clear" w:color="auto" w:fill="DDD9C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240" w:type="dxa"/>
            <w:vAlign w:val="bottom"/>
            <w:tcBorders>
              <w:top w:val="single" w:sz="8" w:color="auto"/>
              <w:right w:val="single" w:sz="8" w:color="auto"/>
            </w:tcBorders>
            <w:shd w:val="clear" w:color="auto" w:fill="DDD9C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Months</w:t>
            </w:r>
          </w:p>
        </w:tc>
        <w:tc>
          <w:tcPr>
            <w:tcW w:w="1140" w:type="dxa"/>
            <w:vAlign w:val="bottom"/>
            <w:tcBorders>
              <w:top w:val="single" w:sz="8" w:color="auto"/>
              <w:right w:val="single" w:sz="8" w:color="auto"/>
            </w:tcBorders>
            <w:shd w:val="clear" w:color="auto" w:fill="DDD9C3"/>
          </w:tcPr>
          <w:p>
            <w:pPr>
              <w:ind w:left="200"/>
              <w:spacing w:after="0"/>
              <w:rPr>
                <w:sz w:val="20"/>
                <w:szCs w:val="20"/>
                <w:color w:val="auto"/>
              </w:rPr>
            </w:pPr>
            <w:r>
              <w:rPr>
                <w:rFonts w:ascii="Times New Roman" w:cs="Times New Roman" w:eastAsia="Times New Roman" w:hAnsi="Times New Roman"/>
                <w:sz w:val="18"/>
                <w:szCs w:val="18"/>
                <w:b w:val="1"/>
                <w:bCs w:val="1"/>
                <w:color w:val="auto"/>
              </w:rPr>
              <w:t>Prorated</w:t>
            </w:r>
          </w:p>
        </w:tc>
      </w:tr>
      <w:tr>
        <w:trPr>
          <w:trHeight w:val="270"/>
        </w:trPr>
        <w:tc>
          <w:tcPr>
            <w:tcW w:w="1000" w:type="dxa"/>
            <w:vAlign w:val="bottom"/>
            <w:tcBorders>
              <w:left w:val="single" w:sz="8" w:color="auto"/>
              <w:bottom w:val="single" w:sz="8" w:color="DDD9C3"/>
              <w:right w:val="single" w:sz="8" w:color="auto"/>
            </w:tcBorders>
            <w:shd w:val="clear" w:color="auto" w:fill="DDD9C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Grade</w:t>
            </w:r>
          </w:p>
        </w:tc>
        <w:tc>
          <w:tcPr>
            <w:tcW w:w="2220" w:type="dxa"/>
            <w:vAlign w:val="bottom"/>
            <w:tcBorders>
              <w:bottom w:val="single" w:sz="8" w:color="DDD9C3"/>
              <w:right w:val="single" w:sz="8" w:color="auto"/>
            </w:tcBorders>
            <w:shd w:val="clear" w:color="auto" w:fill="DDD9C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c>
          <w:tcPr>
            <w:tcW w:w="960" w:type="dxa"/>
            <w:vAlign w:val="bottom"/>
            <w:tcBorders>
              <w:bottom w:val="single" w:sz="8" w:color="DDD9C3"/>
              <w:right w:val="single" w:sz="8" w:color="auto"/>
            </w:tcBorders>
            <w:shd w:val="clear" w:color="auto" w:fill="DDD9C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 $</w:t>
            </w:r>
          </w:p>
        </w:tc>
        <w:tc>
          <w:tcPr>
            <w:tcW w:w="1160" w:type="dxa"/>
            <w:vAlign w:val="bottom"/>
            <w:tcBorders>
              <w:bottom w:val="single" w:sz="8" w:color="DDD9C3"/>
              <w:right w:val="single" w:sz="8" w:color="auto"/>
            </w:tcBorders>
            <w:shd w:val="clear" w:color="auto" w:fill="DDD9C3"/>
          </w:tcPr>
          <w:p>
            <w:pPr>
              <w:jc w:val="center"/>
              <w:spacing w:after="0"/>
              <w:rPr>
                <w:sz w:val="20"/>
                <w:szCs w:val="20"/>
                <w:color w:val="auto"/>
              </w:rPr>
            </w:pPr>
            <w:r>
              <w:rPr>
                <w:rFonts w:ascii="Times New Roman" w:cs="Times New Roman" w:eastAsia="Times New Roman" w:hAnsi="Times New Roman"/>
                <w:sz w:val="18"/>
                <w:szCs w:val="18"/>
                <w:b w:val="1"/>
                <w:bCs w:val="1"/>
                <w:color w:val="auto"/>
              </w:rPr>
              <w:t>Funding %</w:t>
            </w:r>
          </w:p>
        </w:tc>
        <w:tc>
          <w:tcPr>
            <w:tcW w:w="1920" w:type="dxa"/>
            <w:vAlign w:val="bottom"/>
            <w:tcBorders>
              <w:bottom w:val="single" w:sz="8" w:color="DDD9C3"/>
              <w:right w:val="single" w:sz="8" w:color="auto"/>
            </w:tcBorders>
            <w:shd w:val="clear" w:color="auto" w:fill="DDD9C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Rating</w:t>
            </w:r>
          </w:p>
        </w:tc>
        <w:tc>
          <w:tcPr>
            <w:tcW w:w="1240" w:type="dxa"/>
            <w:vAlign w:val="bottom"/>
            <w:tcBorders>
              <w:bottom w:val="single" w:sz="8" w:color="DDD9C3"/>
              <w:right w:val="single" w:sz="8" w:color="auto"/>
            </w:tcBorders>
            <w:shd w:val="clear" w:color="auto" w:fill="DDD9C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Role</w:t>
            </w:r>
          </w:p>
        </w:tc>
        <w:tc>
          <w:tcPr>
            <w:tcW w:w="1140" w:type="dxa"/>
            <w:vAlign w:val="bottom"/>
            <w:tcBorders>
              <w:bottom w:val="single" w:sz="8" w:color="DDD9C3"/>
              <w:right w:val="single" w:sz="8" w:color="auto"/>
            </w:tcBorders>
            <w:shd w:val="clear" w:color="auto" w:fill="DDD9C3"/>
          </w:tcPr>
          <w:p>
            <w:pPr>
              <w:ind w:left="220"/>
              <w:spacing w:after="0"/>
              <w:rPr>
                <w:sz w:val="20"/>
                <w:szCs w:val="20"/>
                <w:color w:val="auto"/>
              </w:rPr>
            </w:pPr>
            <w:r>
              <w:rPr>
                <w:rFonts w:ascii="Times New Roman" w:cs="Times New Roman" w:eastAsia="Times New Roman" w:hAnsi="Times New Roman"/>
                <w:sz w:val="18"/>
                <w:szCs w:val="18"/>
                <w:b w:val="1"/>
                <w:bCs w:val="1"/>
                <w:color w:val="auto"/>
              </w:rPr>
              <w:t>Payment</w:t>
            </w:r>
          </w:p>
        </w:tc>
      </w:tr>
      <w:tr>
        <w:trPr>
          <w:trHeight w:val="237"/>
        </w:trPr>
        <w:tc>
          <w:tcPr>
            <w:tcW w:w="1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$120,000</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$24,000</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Achieves (100%)</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$5,400</w:t>
            </w:r>
          </w:p>
        </w:tc>
      </w:tr>
      <w:tr>
        <w:trPr>
          <w:trHeight w:val="27"/>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1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Achieves (100%)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$10,125</w:t>
            </w:r>
          </w:p>
        </w:tc>
      </w:tr>
      <w:tr>
        <w:trPr>
          <w:trHeight w:val="27"/>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2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Payment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$15,525</w:t>
            </w:r>
          </w:p>
        </w:tc>
      </w:tr>
      <w:tr>
        <w:trPr>
          <w:trHeight w:val="27"/>
        </w:trPr>
        <w:tc>
          <w:tcPr>
            <w:tcW w:w="1000" w:type="dxa"/>
            <w:vAlign w:val="bottom"/>
            <w:tcBorders>
              <w:left w:val="single" w:sz="8" w:color="auto"/>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 proration is applied if base salary rate change occurs within same grade and there is no change to individual target percentage, in which case, the base salary on the last eligible effective date during measurement period is used for the payment calculation.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Exceptions, if any, to the proration rule are at the sole discretion of the Compensation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Proration for 10 and 11 Month Year-Round Employees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Individual payments for Year-Round 10 Month Employees and Year-Round 11 Month Employees are prorated to reflect their cumulative paid time during the Year, e.g., 10 paid months during the year results in 10/12s of a year-round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Pro-Ration for Leave of Absence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Individual payments for employees who take a paid or unpaid leave of absence (excluding FTO) one month or longer during the Plan Year are prorated to reflect the time on leave. For example, an individual takes a two-month paid leave of absence, which results in a 10/12s proration of the year-round payment.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Payments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Plan payments calculated in accordance with the terms of this Plan are paid in cash or direct deposit, minus applicable deductions and withholdings as required by law, by the close of the first quarter following the previous fiscal year end.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Employment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Plan payments are unvested until the date Plan payments are made. To be eligible to receive a payment, an individual must be employed by the Company on the date Plan payments are made. Employees whose employment ends prior to the payment date under the Plan for any fiscal year are ineligible, subject to the sole discretion of the Compensation Committee.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if an otherwise eligible employee is not employed as of the date of the Plan payment due to death or long-term disability under the Company long-term disability plan, such employee, if s/he would have otherwise received a payment under the Plan except for his or her death or disability, is entitled to receive a pro-rated payment for the portion of the fiscal year the employee was actively employed, and any such payment shall be made no later than March 15 of the year following the year of such employee’s death or disability.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 employee terminates employment and is subsequently rehired, eligibility under this Plan restarts with the employee’s rehire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Administration, Modification and Discontinuance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Plan is administered by the Compensation Committee. The Compensation Committee has authority to interpret the Plan and to make, amend, or nullify any rules and procedures deemed necessary for proper Plan administration, including, but not limited to, performance targets, results and extraordinary events. No payments will be made until and unless the Compensation Committee has certified that the Plan’s material terms have been satisfied.</w:t>
      </w:r>
    </w:p>
    <w:p>
      <w:pPr>
        <w:sectPr>
          <w:pgSz w:w="11900" w:h="16838" w:orient="portrait"/>
          <w:cols w:equalWidth="0" w:num="1">
            <w:col w:w="11240"/>
          </w:cols>
          <w:pgMar w:left="320" w:top="765" w:right="33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use of the term “funded” in this Plan or the accompanying Exhibits, such term is intended to reflect the target amount that may become payable as described herein and does not suggest that amounts are set aside for the benefit of Plan participants. Any payments hereunder shall be made from assets which shall continue, for all purposes, to be a part of the general, unrestricted assets of the Company and no person shall have nor acquire any interest in any such assets by virtue of the provisions of this Plan. The Company’s obligation hereunder shall be an unfunded and unsecured promise to pay money in the future. To the extent that any person acquires a right to receive payments from the Company under the provisions hereof, such right shall be no greater than the right of any unsecured general creditor of the Company; no such person shall have nor acquire any legal or equitable right, interest or claim in or to any property or assets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Employment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Plan is not intended to and does not give any employee the right to continued employment with the Company. The Plan does not create a contract of employment with any employee and does not alter the at-will nature of employee’s employment with the Company.</w:t>
      </w:r>
    </w:p>
    <w:p>
      <w:pPr>
        <w:sectPr>
          <w:pgSz w:w="11900" w:h="16838" w:orient="portrait"/>
          <w:cols w:equalWidth="0" w:num="1">
            <w:col w:w="11240"/>
          </w:cols>
          <w:pgMar w:left="320" w:top="66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 Plan Variables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is funded at 90% of the target incentive for FY21.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Percent by Grade</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200" w:type="dxa"/>
            <w:vAlign w:val="bottom"/>
            <w:tcBorders>
              <w:top w:val="single" w:sz="8" w:color="auto"/>
              <w:left w:val="single" w:sz="8" w:color="auto"/>
              <w:bottom w:val="single" w:sz="8" w:color="DDD9C3"/>
              <w:right w:val="single" w:sz="8" w:color="auto"/>
            </w:tcBorders>
            <w:shd w:val="clear" w:color="auto" w:fill="DDD9C3"/>
          </w:tcPr>
          <w:p>
            <w:pPr>
              <w:jc w:val="center"/>
              <w:spacing w:after="0"/>
              <w:rPr>
                <w:sz w:val="20"/>
                <w:szCs w:val="20"/>
                <w:color w:val="auto"/>
              </w:rPr>
            </w:pPr>
            <w:r>
              <w:rPr>
                <w:rFonts w:ascii="Times New Roman" w:cs="Times New Roman" w:eastAsia="Times New Roman" w:hAnsi="Times New Roman"/>
                <w:sz w:val="18"/>
                <w:szCs w:val="18"/>
                <w:b w:val="1"/>
                <w:bCs w:val="1"/>
                <w:color w:val="auto"/>
              </w:rPr>
              <w:t>Grade Level</w:t>
            </w:r>
          </w:p>
        </w:tc>
        <w:tc>
          <w:tcPr>
            <w:tcW w:w="240" w:type="dxa"/>
            <w:vAlign w:val="bottom"/>
            <w:tcBorders>
              <w:top w:val="single" w:sz="8" w:color="auto"/>
              <w:bottom w:val="single" w:sz="8" w:color="DDD9C3"/>
            </w:tcBorders>
            <w:shd w:val="clear" w:color="auto" w:fill="DDD9C3"/>
          </w:tcPr>
          <w:p>
            <w:pPr>
              <w:spacing w:after="0"/>
              <w:rPr>
                <w:sz w:val="24"/>
                <w:szCs w:val="24"/>
                <w:color w:val="auto"/>
              </w:rPr>
            </w:pPr>
          </w:p>
        </w:tc>
        <w:tc>
          <w:tcPr>
            <w:tcW w:w="2100" w:type="dxa"/>
            <w:vAlign w:val="bottom"/>
            <w:tcBorders>
              <w:top w:val="single" w:sz="8" w:color="auto"/>
              <w:bottom w:val="single" w:sz="8" w:color="DDD9C3"/>
              <w:right w:val="single" w:sz="8" w:color="auto"/>
            </w:tcBorders>
            <w:gridSpan w:val="2"/>
            <w:shd w:val="clear" w:color="auto" w:fill="DDD9C3"/>
          </w:tcPr>
          <w:p>
            <w:pPr>
              <w:ind w:left="240"/>
              <w:spacing w:after="0"/>
              <w:rPr>
                <w:sz w:val="20"/>
                <w:szCs w:val="20"/>
                <w:color w:val="auto"/>
              </w:rPr>
            </w:pPr>
            <w:r>
              <w:rPr>
                <w:rFonts w:ascii="Times New Roman" w:cs="Times New Roman" w:eastAsia="Times New Roman" w:hAnsi="Times New Roman"/>
                <w:sz w:val="18"/>
                <w:szCs w:val="18"/>
                <w:b w:val="1"/>
                <w:bCs w:val="1"/>
                <w:color w:val="auto"/>
              </w:rPr>
              <w:t>Incentive Percent</w:t>
            </w:r>
          </w:p>
        </w:tc>
        <w:tc>
          <w:tcPr>
            <w:tcW w:w="1500" w:type="dxa"/>
            <w:vAlign w:val="bottom"/>
          </w:tcPr>
          <w:p>
            <w:pPr>
              <w:spacing w:after="0"/>
              <w:rPr>
                <w:sz w:val="24"/>
                <w:szCs w:val="24"/>
                <w:color w:val="auto"/>
              </w:rPr>
            </w:pPr>
          </w:p>
        </w:tc>
      </w:tr>
      <w:tr>
        <w:trPr>
          <w:trHeight w:val="237"/>
        </w:trPr>
        <w:tc>
          <w:tcPr>
            <w:tcW w:w="22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8%</w:t>
            </w:r>
          </w:p>
        </w:tc>
        <w:tc>
          <w:tcPr>
            <w:tcW w:w="960" w:type="dxa"/>
            <w:vAlign w:val="bottom"/>
            <w:tcBorders>
              <w:top w:val="single" w:sz="8" w:color="auto"/>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240" w:type="dxa"/>
            <w:vAlign w:val="bottom"/>
          </w:tcPr>
          <w:p>
            <w:pPr>
              <w:spacing w:after="0"/>
              <w:rPr>
                <w:sz w:val="20"/>
                <w:szCs w:val="20"/>
                <w:color w:val="auto"/>
              </w:rPr>
            </w:pPr>
          </w:p>
        </w:tc>
        <w:tc>
          <w:tcPr>
            <w:tcW w:w="1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6"/>
              </w:rPr>
              <w:t>10%</w:t>
            </w:r>
          </w:p>
        </w:tc>
        <w:tc>
          <w:tcPr>
            <w:tcW w:w="96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240" w:type="dxa"/>
            <w:vAlign w:val="bottom"/>
          </w:tcPr>
          <w:p>
            <w:pPr>
              <w:spacing w:after="0"/>
              <w:rPr>
                <w:sz w:val="20"/>
                <w:szCs w:val="20"/>
                <w:color w:val="auto"/>
              </w:rPr>
            </w:pPr>
          </w:p>
        </w:tc>
        <w:tc>
          <w:tcPr>
            <w:tcW w:w="1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6"/>
              </w:rPr>
              <w:t>15%</w:t>
            </w:r>
          </w:p>
        </w:tc>
        <w:tc>
          <w:tcPr>
            <w:tcW w:w="96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240" w:type="dxa"/>
            <w:vAlign w:val="bottom"/>
          </w:tcPr>
          <w:p>
            <w:pPr>
              <w:spacing w:after="0"/>
              <w:rPr>
                <w:sz w:val="20"/>
                <w:szCs w:val="20"/>
                <w:color w:val="auto"/>
              </w:rPr>
            </w:pPr>
          </w:p>
        </w:tc>
        <w:tc>
          <w:tcPr>
            <w:tcW w:w="1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6"/>
              </w:rPr>
              <w:t>20%</w:t>
            </w:r>
          </w:p>
        </w:tc>
        <w:tc>
          <w:tcPr>
            <w:tcW w:w="96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40" w:type="dxa"/>
            <w:vAlign w:val="bottom"/>
          </w:tcPr>
          <w:p>
            <w:pPr>
              <w:spacing w:after="0"/>
              <w:rPr>
                <w:sz w:val="20"/>
                <w:szCs w:val="20"/>
                <w:color w:val="auto"/>
              </w:rPr>
            </w:pPr>
          </w:p>
        </w:tc>
        <w:tc>
          <w:tcPr>
            <w:tcW w:w="1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6"/>
              </w:rPr>
              <w:t>25%</w:t>
            </w:r>
          </w:p>
        </w:tc>
        <w:tc>
          <w:tcPr>
            <w:tcW w:w="96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240" w:type="dxa"/>
            <w:vAlign w:val="bottom"/>
          </w:tcPr>
          <w:p>
            <w:pPr>
              <w:spacing w:after="0"/>
              <w:rPr>
                <w:sz w:val="20"/>
                <w:szCs w:val="20"/>
                <w:color w:val="auto"/>
              </w:rPr>
            </w:pPr>
          </w:p>
        </w:tc>
        <w:tc>
          <w:tcPr>
            <w:tcW w:w="1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6"/>
              </w:rPr>
              <w:t>30%</w:t>
            </w:r>
          </w:p>
        </w:tc>
        <w:tc>
          <w:tcPr>
            <w:tcW w:w="96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40" w:type="dxa"/>
            <w:vAlign w:val="bottom"/>
          </w:tcPr>
          <w:p>
            <w:pPr>
              <w:spacing w:after="0"/>
              <w:rPr>
                <w:sz w:val="20"/>
                <w:szCs w:val="20"/>
                <w:color w:val="auto"/>
              </w:rPr>
            </w:pPr>
          </w:p>
        </w:tc>
        <w:tc>
          <w:tcPr>
            <w:tcW w:w="1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6"/>
              </w:rPr>
              <w:t>35%</w:t>
            </w:r>
          </w:p>
        </w:tc>
        <w:tc>
          <w:tcPr>
            <w:tcW w:w="96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240" w:type="dxa"/>
            <w:vAlign w:val="bottom"/>
          </w:tcPr>
          <w:p>
            <w:pPr>
              <w:spacing w:after="0"/>
              <w:rPr>
                <w:sz w:val="20"/>
                <w:szCs w:val="20"/>
                <w:color w:val="auto"/>
              </w:rPr>
            </w:pPr>
          </w:p>
        </w:tc>
        <w:tc>
          <w:tcPr>
            <w:tcW w:w="210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42.5%</w:t>
            </w:r>
          </w:p>
        </w:tc>
        <w:tc>
          <w:tcPr>
            <w:tcW w:w="1500" w:type="dxa"/>
            <w:vAlign w:val="bottom"/>
          </w:tcPr>
          <w:p>
            <w:pPr>
              <w:spacing w:after="0"/>
              <w:rPr>
                <w:sz w:val="20"/>
                <w:szCs w:val="20"/>
                <w:color w:val="auto"/>
              </w:rPr>
            </w:pP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240" w:type="dxa"/>
            <w:vAlign w:val="bottom"/>
          </w:tcPr>
          <w:p>
            <w:pPr>
              <w:spacing w:after="0"/>
              <w:rPr>
                <w:sz w:val="20"/>
                <w:szCs w:val="20"/>
                <w:color w:val="auto"/>
              </w:rPr>
            </w:pPr>
          </w:p>
        </w:tc>
        <w:tc>
          <w:tcPr>
            <w:tcW w:w="1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6"/>
              </w:rPr>
              <w:t>50%</w:t>
            </w:r>
          </w:p>
        </w:tc>
        <w:tc>
          <w:tcPr>
            <w:tcW w:w="96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425"/>
        </w:trPr>
        <w:tc>
          <w:tcPr>
            <w:tcW w:w="6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Individual Performance Multipliers</w:t>
            </w:r>
          </w:p>
        </w:tc>
      </w:tr>
      <w:tr>
        <w:trPr>
          <w:trHeight w:val="243"/>
        </w:trPr>
        <w:tc>
          <w:tcPr>
            <w:tcW w:w="3580" w:type="dxa"/>
            <w:vAlign w:val="bottom"/>
            <w:tcBorders>
              <w:bottom w:val="single" w:sz="8" w:color="auto"/>
            </w:tcBorders>
            <w:gridSpan w:val="3"/>
          </w:tcPr>
          <w:p>
            <w:pPr>
              <w:spacing w:after="0"/>
              <w:rPr>
                <w:sz w:val="21"/>
                <w:szCs w:val="21"/>
                <w:color w:val="auto"/>
              </w:rPr>
            </w:pPr>
          </w:p>
        </w:tc>
        <w:tc>
          <w:tcPr>
            <w:tcW w:w="2460" w:type="dxa"/>
            <w:vAlign w:val="bottom"/>
            <w:tcBorders>
              <w:bottom w:val="single" w:sz="8" w:color="auto"/>
            </w:tcBorders>
            <w:gridSpan w:val="2"/>
          </w:tcPr>
          <w:p>
            <w:pPr>
              <w:spacing w:after="0"/>
              <w:rPr>
                <w:sz w:val="21"/>
                <w:szCs w:val="21"/>
                <w:color w:val="auto"/>
              </w:rPr>
            </w:pPr>
          </w:p>
        </w:tc>
      </w:tr>
      <w:tr>
        <w:trPr>
          <w:trHeight w:val="268"/>
        </w:trPr>
        <w:tc>
          <w:tcPr>
            <w:tcW w:w="6040" w:type="dxa"/>
            <w:vAlign w:val="bottom"/>
            <w:tcBorders>
              <w:left w:val="single" w:sz="8" w:color="auto"/>
              <w:bottom w:val="single" w:sz="8" w:color="DDD9C3"/>
              <w:right w:val="single" w:sz="8" w:color="auto"/>
            </w:tcBorders>
            <w:gridSpan w:val="5"/>
            <w:shd w:val="clear" w:color="auto" w:fill="DDD9C3"/>
          </w:tcPr>
          <w:p>
            <w:pPr>
              <w:ind w:left="1840"/>
              <w:spacing w:after="0"/>
              <w:rPr>
                <w:sz w:val="20"/>
                <w:szCs w:val="20"/>
                <w:color w:val="auto"/>
              </w:rPr>
            </w:pPr>
            <w:r>
              <w:rPr>
                <w:rFonts w:ascii="Times New Roman" w:cs="Times New Roman" w:eastAsia="Times New Roman" w:hAnsi="Times New Roman"/>
                <w:sz w:val="18"/>
                <w:szCs w:val="18"/>
                <w:b w:val="1"/>
                <w:bCs w:val="1"/>
                <w:color w:val="auto"/>
              </w:rPr>
              <w:t>Performance Multiplier Chart</w:t>
            </w:r>
          </w:p>
        </w:tc>
      </w:tr>
      <w:tr>
        <w:trPr>
          <w:trHeight w:val="237"/>
        </w:trPr>
        <w:tc>
          <w:tcPr>
            <w:tcW w:w="2440" w:type="dxa"/>
            <w:vAlign w:val="bottom"/>
            <w:tcBorders>
              <w:top w:val="single" w:sz="8" w:color="auto"/>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Performance Rating</w:t>
            </w:r>
          </w:p>
        </w:tc>
        <w:tc>
          <w:tcPr>
            <w:tcW w:w="1140" w:type="dxa"/>
            <w:vAlign w:val="bottom"/>
            <w:tcBorders>
              <w:top w:val="single" w:sz="8" w:color="auto"/>
              <w:right w:val="single" w:sz="8" w:color="auto"/>
            </w:tcBorders>
          </w:tcPr>
          <w:p>
            <w:pPr>
              <w:spacing w:after="0"/>
              <w:rPr>
                <w:sz w:val="20"/>
                <w:szCs w:val="20"/>
                <w:color w:val="auto"/>
              </w:rPr>
            </w:pPr>
          </w:p>
        </w:tc>
        <w:tc>
          <w:tcPr>
            <w:tcW w:w="2460" w:type="dxa"/>
            <w:vAlign w:val="bottom"/>
            <w:tcBorders>
              <w:top w:val="single" w:sz="8" w:color="auto"/>
              <w:right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Multiplier</w:t>
            </w:r>
          </w:p>
        </w:tc>
      </w:tr>
      <w:tr>
        <w:trPr>
          <w:trHeight w:val="27"/>
        </w:trPr>
        <w:tc>
          <w:tcPr>
            <w:tcW w:w="2440" w:type="dxa"/>
            <w:vAlign w:val="bottom"/>
            <w:tcBorders>
              <w:left w:val="single" w:sz="8" w:color="auto"/>
              <w:bottom w:val="single" w:sz="8" w:color="auto"/>
            </w:tcBorders>
            <w:gridSpan w:val="2"/>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2440" w:type="dxa"/>
            <w:vAlign w:val="bottom"/>
            <w:tcBorders>
              <w:lef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Greatly Exceeds Expectations</w:t>
            </w:r>
          </w:p>
        </w:tc>
        <w:tc>
          <w:tcPr>
            <w:tcW w:w="114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130%</w:t>
            </w:r>
          </w:p>
        </w:tc>
      </w:tr>
      <w:tr>
        <w:trPr>
          <w:trHeight w:val="27"/>
        </w:trPr>
        <w:tc>
          <w:tcPr>
            <w:tcW w:w="2440" w:type="dxa"/>
            <w:vAlign w:val="bottom"/>
            <w:tcBorders>
              <w:left w:val="single" w:sz="8" w:color="auto"/>
              <w:bottom w:val="single" w:sz="8" w:color="auto"/>
            </w:tcBorders>
            <w:gridSpan w:val="2"/>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2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Exceeds Expectations</w:t>
            </w:r>
          </w:p>
        </w:tc>
        <w:tc>
          <w:tcPr>
            <w:tcW w:w="114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120%</w:t>
            </w:r>
          </w:p>
        </w:tc>
      </w:tr>
      <w:tr>
        <w:trPr>
          <w:trHeight w:val="27"/>
        </w:trPr>
        <w:tc>
          <w:tcPr>
            <w:tcW w:w="2440" w:type="dxa"/>
            <w:vAlign w:val="bottom"/>
            <w:tcBorders>
              <w:left w:val="single" w:sz="8" w:color="auto"/>
              <w:bottom w:val="single" w:sz="8" w:color="auto"/>
            </w:tcBorders>
            <w:gridSpan w:val="2"/>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2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Achieves Expectations</w:t>
            </w:r>
          </w:p>
        </w:tc>
        <w:tc>
          <w:tcPr>
            <w:tcW w:w="114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2440" w:type="dxa"/>
            <w:vAlign w:val="bottom"/>
            <w:tcBorders>
              <w:left w:val="single" w:sz="8" w:color="auto"/>
              <w:bottom w:val="single" w:sz="8" w:color="auto"/>
            </w:tcBorders>
            <w:gridSpan w:val="2"/>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2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Meets Most Expectations</w:t>
            </w:r>
          </w:p>
        </w:tc>
        <w:tc>
          <w:tcPr>
            <w:tcW w:w="114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2440" w:type="dxa"/>
            <w:vAlign w:val="bottom"/>
            <w:tcBorders>
              <w:left w:val="single" w:sz="8" w:color="auto"/>
              <w:bottom w:val="single" w:sz="8" w:color="auto"/>
            </w:tcBorders>
            <w:gridSpan w:val="2"/>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2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Meets Some Expectations</w:t>
            </w:r>
          </w:p>
        </w:tc>
        <w:tc>
          <w:tcPr>
            <w:tcW w:w="114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22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139"/>
          </w:cols>
          <w:pgMar w:left="320" w:top="765"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B - Payment Calculation</w:t>
      </w:r>
    </w:p>
    <w:p>
      <w:pPr>
        <w:spacing w:after="0" w:line="175" w:lineRule="exact"/>
        <w:rPr>
          <w:sz w:val="20"/>
          <w:szCs w:val="20"/>
          <w:color w:val="auto"/>
        </w:rPr>
      </w:pPr>
    </w:p>
    <w:p>
      <w:pPr>
        <w:ind w:left="340" w:hanging="332"/>
        <w:spacing w:after="0" w:line="281"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calculation is as follows: Base salary * Incentive % * Plan funding % * Performance multiplier * new hire/promotion proration = Payment</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Grade 28 employee at $100,000 base salary</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incentive = 15%</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funding = 90%</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rating of “Achieves Expectations” at 100%</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and not promoted during the full year</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 15% * 90% * 100% * 100% = $13,500</w:t>
      </w:r>
    </w:p>
    <w:p>
      <w:pPr>
        <w:sectPr>
          <w:pgSz w:w="11900" w:h="16838" w:orient="portrait"/>
          <w:cols w:equalWidth="0" w:num="1">
            <w:col w:w="10620"/>
          </w:cols>
          <w:pgMar w:left="320" w:top="549" w:right="9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63" w:lineRule="exact"/>
        <w:rPr>
          <w:rFonts w:ascii="Times New Roman" w:cs="Times New Roman" w:eastAsia="Times New Roman" w:hAnsi="Times New Roman"/>
          <w:sz w:val="18"/>
          <w:szCs w:val="18"/>
          <w:color w:val="auto"/>
        </w:rPr>
      </w:pPr>
    </w:p>
    <w:p>
      <w:pPr>
        <w:jc w:val="both"/>
        <w:ind w:left="500" w:right="40" w:hanging="195"/>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500" w:right="20" w:hanging="195"/>
        <w:spacing w:after="0" w:line="281"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500" w:right="40" w:hanging="195"/>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jc w:val="both"/>
        <w:ind w:left="1160" w:right="40" w:hanging="666"/>
        <w:spacing w:after="0" w:line="266" w:lineRule="auto"/>
        <w:tabs>
          <w:tab w:leader="none" w:pos="1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160" w:right="20" w:hanging="666"/>
        <w:spacing w:after="0" w:line="266" w:lineRule="auto"/>
        <w:tabs>
          <w:tab w:leader="none" w:pos="1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160" w:right="40" w:hanging="666"/>
        <w:spacing w:after="0" w:line="281" w:lineRule="auto"/>
        <w:tabs>
          <w:tab w:leader="none" w:pos="1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160" w:right="40" w:hanging="666"/>
        <w:spacing w:after="0" w:line="266" w:lineRule="auto"/>
        <w:tabs>
          <w:tab w:leader="none" w:pos="1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500" w:right="40" w:hanging="195"/>
        <w:spacing w:after="0" w:line="281"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160" w:right="40" w:hanging="666"/>
        <w:spacing w:after="0" w:line="281" w:lineRule="auto"/>
        <w:tabs>
          <w:tab w:leader="none" w:pos="1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160" w:right="40" w:hanging="666"/>
        <w:spacing w:after="0" w:line="282" w:lineRule="auto"/>
        <w:tabs>
          <w:tab w:leader="none" w:pos="1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December 10, 2020</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Robert A. Katz</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549"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63" w:lineRule="exact"/>
        <w:rPr>
          <w:rFonts w:ascii="Times New Roman" w:cs="Times New Roman" w:eastAsia="Times New Roman" w:hAnsi="Times New Roman"/>
          <w:sz w:val="18"/>
          <w:szCs w:val="18"/>
          <w:color w:val="auto"/>
        </w:rPr>
      </w:pPr>
    </w:p>
    <w:p>
      <w:pPr>
        <w:jc w:val="both"/>
        <w:ind w:left="500" w:right="40" w:hanging="195"/>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500" w:right="20" w:hanging="195"/>
        <w:spacing w:after="0" w:line="281"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500" w:right="40" w:hanging="195"/>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jc w:val="both"/>
        <w:ind w:left="1160" w:right="40" w:hanging="666"/>
        <w:spacing w:after="0" w:line="266" w:lineRule="auto"/>
        <w:tabs>
          <w:tab w:leader="none" w:pos="1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160" w:right="20" w:hanging="666"/>
        <w:spacing w:after="0" w:line="266" w:lineRule="auto"/>
        <w:tabs>
          <w:tab w:leader="none" w:pos="1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160" w:right="40" w:hanging="666"/>
        <w:spacing w:after="0" w:line="281" w:lineRule="auto"/>
        <w:tabs>
          <w:tab w:leader="none" w:pos="1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160" w:right="40" w:hanging="666"/>
        <w:spacing w:after="0" w:line="266" w:lineRule="auto"/>
        <w:tabs>
          <w:tab w:leader="none" w:pos="1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500" w:right="40" w:hanging="195"/>
        <w:spacing w:after="0" w:line="281"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160" w:right="40" w:hanging="666"/>
        <w:spacing w:after="0" w:line="281" w:lineRule="auto"/>
        <w:tabs>
          <w:tab w:leader="none" w:pos="1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160" w:right="40" w:hanging="666"/>
        <w:spacing w:after="0" w:line="282" w:lineRule="auto"/>
        <w:tabs>
          <w:tab w:leader="none" w:pos="1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December 10, 2020</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Michael Z. Barkin</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6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his capacity as an officer of Vail Resorts, Inc. (the “Company”) that the Company's Quarterly Report on Form 10-Q for the quarter ended October 31, 2020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December 10, 2020</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Robert A. Katz</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December 10, 2020</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Michael Z. Barkin</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2"/>
    </w:lvl>
    <w:lvl w:ilvl="1">
      <w:lvlJc w:val="left"/>
      <w:lvlText w:val="%2."/>
      <w:numFmt w:val="lowerRoman"/>
      <w:start w:val="1"/>
    </w:lvl>
  </w:abstractNum>
  <w:abstractNum w:abstractNumId="8">
    <w:nsid w:val="6B68079A"/>
    <w:multiLevelType w:val="hybridMultilevel"/>
    <w:lvl w:ilvl="0">
      <w:lvlJc w:val="left"/>
      <w:lvlText w:val="%1."/>
      <w:numFmt w:val="lowerRoman"/>
      <w:start w:val="3"/>
    </w:lvl>
  </w:abstractNum>
  <w:abstractNum w:abstractNumId="9">
    <w:nsid w:val="4E6AFB66"/>
    <w:multiLevelType w:val="hybridMultilevel"/>
    <w:lvl w:ilvl="0">
      <w:lvlJc w:val="left"/>
      <w:lvlText w:val="%1."/>
      <w:numFmt w:val="decimal"/>
      <w:start w:val="1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lvl w:ilvl="1">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32"/>
    </w:lvl>
  </w:abstractNum>
  <w:abstractNum w:abstractNumId="17">
    <w:nsid w:val="436C6125"/>
    <w:multiLevelType w:val="hybridMultilevel"/>
    <w:lvl w:ilvl="0">
      <w:lvlJc w:val="left"/>
      <w:lvlText w:val="%1"/>
      <w:numFmt w:val="decimal"/>
      <w:start w:val="104"/>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2020-12-10T15:14:09Z</dcterms:created>
  <dcterms:modified xsi:type="dcterms:W3CDTF">2020-12-10T15:14:09Z</dcterms:modified>
</cp:coreProperties>
</file>