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54" w:lineRule="exact"/>
        <w:rPr>
          <w:sz w:val="24"/>
          <w:szCs w:val="24"/>
          <w:color w:val="auto"/>
        </w:rPr>
      </w:pPr>
    </w:p>
    <w:p>
      <w:pPr>
        <w:ind w:left="680" w:hanging="647"/>
        <w:spacing w:after="0"/>
        <w:tabs>
          <w:tab w:leader="none" w:pos="680" w:val="left"/>
        </w:tabs>
        <w:numPr>
          <w:ilvl w:val="0"/>
          <w:numId w:val="1"/>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quarterly period ended April 30, 2024</w:t>
      </w:r>
    </w:p>
    <w:p>
      <w:pPr>
        <w:spacing w:after="0" w:line="145" w:lineRule="exact"/>
        <w:rPr>
          <w:sz w:val="24"/>
          <w:szCs w:val="24"/>
          <w:color w:val="auto"/>
        </w:rPr>
      </w:pPr>
    </w:p>
    <w:p>
      <w:pPr>
        <w:ind w:left="680" w:hanging="647"/>
        <w:spacing w:after="0"/>
        <w:tabs>
          <w:tab w:leader="none" w:pos="680" w:val="left"/>
        </w:tabs>
        <w:numPr>
          <w:ilvl w:val="0"/>
          <w:numId w:val="2"/>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92" w:lineRule="exact"/>
        <w:rPr>
          <w:sz w:val="24"/>
          <w:szCs w:val="24"/>
          <w:color w:val="auto"/>
        </w:rPr>
      </w:pPr>
    </w:p>
    <w:p>
      <w:pPr>
        <w:ind w:left="3960"/>
        <w:spacing w:after="0"/>
        <w:tabs>
          <w:tab w:leader="none" w:pos="6580" w:val="left"/>
        </w:tabs>
        <w:rPr>
          <w:sz w:val="20"/>
          <w:szCs w:val="20"/>
          <w:color w:val="auto"/>
        </w:rPr>
      </w:pPr>
      <w:r>
        <w:rPr>
          <w:rFonts w:ascii="Times New Roman" w:cs="Times New Roman" w:eastAsia="Times New Roman" w:hAnsi="Times New Roman"/>
          <w:sz w:val="17"/>
          <w:szCs w:val="17"/>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2078990</wp:posOffset>
            </wp:positionH>
            <wp:positionV relativeFrom="paragraph">
              <wp:posOffset>82550</wp:posOffset>
            </wp:positionV>
            <wp:extent cx="298450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8450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Vail Resorts,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40" w:type="dxa"/>
            <w:vAlign w:val="bottom"/>
            <w:tcBorders>
              <w:bottom w:val="single" w:sz="8" w:color="auto"/>
            </w:tcBorders>
            <w:gridSpan w:val="3"/>
          </w:tcPr>
          <w:p>
            <w:pPr>
              <w:jc w:val="center"/>
              <w:ind w:left="821"/>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92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2"/>
          </w:tcPr>
          <w:p>
            <w:pPr>
              <w:jc w:val="right"/>
              <w:ind w:right="1387"/>
              <w:spacing w:after="0"/>
              <w:rPr>
                <w:sz w:val="20"/>
                <w:szCs w:val="20"/>
                <w:color w:val="auto"/>
              </w:rPr>
            </w:pPr>
            <w:r>
              <w:rPr>
                <w:rFonts w:ascii="Times New Roman" w:cs="Times New Roman" w:eastAsia="Times New Roman" w:hAnsi="Times New Roman"/>
                <w:sz w:val="17"/>
                <w:szCs w:val="17"/>
                <w:b w:val="1"/>
                <w:bCs w:val="1"/>
                <w:color w:val="auto"/>
              </w:rPr>
              <w:t>51-0291762</w:t>
            </w:r>
          </w:p>
        </w:tc>
        <w:tc>
          <w:tcPr>
            <w:tcW w:w="900" w:type="dxa"/>
            <w:vAlign w:val="bottom"/>
          </w:tcPr>
          <w:p>
            <w:pPr>
              <w:spacing w:after="0"/>
              <w:rPr>
                <w:sz w:val="19"/>
                <w:szCs w:val="19"/>
                <w:color w:val="auto"/>
              </w:rPr>
            </w:pPr>
          </w:p>
        </w:tc>
      </w:tr>
      <w:tr>
        <w:trPr>
          <w:trHeight w:val="122"/>
        </w:trPr>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40" w:type="dxa"/>
            <w:vAlign w:val="bottom"/>
            <w:gridSpan w:val="3"/>
          </w:tcPr>
          <w:p>
            <w:pPr>
              <w:jc w:val="center"/>
              <w:ind w:left="841"/>
              <w:spacing w:after="0" w:line="122" w:lineRule="exact"/>
              <w:rPr>
                <w:sz w:val="20"/>
                <w:szCs w:val="20"/>
                <w:color w:val="auto"/>
              </w:rPr>
            </w:pPr>
            <w:r>
              <w:rPr>
                <w:rFonts w:ascii="Times New Roman" w:cs="Times New Roman" w:eastAsia="Times New Roman" w:hAnsi="Times New Roman"/>
                <w:sz w:val="14"/>
                <w:szCs w:val="14"/>
                <w:color w:val="auto"/>
                <w:w w:val="98"/>
              </w:rPr>
              <w:t>(State or Other Jurisdiction of</w:t>
            </w: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20" w:type="dxa"/>
            <w:vAlign w:val="bottom"/>
          </w:tcPr>
          <w:p>
            <w:pPr>
              <w:jc w:val="center"/>
              <w:ind w:right="1047"/>
              <w:spacing w:after="0" w:line="122" w:lineRule="exact"/>
              <w:rPr>
                <w:sz w:val="20"/>
                <w:szCs w:val="20"/>
                <w:color w:val="auto"/>
              </w:rPr>
            </w:pPr>
            <w:r>
              <w:rPr>
                <w:rFonts w:ascii="Times New Roman" w:cs="Times New Roman" w:eastAsia="Times New Roman" w:hAnsi="Times New Roman"/>
                <w:sz w:val="14"/>
                <w:szCs w:val="14"/>
                <w:color w:val="auto"/>
                <w:w w:val="98"/>
              </w:rPr>
              <w:t>(I.R.S. Employer</w:t>
            </w:r>
          </w:p>
        </w:tc>
        <w:tc>
          <w:tcPr>
            <w:tcW w:w="90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40" w:type="dxa"/>
            <w:vAlign w:val="bottom"/>
            <w:gridSpan w:val="3"/>
          </w:tcPr>
          <w:p>
            <w:pPr>
              <w:jc w:val="center"/>
              <w:ind w:left="821"/>
              <w:spacing w:after="0"/>
              <w:rPr>
                <w:sz w:val="20"/>
                <w:szCs w:val="20"/>
                <w:color w:val="auto"/>
              </w:rPr>
            </w:pPr>
            <w:r>
              <w:rPr>
                <w:rFonts w:ascii="Times New Roman" w:cs="Times New Roman" w:eastAsia="Times New Roman" w:hAnsi="Times New Roman"/>
                <w:sz w:val="14"/>
                <w:szCs w:val="14"/>
                <w:color w:val="auto"/>
                <w:w w:val="98"/>
              </w:rPr>
              <w:t>Incorporation or Organization)</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20" w:type="dxa"/>
            <w:vAlign w:val="bottom"/>
            <w:gridSpan w:val="2"/>
          </w:tcPr>
          <w:p>
            <w:pPr>
              <w:jc w:val="center"/>
              <w:ind w:right="2020"/>
              <w:spacing w:after="0"/>
              <w:rPr>
                <w:sz w:val="20"/>
                <w:szCs w:val="20"/>
                <w:color w:val="auto"/>
              </w:rPr>
            </w:pPr>
            <w:r>
              <w:rPr>
                <w:rFonts w:ascii="Times New Roman" w:cs="Times New Roman" w:eastAsia="Times New Roman" w:hAnsi="Times New Roman"/>
                <w:sz w:val="14"/>
                <w:szCs w:val="14"/>
                <w:color w:val="auto"/>
                <w:w w:val="97"/>
              </w:rPr>
              <w:t>Identification No.)</w:t>
            </w:r>
          </w:p>
        </w:tc>
      </w:tr>
      <w:tr>
        <w:trPr>
          <w:trHeight w:val="432"/>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40" w:type="dxa"/>
            <w:vAlign w:val="bottom"/>
            <w:gridSpan w:val="3"/>
          </w:tcPr>
          <w:p>
            <w:pPr>
              <w:jc w:val="center"/>
              <w:ind w:left="841"/>
              <w:spacing w:after="0"/>
              <w:rPr>
                <w:sz w:val="20"/>
                <w:szCs w:val="20"/>
                <w:color w:val="auto"/>
              </w:rPr>
            </w:pPr>
            <w:r>
              <w:rPr>
                <w:rFonts w:ascii="Times New Roman" w:cs="Times New Roman" w:eastAsia="Times New Roman" w:hAnsi="Times New Roman"/>
                <w:sz w:val="17"/>
                <w:szCs w:val="17"/>
                <w:b w:val="1"/>
                <w:bCs w:val="1"/>
                <w:color w:val="auto"/>
              </w:rPr>
              <w:t>390 Interlocken Crescent</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6"/>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4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7"/>
                <w:szCs w:val="17"/>
                <w:b w:val="1"/>
                <w:bCs w:val="1"/>
                <w:color w:val="auto"/>
              </w:rPr>
              <w:t>Broomfield, Colorado</w:t>
            </w:r>
          </w:p>
        </w:tc>
        <w:tc>
          <w:tcPr>
            <w:tcW w:w="92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2"/>
          </w:tcPr>
          <w:p>
            <w:pPr>
              <w:jc w:val="right"/>
              <w:ind w:right="1587"/>
              <w:spacing w:after="0"/>
              <w:rPr>
                <w:sz w:val="20"/>
                <w:szCs w:val="20"/>
                <w:color w:val="auto"/>
              </w:rPr>
            </w:pPr>
            <w:r>
              <w:rPr>
                <w:rFonts w:ascii="Times New Roman" w:cs="Times New Roman" w:eastAsia="Times New Roman" w:hAnsi="Times New Roman"/>
                <w:sz w:val="17"/>
                <w:szCs w:val="17"/>
                <w:b w:val="1"/>
                <w:bCs w:val="1"/>
                <w:color w:val="auto"/>
              </w:rPr>
              <w:t>80021</w:t>
            </w:r>
          </w:p>
        </w:tc>
        <w:tc>
          <w:tcPr>
            <w:tcW w:w="900" w:type="dxa"/>
            <w:vAlign w:val="bottom"/>
          </w:tcPr>
          <w:p>
            <w:pPr>
              <w:spacing w:after="0"/>
              <w:rPr>
                <w:sz w:val="19"/>
                <w:szCs w:val="19"/>
                <w:color w:val="auto"/>
              </w:rPr>
            </w:pPr>
          </w:p>
        </w:tc>
      </w:tr>
      <w:tr>
        <w:trPr>
          <w:trHeight w:val="171"/>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40" w:type="dxa"/>
            <w:vAlign w:val="bottom"/>
            <w:gridSpan w:val="3"/>
          </w:tcPr>
          <w:p>
            <w:pPr>
              <w:jc w:val="center"/>
              <w:ind w:left="841"/>
              <w:spacing w:after="0"/>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tcPr>
          <w:p>
            <w:pPr>
              <w:jc w:val="center"/>
              <w:ind w:right="1047"/>
              <w:spacing w:after="0"/>
              <w:rPr>
                <w:sz w:val="20"/>
                <w:szCs w:val="20"/>
                <w:color w:val="auto"/>
              </w:rPr>
            </w:pPr>
            <w:r>
              <w:rPr>
                <w:rFonts w:ascii="Times New Roman" w:cs="Times New Roman" w:eastAsia="Times New Roman" w:hAnsi="Times New Roman"/>
                <w:sz w:val="14"/>
                <w:szCs w:val="14"/>
                <w:color w:val="auto"/>
              </w:rPr>
              <w:t>(Zip Code)</w:t>
            </w:r>
          </w:p>
        </w:tc>
        <w:tc>
          <w:tcPr>
            <w:tcW w:w="900" w:type="dxa"/>
            <w:vAlign w:val="bottom"/>
          </w:tcPr>
          <w:p>
            <w:pPr>
              <w:spacing w:after="0"/>
              <w:rPr>
                <w:sz w:val="14"/>
                <w:szCs w:val="14"/>
                <w:color w:val="auto"/>
              </w:rPr>
            </w:pPr>
          </w:p>
        </w:tc>
      </w:tr>
      <w:tr>
        <w:trPr>
          <w:trHeight w:val="530"/>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(303) 404-1800</w:t>
            </w: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20" w:type="dxa"/>
            <w:vAlign w:val="bottom"/>
            <w:gridSpan w:val="6"/>
          </w:tcPr>
          <w:p>
            <w:pPr>
              <w:jc w:val="center"/>
              <w:ind w:left="94"/>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c>
          <w:tcPr>
            <w:tcW w:w="2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9"/>
        </w:trPr>
        <w:tc>
          <w:tcPr>
            <w:tcW w:w="47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4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2"/>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3"/>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gridSpan w:val="3"/>
          </w:tcPr>
          <w:p>
            <w:pPr>
              <w:spacing w:after="0"/>
              <w:rPr>
                <w:sz w:val="10"/>
                <w:szCs w:val="10"/>
                <w:color w:val="auto"/>
              </w:rPr>
            </w:pPr>
          </w:p>
        </w:tc>
      </w:tr>
      <w:tr>
        <w:trPr>
          <w:trHeight w:val="212"/>
        </w:trPr>
        <w:tc>
          <w:tcPr>
            <w:tcW w:w="40" w:type="dxa"/>
            <w:vAlign w:val="bottom"/>
            <w:tcBorders>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gridSpan w:val="2"/>
          </w:tcPr>
          <w:p>
            <w:pPr>
              <w:jc w:val="center"/>
              <w:ind w:right="774"/>
              <w:spacing w:after="0"/>
              <w:rPr>
                <w:sz w:val="20"/>
                <w:szCs w:val="20"/>
                <w:color w:val="auto"/>
              </w:rPr>
            </w:pPr>
            <w:r>
              <w:rPr>
                <w:rFonts w:ascii="Times New Roman" w:cs="Times New Roman" w:eastAsia="Times New Roman" w:hAnsi="Times New Roman"/>
                <w:sz w:val="17"/>
                <w:szCs w:val="17"/>
                <w:color w:val="auto"/>
              </w:rPr>
              <w:t>Title of each class</w:t>
            </w:r>
          </w:p>
        </w:tc>
        <w:tc>
          <w:tcPr>
            <w:tcW w:w="54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7"/>
                <w:szCs w:val="17"/>
                <w:color w:val="auto"/>
              </w:rPr>
              <w:t>Trading Symbol</w:t>
            </w:r>
          </w:p>
        </w:tc>
        <w:tc>
          <w:tcPr>
            <w:tcW w:w="440" w:type="dxa"/>
            <w:vAlign w:val="bottom"/>
            <w:tcBorders>
              <w:bottom w:val="single" w:sz="8" w:color="auto"/>
            </w:tcBorders>
          </w:tcPr>
          <w:p>
            <w:pPr>
              <w:spacing w:after="0"/>
              <w:rPr>
                <w:sz w:val="18"/>
                <w:szCs w:val="18"/>
                <w:color w:val="auto"/>
              </w:rPr>
            </w:pPr>
          </w:p>
        </w:tc>
        <w:tc>
          <w:tcPr>
            <w:tcW w:w="3720" w:type="dxa"/>
            <w:vAlign w:val="bottom"/>
            <w:tcBorders>
              <w:bottom w:val="single" w:sz="8" w:color="auto"/>
              <w:right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12"/>
        </w:trPr>
        <w:tc>
          <w:tcPr>
            <w:tcW w:w="40" w:type="dxa"/>
            <w:vAlign w:val="bottom"/>
            <w:tcBorders>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gridSpan w:val="2"/>
          </w:tcPr>
          <w:p>
            <w:pPr>
              <w:jc w:val="center"/>
              <w:ind w:right="794"/>
              <w:spacing w:after="0"/>
              <w:rPr>
                <w:sz w:val="20"/>
                <w:szCs w:val="20"/>
                <w:color w:val="auto"/>
              </w:rPr>
            </w:pPr>
            <w:r>
              <w:rPr>
                <w:rFonts w:ascii="Times New Roman" w:cs="Times New Roman" w:eastAsia="Times New Roman" w:hAnsi="Times New Roman"/>
                <w:sz w:val="17"/>
                <w:szCs w:val="17"/>
                <w:b w:val="1"/>
                <w:bCs w:val="1"/>
                <w:color w:val="auto"/>
              </w:rPr>
              <w:t>Common Stock, $0.01 par value</w:t>
            </w:r>
          </w:p>
        </w:tc>
        <w:tc>
          <w:tcPr>
            <w:tcW w:w="54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MTN</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20" w:type="dxa"/>
            <w:vAlign w:val="bottom"/>
            <w:tcBorders>
              <w:bottom w:val="single" w:sz="8" w:color="auto"/>
              <w:right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7"/>
                <w:szCs w:val="17"/>
                <w:b w:val="1"/>
                <w:bCs w:val="1"/>
                <w:color w:val="auto"/>
                <w:w w:val="99"/>
              </w:rPr>
              <w:t>New York Stock Exchange</w:t>
            </w:r>
          </w:p>
        </w:tc>
      </w:tr>
    </w:tbl>
    <w:p>
      <w:pPr>
        <w:spacing w:after="0" w:line="29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w:t>
      </w:r>
    </w:p>
    <w:p>
      <w:pPr>
        <w:spacing w:after="0" w:line="46" w:lineRule="exact"/>
        <w:rPr>
          <w:sz w:val="24"/>
          <w:szCs w:val="24"/>
          <w:color w:val="auto"/>
        </w:rPr>
      </w:pPr>
    </w:p>
    <w:p>
      <w:pPr>
        <w:jc w:val="both"/>
        <w:spacing w:after="0" w:line="25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w:t>
      </w:r>
    </w:p>
    <w:p>
      <w:pPr>
        <w:spacing w:after="0" w:line="58"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347"/>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200" w:type="dxa"/>
            <w:vAlign w:val="bottom"/>
          </w:tcPr>
          <w:p>
            <w:pPr>
              <w:ind w:left="460"/>
              <w:spacing w:after="0" w:line="211" w:lineRule="exact"/>
              <w:rPr>
                <w:sz w:val="20"/>
                <w:szCs w:val="20"/>
                <w:color w:val="auto"/>
              </w:rPr>
            </w:pPr>
            <w:r>
              <w:rPr>
                <w:rFonts w:ascii="MS PGothic" w:cs="MS PGothic" w:eastAsia="MS PGothic" w:hAnsi="MS PGothic"/>
                <w:sz w:val="21"/>
                <w:szCs w:val="21"/>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Accelerated filer</w:t>
            </w:r>
          </w:p>
        </w:tc>
        <w:tc>
          <w:tcPr>
            <w:tcW w:w="660" w:type="dxa"/>
            <w:vAlign w:val="bottom"/>
          </w:tcPr>
          <w:p>
            <w:pPr>
              <w:ind w:left="480"/>
              <w:spacing w:after="0" w:line="211" w:lineRule="exact"/>
              <w:rPr>
                <w:sz w:val="20"/>
                <w:szCs w:val="20"/>
                <w:color w:val="auto"/>
              </w:rPr>
            </w:pPr>
            <w:r>
              <w:rPr>
                <w:rFonts w:ascii="MS PGothic" w:cs="MS PGothic" w:eastAsia="MS PGothic" w:hAnsi="MS PGothic"/>
                <w:sz w:val="21"/>
                <w:szCs w:val="21"/>
                <w:color w:val="auto"/>
                <w:w w:val="75"/>
              </w:rPr>
              <w:t>☐</w:t>
            </w:r>
          </w:p>
        </w:tc>
      </w:tr>
      <w:tr>
        <w:trPr>
          <w:trHeight w:val="348"/>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200" w:type="dxa"/>
            <w:vAlign w:val="bottom"/>
          </w:tcPr>
          <w:p>
            <w:pPr>
              <w:ind w:left="460"/>
              <w:spacing w:after="0" w:line="211" w:lineRule="exact"/>
              <w:rPr>
                <w:sz w:val="20"/>
                <w:szCs w:val="20"/>
                <w:color w:val="auto"/>
              </w:rPr>
            </w:pPr>
            <w:r>
              <w:rPr>
                <w:rFonts w:ascii="MS PGothic" w:cs="MS PGothic" w:eastAsia="MS PGothic" w:hAnsi="MS PGothic"/>
                <w:sz w:val="21"/>
                <w:szCs w:val="21"/>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60" w:type="dxa"/>
            <w:vAlign w:val="bottom"/>
          </w:tcPr>
          <w:p>
            <w:pPr>
              <w:ind w:left="480"/>
              <w:spacing w:after="0" w:line="211" w:lineRule="exact"/>
              <w:rPr>
                <w:sz w:val="20"/>
                <w:szCs w:val="20"/>
                <w:color w:val="auto"/>
              </w:rPr>
            </w:pPr>
            <w:r>
              <w:rPr>
                <w:rFonts w:ascii="MS PGothic" w:cs="MS PGothic" w:eastAsia="MS PGothic" w:hAnsi="MS PGothic"/>
                <w:sz w:val="21"/>
                <w:szCs w:val="21"/>
                <w:color w:val="auto"/>
                <w:w w:val="75"/>
              </w:rPr>
              <w:t>☐</w:t>
            </w:r>
          </w:p>
        </w:tc>
      </w:tr>
      <w:tr>
        <w:trPr>
          <w:trHeight w:val="361"/>
        </w:trPr>
        <w:tc>
          <w:tcPr>
            <w:tcW w:w="20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60" w:type="dxa"/>
            <w:vAlign w:val="bottom"/>
          </w:tcPr>
          <w:p>
            <w:pPr>
              <w:ind w:left="480"/>
              <w:spacing w:after="0" w:line="211" w:lineRule="exact"/>
              <w:rPr>
                <w:sz w:val="20"/>
                <w:szCs w:val="20"/>
                <w:color w:val="auto"/>
              </w:rPr>
            </w:pPr>
            <w:r>
              <w:rPr>
                <w:rFonts w:ascii="MS PGothic" w:cs="MS PGothic" w:eastAsia="MS PGothic" w:hAnsi="MS PGothic"/>
                <w:sz w:val="21"/>
                <w:szCs w:val="21"/>
                <w:color w:val="auto"/>
                <w:w w:val="75"/>
              </w:rPr>
              <w:t>☐</w:t>
            </w:r>
          </w:p>
        </w:tc>
      </w:tr>
    </w:tbl>
    <w:p>
      <w:pPr>
        <w:spacing w:after="0" w:line="44" w:lineRule="exact"/>
        <w:rPr>
          <w:sz w:val="24"/>
          <w:szCs w:val="24"/>
          <w:color w:val="auto"/>
        </w:rPr>
      </w:pPr>
    </w:p>
    <w:p>
      <w:pPr>
        <w:spacing w:after="0" w:line="25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7" w:lineRule="exact"/>
        <w:rPr>
          <w:sz w:val="24"/>
          <w:szCs w:val="24"/>
          <w:color w:val="auto"/>
        </w:rPr>
      </w:pPr>
    </w:p>
    <w:p>
      <w:pPr>
        <w:ind w:right="2120"/>
        <w:spacing w:after="0" w:line="3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As of June 3, 2024, 37,624,016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519430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940" w:type="dxa"/>
            <w:vAlign w:val="bottom"/>
            <w:gridSpan w:val="8"/>
          </w:tcPr>
          <w:p>
            <w:pPr>
              <w:jc w:val="center"/>
              <w:ind w:right="422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53"/>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97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INFORMATION</w:t>
            </w:r>
          </w:p>
        </w:tc>
        <w:tc>
          <w:tcPr>
            <w:tcW w:w="54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Page</w:t>
            </w:r>
          </w:p>
        </w:tc>
      </w:tr>
      <w:tr>
        <w:trPr>
          <w:trHeight w:val="238"/>
        </w:trPr>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97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Statements (unaudited).</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0"/>
        </w:trPr>
        <w:tc>
          <w:tcPr>
            <w:tcW w:w="960" w:type="dxa"/>
            <w:vAlign w:val="bottom"/>
          </w:tcPr>
          <w:p>
            <w:pPr>
              <w:spacing w:after="0"/>
              <w:rPr>
                <w:sz w:val="15"/>
                <w:szCs w:val="15"/>
                <w:color w:val="auto"/>
              </w:rPr>
            </w:pPr>
          </w:p>
        </w:tc>
        <w:tc>
          <w:tcPr>
            <w:tcW w:w="658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Consolidated Condensed Balance Sheets as of April 30, 2024, July 31, 2023 and April 30, 2023</w:t>
            </w:r>
          </w:p>
        </w:tc>
        <w:tc>
          <w:tcPr>
            <w:tcW w:w="3160" w:type="dxa"/>
            <w:vAlign w:val="bottom"/>
            <w:gridSpan w:val="5"/>
          </w:tcPr>
          <w:p>
            <w:pPr>
              <w:spacing w:after="0"/>
              <w:rPr>
                <w:sz w:val="15"/>
                <w:szCs w:val="15"/>
                <w:color w:val="auto"/>
              </w:rPr>
            </w:pPr>
          </w:p>
        </w:tc>
        <w:tc>
          <w:tcPr>
            <w:tcW w:w="440" w:type="dxa"/>
            <w:vAlign w:val="bottom"/>
            <w:gridSpan w:val="2"/>
          </w:tcPr>
          <w:p>
            <w:pPr>
              <w:spacing w:after="0"/>
              <w:rPr>
                <w:sz w:val="15"/>
                <w:szCs w:val="15"/>
                <w:color w:val="auto"/>
              </w:rPr>
            </w:pPr>
          </w:p>
        </w:tc>
        <w:tc>
          <w:tcPr>
            <w:tcW w:w="1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70"/>
              </w:rPr>
              <w:t>2</w:t>
            </w:r>
          </w:p>
        </w:tc>
      </w:tr>
      <w:tr>
        <w:trPr>
          <w:trHeight w:val="29"/>
        </w:trPr>
        <w:tc>
          <w:tcPr>
            <w:tcW w:w="9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00" w:type="dxa"/>
            <w:vAlign w:val="bottom"/>
            <w:tcBorders>
              <w:lef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960" w:type="dxa"/>
            <w:vAlign w:val="bottom"/>
            <w:shd w:val="clear" w:color="auto" w:fill="CCEEFF"/>
          </w:tcPr>
          <w:p>
            <w:pPr>
              <w:spacing w:after="0"/>
              <w:rPr>
                <w:sz w:val="16"/>
                <w:szCs w:val="16"/>
                <w:color w:val="auto"/>
              </w:rPr>
            </w:pPr>
          </w:p>
        </w:tc>
        <w:tc>
          <w:tcPr>
            <w:tcW w:w="97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FF"/>
              </w:rPr>
              <w:t>Consolidated Condensed Statements of Operations for the Three and Nine Months Ended April 30, 2024 and 2023</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0000FF"/>
              </w:rPr>
              <w:t>3</w:t>
            </w:r>
          </w:p>
        </w:tc>
      </w:tr>
      <w:tr>
        <w:trPr>
          <w:trHeight w:val="39"/>
        </w:trPr>
        <w:tc>
          <w:tcPr>
            <w:tcW w:w="96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000" w:type="dxa"/>
            <w:vAlign w:val="bottom"/>
            <w:tcBorders>
              <w:left w:val="single" w:sz="8" w:color="0000FF"/>
            </w:tcBorders>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960" w:type="dxa"/>
            <w:vAlign w:val="bottom"/>
          </w:tcPr>
          <w:p>
            <w:pPr>
              <w:spacing w:after="0"/>
              <w:rPr>
                <w:sz w:val="15"/>
                <w:szCs w:val="15"/>
                <w:color w:val="auto"/>
              </w:rPr>
            </w:pPr>
          </w:p>
        </w:tc>
        <w:tc>
          <w:tcPr>
            <w:tcW w:w="876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FF"/>
              </w:rPr>
              <w:t>Consolidated Condensed Statements of Comprehensive Income for the Three and Nine Months Ended April 30, 2024 and 2023</w:t>
            </w:r>
          </w:p>
        </w:tc>
        <w:tc>
          <w:tcPr>
            <w:tcW w:w="98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1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70"/>
              </w:rPr>
              <w:t>4</w:t>
            </w:r>
          </w:p>
        </w:tc>
      </w:tr>
      <w:tr>
        <w:trPr>
          <w:trHeight w:val="29"/>
        </w:trPr>
        <w:tc>
          <w:tcPr>
            <w:tcW w:w="9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00" w:type="dxa"/>
            <w:vAlign w:val="bottom"/>
            <w:tcBorders>
              <w:lef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960" w:type="dxa"/>
            <w:vAlign w:val="bottom"/>
            <w:shd w:val="clear" w:color="auto" w:fill="CCEEFF"/>
          </w:tcPr>
          <w:p>
            <w:pPr>
              <w:spacing w:after="0"/>
              <w:rPr>
                <w:sz w:val="16"/>
                <w:szCs w:val="16"/>
                <w:color w:val="auto"/>
              </w:rPr>
            </w:pPr>
          </w:p>
        </w:tc>
        <w:tc>
          <w:tcPr>
            <w:tcW w:w="85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FF"/>
              </w:rPr>
              <w:t>Consolidated Condensed Statements of Stockholders’ Equity for the Three and Nine Months Ended April 30, 2024 and 2023</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0000FF"/>
                <w:w w:val="70"/>
              </w:rPr>
              <w:t>5</w:t>
            </w:r>
          </w:p>
        </w:tc>
      </w:tr>
      <w:tr>
        <w:trPr>
          <w:trHeight w:val="39"/>
        </w:trPr>
        <w:tc>
          <w:tcPr>
            <w:tcW w:w="96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000" w:type="dxa"/>
            <w:vAlign w:val="bottom"/>
            <w:tcBorders>
              <w:left w:val="single" w:sz="8" w:color="0000FF"/>
            </w:tcBorders>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960" w:type="dxa"/>
            <w:vAlign w:val="bottom"/>
          </w:tcPr>
          <w:p>
            <w:pPr>
              <w:spacing w:after="0"/>
              <w:rPr>
                <w:sz w:val="15"/>
                <w:szCs w:val="15"/>
                <w:color w:val="auto"/>
              </w:rPr>
            </w:pPr>
          </w:p>
        </w:tc>
        <w:tc>
          <w:tcPr>
            <w:tcW w:w="8580" w:type="dxa"/>
            <w:vAlign w:val="bottom"/>
            <w:gridSpan w:val="12"/>
          </w:tcPr>
          <w:p>
            <w:pPr>
              <w:spacing w:after="0" w:line="181" w:lineRule="exact"/>
              <w:rPr>
                <w:sz w:val="20"/>
                <w:szCs w:val="20"/>
                <w:color w:val="auto"/>
              </w:rPr>
            </w:pPr>
            <w:r>
              <w:rPr>
                <w:rFonts w:ascii="Times New Roman" w:cs="Times New Roman" w:eastAsia="Times New Roman" w:hAnsi="Times New Roman"/>
                <w:sz w:val="17"/>
                <w:szCs w:val="17"/>
                <w:color w:val="0000FF"/>
              </w:rPr>
              <w:t>Consolidated Condensed Statements of Cash Flows for the Nine Months Ended April 30, 2024 and 2023</w:t>
            </w:r>
          </w:p>
        </w:tc>
        <w:tc>
          <w:tcPr>
            <w:tcW w:w="1160" w:type="dxa"/>
            <w:vAlign w:val="bottom"/>
            <w:gridSpan w:val="2"/>
          </w:tcPr>
          <w:p>
            <w:pPr>
              <w:spacing w:after="0"/>
              <w:rPr>
                <w:sz w:val="15"/>
                <w:szCs w:val="15"/>
                <w:color w:val="auto"/>
              </w:rPr>
            </w:pPr>
          </w:p>
        </w:tc>
        <w:tc>
          <w:tcPr>
            <w:tcW w:w="440" w:type="dxa"/>
            <w:vAlign w:val="bottom"/>
            <w:gridSpan w:val="2"/>
          </w:tcPr>
          <w:p>
            <w:pPr>
              <w:spacing w:after="0"/>
              <w:rPr>
                <w:sz w:val="15"/>
                <w:szCs w:val="15"/>
                <w:color w:val="auto"/>
              </w:rPr>
            </w:pPr>
          </w:p>
        </w:tc>
        <w:tc>
          <w:tcPr>
            <w:tcW w:w="1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70"/>
              </w:rPr>
              <w:t>7</w:t>
            </w:r>
          </w:p>
        </w:tc>
      </w:tr>
      <w:tr>
        <w:trPr>
          <w:trHeight w:val="29"/>
        </w:trPr>
        <w:tc>
          <w:tcPr>
            <w:tcW w:w="9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00" w:type="dxa"/>
            <w:vAlign w:val="bottom"/>
            <w:tcBorders>
              <w:lef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960" w:type="dxa"/>
            <w:vAlign w:val="bottom"/>
            <w:shd w:val="clear" w:color="auto" w:fill="CCEEFF"/>
          </w:tcPr>
          <w:p>
            <w:pPr>
              <w:spacing w:after="0"/>
              <w:rPr>
                <w:sz w:val="16"/>
                <w:szCs w:val="16"/>
                <w:color w:val="auto"/>
              </w:rPr>
            </w:pPr>
          </w:p>
        </w:tc>
        <w:tc>
          <w:tcPr>
            <w:tcW w:w="718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FF"/>
              </w:rPr>
              <w:t>Notes to Consolidated Condensed Financial Statements</w:t>
            </w:r>
          </w:p>
        </w:tc>
        <w:tc>
          <w:tcPr>
            <w:tcW w:w="2560" w:type="dxa"/>
            <w:vAlign w:val="bottom"/>
            <w:gridSpan w:val="4"/>
            <w:shd w:val="clear" w:color="auto" w:fill="CCEEFF"/>
          </w:tcPr>
          <w:p>
            <w:pPr>
              <w:spacing w:after="0"/>
              <w:rPr>
                <w:sz w:val="16"/>
                <w:szCs w:val="16"/>
                <w:color w:val="auto"/>
              </w:rPr>
            </w:pPr>
          </w:p>
        </w:tc>
        <w:tc>
          <w:tcPr>
            <w:tcW w:w="440" w:type="dxa"/>
            <w:vAlign w:val="bottom"/>
            <w:gridSpan w:val="2"/>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0000FF"/>
                <w:w w:val="70"/>
              </w:rPr>
              <w:t>8</w:t>
            </w:r>
          </w:p>
        </w:tc>
      </w:tr>
      <w:tr>
        <w:trPr>
          <w:trHeight w:val="39"/>
        </w:trPr>
        <w:tc>
          <w:tcPr>
            <w:tcW w:w="96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0" w:type="dxa"/>
            <w:vAlign w:val="bottom"/>
            <w:tcBorders>
              <w:lef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9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974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5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0000FF"/>
              </w:rPr>
              <w:t>22</w:t>
            </w:r>
          </w:p>
        </w:tc>
        <w:tc>
          <w:tcPr>
            <w:tcW w:w="20" w:type="dxa"/>
            <w:vAlign w:val="bottom"/>
          </w:tcPr>
          <w:p>
            <w:pPr>
              <w:spacing w:after="0"/>
              <w:rPr>
                <w:sz w:val="15"/>
                <w:szCs w:val="15"/>
                <w:color w:val="auto"/>
              </w:rPr>
            </w:pPr>
          </w:p>
        </w:tc>
      </w:tr>
      <w:tr>
        <w:trPr>
          <w:trHeight w:val="29"/>
        </w:trPr>
        <w:tc>
          <w:tcPr>
            <w:tcW w:w="9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00" w:type="dxa"/>
            <w:vAlign w:val="bottom"/>
            <w:tcBorders>
              <w:left w:val="single" w:sz="8" w:color="0000FF"/>
            </w:tcBorders>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Item 3.</w:t>
            </w:r>
          </w:p>
        </w:tc>
        <w:tc>
          <w:tcPr>
            <w:tcW w:w="41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FF"/>
                <w:w w:val="99"/>
              </w:rPr>
              <w:t>Quantitative and Qualitative Disclosures About Market Risk</w:t>
            </w:r>
          </w:p>
        </w:tc>
        <w:tc>
          <w:tcPr>
            <w:tcW w:w="2000" w:type="dxa"/>
            <w:vAlign w:val="bottom"/>
            <w:tcBorders>
              <w:left w:val="single" w:sz="8" w:color="CCEEFF"/>
            </w:tcBorders>
            <w:shd w:val="clear" w:color="auto" w:fill="CCEEFF"/>
          </w:tcPr>
          <w:p>
            <w:pPr>
              <w:spacing w:after="0"/>
              <w:rPr>
                <w:sz w:val="16"/>
                <w:szCs w:val="16"/>
                <w:color w:val="auto"/>
              </w:rPr>
            </w:pPr>
          </w:p>
        </w:tc>
        <w:tc>
          <w:tcPr>
            <w:tcW w:w="3600" w:type="dxa"/>
            <w:vAlign w:val="bottom"/>
            <w:gridSpan w:val="6"/>
            <w:shd w:val="clear" w:color="auto" w:fill="CCEEFF"/>
          </w:tcPr>
          <w:p>
            <w:pPr>
              <w:spacing w:after="0"/>
              <w:rPr>
                <w:sz w:val="16"/>
                <w:szCs w:val="16"/>
                <w:color w:val="auto"/>
              </w:rPr>
            </w:pP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FF"/>
              </w:rPr>
              <w:t>40</w:t>
            </w:r>
          </w:p>
        </w:tc>
        <w:tc>
          <w:tcPr>
            <w:tcW w:w="20" w:type="dxa"/>
            <w:vAlign w:val="bottom"/>
            <w:shd w:val="clear" w:color="auto" w:fill="CCEEFF"/>
          </w:tcPr>
          <w:p>
            <w:pPr>
              <w:spacing w:after="0"/>
              <w:rPr>
                <w:sz w:val="16"/>
                <w:szCs w:val="16"/>
                <w:color w:val="auto"/>
              </w:rPr>
            </w:pPr>
          </w:p>
        </w:tc>
      </w:tr>
      <w:tr>
        <w:trPr>
          <w:trHeight w:val="39"/>
        </w:trPr>
        <w:tc>
          <w:tcPr>
            <w:tcW w:w="96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000" w:type="dxa"/>
            <w:vAlign w:val="bottom"/>
            <w:tcBorders>
              <w:left w:val="single" w:sz="8" w:color="0000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0"/>
        </w:trPr>
        <w:tc>
          <w:tcPr>
            <w:tcW w:w="9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Item 4.</w:t>
            </w:r>
          </w:p>
        </w:tc>
        <w:tc>
          <w:tcPr>
            <w:tcW w:w="4140" w:type="dxa"/>
            <w:vAlign w:val="bottom"/>
            <w:gridSpan w:val="7"/>
          </w:tcPr>
          <w:p>
            <w:pPr>
              <w:spacing w:after="0" w:line="181" w:lineRule="exact"/>
              <w:rPr>
                <w:sz w:val="20"/>
                <w:szCs w:val="20"/>
                <w:color w:val="auto"/>
              </w:rPr>
            </w:pPr>
            <w:r>
              <w:rPr>
                <w:rFonts w:ascii="Times New Roman" w:cs="Times New Roman" w:eastAsia="Times New Roman" w:hAnsi="Times New Roman"/>
                <w:sz w:val="17"/>
                <w:szCs w:val="17"/>
                <w:color w:val="0000FF"/>
              </w:rPr>
              <w:t>Controls and Procedures</w:t>
            </w:r>
          </w:p>
        </w:tc>
        <w:tc>
          <w:tcPr>
            <w:tcW w:w="5600" w:type="dxa"/>
            <w:vAlign w:val="bottom"/>
            <w:gridSpan w:val="7"/>
          </w:tcPr>
          <w:p>
            <w:pPr>
              <w:spacing w:after="0"/>
              <w:rPr>
                <w:sz w:val="16"/>
                <w:szCs w:val="16"/>
                <w:color w:val="auto"/>
              </w:rPr>
            </w:pPr>
          </w:p>
        </w:tc>
        <w:tc>
          <w:tcPr>
            <w:tcW w:w="5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0000FF"/>
              </w:rPr>
              <w:t>40</w:t>
            </w:r>
          </w:p>
        </w:tc>
        <w:tc>
          <w:tcPr>
            <w:tcW w:w="20" w:type="dxa"/>
            <w:vAlign w:val="bottom"/>
          </w:tcPr>
          <w:p>
            <w:pPr>
              <w:spacing w:after="0"/>
              <w:rPr>
                <w:sz w:val="16"/>
                <w:szCs w:val="16"/>
                <w:color w:val="auto"/>
              </w:rPr>
            </w:pPr>
          </w:p>
        </w:tc>
      </w:tr>
      <w:tr>
        <w:trPr>
          <w:trHeight w:val="267"/>
        </w:trPr>
        <w:tc>
          <w:tcPr>
            <w:tcW w:w="960" w:type="dxa"/>
            <w:vAlign w:val="bottom"/>
            <w:shd w:val="clear" w:color="auto" w:fill="CCEEFF"/>
          </w:tcPr>
          <w:p>
            <w:pPr>
              <w:spacing w:after="0"/>
              <w:rPr>
                <w:sz w:val="23"/>
                <w:szCs w:val="23"/>
                <w:color w:val="auto"/>
              </w:rPr>
            </w:pPr>
          </w:p>
        </w:tc>
        <w:tc>
          <w:tcPr>
            <w:tcW w:w="580" w:type="dxa"/>
            <w:vAlign w:val="bottom"/>
            <w:tcBorders>
              <w:top w:val="single" w:sz="8" w:color="0000FF"/>
            </w:tcBorders>
            <w:shd w:val="clear" w:color="auto" w:fill="CCEEFF"/>
          </w:tcPr>
          <w:p>
            <w:pPr>
              <w:spacing w:after="0"/>
              <w:rPr>
                <w:sz w:val="23"/>
                <w:szCs w:val="23"/>
                <w:color w:val="auto"/>
              </w:rPr>
            </w:pPr>
          </w:p>
        </w:tc>
        <w:tc>
          <w:tcPr>
            <w:tcW w:w="280" w:type="dxa"/>
            <w:vAlign w:val="bottom"/>
            <w:tcBorders>
              <w:top w:val="single" w:sz="8" w:color="0000FF"/>
            </w:tcBorders>
            <w:shd w:val="clear" w:color="auto" w:fill="CCEEFF"/>
          </w:tcPr>
          <w:p>
            <w:pPr>
              <w:spacing w:after="0"/>
              <w:rPr>
                <w:sz w:val="23"/>
                <w:szCs w:val="23"/>
                <w:color w:val="auto"/>
              </w:rPr>
            </w:pPr>
          </w:p>
        </w:tc>
        <w:tc>
          <w:tcPr>
            <w:tcW w:w="420" w:type="dxa"/>
            <w:vAlign w:val="bottom"/>
            <w:tcBorders>
              <w:top w:val="single" w:sz="8" w:color="0000FF"/>
              <w:right w:val="single" w:sz="8" w:color="CCEEFF"/>
            </w:tcBorders>
            <w:shd w:val="clear" w:color="auto" w:fill="CCEEFF"/>
          </w:tcPr>
          <w:p>
            <w:pPr>
              <w:spacing w:after="0"/>
              <w:rPr>
                <w:sz w:val="23"/>
                <w:szCs w:val="23"/>
                <w:color w:val="auto"/>
              </w:rPr>
            </w:pPr>
          </w:p>
        </w:tc>
        <w:tc>
          <w:tcPr>
            <w:tcW w:w="400" w:type="dxa"/>
            <w:vAlign w:val="bottom"/>
            <w:tcBorders>
              <w:top w:val="single" w:sz="8" w:color="0000FF"/>
            </w:tcBorders>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0" w:type="dxa"/>
            <w:vAlign w:val="bottom"/>
            <w:tcBorders>
              <w:left w:val="single" w:sz="8" w:color="CCEEFF"/>
            </w:tcBorders>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 w:type="dxa"/>
            <w:vAlign w:val="bottom"/>
            <w:tcBorders>
              <w:top w:val="single" w:sz="8" w:color="0000FF"/>
            </w:tcBorders>
            <w:shd w:val="clear" w:color="auto" w:fill="CCEEFF"/>
          </w:tcPr>
          <w:p>
            <w:pPr>
              <w:spacing w:after="0"/>
              <w:rPr>
                <w:sz w:val="23"/>
                <w:szCs w:val="23"/>
                <w:color w:val="auto"/>
              </w:rPr>
            </w:pPr>
          </w:p>
        </w:tc>
        <w:tc>
          <w:tcPr>
            <w:tcW w:w="80" w:type="dxa"/>
            <w:vAlign w:val="bottom"/>
            <w:tcBorders>
              <w:top w:val="single" w:sz="8" w:color="0000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19"/>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974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8"/>
        </w:trPr>
        <w:tc>
          <w:tcPr>
            <w:tcW w:w="9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00" w:type="dxa"/>
            <w:vAlign w:val="bottom"/>
            <w:tcBorders>
              <w:left w:val="single" w:sz="8" w:color="CCEEFF"/>
            </w:tcBorders>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180"/>
        </w:trPr>
        <w:tc>
          <w:tcPr>
            <w:tcW w:w="9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Item 1.</w:t>
            </w:r>
          </w:p>
        </w:tc>
        <w:tc>
          <w:tcPr>
            <w:tcW w:w="128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FF"/>
                <w:w w:val="98"/>
              </w:rPr>
              <w:t>Legal Proceedings</w:t>
            </w:r>
          </w:p>
        </w:tc>
        <w:tc>
          <w:tcPr>
            <w:tcW w:w="8460" w:type="dxa"/>
            <w:vAlign w:val="bottom"/>
            <w:gridSpan w:val="11"/>
          </w:tcPr>
          <w:p>
            <w:pPr>
              <w:spacing w:after="0"/>
              <w:rPr>
                <w:sz w:val="15"/>
                <w:szCs w:val="15"/>
                <w:color w:val="auto"/>
              </w:rPr>
            </w:pPr>
          </w:p>
        </w:tc>
        <w:tc>
          <w:tcPr>
            <w:tcW w:w="5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0000FF"/>
              </w:rPr>
              <w:t>41</w:t>
            </w:r>
          </w:p>
        </w:tc>
        <w:tc>
          <w:tcPr>
            <w:tcW w:w="20" w:type="dxa"/>
            <w:vAlign w:val="bottom"/>
          </w:tcPr>
          <w:p>
            <w:pPr>
              <w:spacing w:after="0"/>
              <w:rPr>
                <w:sz w:val="15"/>
                <w:szCs w:val="15"/>
                <w:color w:val="auto"/>
              </w:rPr>
            </w:pPr>
          </w:p>
        </w:tc>
      </w:tr>
      <w:tr>
        <w:trPr>
          <w:trHeight w:val="29"/>
        </w:trPr>
        <w:tc>
          <w:tcPr>
            <w:tcW w:w="9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Item 1A.</w:t>
            </w:r>
          </w:p>
        </w:tc>
        <w:tc>
          <w:tcPr>
            <w:tcW w:w="1280" w:type="dxa"/>
            <w:vAlign w:val="bottom"/>
            <w:tcBorders>
              <w:right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FF"/>
              </w:rPr>
              <w:t>Risk Factors</w:t>
            </w:r>
          </w:p>
        </w:tc>
        <w:tc>
          <w:tcPr>
            <w:tcW w:w="8460" w:type="dxa"/>
            <w:vAlign w:val="bottom"/>
            <w:gridSpan w:val="11"/>
            <w:shd w:val="clear" w:color="auto" w:fill="CCEEFF"/>
          </w:tcPr>
          <w:p>
            <w:pPr>
              <w:spacing w:after="0"/>
              <w:rPr>
                <w:sz w:val="16"/>
                <w:szCs w:val="16"/>
                <w:color w:val="auto"/>
              </w:rPr>
            </w:pP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FF"/>
              </w:rPr>
              <w:t>41</w:t>
            </w:r>
          </w:p>
        </w:tc>
        <w:tc>
          <w:tcPr>
            <w:tcW w:w="20" w:type="dxa"/>
            <w:vAlign w:val="bottom"/>
            <w:shd w:val="clear" w:color="auto" w:fill="CCEEFF"/>
          </w:tcPr>
          <w:p>
            <w:pPr>
              <w:spacing w:after="0"/>
              <w:rPr>
                <w:sz w:val="16"/>
                <w:szCs w:val="16"/>
                <w:color w:val="auto"/>
              </w:rPr>
            </w:pPr>
          </w:p>
        </w:tc>
      </w:tr>
      <w:tr>
        <w:trPr>
          <w:trHeight w:val="39"/>
        </w:trPr>
        <w:tc>
          <w:tcPr>
            <w:tcW w:w="96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0" w:type="dxa"/>
            <w:vAlign w:val="bottom"/>
            <w:tcBorders>
              <w:lef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9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974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5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0000FF"/>
              </w:rPr>
              <w:t>41</w:t>
            </w:r>
          </w:p>
        </w:tc>
        <w:tc>
          <w:tcPr>
            <w:tcW w:w="20" w:type="dxa"/>
            <w:vAlign w:val="bottom"/>
          </w:tcPr>
          <w:p>
            <w:pPr>
              <w:spacing w:after="0"/>
              <w:rPr>
                <w:sz w:val="15"/>
                <w:szCs w:val="15"/>
                <w:color w:val="auto"/>
              </w:rPr>
            </w:pPr>
          </w:p>
        </w:tc>
      </w:tr>
      <w:tr>
        <w:trPr>
          <w:trHeight w:val="29"/>
        </w:trPr>
        <w:tc>
          <w:tcPr>
            <w:tcW w:w="9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Item 3.</w:t>
            </w:r>
          </w:p>
        </w:tc>
        <w:tc>
          <w:tcPr>
            <w:tcW w:w="22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FF"/>
              </w:rPr>
              <w:t>Defaults Upon Senior Securities</w:t>
            </w:r>
          </w:p>
        </w:tc>
        <w:tc>
          <w:tcPr>
            <w:tcW w:w="1920" w:type="dxa"/>
            <w:vAlign w:val="bottom"/>
            <w:gridSpan w:val="2"/>
            <w:shd w:val="clear" w:color="auto" w:fill="CCEEFF"/>
          </w:tcPr>
          <w:p>
            <w:pPr>
              <w:spacing w:after="0"/>
              <w:rPr>
                <w:sz w:val="16"/>
                <w:szCs w:val="16"/>
                <w:color w:val="auto"/>
              </w:rPr>
            </w:pPr>
          </w:p>
        </w:tc>
        <w:tc>
          <w:tcPr>
            <w:tcW w:w="5600" w:type="dxa"/>
            <w:vAlign w:val="bottom"/>
            <w:tcBorders>
              <w:left w:val="single" w:sz="8" w:color="CCEEFF"/>
            </w:tcBorders>
            <w:gridSpan w:val="7"/>
            <w:shd w:val="clear" w:color="auto" w:fill="CCEEFF"/>
          </w:tcPr>
          <w:p>
            <w:pPr>
              <w:spacing w:after="0"/>
              <w:rPr>
                <w:sz w:val="16"/>
                <w:szCs w:val="16"/>
                <w:color w:val="auto"/>
              </w:rPr>
            </w:pP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FF"/>
              </w:rPr>
              <w:t>41</w:t>
            </w:r>
          </w:p>
        </w:tc>
        <w:tc>
          <w:tcPr>
            <w:tcW w:w="20" w:type="dxa"/>
            <w:vAlign w:val="bottom"/>
            <w:shd w:val="clear" w:color="auto" w:fill="CCEEFF"/>
          </w:tcPr>
          <w:p>
            <w:pPr>
              <w:spacing w:after="0"/>
              <w:rPr>
                <w:sz w:val="16"/>
                <w:szCs w:val="16"/>
                <w:color w:val="auto"/>
              </w:rPr>
            </w:pPr>
          </w:p>
        </w:tc>
      </w:tr>
      <w:tr>
        <w:trPr>
          <w:trHeight w:val="39"/>
        </w:trPr>
        <w:tc>
          <w:tcPr>
            <w:tcW w:w="96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0" w:type="dxa"/>
            <w:vAlign w:val="bottom"/>
            <w:tcBorders>
              <w:lef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9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Item 4.</w:t>
            </w:r>
          </w:p>
        </w:tc>
        <w:tc>
          <w:tcPr>
            <w:tcW w:w="222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0000FF"/>
              </w:rPr>
              <w:t>Mine Safety Disclosures</w:t>
            </w:r>
          </w:p>
        </w:tc>
        <w:tc>
          <w:tcPr>
            <w:tcW w:w="7520" w:type="dxa"/>
            <w:vAlign w:val="bottom"/>
            <w:gridSpan w:val="9"/>
          </w:tcPr>
          <w:p>
            <w:pPr>
              <w:spacing w:after="0"/>
              <w:rPr>
                <w:sz w:val="15"/>
                <w:szCs w:val="15"/>
                <w:color w:val="auto"/>
              </w:rPr>
            </w:pPr>
          </w:p>
        </w:tc>
        <w:tc>
          <w:tcPr>
            <w:tcW w:w="5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0000FF"/>
              </w:rPr>
              <w:t>41</w:t>
            </w:r>
          </w:p>
        </w:tc>
        <w:tc>
          <w:tcPr>
            <w:tcW w:w="20" w:type="dxa"/>
            <w:vAlign w:val="bottom"/>
          </w:tcPr>
          <w:p>
            <w:pPr>
              <w:spacing w:after="0"/>
              <w:rPr>
                <w:sz w:val="15"/>
                <w:szCs w:val="15"/>
                <w:color w:val="auto"/>
              </w:rPr>
            </w:pPr>
          </w:p>
        </w:tc>
      </w:tr>
      <w:tr>
        <w:trPr>
          <w:trHeight w:val="29"/>
        </w:trPr>
        <w:tc>
          <w:tcPr>
            <w:tcW w:w="9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Item 5.</w:t>
            </w:r>
          </w:p>
        </w:tc>
        <w:tc>
          <w:tcPr>
            <w:tcW w:w="1280" w:type="dxa"/>
            <w:vAlign w:val="bottom"/>
            <w:tcBorders>
              <w:right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FF"/>
                <w:w w:val="99"/>
              </w:rPr>
              <w:t>Other Information</w:t>
            </w:r>
          </w:p>
        </w:tc>
        <w:tc>
          <w:tcPr>
            <w:tcW w:w="400" w:type="dxa"/>
            <w:vAlign w:val="bottom"/>
            <w:shd w:val="clear" w:color="auto" w:fill="CCEEFF"/>
          </w:tcPr>
          <w:p>
            <w:pPr>
              <w:spacing w:after="0"/>
              <w:rPr>
                <w:sz w:val="16"/>
                <w:szCs w:val="16"/>
                <w:color w:val="auto"/>
              </w:rPr>
            </w:pPr>
          </w:p>
        </w:tc>
        <w:tc>
          <w:tcPr>
            <w:tcW w:w="8060" w:type="dxa"/>
            <w:vAlign w:val="bottom"/>
            <w:gridSpan w:val="10"/>
            <w:shd w:val="clear" w:color="auto" w:fill="CCEEFF"/>
          </w:tcPr>
          <w:p>
            <w:pPr>
              <w:spacing w:after="0"/>
              <w:rPr>
                <w:sz w:val="16"/>
                <w:szCs w:val="16"/>
                <w:color w:val="auto"/>
              </w:rPr>
            </w:pP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FF"/>
              </w:rPr>
              <w:t>42</w:t>
            </w:r>
          </w:p>
        </w:tc>
        <w:tc>
          <w:tcPr>
            <w:tcW w:w="20" w:type="dxa"/>
            <w:vAlign w:val="bottom"/>
            <w:shd w:val="clear" w:color="auto" w:fill="CCEEFF"/>
          </w:tcPr>
          <w:p>
            <w:pPr>
              <w:spacing w:after="0"/>
              <w:rPr>
                <w:sz w:val="16"/>
                <w:szCs w:val="16"/>
                <w:color w:val="auto"/>
              </w:rPr>
            </w:pPr>
          </w:p>
        </w:tc>
      </w:tr>
      <w:tr>
        <w:trPr>
          <w:trHeight w:val="39"/>
        </w:trPr>
        <w:tc>
          <w:tcPr>
            <w:tcW w:w="96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0" w:type="dxa"/>
            <w:vAlign w:val="bottom"/>
            <w:tcBorders>
              <w:lef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9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Item 6.</w:t>
            </w:r>
          </w:p>
        </w:tc>
        <w:tc>
          <w:tcPr>
            <w:tcW w:w="58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8"/>
              </w:rPr>
              <w:t>Exhibits</w:t>
            </w:r>
          </w:p>
        </w:tc>
        <w:tc>
          <w:tcPr>
            <w:tcW w:w="700" w:type="dxa"/>
            <w:vAlign w:val="bottom"/>
            <w:gridSpan w:val="2"/>
          </w:tcPr>
          <w:p>
            <w:pPr>
              <w:spacing w:after="0"/>
              <w:rPr>
                <w:sz w:val="15"/>
                <w:szCs w:val="15"/>
                <w:color w:val="auto"/>
              </w:rPr>
            </w:pPr>
          </w:p>
        </w:tc>
        <w:tc>
          <w:tcPr>
            <w:tcW w:w="8460" w:type="dxa"/>
            <w:vAlign w:val="bottom"/>
            <w:gridSpan w:val="11"/>
          </w:tcPr>
          <w:p>
            <w:pPr>
              <w:spacing w:after="0"/>
              <w:rPr>
                <w:sz w:val="15"/>
                <w:szCs w:val="15"/>
                <w:color w:val="auto"/>
              </w:rPr>
            </w:pPr>
          </w:p>
        </w:tc>
        <w:tc>
          <w:tcPr>
            <w:tcW w:w="5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0000FF"/>
              </w:rPr>
              <w:t>42</w:t>
            </w:r>
          </w:p>
        </w:tc>
        <w:tc>
          <w:tcPr>
            <w:tcW w:w="20" w:type="dxa"/>
            <w:vAlign w:val="bottom"/>
          </w:tcPr>
          <w:p>
            <w:pPr>
              <w:spacing w:after="0"/>
              <w:rPr>
                <w:sz w:val="15"/>
                <w:szCs w:val="15"/>
                <w:color w:val="auto"/>
              </w:rPr>
            </w:pPr>
          </w:p>
        </w:tc>
      </w:tr>
      <w:tr>
        <w:trPr>
          <w:trHeight w:val="1075"/>
        </w:trPr>
        <w:tc>
          <w:tcPr>
            <w:tcW w:w="96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560" w:type="dxa"/>
            <w:vAlign w:val="bottom"/>
            <w:gridSpan w:val="7"/>
          </w:tcPr>
          <w:p>
            <w:pPr>
              <w:jc w:val="right"/>
              <w:ind w:right="1440"/>
              <w:spacing w:after="0"/>
              <w:rPr>
                <w:sz w:val="20"/>
                <w:szCs w:val="20"/>
                <w:color w:val="auto"/>
              </w:rPr>
            </w:pPr>
            <w:r>
              <w:rPr>
                <w:rFonts w:ascii="Times New Roman" w:cs="Times New Roman" w:eastAsia="Times New Roman" w:hAnsi="Times New Roman"/>
                <w:sz w:val="17"/>
                <w:szCs w:val="17"/>
                <w:color w:val="auto"/>
              </w:rPr>
              <w:t>1</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9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Vail Resorts, Inc.</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Consolidated Condensed Balance Sheets</w:t>
      </w:r>
    </w:p>
    <w:p>
      <w:pPr>
        <w:spacing w:after="0" w:line="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340" w:type="dxa"/>
            <w:vAlign w:val="bottom"/>
          </w:tcPr>
          <w:p>
            <w:pPr>
              <w:spacing w:after="0"/>
              <w:rPr>
                <w:sz w:val="15"/>
                <w:szCs w:val="15"/>
                <w:color w:val="auto"/>
              </w:rPr>
            </w:pPr>
          </w:p>
        </w:tc>
        <w:tc>
          <w:tcPr>
            <w:tcW w:w="14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July 31, 2023</w:t>
            </w:r>
          </w:p>
        </w:tc>
        <w:tc>
          <w:tcPr>
            <w:tcW w:w="320" w:type="dxa"/>
            <w:vAlign w:val="bottom"/>
          </w:tcPr>
          <w:p>
            <w:pPr>
              <w:spacing w:after="0"/>
              <w:rPr>
                <w:sz w:val="15"/>
                <w:szCs w:val="15"/>
                <w:color w:val="auto"/>
              </w:rPr>
            </w:pPr>
          </w:p>
        </w:tc>
        <w:tc>
          <w:tcPr>
            <w:tcW w:w="13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22"/>
        </w:trPr>
        <w:tc>
          <w:tcPr>
            <w:tcW w:w="5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9"/>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705,429</w:t>
            </w:r>
          </w:p>
        </w:tc>
        <w:tc>
          <w:tcPr>
            <w:tcW w:w="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562,975</w:t>
            </w:r>
          </w:p>
        </w:tc>
        <w:tc>
          <w:tcPr>
            <w:tcW w:w="3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896,089</w:t>
            </w:r>
          </w:p>
        </w:tc>
      </w:tr>
      <w:tr>
        <w:trPr>
          <w:trHeight w:val="219"/>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46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11,458</w:t>
            </w:r>
          </w:p>
        </w:tc>
        <w:tc>
          <w:tcPr>
            <w:tcW w:w="34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10,118</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22,544</w:t>
            </w: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 receivables, net</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342,920</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381,067</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351,597</w:t>
            </w:r>
          </w:p>
        </w:tc>
      </w:tr>
      <w:tr>
        <w:trPr>
          <w:trHeight w:val="219"/>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 net</w:t>
            </w:r>
          </w:p>
        </w:tc>
        <w:tc>
          <w:tcPr>
            <w:tcW w:w="46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107,815</w:t>
            </w:r>
          </w:p>
        </w:tc>
        <w:tc>
          <w:tcPr>
            <w:tcW w:w="34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132,548</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103,606</w:t>
            </w:r>
          </w:p>
        </w:tc>
      </w:tr>
      <w:tr>
        <w:trPr>
          <w:trHeight w:val="219"/>
        </w:trPr>
        <w:tc>
          <w:tcPr>
            <w:tcW w:w="5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63,578</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121,403</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108,592</w:t>
            </w:r>
          </w:p>
        </w:tc>
      </w:tr>
      <w:tr>
        <w:trPr>
          <w:trHeight w:val="212"/>
        </w:trPr>
        <w:tc>
          <w:tcPr>
            <w:tcW w:w="5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460" w:type="dxa"/>
            <w:vAlign w:val="bottom"/>
          </w:tcPr>
          <w:p>
            <w:pPr>
              <w:spacing w:after="0"/>
              <w:rPr>
                <w:sz w:val="18"/>
                <w:szCs w:val="18"/>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1,231,200</w:t>
            </w:r>
          </w:p>
        </w:tc>
        <w:tc>
          <w:tcPr>
            <w:tcW w:w="34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1,208,111</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1,482,428</w:t>
            </w: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plant and equipment, net (Note 7)</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2,288,755</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2,371,557</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2,370,273</w:t>
            </w:r>
          </w:p>
        </w:tc>
      </w:tr>
      <w:tr>
        <w:trPr>
          <w:trHeight w:val="219"/>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Real estate held for sale or investment</w:t>
            </w:r>
          </w:p>
        </w:tc>
        <w:tc>
          <w:tcPr>
            <w:tcW w:w="46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86,568</w:t>
            </w:r>
          </w:p>
        </w:tc>
        <w:tc>
          <w:tcPr>
            <w:tcW w:w="34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90,207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90,078</w:t>
            </w: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Goodwill, net (Note 7)</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1,676,610</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1,720,344</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1,694,033</w:t>
            </w:r>
          </w:p>
        </w:tc>
      </w:tr>
      <w:tr>
        <w:trPr>
          <w:trHeight w:val="219"/>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Intangible assets, net</w:t>
            </w:r>
          </w:p>
        </w:tc>
        <w:tc>
          <w:tcPr>
            <w:tcW w:w="46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299,347</w:t>
            </w:r>
          </w:p>
        </w:tc>
        <w:tc>
          <w:tcPr>
            <w:tcW w:w="34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309,345</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306,519</w:t>
            </w: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right-of-use assets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186,924</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192,289</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199,990</w:t>
            </w:r>
          </w:p>
        </w:tc>
      </w:tr>
      <w:tr>
        <w:trPr>
          <w:trHeight w:val="219"/>
        </w:trPr>
        <w:tc>
          <w:tcPr>
            <w:tcW w:w="5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39,332</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55,901</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56,130</w:t>
            </w:r>
          </w:p>
        </w:tc>
      </w:tr>
      <w:tr>
        <w:trPr>
          <w:trHeight w:val="237"/>
        </w:trPr>
        <w:tc>
          <w:tcPr>
            <w:tcW w:w="59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4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5,808,736</w:t>
            </w:r>
          </w:p>
        </w:tc>
        <w:tc>
          <w:tcPr>
            <w:tcW w:w="3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5,947,754</w:t>
            </w:r>
          </w:p>
        </w:tc>
        <w:tc>
          <w:tcPr>
            <w:tcW w:w="3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6,199,451</w:t>
            </w:r>
          </w:p>
        </w:tc>
      </w:tr>
      <w:tr>
        <w:trPr>
          <w:trHeight w:val="20"/>
        </w:trPr>
        <w:tc>
          <w:tcPr>
            <w:tcW w:w="5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90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liabilities (Note 7)</w:t>
            </w:r>
          </w:p>
        </w:tc>
        <w:tc>
          <w:tcPr>
            <w:tcW w:w="4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851,503</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978,021</w:t>
            </w:r>
          </w:p>
        </w:tc>
        <w:tc>
          <w:tcPr>
            <w:tcW w:w="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868,369</w:t>
            </w: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taxes payable</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120,706</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83,514</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49,022</w:t>
            </w:r>
          </w:p>
        </w:tc>
      </w:tr>
      <w:tr>
        <w:trPr>
          <w:trHeight w:val="219"/>
        </w:trPr>
        <w:tc>
          <w:tcPr>
            <w:tcW w:w="5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Long-term debt due within one year (Note 5)</w:t>
            </w: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68,470</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69,160</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68,970</w:t>
            </w:r>
          </w:p>
        </w:tc>
      </w:tr>
      <w:tr>
        <w:trPr>
          <w:trHeight w:val="212"/>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1,040,679</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1,130,695</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986,361</w:t>
            </w:r>
          </w:p>
        </w:tc>
      </w:tr>
      <w:tr>
        <w:trPr>
          <w:trHeight w:val="219"/>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Long-term debt, net (Note 5)</w:t>
            </w:r>
          </w:p>
        </w:tc>
        <w:tc>
          <w:tcPr>
            <w:tcW w:w="46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2,700,257</w:t>
            </w:r>
          </w:p>
        </w:tc>
        <w:tc>
          <w:tcPr>
            <w:tcW w:w="34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2,750,675</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2,773,747</w:t>
            </w: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154,880</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168,326</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174,363</w:t>
            </w:r>
          </w:p>
        </w:tc>
      </w:tr>
      <w:tr>
        <w:trPr>
          <w:trHeight w:val="219"/>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46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306,223</w:t>
            </w:r>
          </w:p>
        </w:tc>
        <w:tc>
          <w:tcPr>
            <w:tcW w:w="34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286,261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264,243</w:t>
            </w:r>
          </w:p>
        </w:tc>
      </w:tr>
      <w:tr>
        <w:trPr>
          <w:trHeight w:val="219"/>
        </w:trPr>
        <w:tc>
          <w:tcPr>
            <w:tcW w:w="5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income taxes, net</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284,665</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276,137</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401,240</w:t>
            </w:r>
          </w:p>
        </w:tc>
      </w:tr>
      <w:tr>
        <w:trPr>
          <w:trHeight w:val="212"/>
        </w:trPr>
        <w:tc>
          <w:tcPr>
            <w:tcW w:w="5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460" w:type="dxa"/>
            <w:vAlign w:val="bottom"/>
          </w:tcPr>
          <w:p>
            <w:pPr>
              <w:spacing w:after="0"/>
              <w:rPr>
                <w:sz w:val="18"/>
                <w:szCs w:val="18"/>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4,486,704</w:t>
            </w:r>
          </w:p>
        </w:tc>
        <w:tc>
          <w:tcPr>
            <w:tcW w:w="34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4,612,094</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4,599,954</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167"/>
        </w:trPr>
        <w:tc>
          <w:tcPr>
            <w:tcW w:w="590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Preferred stock, $0.01 par value, 25,000 shares authorized, no shares issued and</w:t>
            </w:r>
          </w:p>
        </w:tc>
        <w:tc>
          <w:tcPr>
            <w:tcW w:w="4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32"/>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outstanding</w:t>
            </w: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7"/>
        </w:trPr>
        <w:tc>
          <w:tcPr>
            <w:tcW w:w="59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Common stock, $0.01 par value, 100,000 shares authorized, 46,855, 46,798 and</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2"/>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46,797 shares issued, respectively</w:t>
            </w:r>
          </w:p>
        </w:tc>
        <w:tc>
          <w:tcPr>
            <w:tcW w:w="46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469</w:t>
            </w:r>
          </w:p>
        </w:tc>
        <w:tc>
          <w:tcPr>
            <w:tcW w:w="34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468</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w:t>
            </w: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1,139,089</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1,124,433</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1,118,221</w:t>
            </w:r>
          </w:p>
        </w:tc>
      </w:tr>
      <w:tr>
        <w:trPr>
          <w:trHeight w:val="219"/>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(64,640)</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(10,358)</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(42,434)</w:t>
            </w: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1,039,023</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873,710</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1,080,972</w:t>
            </w:r>
          </w:p>
        </w:tc>
      </w:tr>
      <w:tr>
        <w:trPr>
          <w:trHeight w:val="219"/>
        </w:trPr>
        <w:tc>
          <w:tcPr>
            <w:tcW w:w="5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Treasury stock, at cost, 9,231, 8,648 and 8,243 shares, respectively (Note 11)</w:t>
            </w: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(1,110,433)</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(984,306)</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(883,309)</w:t>
            </w:r>
          </w:p>
        </w:tc>
      </w:tr>
      <w:tr>
        <w:trPr>
          <w:trHeight w:val="212"/>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Vail Resorts, Inc. stockholders’ equity</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1,003,508</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1,003,947</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1,273,918</w:t>
            </w:r>
          </w:p>
        </w:tc>
      </w:tr>
      <w:tr>
        <w:trPr>
          <w:trHeight w:val="219"/>
        </w:trPr>
        <w:tc>
          <w:tcPr>
            <w:tcW w:w="5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318,524</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331,713</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325,579</w:t>
            </w:r>
          </w:p>
        </w:tc>
      </w:tr>
      <w:tr>
        <w:trPr>
          <w:trHeight w:val="212"/>
        </w:trPr>
        <w:tc>
          <w:tcPr>
            <w:tcW w:w="59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1,322,032</w:t>
            </w: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1,335,660</w:t>
            </w:r>
          </w:p>
        </w:tc>
        <w:tc>
          <w:tcPr>
            <w:tcW w:w="3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1,599,497</w:t>
            </w:r>
          </w:p>
        </w:tc>
      </w:tr>
      <w:tr>
        <w:trPr>
          <w:trHeight w:val="212"/>
        </w:trPr>
        <w:tc>
          <w:tcPr>
            <w:tcW w:w="59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4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5,808,736</w:t>
            </w:r>
          </w:p>
        </w:tc>
        <w:tc>
          <w:tcPr>
            <w:tcW w:w="3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5,947,754</w:t>
            </w:r>
          </w:p>
        </w:tc>
        <w:tc>
          <w:tcPr>
            <w:tcW w:w="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6,199,451</w:t>
            </w: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 w:name="page4"/>
    <w:bookmarkEnd w:id="3"/>
    <w:p>
      <w:pPr>
        <w:ind w:left="5300"/>
        <w:spacing w:after="0"/>
        <w:rPr>
          <w:sz w:val="20"/>
          <w:szCs w:val="20"/>
          <w:color w:val="auto"/>
        </w:rPr>
      </w:pPr>
      <w:r>
        <w:rPr>
          <w:rFonts w:ascii="Times New Roman" w:cs="Times New Roman" w:eastAsia="Times New Roman" w:hAnsi="Times New Roman"/>
          <w:sz w:val="17"/>
          <w:szCs w:val="17"/>
          <w:b w:val="1"/>
          <w:bCs w:val="1"/>
          <w:color w:val="auto"/>
        </w:rPr>
        <w:t>Vail Resorts, Inc.</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Operations</w:t>
      </w:r>
    </w:p>
    <w:p>
      <w:pPr>
        <w:spacing w:after="0" w:line="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20" w:type="dxa"/>
            <w:vAlign w:val="bottom"/>
          </w:tcPr>
          <w:p>
            <w:pPr>
              <w:spacing w:after="0"/>
              <w:rPr>
                <w:sz w:val="15"/>
                <w:szCs w:val="15"/>
                <w:color w:val="auto"/>
              </w:rPr>
            </w:pPr>
          </w:p>
        </w:tc>
        <w:tc>
          <w:tcPr>
            <w:tcW w:w="2540" w:type="dxa"/>
            <w:vAlign w:val="bottom"/>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2"/>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5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9"/>
        </w:trPr>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Mountain and Lodging services and other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1,098,619</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1,054,134</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2,186,506</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2,166,357</w:t>
            </w:r>
          </w:p>
        </w:tc>
      </w:tr>
      <w:tr>
        <w:trPr>
          <w:trHeight w:val="219"/>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Mountain and Lodging retail and dining</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184,494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184,142</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428,681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445,272</w:t>
            </w:r>
          </w:p>
        </w:tc>
      </w:tr>
      <w:tr>
        <w:trPr>
          <w:trHeight w:val="212"/>
        </w:trPr>
        <w:tc>
          <w:tcPr>
            <w:tcW w:w="54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Resort net revenue</w:t>
            </w:r>
          </w:p>
        </w:tc>
        <w:tc>
          <w:tcPr>
            <w:tcW w:w="3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1,283,113</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1,238,276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2,615,187</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2,611,629</w:t>
            </w:r>
          </w:p>
        </w:tc>
      </w:tr>
      <w:tr>
        <w:trPr>
          <w:trHeight w:val="219"/>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Real Estate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4,618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7,967</w:t>
            </w:r>
          </w:p>
        </w:tc>
      </w:tr>
      <w:tr>
        <w:trPr>
          <w:trHeight w:val="212"/>
        </w:trPr>
        <w:tc>
          <w:tcPr>
            <w:tcW w:w="54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net revenue</w:t>
            </w:r>
          </w:p>
        </w:tc>
        <w:tc>
          <w:tcPr>
            <w:tcW w:w="3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1,283,282</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1,238,431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2,619,805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2,619,596</w:t>
            </w:r>
          </w:p>
        </w:tc>
      </w:tr>
      <w:tr>
        <w:trPr>
          <w:trHeight w:val="177"/>
        </w:trPr>
        <w:tc>
          <w:tcPr>
            <w:tcW w:w="5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Operating expense (exclusive of depreciation and amortization shown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separately below):</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Mountain and Lodging operating expense</w:t>
            </w:r>
          </w:p>
        </w:tc>
        <w:tc>
          <w:tcPr>
            <w:tcW w:w="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471,182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1,200,928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1,212,115</w:t>
            </w:r>
          </w:p>
        </w:tc>
      </w:tr>
      <w:tr>
        <w:trPr>
          <w:trHeight w:val="219"/>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Mountain and Lodging retail and dining cost of products sold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64,439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161,023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174,091</w:t>
            </w:r>
          </w:p>
        </w:tc>
      </w:tr>
      <w:tr>
        <w:trPr>
          <w:trHeight w:val="219"/>
        </w:trPr>
        <w:tc>
          <w:tcPr>
            <w:tcW w:w="5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94,214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88,860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314,953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304,275</w:t>
            </w:r>
          </w:p>
        </w:tc>
      </w:tr>
      <w:tr>
        <w:trPr>
          <w:trHeight w:val="212"/>
        </w:trPr>
        <w:tc>
          <w:tcPr>
            <w:tcW w:w="5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Resort operating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629,835</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615,048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1,676,904</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1,690,481</w:t>
            </w:r>
          </w:p>
        </w:tc>
      </w:tr>
      <w:tr>
        <w:trPr>
          <w:trHeight w:val="219"/>
        </w:trPr>
        <w:tc>
          <w:tcPr>
            <w:tcW w:w="5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Real Estate operating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1,258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8,115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9,371</w:t>
            </w:r>
          </w:p>
        </w:tc>
      </w:tr>
      <w:tr>
        <w:trPr>
          <w:trHeight w:val="212"/>
        </w:trPr>
        <w:tc>
          <w:tcPr>
            <w:tcW w:w="5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segment operating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631,093</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616,727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1,685,019</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1,699,852</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operating (expense) income: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(68,486)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(204,613)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(199,700)</w:t>
            </w:r>
          </w:p>
        </w:tc>
      </w:tr>
      <w:tr>
        <w:trPr>
          <w:trHeight w:val="219"/>
        </w:trPr>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sale of real property</w:t>
            </w:r>
          </w:p>
        </w:tc>
        <w:tc>
          <w:tcPr>
            <w:tcW w:w="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6,285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w:t>
            </w:r>
          </w:p>
        </w:tc>
      </w:tr>
      <w:tr>
        <w:trPr>
          <w:trHeight w:val="219"/>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estimated fair value of contingent consideration (Note 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(42,957)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(47,636)</w:t>
            </w:r>
          </w:p>
        </w:tc>
      </w:tr>
      <w:tr>
        <w:trPr>
          <w:trHeight w:val="219"/>
        </w:trPr>
        <w:tc>
          <w:tcPr>
            <w:tcW w:w="5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Loss on disposal of fixed assets and other,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(8,055)</w:t>
            </w:r>
          </w:p>
        </w:tc>
      </w:tr>
      <w:tr>
        <w:trPr>
          <w:trHeight w:val="21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546,632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500,526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690,129</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665,198</w:t>
            </w:r>
          </w:p>
        </w:tc>
      </w:tr>
      <w:tr>
        <w:trPr>
          <w:trHeight w:val="219"/>
        </w:trPr>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Mountain equity investment income, net</w:t>
            </w:r>
          </w:p>
        </w:tc>
        <w:tc>
          <w:tcPr>
            <w:tcW w:w="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1,093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1,373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w:t>
            </w:r>
          </w:p>
        </w:tc>
      </w:tr>
      <w:tr>
        <w:trPr>
          <w:trHeight w:val="219"/>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Investment income and other,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5,096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13,643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17,734</w:t>
            </w:r>
          </w:p>
        </w:tc>
      </w:tr>
      <w:tr>
        <w:trPr>
          <w:trHeight w:val="219"/>
        </w:trPr>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Foreign currency loss on intercompany loans (Note 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(5,563)</w:t>
            </w:r>
          </w:p>
        </w:tc>
      </w:tr>
      <w:tr>
        <w:trPr>
          <w:trHeight w:val="219"/>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(39,853)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(39,139)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(121,168)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(112,811)</w:t>
            </w: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510,663</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467,455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579,747</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565,040</w:t>
            </w:r>
          </w:p>
        </w:tc>
      </w:tr>
      <w:tr>
        <w:trPr>
          <w:trHeight w:val="219"/>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(129,280)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(124,289)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(151,606)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(145,315)</w:t>
            </w: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381,383</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343,166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428,141</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419,725</w:t>
            </w:r>
          </w:p>
        </w:tc>
      </w:tr>
      <w:tr>
        <w:trPr>
          <w:trHeight w:val="219"/>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(22,359)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(23,011)</w:t>
            </w:r>
          </w:p>
        </w:tc>
      </w:tr>
      <w:tr>
        <w:trPr>
          <w:trHeight w:val="212"/>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Vail Resorts, Inc.</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361,995</w:t>
            </w:r>
          </w:p>
        </w:tc>
        <w:tc>
          <w:tcPr>
            <w:tcW w:w="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325,006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405,782</w:t>
            </w:r>
          </w:p>
        </w:tc>
        <w:tc>
          <w:tcPr>
            <w:tcW w:w="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396,714</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 amounts (Note 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9"/>
        </w:trPr>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 net income per share attributable to Vail Resorts, Inc.</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9.57</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10.69</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19"/>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 net income per share attributable to Vail Resorts, Inc.</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9.54</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10.66</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w:t>
            </w:r>
          </w:p>
        </w:tc>
      </w:tr>
      <w:tr>
        <w:trPr>
          <w:trHeight w:val="223"/>
        </w:trPr>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dividends declared per share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2.22</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6.34</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w:t>
            </w:r>
          </w:p>
        </w:tc>
      </w:tr>
    </w:tbl>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Vail Resorts,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Comprehensive Income</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40" w:type="dxa"/>
            <w:vAlign w:val="bottom"/>
          </w:tcPr>
          <w:p>
            <w:pPr>
              <w:spacing w:after="0"/>
              <w:rPr>
                <w:sz w:val="15"/>
                <w:szCs w:val="15"/>
                <w:color w:val="auto"/>
              </w:rPr>
            </w:pPr>
          </w:p>
        </w:tc>
        <w:tc>
          <w:tcPr>
            <w:tcW w:w="2540" w:type="dxa"/>
            <w:vAlign w:val="bottom"/>
            <w:gridSpan w:val="3"/>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2"/>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7"/>
        </w:trPr>
        <w:tc>
          <w:tcPr>
            <w:tcW w:w="5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c>
          <w:tcPr>
            <w:tcW w:w="10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c>
          <w:tcPr>
            <w:tcW w:w="10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5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381,383</w:t>
            </w:r>
          </w:p>
        </w:tc>
        <w:tc>
          <w:tcPr>
            <w:tcW w:w="3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343,166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428,141</w:t>
            </w:r>
          </w:p>
        </w:tc>
        <w:tc>
          <w:tcPr>
            <w:tcW w:w="3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419,725</w:t>
            </w:r>
          </w:p>
        </w:tc>
      </w:tr>
      <w:tr>
        <w:trPr>
          <w:trHeight w:val="219"/>
        </w:trPr>
        <w:tc>
          <w:tcPr>
            <w:tcW w:w="5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Foreign currency translation adjustments, net of tax</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(50,734)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(71,946)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(71,973)</w:t>
            </w:r>
          </w:p>
        </w:tc>
      </w:tr>
      <w:tr>
        <w:trPr>
          <w:trHeight w:val="219"/>
        </w:trPr>
        <w:tc>
          <w:tcPr>
            <w:tcW w:w="53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Change in estimated fair value of hedging instruments,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w:t>
            </w:r>
          </w:p>
        </w:tc>
      </w:tr>
      <w:tr>
        <w:trPr>
          <w:trHeight w:val="21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320" w:type="dxa"/>
            <w:vAlign w:val="bottom"/>
          </w:tcPr>
          <w:p>
            <w:pPr>
              <w:spacing w:after="0"/>
              <w:rPr>
                <w:sz w:val="18"/>
                <w:szCs w:val="18"/>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328,502</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304,613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347,986</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351,052</w:t>
            </w:r>
          </w:p>
        </w:tc>
      </w:tr>
      <w:tr>
        <w:trPr>
          <w:trHeight w:val="219"/>
        </w:trPr>
        <w:tc>
          <w:tcPr>
            <w:tcW w:w="53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Comprehensive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(13,476)</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3,514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(7,695)</w:t>
            </w:r>
          </w:p>
        </w:tc>
      </w:tr>
      <w:tr>
        <w:trPr>
          <w:trHeight w:val="212"/>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Comprehensive income attributable to Vail Resorts, Inc.</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327,193</w:t>
            </w:r>
          </w:p>
        </w:tc>
        <w:tc>
          <w:tcPr>
            <w:tcW w:w="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291,137</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351,500</w:t>
            </w:r>
          </w:p>
        </w:tc>
        <w:tc>
          <w:tcPr>
            <w:tcW w:w="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343,357</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condensed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6"/>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Total Vail Resorts,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45"/>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6"/>
        </w:trPr>
        <w:tc>
          <w:tcPr>
            <w:tcW w:w="3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26"/>
              <w:spacing w:after="0" w:line="116"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ind w:right="4"/>
              <w:spacing w:after="0"/>
              <w:rPr>
                <w:sz w:val="20"/>
                <w:szCs w:val="20"/>
                <w:color w:val="auto"/>
              </w:rPr>
            </w:pPr>
            <w:r>
              <w:rPr>
                <w:rFonts w:ascii="Times New Roman" w:cs="Times New Roman" w:eastAsia="Times New Roman" w:hAnsi="Times New Roman"/>
                <w:sz w:val="12"/>
                <w:szCs w:val="12"/>
                <w:b w:val="1"/>
                <w:bCs w:val="1"/>
                <w:color w:val="auto"/>
                <w:w w:val="98"/>
              </w:rPr>
              <w:t>Common Stock</w:t>
            </w:r>
          </w:p>
        </w:tc>
        <w:tc>
          <w:tcPr>
            <w:tcW w:w="10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Additional Paid in</w:t>
            </w:r>
          </w:p>
        </w:tc>
        <w:tc>
          <w:tcPr>
            <w:tcW w:w="100" w:type="dxa"/>
            <w:vAlign w:val="bottom"/>
          </w:tcPr>
          <w:p>
            <w:pPr>
              <w:spacing w:after="0"/>
              <w:rPr>
                <w:sz w:val="11"/>
                <w:szCs w:val="11"/>
                <w:color w:val="auto"/>
              </w:rPr>
            </w:pPr>
          </w:p>
        </w:tc>
        <w:tc>
          <w:tcPr>
            <w:tcW w:w="880" w:type="dxa"/>
            <w:vAlign w:val="bottom"/>
          </w:tcPr>
          <w:p>
            <w:pPr>
              <w:jc w:val="center"/>
              <w:ind w:right="6"/>
              <w:spacing w:after="0" w:line="129"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80" w:type="dxa"/>
            <w:vAlign w:val="bottom"/>
          </w:tcPr>
          <w:p>
            <w:pPr>
              <w:spacing w:after="0"/>
              <w:rPr>
                <w:sz w:val="11"/>
                <w:szCs w:val="11"/>
                <w:color w:val="auto"/>
              </w:rPr>
            </w:pPr>
          </w:p>
        </w:tc>
        <w:tc>
          <w:tcPr>
            <w:tcW w:w="820" w:type="dxa"/>
            <w:vAlign w:val="bottom"/>
          </w:tcPr>
          <w:p>
            <w:pPr>
              <w:jc w:val="right"/>
              <w:ind w:right="184"/>
              <w:spacing w:after="0" w:line="12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11"/>
                <w:szCs w:val="11"/>
                <w:color w:val="auto"/>
              </w:rPr>
            </w:pPr>
          </w:p>
        </w:tc>
        <w:tc>
          <w:tcPr>
            <w:tcW w:w="900" w:type="dxa"/>
            <w:vAlign w:val="bottom"/>
            <w:vMerge w:val="restart"/>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w w:val="96"/>
              </w:rPr>
              <w:t>Treasury Stock</w:t>
            </w:r>
          </w:p>
        </w:tc>
        <w:tc>
          <w:tcPr>
            <w:tcW w:w="9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Inc. Stockholders’</w:t>
            </w:r>
          </w:p>
        </w:tc>
        <w:tc>
          <w:tcPr>
            <w:tcW w:w="100" w:type="dxa"/>
            <w:vAlign w:val="bottom"/>
          </w:tcPr>
          <w:p>
            <w:pPr>
              <w:spacing w:after="0"/>
              <w:rPr>
                <w:sz w:val="11"/>
                <w:szCs w:val="11"/>
                <w:color w:val="auto"/>
              </w:rPr>
            </w:pPr>
          </w:p>
        </w:tc>
        <w:tc>
          <w:tcPr>
            <w:tcW w:w="880" w:type="dxa"/>
            <w:vAlign w:val="bottom"/>
          </w:tcPr>
          <w:p>
            <w:pPr>
              <w:jc w:val="right"/>
              <w:ind w:right="24"/>
              <w:spacing w:after="0" w:line="129"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40" w:type="dxa"/>
            <w:vAlign w:val="bottom"/>
          </w:tcPr>
          <w:p>
            <w:pPr>
              <w:spacing w:after="0"/>
              <w:rPr>
                <w:sz w:val="11"/>
                <w:szCs w:val="11"/>
                <w:color w:val="auto"/>
              </w:rPr>
            </w:pPr>
          </w:p>
        </w:tc>
        <w:tc>
          <w:tcPr>
            <w:tcW w:w="860" w:type="dxa"/>
            <w:vAlign w:val="bottom"/>
          </w:tcPr>
          <w:p>
            <w:pPr>
              <w:jc w:val="center"/>
              <w:ind w:right="45"/>
              <w:spacing w:after="0" w:line="129"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63"/>
        </w:trPr>
        <w:tc>
          <w:tcPr>
            <w:tcW w:w="3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0"/>
        </w:trPr>
        <w:tc>
          <w:tcPr>
            <w:tcW w:w="3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Vail Resorts</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January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1,112,519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(8,565)</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837,573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(479,417)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1,462,578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314,773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1,777,351</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325,006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325,006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18,160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343,166</w:t>
            </w:r>
          </w:p>
        </w:tc>
        <w:tc>
          <w:tcPr>
            <w:tcW w:w="0" w:type="dxa"/>
            <w:vAlign w:val="bottom"/>
          </w:tcPr>
          <w:p>
            <w:pPr>
              <w:spacing w:after="0"/>
              <w:rPr>
                <w:sz w:val="1"/>
                <w:szCs w:val="1"/>
                <w:color w:val="auto"/>
              </w:rPr>
            </w:pPr>
          </w:p>
        </w:tc>
      </w:tr>
      <w:tr>
        <w:trPr>
          <w:trHeight w:val="155"/>
        </w:trPr>
        <w:tc>
          <w:tcPr>
            <w:tcW w:w="322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Foreign currency translation adjustments, net of</w:t>
            </w:r>
          </w:p>
        </w:tc>
        <w:tc>
          <w:tcPr>
            <w:tcW w:w="1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(31,949)</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9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(31,949)</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(4,684)</w:t>
            </w: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(36,633)</w:t>
            </w:r>
          </w:p>
        </w:tc>
        <w:tc>
          <w:tcPr>
            <w:tcW w:w="0" w:type="dxa"/>
            <w:vAlign w:val="bottom"/>
          </w:tcPr>
          <w:p>
            <w:pPr>
              <w:spacing w:after="0"/>
              <w:rPr>
                <w:sz w:val="1"/>
                <w:szCs w:val="1"/>
                <w:color w:val="auto"/>
              </w:rPr>
            </w:pPr>
          </w:p>
        </w:tc>
      </w:tr>
      <w:tr>
        <w:trPr>
          <w:trHeight w:val="202"/>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tax</w:t>
            </w: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2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Change in estimated fair value of hedging</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(1,920)</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(1,920)</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(1,920)</w:t>
            </w:r>
          </w:p>
        </w:tc>
        <w:tc>
          <w:tcPr>
            <w:tcW w:w="0" w:type="dxa"/>
            <w:vAlign w:val="bottom"/>
          </w:tcPr>
          <w:p>
            <w:pPr>
              <w:spacing w:after="0"/>
              <w:rPr>
                <w:sz w:val="1"/>
                <w:szCs w:val="1"/>
                <w:color w:val="auto"/>
              </w:rPr>
            </w:pPr>
          </w:p>
        </w:tc>
      </w:tr>
      <w:tr>
        <w:trPr>
          <w:trHeight w:val="20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instruments, net of tax</w:t>
            </w: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Total comprehensive income</w:t>
            </w: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291,137</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13,476</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304,613</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5,873</w:t>
            </w:r>
          </w:p>
        </w:tc>
        <w:tc>
          <w:tcPr>
            <w:tcW w:w="0" w:type="dxa"/>
            <w:vAlign w:val="bottom"/>
          </w:tcPr>
          <w:p>
            <w:pPr>
              <w:spacing w:after="0"/>
              <w:rPr>
                <w:sz w:val="1"/>
                <w:szCs w:val="1"/>
                <w:color w:val="auto"/>
              </w:rPr>
            </w:pPr>
          </w:p>
        </w:tc>
      </w:tr>
      <w:tr>
        <w:trPr>
          <w:trHeight w:val="155"/>
        </w:trPr>
        <w:tc>
          <w:tcPr>
            <w:tcW w:w="32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Issuance of shares under share award plans, net of</w:t>
            </w:r>
          </w:p>
        </w:tc>
        <w:tc>
          <w:tcPr>
            <w:tcW w:w="1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9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0" w:type="dxa"/>
            <w:vAlign w:val="bottom"/>
          </w:tcPr>
          <w:p>
            <w:pPr>
              <w:spacing w:after="0"/>
              <w:rPr>
                <w:sz w:val="1"/>
                <w:szCs w:val="1"/>
                <w:color w:val="auto"/>
              </w:rPr>
            </w:pPr>
          </w:p>
        </w:tc>
      </w:tr>
      <w:tr>
        <w:trPr>
          <w:trHeight w:val="202"/>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shares withheld for employee taxes</w:t>
            </w: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Repurchases of common stock (Note 11)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(403,892)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(403,892)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(403,892)</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Dividends (Note 4)</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(81,607)</w:t>
            </w:r>
          </w:p>
        </w:tc>
        <w:tc>
          <w:tcPr>
            <w:tcW w:w="10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(81,607)</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(81,607)</w:t>
            </w:r>
          </w:p>
        </w:tc>
        <w:tc>
          <w:tcPr>
            <w:tcW w:w="0" w:type="dxa"/>
            <w:vAlign w:val="bottom"/>
          </w:tcPr>
          <w:p>
            <w:pPr>
              <w:spacing w:after="0"/>
              <w:rPr>
                <w:sz w:val="1"/>
                <w:szCs w:val="1"/>
                <w:color w:val="auto"/>
              </w:rPr>
            </w:pPr>
          </w:p>
        </w:tc>
      </w:tr>
      <w:tr>
        <w:trPr>
          <w:trHeight w:val="206"/>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 to noncontrolling interests, net</w:t>
            </w: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(2,670)</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(2,670)</w:t>
            </w:r>
          </w:p>
        </w:tc>
        <w:tc>
          <w:tcPr>
            <w:tcW w:w="0" w:type="dxa"/>
            <w:vAlign w:val="bottom"/>
          </w:tcPr>
          <w:p>
            <w:pPr>
              <w:spacing w:after="0"/>
              <w:rPr>
                <w:sz w:val="1"/>
                <w:szCs w:val="1"/>
                <w:color w:val="auto"/>
              </w:rPr>
            </w:pPr>
          </w:p>
        </w:tc>
      </w:tr>
      <w:tr>
        <w:trPr>
          <w:trHeight w:val="199"/>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Balance, April 30,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1,118,221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(42,434)</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1,080,972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(883,309)</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1,273,918</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325,579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1,599,497</w:t>
            </w: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January 31,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1,133,275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(29,838)</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760,820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(1,034,822)</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829,904</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320,761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1,150,665</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361,995</w:t>
            </w:r>
          </w:p>
        </w:tc>
        <w:tc>
          <w:tcPr>
            <w:tcW w:w="10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361,995</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19,388</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381,383</w:t>
            </w:r>
          </w:p>
        </w:tc>
        <w:tc>
          <w:tcPr>
            <w:tcW w:w="0" w:type="dxa"/>
            <w:vAlign w:val="bottom"/>
          </w:tcPr>
          <w:p>
            <w:pPr>
              <w:spacing w:after="0"/>
              <w:rPr>
                <w:sz w:val="1"/>
                <w:szCs w:val="1"/>
                <w:color w:val="auto"/>
              </w:rPr>
            </w:pPr>
          </w:p>
        </w:tc>
      </w:tr>
      <w:tr>
        <w:trPr>
          <w:trHeight w:val="158"/>
        </w:trPr>
        <w:tc>
          <w:tcPr>
            <w:tcW w:w="322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Foreign currency translation adjustments, net of</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(32,655)</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(32,655)</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(18,079)</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(50,734)</w:t>
            </w:r>
          </w:p>
        </w:tc>
        <w:tc>
          <w:tcPr>
            <w:tcW w:w="0" w:type="dxa"/>
            <w:vAlign w:val="bottom"/>
          </w:tcPr>
          <w:p>
            <w:pPr>
              <w:spacing w:after="0"/>
              <w:rPr>
                <w:sz w:val="1"/>
                <w:szCs w:val="1"/>
                <w:color w:val="auto"/>
              </w:rPr>
            </w:pPr>
          </w:p>
        </w:tc>
      </w:tr>
      <w:tr>
        <w:trPr>
          <w:trHeight w:val="20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tax</w:t>
            </w: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22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Change in estimated fair value of hedging</w:t>
            </w:r>
          </w:p>
        </w:tc>
        <w:tc>
          <w:tcPr>
            <w:tcW w:w="1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(2,147)</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9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(2,147)</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(2,147)</w:t>
            </w:r>
          </w:p>
        </w:tc>
        <w:tc>
          <w:tcPr>
            <w:tcW w:w="0" w:type="dxa"/>
            <w:vAlign w:val="bottom"/>
          </w:tcPr>
          <w:p>
            <w:pPr>
              <w:spacing w:after="0"/>
              <w:rPr>
                <w:sz w:val="1"/>
                <w:szCs w:val="1"/>
                <w:color w:val="auto"/>
              </w:rPr>
            </w:pPr>
          </w:p>
        </w:tc>
      </w:tr>
      <w:tr>
        <w:trPr>
          <w:trHeight w:val="202"/>
        </w:trPr>
        <w:tc>
          <w:tcPr>
            <w:tcW w:w="3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instruments, net of tax</w:t>
            </w: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comprehensive income</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327,193</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1,309</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328,502</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6,119</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6,119</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6,119</w:t>
            </w:r>
          </w:p>
        </w:tc>
        <w:tc>
          <w:tcPr>
            <w:tcW w:w="0" w:type="dxa"/>
            <w:vAlign w:val="bottom"/>
          </w:tcPr>
          <w:p>
            <w:pPr>
              <w:spacing w:after="0"/>
              <w:rPr>
                <w:sz w:val="1"/>
                <w:szCs w:val="1"/>
                <w:color w:val="auto"/>
              </w:rPr>
            </w:pPr>
          </w:p>
        </w:tc>
      </w:tr>
      <w:tr>
        <w:trPr>
          <w:trHeight w:val="158"/>
        </w:trPr>
        <w:tc>
          <w:tcPr>
            <w:tcW w:w="3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shares under share award plans, net of</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0" w:type="dxa"/>
            <w:vAlign w:val="bottom"/>
          </w:tcPr>
          <w:p>
            <w:pPr>
              <w:spacing w:after="0"/>
              <w:rPr>
                <w:sz w:val="1"/>
                <w:szCs w:val="1"/>
                <w:color w:val="auto"/>
              </w:rPr>
            </w:pPr>
          </w:p>
        </w:tc>
      </w:tr>
      <w:tr>
        <w:trPr>
          <w:trHeight w:val="20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shares withheld for employee taxes</w:t>
            </w: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Repurchases of common stock (Note 11)</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(75,611)</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(75,611)</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(75,611)</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Dividends (Note 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(83,792)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(83,792)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(83,792)</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Distributions to noncontrolling interests, net</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(3,546)</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(3,546)</w:t>
            </w:r>
          </w:p>
        </w:tc>
        <w:tc>
          <w:tcPr>
            <w:tcW w:w="0" w:type="dxa"/>
            <w:vAlign w:val="bottom"/>
          </w:tcPr>
          <w:p>
            <w:pPr>
              <w:spacing w:after="0"/>
              <w:rPr>
                <w:sz w:val="1"/>
                <w:szCs w:val="1"/>
                <w:color w:val="auto"/>
              </w:rPr>
            </w:pPr>
          </w:p>
        </w:tc>
      </w:tr>
      <w:tr>
        <w:trPr>
          <w:trHeight w:val="224"/>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April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1,139,089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(64,640)</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1,039,023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(1,110,433)</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1,003,508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318,524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1,322,032</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5"/>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Total Vail Resorts,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45"/>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6"/>
        </w:trPr>
        <w:tc>
          <w:tcPr>
            <w:tcW w:w="3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25"/>
              <w:spacing w:after="0" w:line="116"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ind w:right="4"/>
              <w:spacing w:after="0"/>
              <w:rPr>
                <w:sz w:val="20"/>
                <w:szCs w:val="20"/>
                <w:color w:val="auto"/>
              </w:rPr>
            </w:pPr>
            <w:r>
              <w:rPr>
                <w:rFonts w:ascii="Times New Roman" w:cs="Times New Roman" w:eastAsia="Times New Roman" w:hAnsi="Times New Roman"/>
                <w:sz w:val="12"/>
                <w:szCs w:val="12"/>
                <w:b w:val="1"/>
                <w:bCs w:val="1"/>
                <w:color w:val="auto"/>
                <w:w w:val="98"/>
              </w:rPr>
              <w:t>Common Stock</w:t>
            </w:r>
          </w:p>
        </w:tc>
        <w:tc>
          <w:tcPr>
            <w:tcW w:w="10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Additional Paid in</w:t>
            </w:r>
          </w:p>
        </w:tc>
        <w:tc>
          <w:tcPr>
            <w:tcW w:w="100" w:type="dxa"/>
            <w:vAlign w:val="bottom"/>
          </w:tcPr>
          <w:p>
            <w:pPr>
              <w:spacing w:after="0"/>
              <w:rPr>
                <w:sz w:val="11"/>
                <w:szCs w:val="11"/>
                <w:color w:val="auto"/>
              </w:rPr>
            </w:pPr>
          </w:p>
        </w:tc>
        <w:tc>
          <w:tcPr>
            <w:tcW w:w="880" w:type="dxa"/>
            <w:vAlign w:val="bottom"/>
          </w:tcPr>
          <w:p>
            <w:pPr>
              <w:jc w:val="center"/>
              <w:ind w:right="5"/>
              <w:spacing w:after="0" w:line="129"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80" w:type="dxa"/>
            <w:vAlign w:val="bottom"/>
          </w:tcPr>
          <w:p>
            <w:pPr>
              <w:spacing w:after="0"/>
              <w:rPr>
                <w:sz w:val="11"/>
                <w:szCs w:val="11"/>
                <w:color w:val="auto"/>
              </w:rPr>
            </w:pPr>
          </w:p>
        </w:tc>
        <w:tc>
          <w:tcPr>
            <w:tcW w:w="820" w:type="dxa"/>
            <w:vAlign w:val="bottom"/>
          </w:tcPr>
          <w:p>
            <w:pPr>
              <w:jc w:val="right"/>
              <w:ind w:right="184"/>
              <w:spacing w:after="0" w:line="12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11"/>
                <w:szCs w:val="11"/>
                <w:color w:val="auto"/>
              </w:rPr>
            </w:pPr>
          </w:p>
        </w:tc>
        <w:tc>
          <w:tcPr>
            <w:tcW w:w="900" w:type="dxa"/>
            <w:vAlign w:val="bottom"/>
            <w:vMerge w:val="restart"/>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w w:val="96"/>
              </w:rPr>
              <w:t>Treasury Stock</w:t>
            </w:r>
          </w:p>
        </w:tc>
        <w:tc>
          <w:tcPr>
            <w:tcW w:w="9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Inc. Stockholders’</w:t>
            </w:r>
          </w:p>
        </w:tc>
        <w:tc>
          <w:tcPr>
            <w:tcW w:w="100" w:type="dxa"/>
            <w:vAlign w:val="bottom"/>
          </w:tcPr>
          <w:p>
            <w:pPr>
              <w:spacing w:after="0"/>
              <w:rPr>
                <w:sz w:val="11"/>
                <w:szCs w:val="11"/>
                <w:color w:val="auto"/>
              </w:rPr>
            </w:pPr>
          </w:p>
        </w:tc>
        <w:tc>
          <w:tcPr>
            <w:tcW w:w="880" w:type="dxa"/>
            <w:vAlign w:val="bottom"/>
          </w:tcPr>
          <w:p>
            <w:pPr>
              <w:jc w:val="right"/>
              <w:ind w:right="24"/>
              <w:spacing w:after="0" w:line="129"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40" w:type="dxa"/>
            <w:vAlign w:val="bottom"/>
          </w:tcPr>
          <w:p>
            <w:pPr>
              <w:spacing w:after="0"/>
              <w:rPr>
                <w:sz w:val="11"/>
                <w:szCs w:val="11"/>
                <w:color w:val="auto"/>
              </w:rPr>
            </w:pPr>
          </w:p>
        </w:tc>
        <w:tc>
          <w:tcPr>
            <w:tcW w:w="860" w:type="dxa"/>
            <w:vAlign w:val="bottom"/>
          </w:tcPr>
          <w:p>
            <w:pPr>
              <w:jc w:val="center"/>
              <w:ind w:right="45"/>
              <w:spacing w:after="0" w:line="129"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63"/>
        </w:trPr>
        <w:tc>
          <w:tcPr>
            <w:tcW w:w="3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0"/>
        </w:trPr>
        <w:tc>
          <w:tcPr>
            <w:tcW w:w="3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Vail Resorts</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July 31,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1,184,577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10,923</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895,889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(479,417)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1,612,439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235,045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1,847,484</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396,714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396,714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23,011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419,725</w:t>
            </w:r>
          </w:p>
        </w:tc>
        <w:tc>
          <w:tcPr>
            <w:tcW w:w="0" w:type="dxa"/>
            <w:vAlign w:val="bottom"/>
          </w:tcPr>
          <w:p>
            <w:pPr>
              <w:spacing w:after="0"/>
              <w:rPr>
                <w:sz w:val="1"/>
                <w:szCs w:val="1"/>
                <w:color w:val="auto"/>
              </w:rPr>
            </w:pPr>
          </w:p>
        </w:tc>
      </w:tr>
      <w:tr>
        <w:trPr>
          <w:trHeight w:val="155"/>
        </w:trPr>
        <w:tc>
          <w:tcPr>
            <w:tcW w:w="322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Foreign currency translation adjustments, net of</w:t>
            </w:r>
          </w:p>
        </w:tc>
        <w:tc>
          <w:tcPr>
            <w:tcW w:w="1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(56,657)</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(56,657)</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(15,316)</w:t>
            </w: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(71,973)</w:t>
            </w:r>
          </w:p>
        </w:tc>
        <w:tc>
          <w:tcPr>
            <w:tcW w:w="0" w:type="dxa"/>
            <w:vAlign w:val="bottom"/>
          </w:tcPr>
          <w:p>
            <w:pPr>
              <w:spacing w:after="0"/>
              <w:rPr>
                <w:sz w:val="1"/>
                <w:szCs w:val="1"/>
                <w:color w:val="auto"/>
              </w:rPr>
            </w:pPr>
          </w:p>
        </w:tc>
      </w:tr>
      <w:tr>
        <w:trPr>
          <w:trHeight w:val="202"/>
        </w:trPr>
        <w:tc>
          <w:tcPr>
            <w:tcW w:w="3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tax</w:t>
            </w: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2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5"/>
                <w:szCs w:val="15"/>
                <w:color w:val="auto"/>
              </w:rPr>
              <w:t>Change in estimated fair value of hedging</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3,300</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3,300</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3,300</w:t>
            </w:r>
          </w:p>
        </w:tc>
        <w:tc>
          <w:tcPr>
            <w:tcW w:w="0" w:type="dxa"/>
            <w:vAlign w:val="bottom"/>
          </w:tcPr>
          <w:p>
            <w:pPr>
              <w:spacing w:after="0"/>
              <w:rPr>
                <w:sz w:val="1"/>
                <w:szCs w:val="1"/>
                <w:color w:val="auto"/>
              </w:rPr>
            </w:pPr>
          </w:p>
        </w:tc>
      </w:tr>
      <w:tr>
        <w:trPr>
          <w:trHeight w:val="205"/>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instruments, net of tax</w:t>
            </w: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comprehensive income</w:t>
            </w: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343,357</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7,695</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351,052</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19,062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19,062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19,062</w:t>
            </w:r>
          </w:p>
        </w:tc>
        <w:tc>
          <w:tcPr>
            <w:tcW w:w="0" w:type="dxa"/>
            <w:vAlign w:val="bottom"/>
          </w:tcPr>
          <w:p>
            <w:pPr>
              <w:spacing w:after="0"/>
              <w:rPr>
                <w:sz w:val="1"/>
                <w:szCs w:val="1"/>
                <w:color w:val="auto"/>
              </w:rPr>
            </w:pPr>
          </w:p>
        </w:tc>
      </w:tr>
      <w:tr>
        <w:trPr>
          <w:trHeight w:val="155"/>
        </w:trPr>
        <w:tc>
          <w:tcPr>
            <w:tcW w:w="32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Issuance of shares under share award plans, net of</w:t>
            </w:r>
          </w:p>
        </w:tc>
        <w:tc>
          <w:tcPr>
            <w:tcW w:w="1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(5,352)</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(5,351)</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(5,351)</w:t>
            </w:r>
          </w:p>
        </w:tc>
        <w:tc>
          <w:tcPr>
            <w:tcW w:w="0" w:type="dxa"/>
            <w:vAlign w:val="bottom"/>
          </w:tcPr>
          <w:p>
            <w:pPr>
              <w:spacing w:after="0"/>
              <w:rPr>
                <w:sz w:val="1"/>
                <w:szCs w:val="1"/>
                <w:color w:val="auto"/>
              </w:rPr>
            </w:pPr>
          </w:p>
        </w:tc>
      </w:tr>
      <w:tr>
        <w:trPr>
          <w:trHeight w:val="202"/>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shares withheld for employee taxes</w:t>
            </w: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Repurchases of common stock (Note 11)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(403,892)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(403,892)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(403,892)</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Dividends (Note 4)</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(235,654)</w:t>
            </w:r>
          </w:p>
        </w:tc>
        <w:tc>
          <w:tcPr>
            <w:tcW w:w="10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(235,654)</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(235,654)</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Cumulative effect of adoption of ASU 2020-06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(80,066)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24,023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(56,043)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(56,043)</w:t>
            </w:r>
          </w:p>
        </w:tc>
        <w:tc>
          <w:tcPr>
            <w:tcW w:w="0" w:type="dxa"/>
            <w:vAlign w:val="bottom"/>
          </w:tcPr>
          <w:p>
            <w:pPr>
              <w:spacing w:after="0"/>
              <w:rPr>
                <w:sz w:val="1"/>
                <w:szCs w:val="1"/>
                <w:color w:val="auto"/>
              </w:rPr>
            </w:pPr>
          </w:p>
        </w:tc>
      </w:tr>
      <w:tr>
        <w:trPr>
          <w:trHeight w:val="155"/>
        </w:trPr>
        <w:tc>
          <w:tcPr>
            <w:tcW w:w="32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Estimated acquisition date fair value of</w:t>
            </w:r>
          </w:p>
        </w:tc>
        <w:tc>
          <w:tcPr>
            <w:tcW w:w="1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91,524</w:t>
            </w: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91,524</w:t>
            </w:r>
          </w:p>
        </w:tc>
        <w:tc>
          <w:tcPr>
            <w:tcW w:w="0" w:type="dxa"/>
            <w:vAlign w:val="bottom"/>
          </w:tcPr>
          <w:p>
            <w:pPr>
              <w:spacing w:after="0"/>
              <w:rPr>
                <w:sz w:val="1"/>
                <w:szCs w:val="1"/>
                <w:color w:val="auto"/>
              </w:rPr>
            </w:pPr>
          </w:p>
        </w:tc>
      </w:tr>
      <w:tr>
        <w:trPr>
          <w:trHeight w:val="202"/>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noncontrolling interests (Note 6)</w:t>
            </w: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 to noncontrolling interests, net</w:t>
            </w: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(8,685)</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(8,685)</w:t>
            </w:r>
          </w:p>
        </w:tc>
        <w:tc>
          <w:tcPr>
            <w:tcW w:w="0" w:type="dxa"/>
            <w:vAlign w:val="bottom"/>
          </w:tcPr>
          <w:p>
            <w:pPr>
              <w:spacing w:after="0"/>
              <w:rPr>
                <w:sz w:val="1"/>
                <w:szCs w:val="1"/>
                <w:color w:val="auto"/>
              </w:rPr>
            </w:pPr>
          </w:p>
        </w:tc>
      </w:tr>
      <w:tr>
        <w:trPr>
          <w:trHeight w:val="199"/>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Balance, April 30,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1,118,221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(42,434)</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1,080,972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(883,309)</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1,273,918</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325,579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1,599,497</w:t>
            </w: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July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1,124,433</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(10,358)</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873,710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(984,306)</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1,003,947</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331,713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1,335,660</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405,782</w:t>
            </w:r>
          </w:p>
        </w:tc>
        <w:tc>
          <w:tcPr>
            <w:tcW w:w="10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405,782</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22,359</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428,141</w:t>
            </w:r>
          </w:p>
        </w:tc>
        <w:tc>
          <w:tcPr>
            <w:tcW w:w="0" w:type="dxa"/>
            <w:vAlign w:val="bottom"/>
          </w:tcPr>
          <w:p>
            <w:pPr>
              <w:spacing w:after="0"/>
              <w:rPr>
                <w:sz w:val="1"/>
                <w:szCs w:val="1"/>
                <w:color w:val="auto"/>
              </w:rPr>
            </w:pPr>
          </w:p>
        </w:tc>
      </w:tr>
      <w:tr>
        <w:trPr>
          <w:trHeight w:val="158"/>
        </w:trPr>
        <w:tc>
          <w:tcPr>
            <w:tcW w:w="322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5"/>
                <w:szCs w:val="15"/>
                <w:color w:val="auto"/>
              </w:rPr>
              <w:t>Foreign currency translation adjustments, net of</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(46,073)</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(46,073)</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(25,873)</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(71,946)</w:t>
            </w:r>
          </w:p>
        </w:tc>
        <w:tc>
          <w:tcPr>
            <w:tcW w:w="0" w:type="dxa"/>
            <w:vAlign w:val="bottom"/>
          </w:tcPr>
          <w:p>
            <w:pPr>
              <w:spacing w:after="0"/>
              <w:rPr>
                <w:sz w:val="1"/>
                <w:szCs w:val="1"/>
                <w:color w:val="auto"/>
              </w:rPr>
            </w:pPr>
          </w:p>
        </w:tc>
      </w:tr>
      <w:tr>
        <w:trPr>
          <w:trHeight w:val="205"/>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tax</w:t>
            </w: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220" w:type="dxa"/>
            <w:vAlign w:val="bottom"/>
          </w:tcPr>
          <w:p>
            <w:pPr>
              <w:ind w:left="120"/>
              <w:spacing w:after="0" w:line="156" w:lineRule="exact"/>
              <w:rPr>
                <w:sz w:val="20"/>
                <w:szCs w:val="20"/>
                <w:color w:val="auto"/>
              </w:rPr>
            </w:pPr>
            <w:r>
              <w:rPr>
                <w:rFonts w:ascii="Times New Roman" w:cs="Times New Roman" w:eastAsia="Times New Roman" w:hAnsi="Times New Roman"/>
                <w:sz w:val="15"/>
                <w:szCs w:val="15"/>
                <w:color w:val="auto"/>
              </w:rPr>
              <w:t>Change in estimated fair value of hedging</w:t>
            </w:r>
          </w:p>
        </w:tc>
        <w:tc>
          <w:tcPr>
            <w:tcW w:w="1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(8,209)</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(8,209)</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(8,209)</w:t>
            </w:r>
          </w:p>
        </w:tc>
        <w:tc>
          <w:tcPr>
            <w:tcW w:w="0" w:type="dxa"/>
            <w:vAlign w:val="bottom"/>
          </w:tcPr>
          <w:p>
            <w:pPr>
              <w:spacing w:after="0"/>
              <w:rPr>
                <w:sz w:val="1"/>
                <w:szCs w:val="1"/>
                <w:color w:val="auto"/>
              </w:rPr>
            </w:pPr>
          </w:p>
        </w:tc>
      </w:tr>
      <w:tr>
        <w:trPr>
          <w:trHeight w:val="202"/>
        </w:trPr>
        <w:tc>
          <w:tcPr>
            <w:tcW w:w="3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instruments, net of tax</w:t>
            </w: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comprehensive income (loss)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351,500</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(3,514)</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347,986</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20,251</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20,251</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20,251</w:t>
            </w:r>
          </w:p>
        </w:tc>
        <w:tc>
          <w:tcPr>
            <w:tcW w:w="0" w:type="dxa"/>
            <w:vAlign w:val="bottom"/>
          </w:tcPr>
          <w:p>
            <w:pPr>
              <w:spacing w:after="0"/>
              <w:rPr>
                <w:sz w:val="1"/>
                <w:szCs w:val="1"/>
                <w:color w:val="auto"/>
              </w:rPr>
            </w:pPr>
          </w:p>
        </w:tc>
      </w:tr>
      <w:tr>
        <w:trPr>
          <w:trHeight w:val="158"/>
        </w:trPr>
        <w:tc>
          <w:tcPr>
            <w:tcW w:w="3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shares under share award plans, net of</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(5,595)</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(5,594)</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(5,594)</w:t>
            </w:r>
          </w:p>
        </w:tc>
        <w:tc>
          <w:tcPr>
            <w:tcW w:w="0" w:type="dxa"/>
            <w:vAlign w:val="bottom"/>
          </w:tcPr>
          <w:p>
            <w:pPr>
              <w:spacing w:after="0"/>
              <w:rPr>
                <w:sz w:val="1"/>
                <w:szCs w:val="1"/>
                <w:color w:val="auto"/>
              </w:rPr>
            </w:pPr>
          </w:p>
        </w:tc>
      </w:tr>
      <w:tr>
        <w:trPr>
          <w:trHeight w:val="20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shares withheld for employee taxes</w:t>
            </w: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Repurchases of common stock (Note 11)</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(126,127)</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(126,127)</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(126,127)</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Dividends (Note 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(240,469)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(240,469)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(240,469)</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Distributions to noncontrolling interests, net</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(9,675)</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(9,675)</w:t>
            </w:r>
          </w:p>
        </w:tc>
        <w:tc>
          <w:tcPr>
            <w:tcW w:w="0" w:type="dxa"/>
            <w:vAlign w:val="bottom"/>
          </w:tcPr>
          <w:p>
            <w:pPr>
              <w:spacing w:after="0"/>
              <w:rPr>
                <w:sz w:val="1"/>
                <w:szCs w:val="1"/>
                <w:color w:val="auto"/>
              </w:rPr>
            </w:pPr>
          </w:p>
        </w:tc>
      </w:tr>
      <w:tr>
        <w:trPr>
          <w:trHeight w:val="224"/>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April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1,139,089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(64,640)</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1,039,023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(1,110,433)</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1,003,508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318,524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1,322,032</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consolidated condensed financial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2720" w:type="dxa"/>
            <w:vAlign w:val="bottom"/>
            <w:gridSpan w:val="3"/>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680" w:type="dxa"/>
            <w:vAlign w:val="bottom"/>
          </w:tcPr>
          <w:p>
            <w:pPr>
              <w:spacing w:after="0"/>
              <w:rPr>
                <w:sz w:val="15"/>
                <w:szCs w:val="15"/>
                <w:color w:val="auto"/>
              </w:rPr>
            </w:pPr>
          </w:p>
        </w:tc>
      </w:tr>
      <w:tr>
        <w:trPr>
          <w:trHeight w:val="22"/>
        </w:trPr>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1"/>
        </w:trPr>
        <w:tc>
          <w:tcPr>
            <w:tcW w:w="78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5"/>
                <w:szCs w:val="15"/>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10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7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000" w:type="dxa"/>
            <w:vAlign w:val="bottom"/>
          </w:tcPr>
          <w:p>
            <w:pPr>
              <w:jc w:val="right"/>
              <w:ind w:right="826"/>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428,141</w:t>
            </w:r>
          </w:p>
        </w:tc>
        <w:tc>
          <w:tcPr>
            <w:tcW w:w="1020" w:type="dxa"/>
            <w:vAlign w:val="bottom"/>
          </w:tcPr>
          <w:p>
            <w:pPr>
              <w:jc w:val="right"/>
              <w:ind w:right="78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419,725</w:t>
            </w: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0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204,613</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199,700</w:t>
            </w:r>
          </w:p>
        </w:tc>
      </w:tr>
      <w:tr>
        <w:trPr>
          <w:trHeight w:val="20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20,251</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19,062</w:t>
            </w: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00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151,606</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145,315</w:t>
            </w:r>
          </w:p>
        </w:tc>
      </w:tr>
      <w:tr>
        <w:trPr>
          <w:trHeight w:val="20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estimated fair value of contingent consideration</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42,957</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47,636</w:t>
            </w: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non-cash income, net</w:t>
            </w:r>
          </w:p>
        </w:tc>
        <w:tc>
          <w:tcPr>
            <w:tcW w:w="100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(3,526)</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(6,270)</w:t>
            </w: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Trade receivables, net</w:t>
            </w:r>
          </w:p>
        </w:tc>
        <w:tc>
          <w:tcPr>
            <w:tcW w:w="100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36,904</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32,665</w:t>
            </w:r>
          </w:p>
        </w:tc>
      </w:tr>
      <w:tr>
        <w:trPr>
          <w:trHeight w:val="20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Inventories, net</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23,607</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4,850</w:t>
            </w: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100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1,463</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(2,183)</w:t>
            </w:r>
          </w:p>
        </w:tc>
      </w:tr>
      <w:tr>
        <w:trPr>
          <w:trHeight w:val="20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revenue</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(121,612)</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(62,017)</w:t>
            </w: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 taxes payable</w:t>
            </w:r>
          </w:p>
        </w:tc>
        <w:tc>
          <w:tcPr>
            <w:tcW w:w="100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(95,771)</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(63,551)</w:t>
            </w:r>
          </w:p>
        </w:tc>
      </w:tr>
      <w:tr>
        <w:trPr>
          <w:trHeight w:val="206"/>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assets and liabilities, net</w:t>
            </w:r>
          </w:p>
        </w:tc>
        <w:tc>
          <w:tcPr>
            <w:tcW w:w="10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(7,619)</w:t>
            </w: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(8,049)</w:t>
            </w:r>
          </w:p>
        </w:tc>
      </w:tr>
      <w:tr>
        <w:trPr>
          <w:trHeight w:val="199"/>
        </w:trPr>
        <w:tc>
          <w:tcPr>
            <w:tcW w:w="784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00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681,014</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726,883</w:t>
            </w: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Capital expenditures</w:t>
            </w:r>
          </w:p>
        </w:tc>
        <w:tc>
          <w:tcPr>
            <w:tcW w:w="100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(155,111)</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(261,259)</w:t>
            </w:r>
          </w:p>
        </w:tc>
      </w:tr>
      <w:tr>
        <w:trPr>
          <w:trHeight w:val="20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Return of deposit for acquisition of business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114,506</w:t>
            </w: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Acquisition of business, net of cash acquired</w:t>
            </w:r>
          </w:p>
        </w:tc>
        <w:tc>
          <w:tcPr>
            <w:tcW w:w="100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(38,567)</w:t>
            </w:r>
          </w:p>
        </w:tc>
      </w:tr>
      <w:tr>
        <w:trPr>
          <w:trHeight w:val="20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Investments in short-term deposits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(86,756)</w:t>
            </w: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Maturity of short-term deposits</w:t>
            </w:r>
          </w:p>
        </w:tc>
        <w:tc>
          <w:tcPr>
            <w:tcW w:w="100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57,647</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37,978</w:t>
            </w:r>
          </w:p>
        </w:tc>
      </w:tr>
      <w:tr>
        <w:trPr>
          <w:trHeight w:val="206"/>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investing activities, net</w:t>
            </w:r>
          </w:p>
        </w:tc>
        <w:tc>
          <w:tcPr>
            <w:tcW w:w="10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6,577</w:t>
            </w: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12,838</w:t>
            </w:r>
          </w:p>
        </w:tc>
      </w:tr>
      <w:tr>
        <w:trPr>
          <w:trHeight w:val="199"/>
        </w:trPr>
        <w:tc>
          <w:tcPr>
            <w:tcW w:w="78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00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(90,887)</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(221,260)</w:t>
            </w: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Repayments of borrowings under Vail Holdings Credit Agreement</w:t>
            </w:r>
          </w:p>
        </w:tc>
        <w:tc>
          <w:tcPr>
            <w:tcW w:w="100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(46,875)</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(46,875)</w:t>
            </w:r>
          </w:p>
        </w:tc>
      </w:tr>
      <w:tr>
        <w:trPr>
          <w:trHeight w:val="20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Employee taxes paid for share award exercises</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(5,594)</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(5,352)</w:t>
            </w: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Dividends paid</w:t>
            </w:r>
          </w:p>
        </w:tc>
        <w:tc>
          <w:tcPr>
            <w:tcW w:w="100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(240,469)</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(235,654)</w:t>
            </w:r>
          </w:p>
        </w:tc>
      </w:tr>
      <w:tr>
        <w:trPr>
          <w:trHeight w:val="20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(125,000)</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(400,000)</w:t>
            </w:r>
          </w:p>
        </w:tc>
      </w:tr>
      <w:tr>
        <w:trPr>
          <w:trHeight w:val="20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Other financing activities, net</w:t>
            </w:r>
          </w:p>
        </w:tc>
        <w:tc>
          <w:tcPr>
            <w:tcW w:w="10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(15,497)</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(15,295)</w:t>
            </w:r>
          </w:p>
        </w:tc>
      </w:tr>
      <w:tr>
        <w:trPr>
          <w:trHeight w:val="199"/>
        </w:trPr>
        <w:tc>
          <w:tcPr>
            <w:tcW w:w="78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(433,435)</w:t>
            </w: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(703,176)</w:t>
            </w:r>
          </w:p>
        </w:tc>
      </w:tr>
      <w:tr>
        <w:trPr>
          <w:trHeight w:val="199"/>
        </w:trPr>
        <w:tc>
          <w:tcPr>
            <w:tcW w:w="7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100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(12,898)</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(9,921)</w:t>
            </w:r>
          </w:p>
        </w:tc>
      </w:tr>
      <w:tr>
        <w:trPr>
          <w:trHeight w:val="209"/>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143,794</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(207,474)</w:t>
            </w:r>
          </w:p>
        </w:tc>
      </w:tr>
      <w:tr>
        <w:trPr>
          <w:trHeight w:val="203"/>
        </w:trPr>
        <w:tc>
          <w:tcPr>
            <w:tcW w:w="7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6"/>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Beginning of period</w:t>
            </w:r>
          </w:p>
        </w:tc>
        <w:tc>
          <w:tcPr>
            <w:tcW w:w="10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573,093</w:t>
            </w: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1,126,107</w:t>
            </w:r>
          </w:p>
        </w:tc>
      </w:tr>
      <w:tr>
        <w:trPr>
          <w:trHeight w:val="199"/>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End of period</w:t>
            </w:r>
          </w:p>
        </w:tc>
        <w:tc>
          <w:tcPr>
            <w:tcW w:w="1000" w:type="dxa"/>
            <w:vAlign w:val="bottom"/>
            <w:tcBorders>
              <w:bottom w:val="single" w:sz="8" w:color="auto"/>
            </w:tcBorders>
          </w:tcPr>
          <w:p>
            <w:pPr>
              <w:jc w:val="right"/>
              <w:ind w:right="826"/>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716,887</w:t>
            </w:r>
          </w:p>
        </w:tc>
        <w:tc>
          <w:tcPr>
            <w:tcW w:w="102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918,633</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10"/>
        </w:trPr>
        <w:tc>
          <w:tcPr>
            <w:tcW w:w="78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r>
      <w:tr>
        <w:trPr>
          <w:trHeight w:val="203"/>
        </w:trPr>
        <w:tc>
          <w:tcPr>
            <w:tcW w:w="7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Non-cash investing activities:</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capital expenditures</w:t>
            </w:r>
          </w:p>
        </w:tc>
        <w:tc>
          <w:tcPr>
            <w:tcW w:w="100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13,631</w:t>
            </w:r>
          </w:p>
        </w:tc>
        <w:tc>
          <w:tcPr>
            <w:tcW w:w="102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20,099</w:t>
            </w:r>
          </w:p>
        </w:tc>
      </w:tr>
    </w:tbl>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consolidated condensed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Condensed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1" w:lineRule="exact"/>
        <w:rPr>
          <w:sz w:val="20"/>
          <w:szCs w:val="20"/>
          <w:color w:val="auto"/>
        </w:rPr>
      </w:pPr>
    </w:p>
    <w:p>
      <w:pPr>
        <w:ind w:left="620" w:hanging="617"/>
        <w:spacing w:after="0"/>
        <w:tabs>
          <w:tab w:leader="none" w:pos="6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Business</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Vail Resorts, Inc. (“Vail Resorts”) is organized as a holding company and operates through various subsidiaries. Vail Resorts and its subsidiaries (collectively, the “Company”) operate in three reportable segments: Mountain, Lodging and Real Estate. The Company refers to “Resort” as the combination of the Mountain and Lodging segments.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In the Mountain segment, the Company operates the following 42 destination mountain resorts and regional ski areas, including Crans-Montana Mountain Resort, which was acquired subsequent to April 30, 2024, as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5593080" cy="2461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93080"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which operates destination resorts in Grand Teton National Park; a Colorado resort ground transportation company and mountain resort golf courses.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Real Estate segment primarily owns, develops and sells real estate in and around the Company’s resort communities.</w:t>
      </w:r>
    </w:p>
    <w:p>
      <w:pPr>
        <w:spacing w:after="0" w:line="2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Company’s mountain business and its lodging properties at or around the Company’s mountain resorts are seasonal in nature, and typically experience their peak operating seasons primarily from mid-December through mid-April in North America and Europe. The peak operating season at the Company’s Australian resorts, NPS concessioner properties and golf courses generally occurs from June to early October.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Acquisition of Crans-Montana Mountain Resort</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May 2, 2024, the Company acquired Crans-Montana Mountain Resort (“Crans-Montana”) in Switzerland from CPI Property Group. The Company acquired (i) an 84% ownership stake in Remontées Mécaniques Crans Montana Aminona SA, which controls and operates all of the lifts and supporting mountain operations, including four retail and rental locations; (ii)</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9" w:name="page10"/>
    <w:bookmarkEnd w:id="9"/>
    <w:p>
      <w:pPr>
        <w:spacing w:after="0" w:line="286" w:lineRule="auto"/>
        <w:rPr>
          <w:sz w:val="20"/>
          <w:szCs w:val="20"/>
          <w:color w:val="auto"/>
        </w:rPr>
      </w:pPr>
      <w:r>
        <w:rPr>
          <w:rFonts w:ascii="Times New Roman" w:cs="Times New Roman" w:eastAsia="Times New Roman" w:hAnsi="Times New Roman"/>
          <w:sz w:val="17"/>
          <w:szCs w:val="17"/>
          <w:color w:val="auto"/>
        </w:rPr>
        <w:t>100% ownership of SportLife AG (increased from the previously announced ownership stake of 80%), which operates one of the ski schools located at the resort; and (iii) 100% ownership of 11 restaurants located on and around the mountain. See Note 12, Subsequent Events for additional information.</w:t>
      </w:r>
    </w:p>
    <w:p>
      <w:pPr>
        <w:spacing w:after="0" w:line="174" w:lineRule="exact"/>
        <w:rPr>
          <w:sz w:val="20"/>
          <w:szCs w:val="20"/>
          <w:color w:val="auto"/>
        </w:rPr>
      </w:pPr>
    </w:p>
    <w:p>
      <w:pPr>
        <w:ind w:left="340" w:hanging="337"/>
        <w:spacing w:after="0"/>
        <w:tabs>
          <w:tab w:leader="none" w:pos="3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Consolidated Condensed Financial Statements — </w:t>
      </w:r>
      <w:r>
        <w:rPr>
          <w:rFonts w:ascii="Times New Roman" w:cs="Times New Roman" w:eastAsia="Times New Roman" w:hAnsi="Times New Roman"/>
          <w:sz w:val="17"/>
          <w:szCs w:val="17"/>
          <w:color w:val="auto"/>
        </w:rPr>
        <w:t>In the opinion of the Company, the accompanying Consolidated Condensed Financial Statements reflect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2023.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2023 was derived from audited financial statements.</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Use of Estimates </w:t>
      </w:r>
      <w:r>
        <w:rPr>
          <w:rFonts w:ascii="Times New Roman" w:cs="Times New Roman" w:eastAsia="Times New Roman" w:hAnsi="Times New Roman"/>
          <w:sz w:val="17"/>
          <w:szCs w:val="17"/>
          <w:color w:val="auto"/>
        </w:rPr>
        <w:t>— The preparation of financial statements in conformity with GAAP requires management to make estimates and assumptions that affect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Fair Value of Financial Instruments </w:t>
      </w:r>
      <w:r>
        <w:rPr>
          <w:rFonts w:ascii="Times New Roman" w:cs="Times New Roman" w:eastAsia="Times New Roman" w:hAnsi="Times New Roman"/>
          <w:sz w:val="17"/>
          <w:szCs w:val="17"/>
          <w:color w:val="auto"/>
        </w:rPr>
        <w:t>— The estimated fair values of the 6.25% Notes and the 0.0% Convertible Notes (each as defined in Note 5, Long-Term Debt)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based on quoted market prices (a Level 2 input). The estimated fair value of the EPR Secured Notes and the NRP Loan (both as defined in Note 5, Long-Term Debt) have been estimated using analyses based on current borrowing rates for comparable debt instruments with similar maturity dates (a Level 2 input). The carrying values, including any unamortized premium or discount, and estimated fair values of the 6.25% Notes, 0.0% Convertible Notes, EPR Secured Notes and NRP Loan as of April 30, 2024 are presented below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60" w:type="dxa"/>
            <w:vAlign w:val="bottom"/>
            <w:gridSpan w:val="3"/>
          </w:tcPr>
          <w:p>
            <w:pPr>
              <w:jc w:val="right"/>
              <w:ind w:right="1198"/>
              <w:spacing w:after="0"/>
              <w:rPr>
                <w:sz w:val="20"/>
                <w:szCs w:val="20"/>
                <w:color w:val="auto"/>
              </w:rPr>
            </w:pPr>
            <w:r>
              <w:rPr>
                <w:rFonts w:ascii="Times New Roman" w:cs="Times New Roman" w:eastAsia="Times New Roman" w:hAnsi="Times New Roman"/>
                <w:sz w:val="14"/>
                <w:szCs w:val="14"/>
                <w:b w:val="1"/>
                <w:bCs w:val="1"/>
                <w:color w:val="auto"/>
              </w:rPr>
              <w:t>April 30, 2024</w:t>
            </w:r>
          </w:p>
        </w:tc>
      </w:tr>
      <w:tr>
        <w:trPr>
          <w:trHeight w:val="22"/>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1"/>
        </w:trPr>
        <w:tc>
          <w:tcPr>
            <w:tcW w:w="7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r>
      <w:tr>
        <w:trPr>
          <w:trHeight w:val="21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6.25% Notes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600,678</w:t>
            </w:r>
          </w:p>
        </w:tc>
      </w:tr>
      <w:tr>
        <w:trPr>
          <w:trHeight w:val="219"/>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 Convertible Notes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575,000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522,600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EPR Secured Notes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131,300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173,636</w:t>
            </w:r>
          </w:p>
        </w:tc>
      </w:tr>
      <w:tr>
        <w:trPr>
          <w:trHeight w:val="21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NRP Loan</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rPr>
              <w:t>35,623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29,043</w:t>
            </w:r>
          </w:p>
        </w:tc>
      </w:tr>
    </w:tbl>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carrying values for all other financial instruments not included in the above table approximate their respective fair value due to their short-term nature or the variable nature of their associated interest rates.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Standards Being Evaluated</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November 2023, the Financial Accounting Standards Board (the “FASB”) issued Accounting Standards Update (“ASU”) 2023-07, “Segment Reporting (Topic 280): Improvements to Reportable Segment Disclosures,” which is intended to improve reportable segment disclosures, primarily through incorporating enhanced segment disclosure requirements set forth by the Securities and Exchange Commission into U.S. GAAP. The enhanced disclosures will primarily require public entities to include specific disclosures regarding “significant expenses” that are regularly provided to or easily computed from information provided to the chief operating decision maker (“CODM”) and included within segment profit and loss. This ASU also requires that a public entity disclose the title and position of the CODM and an explanation of how the CODM uses the reported measure(s) of segment profit or loss. ASU 2023-07 is effective for fiscal years beginning after December 15, 2023 (the Company’s fiscal year ending July 31, 2025), and interim periods within fiscal years beginning after December 15, 2024 (the Company’s fiscal quarter ending October 31, 2025), with early adoption permitted. The Company will adopt the standard during the fourth quarter of its fiscal year ending July 31, 2025 and is in the process of evaluating the effect that the adoption of this standard will have on its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which includes amendments that further enhance the transparency and decision usefulness of income tax disclosures, primarily through standardization and disaggregation of rate reconciliation categories and income taxes paid by jurisdiction. This update is effective for annual periods beginning after December 15, 2024 (the Company’s fiscal year ending July 31, 2026), though early adoption is permitted. The Company is in the process of evaluating the effect that the adoption of this standard will have on its Consolidated Condensed Financial Statements, including determining the timing of adoption.</w:t>
      </w:r>
    </w:p>
    <w:p>
      <w:pPr>
        <w:spacing w:after="0" w:line="195" w:lineRule="exact"/>
        <w:rPr>
          <w:sz w:val="20"/>
          <w:szCs w:val="20"/>
          <w:color w:val="auto"/>
        </w:rPr>
      </w:pPr>
    </w:p>
    <w:p>
      <w:pPr>
        <w:ind w:left="340" w:hanging="337"/>
        <w:spacing w:after="0"/>
        <w:tabs>
          <w:tab w:leader="none" w:pos="3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Revenues</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following table presents net revenues disaggregated by segment and major revenue type for the three and nine months ended April 30, 2024 and 2023 (in thousands):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20" w:type="dxa"/>
            <w:vAlign w:val="bottom"/>
          </w:tcPr>
          <w:p>
            <w:pPr>
              <w:spacing w:after="0"/>
              <w:rPr>
                <w:sz w:val="15"/>
                <w:szCs w:val="15"/>
                <w:color w:val="auto"/>
              </w:rPr>
            </w:pPr>
          </w:p>
        </w:tc>
        <w:tc>
          <w:tcPr>
            <w:tcW w:w="2540" w:type="dxa"/>
            <w:vAlign w:val="bottom"/>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2"/>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7"/>
        </w:trPr>
        <w:tc>
          <w:tcPr>
            <w:tcW w:w="5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5"/>
                <w:szCs w:val="15"/>
                <w:color w:val="auto"/>
              </w:rPr>
            </w:pPr>
          </w:p>
        </w:tc>
        <w:tc>
          <w:tcPr>
            <w:tcW w:w="10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5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Mountain net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9"/>
        </w:trPr>
        <w:tc>
          <w:tcPr>
            <w:tcW w:w="5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Lift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745,677</w:t>
            </w:r>
          </w:p>
        </w:tc>
        <w:tc>
          <w:tcPr>
            <w:tcW w:w="4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710,052</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1,394,526</w:t>
            </w:r>
          </w:p>
        </w:tc>
        <w:tc>
          <w:tcPr>
            <w:tcW w:w="4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1,362,195</w:t>
            </w:r>
          </w:p>
        </w:tc>
      </w:tr>
      <w:tr>
        <w:trPr>
          <w:trHeight w:val="219"/>
        </w:trPr>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Ski School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161,248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145,134</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295,055</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277,512</w:t>
            </w:r>
          </w:p>
        </w:tc>
      </w:tr>
      <w:tr>
        <w:trPr>
          <w:trHeight w:val="219"/>
        </w:trPr>
        <w:tc>
          <w:tcPr>
            <w:tcW w:w="5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Dining</w:t>
            </w:r>
          </w:p>
        </w:tc>
        <w:tc>
          <w:tcPr>
            <w:tcW w:w="32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109,471</w:t>
            </w:r>
          </w:p>
        </w:tc>
        <w:tc>
          <w:tcPr>
            <w:tcW w:w="40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101,683</w:t>
            </w:r>
          </w:p>
        </w:tc>
        <w:tc>
          <w:tcPr>
            <w:tcW w:w="42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209,608</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206,953</w:t>
            </w:r>
          </w:p>
        </w:tc>
      </w:tr>
      <w:tr>
        <w:trPr>
          <w:trHeight w:val="219"/>
        </w:trPr>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Retail/Rental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123,262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135,008</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292,892</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335,284</w:t>
            </w:r>
          </w:p>
        </w:tc>
      </w:tr>
      <w:tr>
        <w:trPr>
          <w:trHeight w:val="219"/>
        </w:trPr>
        <w:tc>
          <w:tcPr>
            <w:tcW w:w="5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56,400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52,853</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176,413</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177,945</w:t>
            </w:r>
          </w:p>
        </w:tc>
      </w:tr>
      <w:tr>
        <w:trPr>
          <w:trHeight w:val="212"/>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Mountain net revenue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1,196,058</w:t>
            </w:r>
          </w:p>
        </w:tc>
        <w:tc>
          <w:tcPr>
            <w:tcW w:w="4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1,144,730</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2,368,494</w:t>
            </w:r>
          </w:p>
        </w:tc>
        <w:tc>
          <w:tcPr>
            <w:tcW w:w="4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2,359,889</w:t>
            </w: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Lodging net revenue: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Owned hotel rooms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14,978</w:t>
            </w:r>
          </w:p>
        </w:tc>
        <w:tc>
          <w:tcPr>
            <w:tcW w:w="4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15,091</w:t>
            </w:r>
          </w:p>
        </w:tc>
        <w:tc>
          <w:tcPr>
            <w:tcW w:w="4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53,738</w:t>
            </w:r>
          </w:p>
        </w:tc>
        <w:tc>
          <w:tcPr>
            <w:tcW w:w="4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52,135</w:t>
            </w:r>
          </w:p>
        </w:tc>
      </w:tr>
      <w:tr>
        <w:trPr>
          <w:trHeight w:val="219"/>
        </w:trPr>
        <w:tc>
          <w:tcPr>
            <w:tcW w:w="5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Managed condominium rooms</w:t>
            </w:r>
          </w:p>
        </w:tc>
        <w:tc>
          <w:tcPr>
            <w:tcW w:w="32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35,390</w:t>
            </w:r>
          </w:p>
        </w:tc>
        <w:tc>
          <w:tcPr>
            <w:tcW w:w="40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38,409</w:t>
            </w:r>
          </w:p>
        </w:tc>
        <w:tc>
          <w:tcPr>
            <w:tcW w:w="42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75,701</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82,604</w:t>
            </w:r>
          </w:p>
        </w:tc>
      </w:tr>
      <w:tr>
        <w:trPr>
          <w:trHeight w:val="21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Dining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14,482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15,422</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46,174</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45,435</w:t>
            </w:r>
          </w:p>
        </w:tc>
      </w:tr>
      <w:tr>
        <w:trPr>
          <w:trHeight w:val="219"/>
        </w:trPr>
        <w:tc>
          <w:tcPr>
            <w:tcW w:w="5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Transportation</w:t>
            </w:r>
          </w:p>
        </w:tc>
        <w:tc>
          <w:tcPr>
            <w:tcW w:w="32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7,150</w:t>
            </w:r>
          </w:p>
        </w:tc>
        <w:tc>
          <w:tcPr>
            <w:tcW w:w="40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6,924</w:t>
            </w:r>
          </w:p>
        </w:tc>
        <w:tc>
          <w:tcPr>
            <w:tcW w:w="42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15,060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14,272</w:t>
            </w:r>
          </w:p>
        </w:tc>
      </w:tr>
      <w:tr>
        <w:trPr>
          <w:trHeight w:val="21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Golf</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6,541</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6,072</w:t>
            </w:r>
          </w:p>
        </w:tc>
      </w:tr>
      <w:tr>
        <w:trPr>
          <w:trHeight w:val="219"/>
        </w:trPr>
        <w:tc>
          <w:tcPr>
            <w:tcW w:w="5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10,230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12,380</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36,700</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37,235</w:t>
            </w:r>
          </w:p>
        </w:tc>
      </w:tr>
      <w:tr>
        <w:trPr>
          <w:trHeight w:val="212"/>
        </w:trPr>
        <w:tc>
          <w:tcPr>
            <w:tcW w:w="5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82,230</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88,226</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233,914</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237,753</w:t>
            </w:r>
          </w:p>
        </w:tc>
      </w:tr>
      <w:tr>
        <w:trPr>
          <w:trHeight w:val="21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Payroll cost reimbursements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4,825</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5,320</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12,779</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13,987</w:t>
            </w:r>
          </w:p>
        </w:tc>
      </w:tr>
      <w:tr>
        <w:trPr>
          <w:trHeight w:val="212"/>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Lodging net revenue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87,055</w:t>
            </w:r>
          </w:p>
        </w:tc>
        <w:tc>
          <w:tcPr>
            <w:tcW w:w="4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93,546</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246,693</w:t>
            </w:r>
          </w:p>
        </w:tc>
        <w:tc>
          <w:tcPr>
            <w:tcW w:w="4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251,740</w:t>
            </w: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Resort net revenue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1,283,113</w:t>
            </w:r>
          </w:p>
        </w:tc>
        <w:tc>
          <w:tcPr>
            <w:tcW w:w="4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1,238,276</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2,615,187</w:t>
            </w:r>
          </w:p>
        </w:tc>
        <w:tc>
          <w:tcPr>
            <w:tcW w:w="4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2,611,629</w:t>
            </w:r>
          </w:p>
        </w:tc>
      </w:tr>
      <w:tr>
        <w:trPr>
          <w:trHeight w:val="219"/>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Real Estate net revenue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169</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155</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4,618</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7,967</w:t>
            </w:r>
          </w:p>
        </w:tc>
      </w:tr>
      <w:tr>
        <w:trPr>
          <w:trHeight w:val="212"/>
        </w:trPr>
        <w:tc>
          <w:tcPr>
            <w:tcW w:w="5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Total net revenue</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1,283,282</w:t>
            </w:r>
          </w:p>
        </w:tc>
        <w:tc>
          <w:tcPr>
            <w:tcW w:w="4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1,238,431</w:t>
            </w:r>
          </w:p>
        </w:tc>
        <w:tc>
          <w:tcPr>
            <w:tcW w:w="4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2,619,805</w:t>
            </w:r>
          </w:p>
        </w:tc>
        <w:tc>
          <w:tcPr>
            <w:tcW w:w="4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2,619,596</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Deferred revenue balances of a short-term nature were $448.8 million and $572.6 million as of April 30, 2024 and July 31, 2023, respectively. For the three and nine months ended April 30, 2024, the Company recognized approximately $233.9 million and $529.0 million, respectively, of revenue that was included in the deferred revenue balance as of July 31, 2023. Deferred revenue balances of a long-term nature, comprised primarily of long-term private club initiation fee revenue, were $106.7 million, $109.7 million and $111.4 million as of April 30, 2024, July 31, 2023 and April 30, 2023, respectively. As of April 30, 2024, the weighted average remaining period over which revenue for unsatisfied performance obligations on long-term private club contracts will be recognized was approximately 15 years.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Costs to Obtain Contracts with Customers</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Costs to obtain contracts with customers are recorded within other current assets on the Company’s Consolidated Condensed Balance Sheets, and were $2.3 million, $5.1 million and $3.0 million as of April 30, 2024, July 31, 2023 and April 30, 2023, respectively. The amounts capitalized are subject to amortization commensurate with the recognition of revenue for related pass products. The Company recorded amortization of $13.9 million and $27.8 million, respectively, for these costs during the three and nine months ended April 30, 2024, which was recorded within Mountain and Lodging operating expense on the Company’s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7"/>
          <w:szCs w:val="17"/>
          <w:color w:val="auto"/>
        </w:rPr>
        <w:t>Consolidated Condensed Statements of Operations. The Company recorded amortization of $12.3 million and $24.6 million, respectively, for these costs during the three and nine months ended April 30, 2023.</w:t>
      </w:r>
    </w:p>
    <w:p>
      <w:pPr>
        <w:spacing w:after="0" w:line="17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Net Income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Earnings per Share</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Basic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connection with the Company’s acquisition of Whistler Blackcomb in October 2016, the Company issued consideration in the form of shares of Vail Resorts common stock (the “Vail Shares”), redeemable preferred shares of the Company’s wholly-owned Canadian subsidiary Whistler Blackcomb Holdings Inc. (“Exchangeco Shares”) or cash (or a combination thereof). Effective September 26, 2022, all Exchangeco Shares had been exchanged for Vail Shares. Both Vail Shares and Exchangeco Shares have a par value of $0.01 per share, and Exchangeco Shares, while they were outstanding, were substantially the economic equivalent of the Vail Shares. The Company’s calculation of weighted-average shares outstanding as of April 30, 2023 included the Exchangeco Shares, but there were no Exchangeco Shares that remained outstanding as of April 30,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Presented below is basic and diluted EPS for the three months ended April 30, 2024 and 2023 (in thousands, except per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20" w:type="dxa"/>
            <w:vAlign w:val="bottom"/>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5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5"/>
                <w:szCs w:val="15"/>
                <w:color w:val="auto"/>
              </w:rPr>
            </w:pPr>
          </w:p>
        </w:tc>
      </w:tr>
      <w:tr>
        <w:trPr>
          <w:trHeight w:val="186"/>
        </w:trPr>
        <w:tc>
          <w:tcPr>
            <w:tcW w:w="53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1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Vail Resorts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361,995</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361,995</w:t>
            </w:r>
          </w:p>
        </w:tc>
        <w:tc>
          <w:tcPr>
            <w:tcW w:w="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325,006</w:t>
            </w:r>
          </w:p>
        </w:tc>
        <w:tc>
          <w:tcPr>
            <w:tcW w:w="3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325,006</w:t>
            </w: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Vail Shares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37,839</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37,839</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39,620</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39,620</w:t>
            </w:r>
          </w:p>
        </w:tc>
      </w:tr>
      <w:tr>
        <w:trPr>
          <w:trHeight w:val="21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97</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12"/>
        </w:trPr>
        <w:tc>
          <w:tcPr>
            <w:tcW w:w="5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shares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37,839</w:t>
            </w: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37,936</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39,620</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39,724</w:t>
            </w:r>
          </w:p>
        </w:tc>
      </w:tr>
      <w:tr>
        <w:trPr>
          <w:trHeight w:val="212"/>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income per share attributable to Vail Resorts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9.54</w:t>
            </w:r>
          </w:p>
        </w:tc>
        <w:tc>
          <w:tcPr>
            <w:tcW w:w="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8.20</w:t>
            </w:r>
          </w:p>
        </w:tc>
        <w:tc>
          <w:tcPr>
            <w:tcW w:w="3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8.18</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11,000 and 24,000 for the three months ended April 30, 2024 and 2023,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Presented below is basic and diluted EPS for the nine months ended April 30, 2024 and 2023 (in thousands, except per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20" w:type="dxa"/>
            <w:vAlign w:val="bottom"/>
            <w:gridSpan w:val="3"/>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5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5"/>
                <w:szCs w:val="15"/>
                <w:color w:val="auto"/>
              </w:rPr>
            </w:pPr>
          </w:p>
        </w:tc>
      </w:tr>
      <w:tr>
        <w:trPr>
          <w:trHeight w:val="186"/>
        </w:trPr>
        <w:tc>
          <w:tcPr>
            <w:tcW w:w="53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1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Vail Resorts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405,782</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405,782</w:t>
            </w:r>
          </w:p>
        </w:tc>
        <w:tc>
          <w:tcPr>
            <w:tcW w:w="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396,714</w:t>
            </w:r>
          </w:p>
        </w:tc>
        <w:tc>
          <w:tcPr>
            <w:tcW w:w="3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396,714</w:t>
            </w:r>
          </w:p>
        </w:tc>
      </w:tr>
      <w:tr>
        <w:trPr>
          <w:trHeight w:val="21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Weighted-average Vail Shares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37,974</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37,974</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40,081</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40,081</w:t>
            </w:r>
          </w:p>
        </w:tc>
      </w:tr>
      <w:tr>
        <w:trPr>
          <w:trHeight w:val="219"/>
        </w:trPr>
        <w:tc>
          <w:tcPr>
            <w:tcW w:w="5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Weighted-average Exchangeco Shares outstanding</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Weighted-average shares outstanding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37,974</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37,974</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40,082</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40,082</w:t>
            </w:r>
          </w:p>
        </w:tc>
      </w:tr>
      <w:tr>
        <w:trPr>
          <w:trHeight w:val="21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93</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2"/>
        </w:trPr>
        <w:tc>
          <w:tcPr>
            <w:tcW w:w="5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shares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37,974</w:t>
            </w: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38,067</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40,082</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40,180</w:t>
            </w:r>
          </w:p>
        </w:tc>
      </w:tr>
      <w:tr>
        <w:trPr>
          <w:trHeight w:val="212"/>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income per share attributable to Vail Resorts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10.66</w:t>
            </w:r>
          </w:p>
        </w:tc>
        <w:tc>
          <w:tcPr>
            <w:tcW w:w="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9.90</w:t>
            </w:r>
          </w:p>
        </w:tc>
        <w:tc>
          <w:tcPr>
            <w:tcW w:w="3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number of shares issuable upon the exercise of share-based awards excluded from the calculation of diluted EPS because the effect of their inclusion would have been anti-dilutive totaled approximately 16,000 and 25,000 for the nine months ended April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2" w:name="page13"/>
    <w:bookmarkEnd w:id="12"/>
    <w:p>
      <w:pPr>
        <w:jc w:val="both"/>
        <w:spacing w:after="0" w:line="257" w:lineRule="auto"/>
        <w:rPr>
          <w:sz w:val="20"/>
          <w:szCs w:val="20"/>
          <w:color w:val="auto"/>
        </w:rPr>
      </w:pPr>
      <w:r>
        <w:rPr>
          <w:rFonts w:ascii="Times New Roman" w:cs="Times New Roman" w:eastAsia="Times New Roman" w:hAnsi="Times New Roman"/>
          <w:sz w:val="17"/>
          <w:szCs w:val="17"/>
          <w:color w:val="auto"/>
        </w:rPr>
        <w:t>In December 2020, the Company completed an offering of $575.0 million in aggregate principal amount of 0.0% Convertible Notes (as defined in Note 5, Long-Term Debt). The Company is required to settle the principal amount of the 0.0% Convertible Notes in cash and has the option to settle the conversion spread in cash or shares. The Company uses the if-converted method to calculate the impact of convertible instruments on diluted EPS when the instruments may be settled in cash or shares. If the conversion value of the 0.0% Convertible Notes exceeds their conversion price, then the Company will calculate its diluted EPS as if all the notes were converted into common stock at the beginning of the period. However, if reflecting the 0.0% Convertible Notes in diluted EPS in this manner is anti-dilutive, or if the conversion value of the notes does not exceed their conversion price for a reporting period, then the shares underlying the notes will not be reflected in the Company’s calculation of diluted EPS. For the three and nine months ended April 30, 2024 and 2023, the price of Vail Shares did not exceed the conversion price and therefore there was no impact to diluted EPS during those periods.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three and nine months ended April 30, 2024, the Company paid cash dividends of $2.22 and $6.34 per share, respectively ($83.8 million and $240.5 million, respectively). During the three and nine months ended April 30, 2023, the Company paid cash dividends of $2.06 and $5.88 per share, respectively ($81.6 million and $235.7 million), respectively. On June 5, 2024, the Company’s Board of Directors approved a cash dividend of $2.22 per share payable on July 10, 2024 to stockholders of record as of June 25, 2024.</w:t>
      </w:r>
    </w:p>
    <w:p>
      <w:pPr>
        <w:spacing w:after="0" w:line="19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Long-Term Debt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Long-term debt, net as of April 30, 2024, July 31, 2023 and April 30, 2023 is summarized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16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400" w:type="dxa"/>
            <w:vAlign w:val="bottom"/>
          </w:tcPr>
          <w:p>
            <w:pPr>
              <w:spacing w:after="0"/>
              <w:rPr>
                <w:sz w:val="15"/>
                <w:szCs w:val="15"/>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280" w:type="dxa"/>
            <w:vAlign w:val="bottom"/>
          </w:tcPr>
          <w:p>
            <w:pPr>
              <w:spacing w:after="0"/>
              <w:rPr>
                <w:sz w:val="15"/>
                <w:szCs w:val="15"/>
                <w:color w:val="auto"/>
              </w:rPr>
            </w:pPr>
          </w:p>
        </w:tc>
        <w:tc>
          <w:tcPr>
            <w:tcW w:w="12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July 31, 2023</w:t>
            </w:r>
          </w:p>
        </w:tc>
        <w:tc>
          <w:tcPr>
            <w:tcW w:w="260" w:type="dxa"/>
            <w:vAlign w:val="bottom"/>
          </w:tcPr>
          <w:p>
            <w:pPr>
              <w:spacing w:after="0"/>
              <w:rPr>
                <w:sz w:val="15"/>
                <w:szCs w:val="15"/>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2"/>
        </w:trPr>
        <w:tc>
          <w:tcPr>
            <w:tcW w:w="506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7"/>
                <w:szCs w:val="17"/>
                <w:color w:val="auto"/>
              </w:rPr>
              <w:t xml:space="preserve">Vail Holdings Credit Agreement term loan </w:t>
            </w:r>
            <w:r>
              <w:rPr>
                <w:rFonts w:ascii="Times New Roman" w:cs="Times New Roman" w:eastAsia="Times New Roman" w:hAnsi="Times New Roman"/>
                <w:sz w:val="22"/>
                <w:szCs w:val="22"/>
                <w:color w:val="auto"/>
                <w:vertAlign w:val="superscript"/>
              </w:rPr>
              <w:t>(a)</w:t>
            </w:r>
          </w:p>
        </w:tc>
        <w:tc>
          <w:tcPr>
            <w:tcW w:w="160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w w:val="99"/>
              </w:rPr>
              <w:t>2029</w:t>
            </w:r>
          </w:p>
        </w:tc>
        <w:tc>
          <w:tcPr>
            <w:tcW w:w="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968,750</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1,015,625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1,031,250</w:t>
            </w:r>
          </w:p>
        </w:tc>
      </w:tr>
      <w:tr>
        <w:trPr>
          <w:trHeight w:val="219"/>
        </w:trPr>
        <w:tc>
          <w:tcPr>
            <w:tcW w:w="50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Vail Holdings Credit Agreement revolver </w:t>
            </w:r>
            <w:r>
              <w:rPr>
                <w:rFonts w:ascii="Times New Roman" w:cs="Times New Roman" w:eastAsia="Times New Roman" w:hAnsi="Times New Roman"/>
                <w:sz w:val="22"/>
                <w:szCs w:val="22"/>
                <w:color w:val="auto"/>
                <w:vertAlign w:val="superscript"/>
              </w:rPr>
              <w:t>(a)</w:t>
            </w:r>
          </w:p>
        </w:tc>
        <w:tc>
          <w:tcPr>
            <w:tcW w:w="1600" w:type="dxa"/>
            <w:vAlign w:val="bottom"/>
          </w:tcPr>
          <w:p>
            <w:pPr>
              <w:jc w:val="center"/>
              <w:ind w:left="336"/>
              <w:spacing w:after="0"/>
              <w:rPr>
                <w:sz w:val="20"/>
                <w:szCs w:val="20"/>
                <w:color w:val="auto"/>
              </w:rPr>
            </w:pPr>
            <w:r>
              <w:rPr>
                <w:rFonts w:ascii="Times New Roman" w:cs="Times New Roman" w:eastAsia="Times New Roman" w:hAnsi="Times New Roman"/>
                <w:sz w:val="17"/>
                <w:szCs w:val="17"/>
                <w:color w:val="auto"/>
                <w:w w:val="99"/>
              </w:rPr>
              <w:t>2029</w:t>
            </w:r>
          </w:p>
        </w:tc>
        <w:tc>
          <w:tcPr>
            <w:tcW w:w="40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0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6.25% Notes </w:t>
            </w:r>
            <w:r>
              <w:rPr>
                <w:rFonts w:ascii="Times New Roman" w:cs="Times New Roman" w:eastAsia="Times New Roman" w:hAnsi="Times New Roman"/>
                <w:sz w:val="22"/>
                <w:szCs w:val="22"/>
                <w:color w:val="auto"/>
                <w:vertAlign w:val="superscript"/>
              </w:rPr>
              <w:t>(b)</w:t>
            </w:r>
          </w:p>
        </w:tc>
        <w:tc>
          <w:tcPr>
            <w:tcW w:w="160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w w:val="99"/>
              </w:rPr>
              <w:t>2025</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600,000</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600,000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19"/>
        </w:trPr>
        <w:tc>
          <w:tcPr>
            <w:tcW w:w="50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0.0% Convertible Notes </w:t>
            </w:r>
            <w:r>
              <w:rPr>
                <w:rFonts w:ascii="Times New Roman" w:cs="Times New Roman" w:eastAsia="Times New Roman" w:hAnsi="Times New Roman"/>
                <w:sz w:val="22"/>
                <w:szCs w:val="22"/>
                <w:color w:val="auto"/>
                <w:vertAlign w:val="superscript"/>
              </w:rPr>
              <w:t>(c)</w:t>
            </w:r>
          </w:p>
        </w:tc>
        <w:tc>
          <w:tcPr>
            <w:tcW w:w="1600" w:type="dxa"/>
            <w:vAlign w:val="bottom"/>
          </w:tcPr>
          <w:p>
            <w:pPr>
              <w:jc w:val="center"/>
              <w:ind w:left="336"/>
              <w:spacing w:after="0"/>
              <w:rPr>
                <w:sz w:val="20"/>
                <w:szCs w:val="20"/>
                <w:color w:val="auto"/>
              </w:rPr>
            </w:pPr>
            <w:r>
              <w:rPr>
                <w:rFonts w:ascii="Times New Roman" w:cs="Times New Roman" w:eastAsia="Times New Roman" w:hAnsi="Times New Roman"/>
                <w:sz w:val="17"/>
                <w:szCs w:val="17"/>
                <w:color w:val="auto"/>
                <w:w w:val="99"/>
              </w:rPr>
              <w:t>2026</w:t>
            </w:r>
          </w:p>
        </w:tc>
        <w:tc>
          <w:tcPr>
            <w:tcW w:w="40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575,000</w:t>
            </w:r>
          </w:p>
        </w:tc>
        <w:tc>
          <w:tcPr>
            <w:tcW w:w="28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575,000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575,000</w:t>
            </w:r>
          </w:p>
        </w:tc>
      </w:tr>
      <w:tr>
        <w:trPr>
          <w:trHeight w:val="219"/>
        </w:trPr>
        <w:tc>
          <w:tcPr>
            <w:tcW w:w="50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Whistler Credit Agreement revolver </w:t>
            </w:r>
            <w:r>
              <w:rPr>
                <w:rFonts w:ascii="Times New Roman" w:cs="Times New Roman" w:eastAsia="Times New Roman" w:hAnsi="Times New Roman"/>
                <w:sz w:val="22"/>
                <w:szCs w:val="22"/>
                <w:color w:val="auto"/>
                <w:vertAlign w:val="superscript"/>
              </w:rPr>
              <w:t>(d)</w:t>
            </w:r>
          </w:p>
        </w:tc>
        <w:tc>
          <w:tcPr>
            <w:tcW w:w="160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w w:val="99"/>
              </w:rPr>
              <w:t>2028</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11,075</w:t>
            </w:r>
          </w:p>
        </w:tc>
      </w:tr>
      <w:tr>
        <w:trPr>
          <w:trHeight w:val="219"/>
        </w:trPr>
        <w:tc>
          <w:tcPr>
            <w:tcW w:w="50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EPR Secured Notes </w:t>
            </w:r>
            <w:r>
              <w:rPr>
                <w:rFonts w:ascii="Times New Roman" w:cs="Times New Roman" w:eastAsia="Times New Roman" w:hAnsi="Times New Roman"/>
                <w:sz w:val="22"/>
                <w:szCs w:val="22"/>
                <w:color w:val="auto"/>
                <w:vertAlign w:val="superscript"/>
              </w:rPr>
              <w:t>(e)</w:t>
            </w:r>
          </w:p>
        </w:tc>
        <w:tc>
          <w:tcPr>
            <w:tcW w:w="1600" w:type="dxa"/>
            <w:vAlign w:val="bottom"/>
          </w:tcPr>
          <w:p>
            <w:pPr>
              <w:jc w:val="center"/>
              <w:ind w:left="336"/>
              <w:spacing w:after="0"/>
              <w:rPr>
                <w:sz w:val="20"/>
                <w:szCs w:val="20"/>
                <w:color w:val="auto"/>
              </w:rPr>
            </w:pPr>
            <w:r>
              <w:rPr>
                <w:rFonts w:ascii="Times New Roman" w:cs="Times New Roman" w:eastAsia="Times New Roman" w:hAnsi="Times New Roman"/>
                <w:sz w:val="17"/>
                <w:szCs w:val="17"/>
                <w:color w:val="auto"/>
              </w:rPr>
              <w:t>2034-2036</w:t>
            </w:r>
          </w:p>
        </w:tc>
        <w:tc>
          <w:tcPr>
            <w:tcW w:w="40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114,162</w:t>
            </w:r>
          </w:p>
        </w:tc>
        <w:tc>
          <w:tcPr>
            <w:tcW w:w="28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114,162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114,162</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NRP Loan</w:t>
            </w:r>
          </w:p>
        </w:tc>
        <w:tc>
          <w:tcPr>
            <w:tcW w:w="160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w w:val="99"/>
              </w:rPr>
              <w:t>2036</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35,429</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40,399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39,437</w:t>
            </w: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housing bonds</w:t>
            </w:r>
          </w:p>
        </w:tc>
        <w:tc>
          <w:tcPr>
            <w:tcW w:w="1600" w:type="dxa"/>
            <w:vAlign w:val="bottom"/>
          </w:tcPr>
          <w:p>
            <w:pPr>
              <w:jc w:val="center"/>
              <w:ind w:left="336"/>
              <w:spacing w:after="0"/>
              <w:rPr>
                <w:sz w:val="20"/>
                <w:szCs w:val="20"/>
                <w:color w:val="auto"/>
              </w:rPr>
            </w:pPr>
            <w:r>
              <w:rPr>
                <w:rFonts w:ascii="Times New Roman" w:cs="Times New Roman" w:eastAsia="Times New Roman" w:hAnsi="Times New Roman"/>
                <w:sz w:val="17"/>
                <w:szCs w:val="17"/>
                <w:color w:val="auto"/>
              </w:rPr>
              <w:t>2027-2039</w:t>
            </w:r>
          </w:p>
        </w:tc>
        <w:tc>
          <w:tcPr>
            <w:tcW w:w="40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52,575</w:t>
            </w:r>
          </w:p>
        </w:tc>
        <w:tc>
          <w:tcPr>
            <w:tcW w:w="28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52,575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52,575</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Canyons obligation</w:t>
            </w:r>
          </w:p>
        </w:tc>
        <w:tc>
          <w:tcPr>
            <w:tcW w:w="160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w w:val="99"/>
              </w:rPr>
              <w:t>2063</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367,704</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363,386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361,941</w:t>
            </w: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Whistler Blackcomb employee housing leases</w:t>
            </w:r>
          </w:p>
        </w:tc>
        <w:tc>
          <w:tcPr>
            <w:tcW w:w="1600" w:type="dxa"/>
            <w:vAlign w:val="bottom"/>
          </w:tcPr>
          <w:p>
            <w:pPr>
              <w:jc w:val="center"/>
              <w:ind w:left="336"/>
              <w:spacing w:after="0"/>
              <w:rPr>
                <w:sz w:val="20"/>
                <w:szCs w:val="20"/>
                <w:color w:val="auto"/>
              </w:rPr>
            </w:pPr>
            <w:r>
              <w:rPr>
                <w:rFonts w:ascii="Times New Roman" w:cs="Times New Roman" w:eastAsia="Times New Roman" w:hAnsi="Times New Roman"/>
                <w:sz w:val="17"/>
                <w:szCs w:val="17"/>
                <w:color w:val="auto"/>
                <w:w w:val="99"/>
              </w:rPr>
              <w:t>2042</w:t>
            </w:r>
          </w:p>
        </w:tc>
        <w:tc>
          <w:tcPr>
            <w:tcW w:w="40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28,045</w:t>
            </w:r>
          </w:p>
        </w:tc>
        <w:tc>
          <w:tcPr>
            <w:tcW w:w="28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29,491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28,770</w:t>
            </w:r>
          </w:p>
        </w:tc>
      </w:tr>
      <w:tr>
        <w:trPr>
          <w:trHeight w:val="219"/>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0" w:type="dxa"/>
            <w:vAlign w:val="bottom"/>
            <w:tcBorders>
              <w:bottom w:val="single" w:sz="8" w:color="auto"/>
            </w:tcBorders>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rPr>
              <w:t>2024-2036</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30,970</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35,011</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35,371</w:t>
            </w:r>
          </w:p>
        </w:tc>
      </w:tr>
      <w:tr>
        <w:trPr>
          <w:trHeight w:val="212"/>
        </w:trPr>
        <w:tc>
          <w:tcPr>
            <w:tcW w:w="5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debt</w:t>
            </w: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2,772,635</w:t>
            </w:r>
          </w:p>
        </w:tc>
        <w:tc>
          <w:tcPr>
            <w:tcW w:w="280" w:type="dxa"/>
            <w:vAlign w:val="bottom"/>
          </w:tcPr>
          <w:p>
            <w:pPr>
              <w:spacing w:after="0"/>
              <w:rPr>
                <w:sz w:val="18"/>
                <w:szCs w:val="18"/>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2,825,649</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2,849,581</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Unamortized premiums, discounts and debt issuance costs</w:t>
            </w:r>
          </w:p>
        </w:tc>
        <w:tc>
          <w:tcPr>
            <w:tcW w:w="1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3,908</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5,814</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6,864</w:t>
            </w:r>
          </w:p>
        </w:tc>
      </w:tr>
      <w:tr>
        <w:trPr>
          <w:trHeight w:val="219"/>
        </w:trPr>
        <w:tc>
          <w:tcPr>
            <w:tcW w:w="5060" w:type="dxa"/>
            <w:vAlign w:val="bottom"/>
            <w:tcBorders>
              <w:bottom w:val="single" w:sz="8" w:color="auto"/>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Less: Current maturities </w:t>
            </w:r>
            <w:r>
              <w:rPr>
                <w:rFonts w:ascii="Times New Roman" w:cs="Times New Roman" w:eastAsia="Times New Roman" w:hAnsi="Times New Roman"/>
                <w:sz w:val="22"/>
                <w:szCs w:val="22"/>
                <w:color w:val="auto"/>
                <w:vertAlign w:val="superscript"/>
              </w:rPr>
              <w:t>(f)</w:t>
            </w:r>
          </w:p>
        </w:tc>
        <w:tc>
          <w:tcPr>
            <w:tcW w:w="1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68,470</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69,160</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68,970</w:t>
            </w:r>
          </w:p>
        </w:tc>
      </w:tr>
      <w:tr>
        <w:trPr>
          <w:trHeight w:val="237"/>
        </w:trPr>
        <w:tc>
          <w:tcPr>
            <w:tcW w:w="50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Long-term debt, net</w:t>
            </w:r>
          </w:p>
        </w:tc>
        <w:tc>
          <w:tcPr>
            <w:tcW w:w="16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2,700,257</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2,750,675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2,773,747</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jc w:val="both"/>
        <w:ind w:left="540" w:hanging="305"/>
        <w:spacing w:after="0" w:line="259" w:lineRule="auto"/>
        <w:tabs>
          <w:tab w:leader="none" w:pos="53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24, 2024, Vail Holdings, Inc., which is a wholly-owned subsidiary of the Company, along with other certain subsidiaries of the Company, as guarantors, Bank of America, N.A., as administrative agent, and certain Lenders entered into the Ninth Amended and Restated Credit Agreement (the “Vail Holdings Credit Agreement”). The amended Vail Holdings Credit Agreement extended the maturity date for the outstanding term loan and currently undrawn revolver facility to the earlier of (i) April 24, 2029 and (ii) the date that is ninety days prior to the maturity of the Company’s 6.25% Notes due 2025, so long as such notes remain outstanding. As described below, the Company’s 6.25% Notes were repaid on May 15, 2024, and as a result, the maturity date under the amended Vail Holdings Credit Agreement is April 24, 2029. No other material terms of the Vail Holdings Credit Agreement were altered.</w:t>
      </w:r>
    </w:p>
    <w:p>
      <w:pPr>
        <w:spacing w:after="0" w:line="200" w:lineRule="exact"/>
        <w:rPr>
          <w:rFonts w:ascii="Times New Roman" w:cs="Times New Roman" w:eastAsia="Times New Roman" w:hAnsi="Times New Roman"/>
          <w:sz w:val="17"/>
          <w:szCs w:val="17"/>
          <w:color w:val="auto"/>
        </w:rPr>
      </w:pPr>
    </w:p>
    <w:p>
      <w:pPr>
        <w:spacing w:after="0" w:line="208" w:lineRule="exact"/>
        <w:rPr>
          <w:rFonts w:ascii="Times New Roman" w:cs="Times New Roman" w:eastAsia="Times New Roman" w:hAnsi="Times New Roman"/>
          <w:sz w:val="17"/>
          <w:szCs w:val="17"/>
          <w:color w:val="auto"/>
        </w:rPr>
      </w:pPr>
    </w:p>
    <w:p>
      <w:pPr>
        <w:jc w:val="both"/>
        <w:ind w:left="54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April 30, 2024, the Vail Holdings Credit Agreement consists of a $500.0 million revolving credit facility and a $968.8 million outstanding term loan. The term loan is subject to quarterly amortization of principal of approximately $15.6 million, in equal installments, for a total of 5% of principal payable in each year and the final payment of all amounts outstanding, plus accrued and unpaid interest is due upon maturity in April 2029.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bear interest annually at the Secured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3" w:name="page14"/>
    <w:bookmarkEnd w:id="13"/>
    <w:p>
      <w:pPr>
        <w:jc w:val="both"/>
        <w:ind w:left="305"/>
        <w:spacing w:after="0" w:line="258" w:lineRule="auto"/>
        <w:rPr>
          <w:sz w:val="20"/>
          <w:szCs w:val="20"/>
          <w:color w:val="auto"/>
        </w:rPr>
      </w:pPr>
      <w:r>
        <w:rPr>
          <w:rFonts w:ascii="Times New Roman" w:cs="Times New Roman" w:eastAsia="Times New Roman" w:hAnsi="Times New Roman"/>
          <w:sz w:val="17"/>
          <w:szCs w:val="17"/>
          <w:color w:val="auto"/>
        </w:rPr>
        <w:t>Overnight Financing Rate (“SOFR”) plus a spread of 1.60% as of April 30, 2024 (6.92% as of April 30, 2024).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(0.30% as of April 30, 2024). The Company is party to various interest rate swap agreements which hedge the cash flows associated with the SOFR-based variable interest rate component of $400.0 million in principal amount of its Vail Holdings Credit Agreement until September 23, 2024, at an effective rate of 1.38%.</w:t>
      </w:r>
    </w:p>
    <w:p>
      <w:pPr>
        <w:spacing w:after="0" w:line="203" w:lineRule="exact"/>
        <w:rPr>
          <w:sz w:val="20"/>
          <w:szCs w:val="20"/>
          <w:color w:val="auto"/>
        </w:rPr>
      </w:pPr>
    </w:p>
    <w:p>
      <w:pPr>
        <w:jc w:val="both"/>
        <w:ind w:left="305" w:hanging="305"/>
        <w:spacing w:after="0" w:line="259" w:lineRule="auto"/>
        <w:tabs>
          <w:tab w:leader="none" w:pos="29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29, 2024, the Company provided a notice of redemption to the trustee and holders of the 6.25% Notes of its election to redeem the full amount of the $600.0 million outstanding 6.25% Notes on May 15, 2024 at a redemption price equal to 100% of their principal amount, plus accrued and unpaid interest. The redemption was funded with the net proceeds from the Company’s offering of $600.0 million aggregate principal amount of 6.50% senior notes due 2032, which closed on May 8, 2024, in addition to cash on hand (see Note 13, Subsequent Events, for additional information). As of April 30, 2024, the obligation for the 6.25% Notes is excluded from current maturities as the Company had the intent and ability to refinance the short-term obligation to a long-term obligation, as demonstrated by the successful closing of the 6.50% senior notes due 2032, which closed on May 8, 2024.</w:t>
      </w:r>
    </w:p>
    <w:p>
      <w:pPr>
        <w:spacing w:after="0" w:line="202" w:lineRule="exact"/>
        <w:rPr>
          <w:rFonts w:ascii="Times New Roman" w:cs="Times New Roman" w:eastAsia="Times New Roman" w:hAnsi="Times New Roman"/>
          <w:sz w:val="17"/>
          <w:szCs w:val="17"/>
          <w:color w:val="auto"/>
        </w:rPr>
      </w:pPr>
    </w:p>
    <w:p>
      <w:pPr>
        <w:jc w:val="both"/>
        <w:ind w:left="305" w:hanging="305"/>
        <w:spacing w:after="0" w:line="269" w:lineRule="auto"/>
        <w:tabs>
          <w:tab w:leader="none" w:pos="30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issued $575.0 million in aggregate principal amount of 0.0% Convertible Notes due 2026 (the “0.0% Convertible Notes) under an indenture dated December 18, 2020. As of April 30, 2024, the conversion price of the 0.0% Convertible Notes, adjusted for cash dividends paid since the issuance date, was $373.92.</w:t>
      </w:r>
    </w:p>
    <w:p>
      <w:pPr>
        <w:spacing w:after="0" w:line="192" w:lineRule="exact"/>
        <w:rPr>
          <w:rFonts w:ascii="Times New Roman" w:cs="Times New Roman" w:eastAsia="Times New Roman" w:hAnsi="Times New Roman"/>
          <w:sz w:val="17"/>
          <w:szCs w:val="17"/>
          <w:color w:val="auto"/>
        </w:rPr>
      </w:pPr>
    </w:p>
    <w:p>
      <w:pPr>
        <w:jc w:val="both"/>
        <w:ind w:left="305" w:hanging="305"/>
        <w:spacing w:after="0" w:line="258" w:lineRule="auto"/>
        <w:tabs>
          <w:tab w:leader="none" w:pos="29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Whistler Mountain Resort Limited Partnership (“Whistler LP”) and Blackcomb Skiing Enterprises Limited Partnership (“Blackcomb LP” and together with Whistler LP, the “WB Partnerships”) are party to a credit agreement consisting of a C$300.0 million credit facility which was most recently amended on April 14, 2023, by and among Whistler LP, Blackcomb LP, certain subsidiaries of Whistler LP and Blackcomb LP party thereto as guarantors, the financial institutions party thereto as lenders and The Toronto-Dominion Bank, as administrative agent. The Whistler Credit Agreement has a maturity date of April 14, 2028 and uses rates based on SOFR with regard to borrowings under the facility made in U.S. dollars. As of April 30, 2024, there were no borrowings under the Whistler Credit Agreement. The Whistler Credit Agreement also includes a quarterly unused commitment fee based on the Consolidated Total Leverage Ratio, which as of April 30, 2024 is equal to 0.39% per annum.</w:t>
      </w:r>
    </w:p>
    <w:p>
      <w:pPr>
        <w:spacing w:after="0" w:line="203" w:lineRule="exact"/>
        <w:rPr>
          <w:rFonts w:ascii="Times New Roman" w:cs="Times New Roman" w:eastAsia="Times New Roman" w:hAnsi="Times New Roman"/>
          <w:sz w:val="17"/>
          <w:szCs w:val="17"/>
          <w:color w:val="auto"/>
        </w:rPr>
      </w:pPr>
    </w:p>
    <w:p>
      <w:pPr>
        <w:jc w:val="both"/>
        <w:ind w:left="305" w:hanging="305"/>
        <w:spacing w:after="0" w:line="269" w:lineRule="auto"/>
        <w:tabs>
          <w:tab w:leader="none" w:pos="30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59" w:lineRule="exact"/>
        <w:rPr>
          <w:rFonts w:ascii="Times New Roman" w:cs="Times New Roman" w:eastAsia="Times New Roman" w:hAnsi="Times New Roman"/>
          <w:sz w:val="17"/>
          <w:szCs w:val="17"/>
          <w:color w:val="auto"/>
        </w:rPr>
      </w:pPr>
    </w:p>
    <w:p>
      <w:pPr>
        <w:ind w:left="925" w:hanging="397"/>
        <w:spacing w:after="0" w:line="291" w:lineRule="auto"/>
        <w:tabs>
          <w:tab w:leader="none" w:pos="925"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The Alpine Valley Secured Note. </w:t>
      </w:r>
      <w:r>
        <w:rPr>
          <w:rFonts w:ascii="Times New Roman" w:cs="Times New Roman" w:eastAsia="Times New Roman" w:hAnsi="Times New Roman"/>
          <w:sz w:val="17"/>
          <w:szCs w:val="17"/>
          <w:color w:val="auto"/>
        </w:rPr>
        <w:t>The $4.6 million Alpine Valley Secured Note provides for interest payments through its maturity on December 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2034. As of April 30, 2024, interest on this note accrued at a rate of 11.90%.</w:t>
      </w:r>
    </w:p>
    <w:p>
      <w:pPr>
        <w:spacing w:after="0" w:line="41" w:lineRule="exact"/>
        <w:rPr>
          <w:rFonts w:ascii="Times New Roman" w:cs="Times New Roman" w:eastAsia="Times New Roman" w:hAnsi="Times New Roman"/>
          <w:sz w:val="17"/>
          <w:szCs w:val="17"/>
          <w:color w:val="auto"/>
        </w:rPr>
      </w:pPr>
    </w:p>
    <w:p>
      <w:pPr>
        <w:ind w:left="925" w:hanging="445"/>
        <w:spacing w:after="0" w:line="291" w:lineRule="auto"/>
        <w:tabs>
          <w:tab w:leader="none" w:pos="925"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The Boston Mills/Brandywine Secured Note. </w:t>
      </w:r>
      <w:r>
        <w:rPr>
          <w:rFonts w:ascii="Times New Roman" w:cs="Times New Roman" w:eastAsia="Times New Roman" w:hAnsi="Times New Roman"/>
          <w:sz w:val="17"/>
          <w:szCs w:val="17"/>
          <w:color w:val="auto"/>
        </w:rPr>
        <w:t>The $23.3 million Boston Mills/Brandywine Secured Note provides for interest payments through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maturity on December 1, 2034. As of April 30, 2024, interest on this note accrued at a rate of 11.41%.</w:t>
      </w:r>
    </w:p>
    <w:p>
      <w:pPr>
        <w:spacing w:after="0" w:line="41" w:lineRule="exact"/>
        <w:rPr>
          <w:rFonts w:ascii="Times New Roman" w:cs="Times New Roman" w:eastAsia="Times New Roman" w:hAnsi="Times New Roman"/>
          <w:sz w:val="17"/>
          <w:szCs w:val="17"/>
          <w:color w:val="auto"/>
        </w:rPr>
      </w:pPr>
    </w:p>
    <w:p>
      <w:pPr>
        <w:ind w:left="925" w:hanging="493"/>
        <w:spacing w:after="0" w:line="291" w:lineRule="auto"/>
        <w:tabs>
          <w:tab w:leader="none" w:pos="926"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The Jack Frost/Big Boulder Secured Note. </w:t>
      </w:r>
      <w:r>
        <w:rPr>
          <w:rFonts w:ascii="Times New Roman" w:cs="Times New Roman" w:eastAsia="Times New Roman" w:hAnsi="Times New Roman"/>
          <w:sz w:val="17"/>
          <w:szCs w:val="17"/>
          <w:color w:val="auto"/>
        </w:rPr>
        <w:t>The $14.3 million Jack Frost/Big Boulder Secured Note provides for interest payments through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maturity on December 1, 2034. As of April 30, 2024, interest on this note accrued at a rate of 11.41%.</w:t>
      </w:r>
    </w:p>
    <w:p>
      <w:pPr>
        <w:spacing w:after="0" w:line="41" w:lineRule="exact"/>
        <w:rPr>
          <w:rFonts w:ascii="Times New Roman" w:cs="Times New Roman" w:eastAsia="Times New Roman" w:hAnsi="Times New Roman"/>
          <w:sz w:val="17"/>
          <w:szCs w:val="17"/>
          <w:color w:val="auto"/>
        </w:rPr>
      </w:pPr>
    </w:p>
    <w:p>
      <w:pPr>
        <w:ind w:left="925" w:hanging="483"/>
        <w:spacing w:after="0" w:line="291" w:lineRule="auto"/>
        <w:tabs>
          <w:tab w:leader="none" w:pos="914"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The Mount Snow Secured Note. </w:t>
      </w:r>
      <w:r>
        <w:rPr>
          <w:rFonts w:ascii="Times New Roman" w:cs="Times New Roman" w:eastAsia="Times New Roman" w:hAnsi="Times New Roman"/>
          <w:sz w:val="17"/>
          <w:szCs w:val="17"/>
          <w:color w:val="auto"/>
        </w:rPr>
        <w:t>The $51.1 million Mount Snow Secured Note provides for interest payments through its maturity on December 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2034. As of April 30, 2024, interest on this note accrued at a rate of 12.50%.</w:t>
      </w:r>
    </w:p>
    <w:p>
      <w:pPr>
        <w:spacing w:after="0" w:line="41" w:lineRule="exact"/>
        <w:rPr>
          <w:rFonts w:ascii="Times New Roman" w:cs="Times New Roman" w:eastAsia="Times New Roman" w:hAnsi="Times New Roman"/>
          <w:sz w:val="17"/>
          <w:szCs w:val="17"/>
          <w:color w:val="auto"/>
        </w:rPr>
      </w:pPr>
    </w:p>
    <w:p>
      <w:pPr>
        <w:ind w:left="925" w:hanging="436"/>
        <w:spacing w:after="0" w:line="291" w:lineRule="auto"/>
        <w:tabs>
          <w:tab w:leader="none" w:pos="914"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The Hunter Mountain Secured Note. </w:t>
      </w:r>
      <w:r>
        <w:rPr>
          <w:rFonts w:ascii="Times New Roman" w:cs="Times New Roman" w:eastAsia="Times New Roman" w:hAnsi="Times New Roman"/>
          <w:sz w:val="17"/>
          <w:szCs w:val="17"/>
          <w:color w:val="auto"/>
        </w:rPr>
        <w:t>The $21.0 million Hunter Mountain Secured Note provides for interest payments through its maturity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January 5, 2036. As of April 30, 2024, interest on this note accrued at a rate of 9.19%.</w:t>
      </w:r>
    </w:p>
    <w:p>
      <w:pPr>
        <w:spacing w:after="0" w:line="45" w:lineRule="exact"/>
        <w:rPr>
          <w:sz w:val="20"/>
          <w:szCs w:val="20"/>
          <w:color w:val="auto"/>
        </w:rPr>
      </w:pPr>
    </w:p>
    <w:p>
      <w:pPr>
        <w:ind w:left="305"/>
        <w:spacing w:after="0" w:line="286" w:lineRule="auto"/>
        <w:rPr>
          <w:sz w:val="20"/>
          <w:szCs w:val="20"/>
          <w:color w:val="auto"/>
        </w:rPr>
      </w:pPr>
      <w:r>
        <w:rPr>
          <w:rFonts w:ascii="Times New Roman" w:cs="Times New Roman" w:eastAsia="Times New Roman" w:hAnsi="Times New Roman"/>
          <w:sz w:val="17"/>
          <w:szCs w:val="17"/>
          <w:color w:val="auto"/>
        </w:rPr>
        <w:t>In addition, Peak Resorts is required to maintain a debt service reserve account which amounts are applied to fund interest payments and other amounts due and payable to EPR.</w:t>
      </w:r>
    </w:p>
    <w:p>
      <w:pPr>
        <w:spacing w:after="0" w:line="178" w:lineRule="exact"/>
        <w:rPr>
          <w:sz w:val="20"/>
          <w:szCs w:val="20"/>
          <w:color w:val="auto"/>
        </w:rPr>
      </w:pPr>
    </w:p>
    <w:p>
      <w:pPr>
        <w:jc w:val="right"/>
        <w:ind w:left="5305" w:right="5540" w:hanging="5305"/>
        <w:spacing w:after="0" w:line="624" w:lineRule="auto"/>
        <w:tabs>
          <w:tab w:leader="none" w:pos="30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maturities represent principal payments due in the next 12 months.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356235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05"/>
          </w:cols>
          <w:pgMar w:left="555" w:top="8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Aggregate maturities of debt outstanding as of April 30, 2024 reflected by fiscal year (August 1 through July 31) are as follows (in thousands):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8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2"/>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2024</w:t>
            </w: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2024 through July 2024)</w:t>
            </w:r>
          </w:p>
        </w:tc>
        <w:tc>
          <w:tcPr>
            <w:tcW w:w="39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16,622</w:t>
            </w: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2025</w:t>
            </w:r>
          </w:p>
        </w:tc>
        <w:tc>
          <w:tcPr>
            <w:tcW w:w="5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w:t>
            </w:r>
          </w:p>
        </w:tc>
        <w:tc>
          <w:tcPr>
            <w:tcW w:w="390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675,701</w:t>
            </w: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2026</w:t>
            </w:r>
          </w:p>
        </w:tc>
        <w:tc>
          <w:tcPr>
            <w:tcW w:w="566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643,492</w:t>
            </w: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2027</w:t>
            </w:r>
          </w:p>
        </w:tc>
        <w:tc>
          <w:tcPr>
            <w:tcW w:w="56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85,476</w:t>
            </w: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2028</w:t>
            </w:r>
          </w:p>
        </w:tc>
        <w:tc>
          <w:tcPr>
            <w:tcW w:w="566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67,110</w:t>
            </w:r>
          </w:p>
        </w:tc>
      </w:tr>
      <w:tr>
        <w:trPr>
          <w:trHeight w:val="219"/>
        </w:trPr>
        <w:tc>
          <w:tcPr>
            <w:tcW w:w="6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9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1,284,234</w:t>
            </w:r>
          </w:p>
        </w:tc>
      </w:tr>
      <w:tr>
        <w:trPr>
          <w:trHeight w:val="237"/>
        </w:trPr>
        <w:tc>
          <w:tcPr>
            <w:tcW w:w="604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debt</w:t>
            </w:r>
          </w:p>
        </w:tc>
        <w:tc>
          <w:tcPr>
            <w:tcW w:w="39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2,772,635</w:t>
            </w:r>
          </w:p>
        </w:tc>
      </w:tr>
      <w:tr>
        <w:trPr>
          <w:trHeight w:val="20"/>
        </w:trPr>
        <w:tc>
          <w:tcPr>
            <w:tcW w:w="380" w:type="dxa"/>
            <w:vAlign w:val="bottom"/>
            <w:tcBorders>
              <w:top w:val="single" w:sz="8" w:color="CCEEFF"/>
              <w:bottom w:val="single" w:sz="8" w:color="auto"/>
            </w:tcBorders>
          </w:tcPr>
          <w:p>
            <w:pPr>
              <w:spacing w:after="0" w:line="20" w:lineRule="exact"/>
              <w:rPr>
                <w:sz w:val="1"/>
                <w:szCs w:val="1"/>
                <w:color w:val="auto"/>
              </w:rPr>
            </w:pPr>
          </w:p>
        </w:tc>
        <w:tc>
          <w:tcPr>
            <w:tcW w:w="5660" w:type="dxa"/>
            <w:vAlign w:val="bottom"/>
            <w:tcBorders>
              <w:top w:val="single" w:sz="8" w:color="CCEEFF"/>
              <w:bottom w:val="single" w:sz="8" w:color="auto"/>
            </w:tcBorders>
          </w:tcPr>
          <w:p>
            <w:pPr>
              <w:spacing w:after="0" w:line="20" w:lineRule="exact"/>
              <w:rPr>
                <w:sz w:val="1"/>
                <w:szCs w:val="1"/>
                <w:color w:val="auto"/>
              </w:rPr>
            </w:pPr>
          </w:p>
        </w:tc>
        <w:tc>
          <w:tcPr>
            <w:tcW w:w="3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20" w:hanging="8"/>
        <w:spacing w:after="0" w:line="244" w:lineRule="auto"/>
        <w:tabs>
          <w:tab w:leader="none" w:pos="47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6.25% Notes were redeemed on May 15, 2024 at a price equal to 100% of their principal amount primarily utilizing net proceeds from the Company’s offering of $600.0 million aggregate principal amount of 6.50% senior notes due 2032, which closed on May 8, 2024.</w:t>
      </w:r>
    </w:p>
    <w:p>
      <w:pPr>
        <w:spacing w:after="0" w:line="2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recorded interest expense of $39.9 million and $39.1 million for the three months ended April 30, 2024 and 2023, respectively, of which $1.6 million and $1.7 million, respectively, was amortization of deferred financing costs. The Company recorded interest expense of $121.2 million and $112.8 million for the nine months ended April 30, 2024 and 2023, respectively, of which $4.9 million was amortization of deferred financing costs in both periods. The Company was in compliance with all of its financial and operating covenants required to be maintained under its debt instruments for all periods presented.</w:t>
      </w:r>
    </w:p>
    <w:p>
      <w:pPr>
        <w:spacing w:after="0" w:line="200" w:lineRule="exact"/>
        <w:rPr>
          <w:sz w:val="20"/>
          <w:szCs w:val="20"/>
          <w:color w:val="auto"/>
        </w:rPr>
      </w:pP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connection with the acquisition of Whistler Blackcomb, VHI funded a portion of the purchase price through an intercompany loan to Whistler Blackcomb,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$2.3 million and $4.2 million of non-cash foreign currency losses on the intercompany loan to Whistler Blackcomb for the three and nine months ended April 30, 2024, respectively, on the Company’s Consolidated Condensed Statements of Operations. The Company recognized approximately $1.8 million and $5.6 million of non-cash foreign currency losses on the intercompany loan to Whistler Blackcomb for the three and nine months ended April 30, 2023, respectively, on the Company’s Consolidated Condensed Statements of Operations.</w:t>
      </w:r>
    </w:p>
    <w:p>
      <w:pPr>
        <w:spacing w:after="0" w:line="19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Acquisitions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Andermatt-Sedrun</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August 3, 2022, through a wholly-owned subsidiary, the Company acquired a 55% controlling interest in Andermatt-Sedrun Sport AG (“Andermatt-Sedrun”) from Andermatt Swiss Alps AG (“ASA”). The consideration paid consisted of an investment of $114.4 million (CHF 110.0 million) into Andermatt-Sedrun for use in capital investments to enhance the guest experience on mountain (which was prepaid to fund the acquisition and was recorded in other current assets on the Company’s Consolidated Condensed Balance Sheet as of July 31, 2022) and $41.3 million (CHF 39.3 million) paid to ASA (which was paid on August 3, 2022, commensurate with closing). As of August 3, 2022 the total fair value of the consideration paid was $155.4 million (CHF 149.3 million).</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Andermatt-Sedrun operates mountain and ski-related assets, including lifts, most of the restaurants and a ski school operation at the ski area. Ski operations are conducted on land owned by ASA as freehold or leasehold properties, land owned by Usern Corporation, land owned by the municipality of Tujetsch and land owned by private property owners. ASA retained a 40% ownership stake, with a group of existing shareholders comprising the remaining 5% ownership stake. ASA and the other noncontrolling economic interests contain certain protective rights pursuant to a shareholder agreement (the “Andermatt Agreement”) and no ability to participate in the day-to-day operations of Andermatt-Sedrun. The Andermatt Agreement provides that no dividend distributions be made by Andermatt-Sedrun until the end of the fiscal year ending July 31, 2026, after which time there shall be annual distributions of 50% of the available cash (as defined in the Andermatt Agreement) for the most recently completed fiscal year. In addition, the distribution rights are non-transferable and transfer of the noncontrolling interests are limited.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7"/>
          <w:szCs w:val="17"/>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4560" w:type="dxa"/>
            <w:vAlign w:val="bottom"/>
            <w:gridSpan w:val="2"/>
          </w:tcPr>
          <w:p>
            <w:pPr>
              <w:ind w:left="2940"/>
              <w:spacing w:after="0"/>
              <w:rPr>
                <w:sz w:val="20"/>
                <w:szCs w:val="20"/>
                <w:color w:val="auto"/>
              </w:rPr>
            </w:pPr>
            <w:r>
              <w:rPr>
                <w:rFonts w:ascii="Times New Roman" w:cs="Times New Roman" w:eastAsia="Times New Roman" w:hAnsi="Times New Roman"/>
                <w:sz w:val="14"/>
                <w:szCs w:val="14"/>
                <w:b w:val="1"/>
                <w:bCs w:val="1"/>
                <w:color w:val="auto"/>
                <w:w w:val="97"/>
              </w:rPr>
              <w:t>Acquisition Date Estimated</w:t>
            </w:r>
          </w:p>
        </w:tc>
      </w:tr>
      <w:tr>
        <w:trPr>
          <w:trHeight w:val="187"/>
        </w:trPr>
        <w:tc>
          <w:tcPr>
            <w:tcW w:w="66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consideration paid by Vail Resorts, Inc.</w:t>
            </w:r>
          </w:p>
        </w:tc>
        <w:tc>
          <w:tcPr>
            <w:tcW w:w="3220" w:type="dxa"/>
            <w:vAlign w:val="bottom"/>
            <w:shd w:val="clear" w:color="auto" w:fill="CCEEFF"/>
          </w:tcPr>
          <w:p>
            <w:pPr>
              <w:ind w:left="29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155,365</w:t>
            </w:r>
          </w:p>
        </w:tc>
      </w:tr>
      <w:tr>
        <w:trPr>
          <w:trHeight w:val="219"/>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Estimated fair value of noncontrolling interests</w:t>
            </w:r>
          </w:p>
        </w:tc>
        <w:tc>
          <w:tcPr>
            <w:tcW w:w="3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91,524</w:t>
            </w:r>
          </w:p>
        </w:tc>
      </w:tr>
      <w:tr>
        <w:trPr>
          <w:trHeight w:val="237"/>
        </w:trPr>
        <w:tc>
          <w:tcPr>
            <w:tcW w:w="6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estimated purchase consideration</w:t>
            </w:r>
          </w:p>
        </w:tc>
        <w:tc>
          <w:tcPr>
            <w:tcW w:w="3220" w:type="dxa"/>
            <w:vAlign w:val="bottom"/>
            <w:tcBorders>
              <w:bottom w:val="single" w:sz="8" w:color="auto"/>
            </w:tcBorders>
            <w:shd w:val="clear" w:color="auto" w:fill="CCEEFF"/>
          </w:tcPr>
          <w:p>
            <w:pPr>
              <w:ind w:left="29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246,889</w:t>
            </w:r>
          </w:p>
        </w:tc>
      </w:tr>
      <w:tr>
        <w:trPr>
          <w:trHeight w:val="20"/>
        </w:trPr>
        <w:tc>
          <w:tcPr>
            <w:tcW w:w="668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Allocation of total estimated purchase consideration:</w:t>
            </w:r>
          </w:p>
        </w:tc>
        <w:tc>
          <w:tcPr>
            <w:tcW w:w="3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220" w:type="dxa"/>
            <w:vAlign w:val="bottom"/>
          </w:tcPr>
          <w:p>
            <w:pPr>
              <w:ind w:left="29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119,867</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3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176,805</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3,368</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Identifiable intangible assets and other assets</w:t>
            </w:r>
          </w:p>
        </w:tc>
        <w:tc>
          <w:tcPr>
            <w:tcW w:w="3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7,476</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Assumed long-term debt</w:t>
            </w:r>
          </w:p>
        </w:tc>
        <w:tc>
          <w:tcPr>
            <w:tcW w:w="3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(44,130)</w:t>
            </w:r>
          </w:p>
        </w:tc>
      </w:tr>
      <w:tr>
        <w:trPr>
          <w:trHeight w:val="219"/>
        </w:trPr>
        <w:tc>
          <w:tcPr>
            <w:tcW w:w="6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3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(16,497)</w:t>
            </w:r>
          </w:p>
        </w:tc>
      </w:tr>
      <w:tr>
        <w:trPr>
          <w:trHeight w:val="212"/>
        </w:trPr>
        <w:tc>
          <w:tcPr>
            <w:tcW w:w="6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assets acquired</w:t>
            </w:r>
          </w:p>
        </w:tc>
        <w:tc>
          <w:tcPr>
            <w:tcW w:w="3220" w:type="dxa"/>
            <w:vAlign w:val="bottom"/>
            <w:tcBorders>
              <w:bottom w:val="single" w:sz="8" w:color="auto"/>
            </w:tcBorders>
          </w:tcPr>
          <w:p>
            <w:pPr>
              <w:ind w:left="29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246,889</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Identifiable intangible assets acquired in the transaction were primarily related to a trade name.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 and other factors, and is not expected to be deductible for income tax purposes. The operating results of Andermatt-Sedrun are reported within the Mountain segment prospectively from the date of acquisition.</w:t>
      </w:r>
    </w:p>
    <w:p>
      <w:pPr>
        <w:spacing w:after="0" w:line="19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Supplementary Balance Sheet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composition of property, plant and equipment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340" w:type="dxa"/>
            <w:vAlign w:val="bottom"/>
          </w:tcPr>
          <w:p>
            <w:pPr>
              <w:spacing w:after="0"/>
              <w:rPr>
                <w:sz w:val="15"/>
                <w:szCs w:val="15"/>
                <w:color w:val="auto"/>
              </w:rPr>
            </w:pPr>
          </w:p>
        </w:tc>
        <w:tc>
          <w:tcPr>
            <w:tcW w:w="14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July 31, 2023</w:t>
            </w:r>
          </w:p>
        </w:tc>
        <w:tc>
          <w:tcPr>
            <w:tcW w:w="320" w:type="dxa"/>
            <w:vAlign w:val="bottom"/>
          </w:tcPr>
          <w:p>
            <w:pPr>
              <w:spacing w:after="0"/>
              <w:rPr>
                <w:sz w:val="15"/>
                <w:szCs w:val="15"/>
                <w:color w:val="auto"/>
              </w:rPr>
            </w:pPr>
          </w:p>
        </w:tc>
        <w:tc>
          <w:tcPr>
            <w:tcW w:w="13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22"/>
        </w:trPr>
        <w:tc>
          <w:tcPr>
            <w:tcW w:w="4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2"/>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land improvements</w:t>
            </w:r>
          </w:p>
        </w:tc>
        <w:tc>
          <w:tcPr>
            <w:tcW w:w="1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797,472</w:t>
            </w:r>
          </w:p>
        </w:tc>
        <w:tc>
          <w:tcPr>
            <w:tcW w:w="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796,730</w:t>
            </w:r>
          </w:p>
        </w:tc>
        <w:tc>
          <w:tcPr>
            <w:tcW w:w="3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791,854</w:t>
            </w:r>
          </w:p>
        </w:tc>
      </w:tr>
      <w:tr>
        <w:trPr>
          <w:trHeight w:val="219"/>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building improvements</w:t>
            </w:r>
          </w:p>
        </w:tc>
        <w:tc>
          <w:tcPr>
            <w:tcW w:w="194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1,643,890</w:t>
            </w:r>
          </w:p>
        </w:tc>
        <w:tc>
          <w:tcPr>
            <w:tcW w:w="340" w:type="dxa"/>
            <w:vAlign w:val="bottom"/>
          </w:tcPr>
          <w:p>
            <w:pPr>
              <w:spacing w:after="0"/>
              <w:rPr>
                <w:sz w:val="19"/>
                <w:szCs w:val="19"/>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1,643,517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1,636,957</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19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1,907,830</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1,792,378</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1,784,197</w:t>
            </w:r>
          </w:p>
        </w:tc>
      </w:tr>
      <w:tr>
        <w:trPr>
          <w:trHeight w:val="219"/>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194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319,342</w:t>
            </w:r>
          </w:p>
        </w:tc>
        <w:tc>
          <w:tcPr>
            <w:tcW w:w="340" w:type="dxa"/>
            <w:vAlign w:val="bottom"/>
          </w:tcPr>
          <w:p>
            <w:pPr>
              <w:spacing w:after="0"/>
              <w:rPr>
                <w:sz w:val="19"/>
                <w:szCs w:val="19"/>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298,725</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334,173</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19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165,189</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152,033</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153,651</w:t>
            </w:r>
          </w:p>
        </w:tc>
      </w:tr>
      <w:tr>
        <w:trPr>
          <w:trHeight w:val="219"/>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Vehicles</w:t>
            </w:r>
          </w:p>
        </w:tc>
        <w:tc>
          <w:tcPr>
            <w:tcW w:w="194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92,282</w:t>
            </w:r>
          </w:p>
        </w:tc>
        <w:tc>
          <w:tcPr>
            <w:tcW w:w="340" w:type="dxa"/>
            <w:vAlign w:val="bottom"/>
          </w:tcPr>
          <w:p>
            <w:pPr>
              <w:spacing w:after="0"/>
              <w:rPr>
                <w:sz w:val="19"/>
                <w:szCs w:val="19"/>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87,298</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87,110</w:t>
            </w:r>
          </w:p>
        </w:tc>
      </w:tr>
      <w:tr>
        <w:trPr>
          <w:trHeight w:val="219"/>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9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78,509</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134,113</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105,729</w:t>
            </w:r>
          </w:p>
        </w:tc>
      </w:tr>
      <w:tr>
        <w:trPr>
          <w:trHeight w:val="212"/>
        </w:trPr>
        <w:tc>
          <w:tcPr>
            <w:tcW w:w="4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property, plant and equipment</w:t>
            </w:r>
          </w:p>
        </w:tc>
        <w:tc>
          <w:tcPr>
            <w:tcW w:w="1940" w:type="dxa"/>
            <w:vAlign w:val="bottom"/>
          </w:tcPr>
          <w:p>
            <w:pPr>
              <w:spacing w:after="0"/>
              <w:rPr>
                <w:sz w:val="18"/>
                <w:szCs w:val="18"/>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5,004,514</w:t>
            </w:r>
          </w:p>
        </w:tc>
        <w:tc>
          <w:tcPr>
            <w:tcW w:w="3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4,904,794</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4,893,671</w:t>
            </w:r>
          </w:p>
        </w:tc>
      </w:tr>
      <w:tr>
        <w:trPr>
          <w:trHeight w:val="219"/>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9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(2,715,759)</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(2,533,237)</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(2,523,398)</w:t>
            </w:r>
          </w:p>
        </w:tc>
      </w:tr>
      <w:tr>
        <w:trPr>
          <w:trHeight w:val="212"/>
        </w:trPr>
        <w:tc>
          <w:tcPr>
            <w:tcW w:w="4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9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2,288,755</w:t>
            </w:r>
          </w:p>
        </w:tc>
        <w:tc>
          <w:tcPr>
            <w:tcW w:w="3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2,371,557</w:t>
            </w:r>
          </w:p>
        </w:tc>
        <w:tc>
          <w:tcPr>
            <w:tcW w:w="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2,370,273</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t>The composition of accounts payable and accrued liabilities follows (in thousands):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340" w:type="dxa"/>
            <w:vAlign w:val="bottom"/>
          </w:tcPr>
          <w:p>
            <w:pPr>
              <w:spacing w:after="0"/>
              <w:rPr>
                <w:sz w:val="15"/>
                <w:szCs w:val="15"/>
                <w:color w:val="auto"/>
              </w:rPr>
            </w:pPr>
          </w:p>
        </w:tc>
        <w:tc>
          <w:tcPr>
            <w:tcW w:w="14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July 31, 2023</w:t>
            </w:r>
          </w:p>
        </w:tc>
        <w:tc>
          <w:tcPr>
            <w:tcW w:w="340" w:type="dxa"/>
            <w:vAlign w:val="bottom"/>
          </w:tcPr>
          <w:p>
            <w:pPr>
              <w:spacing w:after="0"/>
              <w:rPr>
                <w:sz w:val="15"/>
                <w:szCs w:val="15"/>
                <w:color w:val="auto"/>
              </w:rPr>
            </w:pPr>
          </w:p>
        </w:tc>
        <w:tc>
          <w:tcPr>
            <w:tcW w:w="13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22"/>
        </w:trPr>
        <w:tc>
          <w:tcPr>
            <w:tcW w:w="4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payables</w:t>
            </w:r>
          </w:p>
        </w:tc>
        <w:tc>
          <w:tcPr>
            <w:tcW w:w="15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103,451</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148,521</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114,164</w:t>
            </w:r>
          </w:p>
        </w:tc>
      </w:tr>
      <w:tr>
        <w:trPr>
          <w:trHeight w:val="219"/>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52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448,760</w:t>
            </w:r>
          </w:p>
        </w:tc>
        <w:tc>
          <w:tcPr>
            <w:tcW w:w="34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572,602</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448,321</w:t>
            </w: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salaries, wages and deferred compensation</w:t>
            </w:r>
          </w:p>
        </w:tc>
        <w:tc>
          <w:tcPr>
            <w:tcW w:w="1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52,604</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38,908</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50,931</w:t>
            </w:r>
          </w:p>
        </w:tc>
      </w:tr>
      <w:tr>
        <w:trPr>
          <w:trHeight w:val="219"/>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benefits</w:t>
            </w:r>
          </w:p>
        </w:tc>
        <w:tc>
          <w:tcPr>
            <w:tcW w:w="152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64,801</w:t>
            </w:r>
          </w:p>
        </w:tc>
        <w:tc>
          <w:tcPr>
            <w:tcW w:w="34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60,466</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54,631</w:t>
            </w: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Deposits</w:t>
            </w:r>
          </w:p>
        </w:tc>
        <w:tc>
          <w:tcPr>
            <w:tcW w:w="1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44,973</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37,798</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40,326</w:t>
            </w:r>
          </w:p>
        </w:tc>
      </w:tr>
      <w:tr>
        <w:trPr>
          <w:trHeight w:val="219"/>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52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39,207</w:t>
            </w:r>
          </w:p>
        </w:tc>
        <w:tc>
          <w:tcPr>
            <w:tcW w:w="34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36,904</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37,046</w:t>
            </w:r>
          </w:p>
        </w:tc>
      </w:tr>
      <w:tr>
        <w:trPr>
          <w:trHeight w:val="219"/>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97,707</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82,822</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122,950</w:t>
            </w:r>
          </w:p>
        </w:tc>
      </w:tr>
      <w:tr>
        <w:trPr>
          <w:trHeight w:val="212"/>
        </w:trPr>
        <w:tc>
          <w:tcPr>
            <w:tcW w:w="4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Total accounts payable and accrued liabilities</w:t>
            </w:r>
          </w:p>
        </w:tc>
        <w:tc>
          <w:tcPr>
            <w:tcW w:w="15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851,503</w:t>
            </w:r>
          </w:p>
        </w:tc>
        <w:tc>
          <w:tcPr>
            <w:tcW w:w="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978,021</w:t>
            </w:r>
          </w:p>
        </w:tc>
        <w:tc>
          <w:tcPr>
            <w:tcW w:w="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868,369</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net carrying amount of goodwill by segment for the nine months ended April 30, 2024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Mountain</w:t>
            </w:r>
          </w:p>
        </w:tc>
        <w:tc>
          <w:tcPr>
            <w:tcW w:w="400" w:type="dxa"/>
            <w:vAlign w:val="bottom"/>
          </w:tcPr>
          <w:p>
            <w:pPr>
              <w:spacing w:after="0"/>
              <w:rPr>
                <w:sz w:val="15"/>
                <w:szCs w:val="15"/>
                <w:color w:val="auto"/>
              </w:rPr>
            </w:pPr>
          </w:p>
        </w:tc>
        <w:tc>
          <w:tcPr>
            <w:tcW w:w="13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Lodging</w:t>
            </w:r>
          </w:p>
        </w:tc>
        <w:tc>
          <w:tcPr>
            <w:tcW w:w="340" w:type="dxa"/>
            <w:vAlign w:val="bottom"/>
          </w:tcPr>
          <w:p>
            <w:pPr>
              <w:spacing w:after="0"/>
              <w:rPr>
                <w:sz w:val="15"/>
                <w:szCs w:val="15"/>
                <w:color w:val="auto"/>
              </w:rPr>
            </w:pPr>
          </w:p>
        </w:tc>
        <w:tc>
          <w:tcPr>
            <w:tcW w:w="13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Goodwill, net</w:t>
            </w:r>
          </w:p>
        </w:tc>
      </w:tr>
      <w:tr>
        <w:trPr>
          <w:trHeight w:val="22"/>
        </w:trPr>
        <w:tc>
          <w:tcPr>
            <w:tcW w:w="49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July 31, 2023</w:t>
            </w: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1,675,338</w:t>
            </w:r>
          </w:p>
        </w:tc>
        <w:tc>
          <w:tcPr>
            <w:tcW w:w="4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45,006</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1,720,344</w:t>
            </w:r>
          </w:p>
        </w:tc>
      </w:tr>
      <w:tr>
        <w:trPr>
          <w:trHeight w:val="219"/>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Effects of changes in foreign currency exchange rates</w:t>
            </w:r>
          </w:p>
        </w:tc>
        <w:tc>
          <w:tcPr>
            <w:tcW w:w="1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(43,734)</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(43,734)</w:t>
            </w:r>
          </w:p>
        </w:tc>
      </w:tr>
      <w:tr>
        <w:trPr>
          <w:trHeight w:val="237"/>
        </w:trPr>
        <w:tc>
          <w:tcPr>
            <w:tcW w:w="4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Balance at April 30, 2024</w:t>
            </w:r>
          </w:p>
        </w:tc>
        <w:tc>
          <w:tcPr>
            <w:tcW w:w="15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1,631,604</w:t>
            </w:r>
          </w:p>
        </w:tc>
        <w:tc>
          <w:tcPr>
            <w:tcW w:w="4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45,006</w:t>
            </w:r>
          </w:p>
        </w:tc>
        <w:tc>
          <w:tcPr>
            <w:tcW w:w="3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1,676,610</w:t>
            </w:r>
          </w:p>
        </w:tc>
      </w:tr>
      <w:tr>
        <w:trPr>
          <w:trHeight w:val="20"/>
        </w:trPr>
        <w:tc>
          <w:tcPr>
            <w:tcW w:w="49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Fair Value Measurements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utilizes FASB-issued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 Inputs that reflect unadjusted quoted prices in active markets that are accessible to the Company for identical assets or liabilities;</w:t>
      </w:r>
    </w:p>
    <w:p>
      <w:pPr>
        <w:spacing w:after="0" w:line="2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Level 2: Inputs include quoted prices for similar assets and liabilities in active and inactive markets or that are observable for the asset or liability either directly or indirectly; and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3: Unobservable inputs which are supported by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7"/>
          <w:szCs w:val="17"/>
          <w:color w:val="auto"/>
        </w:rPr>
        <w:t>The table below summarizes the Company’s cash equivalents, restricted cash, other current assets, interest rate swaps and Contingent Consideration (defined below) measured at estimated fair value (all other assets and liabilities measured at fair value are immaterial)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40" w:type="dxa"/>
            <w:vAlign w:val="bottom"/>
            <w:gridSpan w:val="6"/>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w w:val="97"/>
              </w:rPr>
              <w:t>Estimated Fair Value Measurement as of April 30, 2024</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Description</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53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2"/>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Money Market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114,570</w:t>
            </w:r>
          </w:p>
        </w:tc>
        <w:tc>
          <w:tcPr>
            <w:tcW w:w="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114,570</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w:t>
            </w:r>
          </w:p>
        </w:tc>
        <w:tc>
          <w:tcPr>
            <w:tcW w:w="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2,401</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Certificates of Deposit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136,533</w:t>
            </w:r>
          </w:p>
        </w:tc>
        <w:tc>
          <w:tcPr>
            <w:tcW w:w="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136,533</w:t>
            </w:r>
          </w:p>
        </w:tc>
        <w:tc>
          <w:tcPr>
            <w:tcW w:w="3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Rate Swaps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6,268</w:t>
            </w:r>
          </w:p>
        </w:tc>
        <w:tc>
          <w:tcPr>
            <w:tcW w:w="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6,268</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99,200</w:t>
            </w:r>
          </w:p>
        </w:tc>
        <w:tc>
          <w:tcPr>
            <w:tcW w:w="4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99,200</w:t>
            </w:r>
          </w:p>
        </w:tc>
        <w:tc>
          <w:tcPr>
            <w:tcW w:w="0" w:type="dxa"/>
            <w:vAlign w:val="bottom"/>
          </w:tcPr>
          <w:p>
            <w:pPr>
              <w:spacing w:after="0"/>
              <w:rPr>
                <w:sz w:val="1"/>
                <w:szCs w:val="1"/>
                <w:color w:val="auto"/>
              </w:rPr>
            </w:pPr>
          </w:p>
        </w:tc>
      </w:tr>
      <w:tr>
        <w:trPr>
          <w:trHeight w:val="357"/>
        </w:trPr>
        <w:tc>
          <w:tcPr>
            <w:tcW w:w="5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40" w:type="dxa"/>
            <w:vAlign w:val="bottom"/>
            <w:gridSpan w:val="5"/>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7"/>
              </w:rPr>
              <w:t>Estimated Fair Value Measurement as of July 31, 2023</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Description</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53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2"/>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Money Market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170,872</w:t>
            </w:r>
          </w:p>
        </w:tc>
        <w:tc>
          <w:tcPr>
            <w:tcW w:w="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170,872</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w:t>
            </w:r>
          </w:p>
        </w:tc>
        <w:tc>
          <w:tcPr>
            <w:tcW w:w="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2,401</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Certificates of Deposit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144,365</w:t>
            </w:r>
          </w:p>
        </w:tc>
        <w:tc>
          <w:tcPr>
            <w:tcW w:w="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144,365</w:t>
            </w:r>
          </w:p>
        </w:tc>
        <w:tc>
          <w:tcPr>
            <w:tcW w:w="3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Rate Swaps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17,229</w:t>
            </w:r>
          </w:p>
        </w:tc>
        <w:tc>
          <w:tcPr>
            <w:tcW w:w="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17,229</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73,300</w:t>
            </w:r>
          </w:p>
        </w:tc>
        <w:tc>
          <w:tcPr>
            <w:tcW w:w="4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73,300</w:t>
            </w:r>
          </w:p>
        </w:tc>
        <w:tc>
          <w:tcPr>
            <w:tcW w:w="0" w:type="dxa"/>
            <w:vAlign w:val="bottom"/>
          </w:tcPr>
          <w:p>
            <w:pPr>
              <w:spacing w:after="0"/>
              <w:rPr>
                <w:sz w:val="1"/>
                <w:szCs w:val="1"/>
                <w:color w:val="auto"/>
              </w:rPr>
            </w:pPr>
          </w:p>
        </w:tc>
      </w:tr>
      <w:tr>
        <w:trPr>
          <w:trHeight w:val="357"/>
        </w:trPr>
        <w:tc>
          <w:tcPr>
            <w:tcW w:w="5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gridSpan w:val="6"/>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w w:val="97"/>
              </w:rPr>
              <w:t>Estimated Fair Value Measurement as of April 30, 2023</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Description</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53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2"/>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Money Market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519,010</w:t>
            </w:r>
          </w:p>
        </w:tc>
        <w:tc>
          <w:tcPr>
            <w:tcW w:w="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519,010</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w:t>
            </w:r>
          </w:p>
        </w:tc>
        <w:tc>
          <w:tcPr>
            <w:tcW w:w="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2,401</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Certificates of Deposit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107,590</w:t>
            </w:r>
          </w:p>
        </w:tc>
        <w:tc>
          <w:tcPr>
            <w:tcW w:w="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107,590</w:t>
            </w:r>
          </w:p>
        </w:tc>
        <w:tc>
          <w:tcPr>
            <w:tcW w:w="3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Rate Swaps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16,707</w:t>
            </w:r>
          </w:p>
        </w:tc>
        <w:tc>
          <w:tcPr>
            <w:tcW w:w="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16,707</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71,100</w:t>
            </w:r>
          </w:p>
        </w:tc>
        <w:tc>
          <w:tcPr>
            <w:tcW w:w="4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71,100</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cash equivalents, restricted cash, other current assets and interest rate swaps are measured utilizing quoted market prices or pricing models whereby all significant inputs are either observable or corroborated by observable market data. The estimated fair value of the interest rate swaps are included within other current assets on the Company’s Consolidated Condensed Balance Sheet as of April 30, 2024 and included within other assets as of July 31, 2023 and April 30,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Contingent Consideration during the nine months ended April 30, 2024 and 2023 were as follows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July 31, 2023 and 2022, respectively</w:t>
            </w:r>
          </w:p>
        </w:tc>
        <w:tc>
          <w:tcPr>
            <w:tcW w:w="268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center"/>
              <w:ind w:left="334"/>
              <w:spacing w:after="0"/>
              <w:rPr>
                <w:sz w:val="20"/>
                <w:szCs w:val="20"/>
                <w:color w:val="auto"/>
              </w:rPr>
            </w:pPr>
            <w:r>
              <w:rPr>
                <w:rFonts w:ascii="Times New Roman" w:cs="Times New Roman" w:eastAsia="Times New Roman" w:hAnsi="Times New Roman"/>
                <w:sz w:val="17"/>
                <w:szCs w:val="17"/>
                <w:color w:val="auto"/>
                <w:w w:val="98"/>
              </w:rPr>
              <w:t>73,300</w:t>
            </w:r>
          </w:p>
        </w:tc>
        <w:tc>
          <w:tcPr>
            <w:tcW w:w="62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center"/>
              <w:ind w:left="374"/>
              <w:spacing w:after="0"/>
              <w:rPr>
                <w:sz w:val="20"/>
                <w:szCs w:val="20"/>
                <w:color w:val="auto"/>
              </w:rPr>
            </w:pPr>
            <w:r>
              <w:rPr>
                <w:rFonts w:ascii="Times New Roman" w:cs="Times New Roman" w:eastAsia="Times New Roman" w:hAnsi="Times New Roman"/>
                <w:sz w:val="17"/>
                <w:szCs w:val="17"/>
                <w:color w:val="auto"/>
                <w:w w:val="98"/>
              </w:rPr>
              <w:t>42,400</w:t>
            </w:r>
          </w:p>
        </w:tc>
      </w:tr>
      <w:tr>
        <w:trPr>
          <w:trHeight w:val="219"/>
        </w:trPr>
        <w:tc>
          <w:tcPr>
            <w:tcW w:w="5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w:t>
            </w:r>
          </w:p>
        </w:tc>
        <w:tc>
          <w:tcPr>
            <w:tcW w:w="2680" w:type="dxa"/>
            <w:vAlign w:val="bottom"/>
          </w:tcPr>
          <w:p>
            <w:pPr>
              <w:spacing w:after="0"/>
              <w:rPr>
                <w:sz w:val="19"/>
                <w:szCs w:val="19"/>
                <w:color w:val="auto"/>
              </w:rPr>
            </w:pPr>
          </w:p>
        </w:tc>
        <w:tc>
          <w:tcPr>
            <w:tcW w:w="112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w w:val="99"/>
              </w:rPr>
              <w:t>(17,057)</w:t>
            </w:r>
          </w:p>
        </w:tc>
        <w:tc>
          <w:tcPr>
            <w:tcW w:w="620" w:type="dxa"/>
            <w:vAlign w:val="bottom"/>
          </w:tcPr>
          <w:p>
            <w:pPr>
              <w:spacing w:after="0"/>
              <w:rPr>
                <w:sz w:val="19"/>
                <w:szCs w:val="19"/>
                <w:color w:val="auto"/>
              </w:rPr>
            </w:pPr>
          </w:p>
        </w:tc>
        <w:tc>
          <w:tcPr>
            <w:tcW w:w="108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w w:val="99"/>
              </w:rPr>
              <w:t>(18,936)</w:t>
            </w:r>
          </w:p>
        </w:tc>
      </w:tr>
      <w:tr>
        <w:trPr>
          <w:trHeight w:val="219"/>
        </w:trPr>
        <w:tc>
          <w:tcPr>
            <w:tcW w:w="57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Change in estimated fair value</w:t>
            </w:r>
          </w:p>
        </w:tc>
        <w:tc>
          <w:tcPr>
            <w:tcW w:w="26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34"/>
              <w:spacing w:after="0"/>
              <w:rPr>
                <w:sz w:val="20"/>
                <w:szCs w:val="20"/>
                <w:color w:val="auto"/>
              </w:rPr>
            </w:pPr>
            <w:r>
              <w:rPr>
                <w:rFonts w:ascii="Times New Roman" w:cs="Times New Roman" w:eastAsia="Times New Roman" w:hAnsi="Times New Roman"/>
                <w:sz w:val="17"/>
                <w:szCs w:val="17"/>
                <w:color w:val="auto"/>
                <w:w w:val="98"/>
              </w:rPr>
              <w:t>42,957</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74"/>
              <w:spacing w:after="0"/>
              <w:rPr>
                <w:sz w:val="20"/>
                <w:szCs w:val="20"/>
                <w:color w:val="auto"/>
              </w:rPr>
            </w:pPr>
            <w:r>
              <w:rPr>
                <w:rFonts w:ascii="Times New Roman" w:cs="Times New Roman" w:eastAsia="Times New Roman" w:hAnsi="Times New Roman"/>
                <w:sz w:val="17"/>
                <w:szCs w:val="17"/>
                <w:color w:val="auto"/>
                <w:w w:val="98"/>
              </w:rPr>
              <w:t>47,636</w:t>
            </w:r>
          </w:p>
        </w:tc>
      </w:tr>
      <w:tr>
        <w:trPr>
          <w:trHeight w:val="212"/>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Balance as of April 30, 2024 and 2023, respectively</w:t>
            </w:r>
          </w:p>
        </w:tc>
        <w:tc>
          <w:tcPr>
            <w:tcW w:w="26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center"/>
              <w:ind w:left="334"/>
              <w:spacing w:after="0"/>
              <w:rPr>
                <w:sz w:val="20"/>
                <w:szCs w:val="20"/>
                <w:color w:val="auto"/>
              </w:rPr>
            </w:pPr>
            <w:r>
              <w:rPr>
                <w:rFonts w:ascii="Times New Roman" w:cs="Times New Roman" w:eastAsia="Times New Roman" w:hAnsi="Times New Roman"/>
                <w:sz w:val="17"/>
                <w:szCs w:val="17"/>
                <w:color w:val="auto"/>
                <w:w w:val="98"/>
              </w:rPr>
              <w:t>99,200</w:t>
            </w:r>
          </w:p>
        </w:tc>
        <w:tc>
          <w:tcPr>
            <w:tcW w:w="6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center"/>
              <w:ind w:left="374"/>
              <w:spacing w:after="0"/>
              <w:rPr>
                <w:sz w:val="20"/>
                <w:szCs w:val="20"/>
                <w:color w:val="auto"/>
              </w:rPr>
            </w:pPr>
            <w:r>
              <w:rPr>
                <w:rFonts w:ascii="Times New Roman" w:cs="Times New Roman" w:eastAsia="Times New Roman" w:hAnsi="Times New Roman"/>
                <w:sz w:val="17"/>
                <w:szCs w:val="17"/>
                <w:color w:val="auto"/>
                <w:w w:val="98"/>
              </w:rPr>
              <w:t>71,100</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upon the Company’s acquisition of the resort, with such threshold amount subsequently increased annually by an inflation linked index and an adjustment equal to 10% of any capital improvements or investments made under the lease by the Company. Contingent Consideration is classified as a liability, which is remeasured to fair value at each reporting date until the contingency is resolved.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8" w:name="page19"/>
    <w:bookmarkEnd w:id="18"/>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estimated the fair value of the Contingent Consideration payments using an option pricing valuation model. The estimated fair value of Contingent Consideration includes future period resort operations of Park City in the calculation of EBITDA on which participating contingent payments are made, which is determined on the basis of estimated subsequent year performance, escalated by an assumed annual growth factor and discounted to present value. Other significant assumptions included a discount rate of 11.1%, and volatility of 14.5%, which together with future period Park City EBITDA, are all unobservable inputs and thus are considered Level 3 inputs. During the nine months ended April 30, 2024, the Company made a payment to the landlord for Contingent Consideration of approximately $17.1 million.</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During the nine months ended April 30, 2024, the Company observed a continued trend of improved performance relative to expectations, which were based on an average of historical results that the Company calculated in the prior year. Accordingly, the Company performed a reassessment of its long-term EBITDA assumptions used to estimate the fair value of the liability by updating the average of historical results used to estimate future year EBITDA performance, to include forecasted results for the year ending July 31, 2024. As a result, the Company recorded an increase in the liability of approximately $43.0 million which was primarily related to an increase in expected long-term EBITDA performance for Park City as well as the expected payment to be made in October 2024 for the resort’s performance for the year ending July 31, 2024. Future period EBITDA performance for Park City may differ significantly from these estimates, which could have a material impact on the estimated fair value of the Contingent Consideration liability.</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estimated fair value of the Contingent Consideration is approximately $99.2 million, which is reflected in accounts payable and other long-term liabilities in the Company’s Consolidated Condensed Balance Sheet as of April 30, 2024.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of the resort would result in a change in the estimated fair value within the range of approximately $14.6 million to $20.1 million.</w:t>
      </w:r>
    </w:p>
    <w:p>
      <w:pPr>
        <w:spacing w:after="0" w:line="19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9.</w:t>
        <w:tab/>
        <w:t>Commitments and Contingencies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Guarantees/Indemnifications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April 30, 2024, the Company had various letters of credit outstanding totaling $94.6 million, consisting of $53.4 million to support the Employee Housing Bonds; $6.4 million to support bonds issued by Holland Creek Metropolitan District; and $34.8 million primarily for workers’ compensation, a wind energy purchase agreement and insurance-related deductibles. The Company also had surety bonds of $9.5 million as of April 30, 2024, primarily to provide collateral for its U.S. workers compensation self-insurance programs.</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As noted above, the Company makes certain indemnifications to licensees for their use of the Company’s trademarks and logos. The Company does not record any liabilities with respect to these indemnifications.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7"/>
          <w:szCs w:val="17"/>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Self-Insurance</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Legal</w:t>
      </w:r>
    </w:p>
    <w:p>
      <w:pPr>
        <w:spacing w:after="0" w:line="1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is a party to various lawsuits arising in the ordinary course of business. Management believes the Company has adequate insurance coverage and/or has accrued for all loss contingencies for asserted and unasserted matters deemed to be probable and estimable losses. As of April 30, 2024, July 31, 2023 and April 30, 2023, the accruals for the above loss contingencies were not material individually or in the aggregate.</w:t>
      </w:r>
    </w:p>
    <w:p>
      <w:pPr>
        <w:spacing w:after="0" w:line="18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10.</w:t>
        <w:tab/>
        <w:t>Segment Information</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accompanying Consolidated Condensed Financial Statements as indicators of financial performance or liquidity.</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utilizes Reported EBITDA in evaluating the performance of the Company and in allocating resources to its segments. 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20" w:name="page21"/>
    <w:bookmarkEnd w:id="20"/>
    <w:p>
      <w:pPr>
        <w:spacing w:after="0" w:line="286" w:lineRule="auto"/>
        <w:rPr>
          <w:sz w:val="20"/>
          <w:szCs w:val="20"/>
          <w:color w:val="auto"/>
        </w:rPr>
      </w:pPr>
      <w:r>
        <w:rPr>
          <w:rFonts w:ascii="Times New Roman" w:cs="Times New Roman" w:eastAsia="Times New Roman" w:hAnsi="Times New Roman"/>
          <w:sz w:val="17"/>
          <w:szCs w:val="17"/>
          <w:color w:val="auto"/>
        </w:rPr>
        <w:t>The following table presents financial information by reportable segment, which is used by management in evaluating performance and allocating resources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20" w:type="dxa"/>
            <w:vAlign w:val="bottom"/>
          </w:tcPr>
          <w:p>
            <w:pPr>
              <w:spacing w:after="0"/>
              <w:rPr>
                <w:sz w:val="15"/>
                <w:szCs w:val="15"/>
                <w:color w:val="auto"/>
              </w:rPr>
            </w:pPr>
          </w:p>
        </w:tc>
        <w:tc>
          <w:tcPr>
            <w:tcW w:w="2540" w:type="dxa"/>
            <w:vAlign w:val="bottom"/>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2"/>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5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9"/>
        </w:trPr>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Mountain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1,196,058</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1,144,730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2,368,494</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2,359,889</w:t>
            </w:r>
          </w:p>
        </w:tc>
      </w:tr>
      <w:tr>
        <w:trPr>
          <w:trHeight w:val="219"/>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Lodging</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87,055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93,546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246,693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251,740</w:t>
            </w: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Resort net revenue</w:t>
            </w:r>
          </w:p>
        </w:tc>
        <w:tc>
          <w:tcPr>
            <w:tcW w:w="3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1,283,113</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1,238,276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2,615,187</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2,611,629</w:t>
            </w:r>
          </w:p>
        </w:tc>
      </w:tr>
      <w:tr>
        <w:trPr>
          <w:trHeight w:val="219"/>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Real Estate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4,618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7,967</w:t>
            </w:r>
          </w:p>
        </w:tc>
      </w:tr>
      <w:tr>
        <w:trPr>
          <w:trHeight w:val="212"/>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revenue</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1,283,282</w:t>
            </w:r>
          </w:p>
        </w:tc>
        <w:tc>
          <w:tcPr>
            <w:tcW w:w="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1,238,431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2,619,805</w:t>
            </w:r>
          </w:p>
        </w:tc>
        <w:tc>
          <w:tcPr>
            <w:tcW w:w="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2,619,596</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operating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9"/>
        </w:trPr>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Mountain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558,564</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537,898</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1,450,465</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1,446,727</w:t>
            </w:r>
          </w:p>
        </w:tc>
      </w:tr>
      <w:tr>
        <w:trPr>
          <w:trHeight w:val="219"/>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Lodging</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71,271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77,150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226,439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243,754</w:t>
            </w: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Resort operating expense</w:t>
            </w:r>
          </w:p>
        </w:tc>
        <w:tc>
          <w:tcPr>
            <w:tcW w:w="3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629,835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615,048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1,676,904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1,690,481</w:t>
            </w:r>
          </w:p>
        </w:tc>
      </w:tr>
      <w:tr>
        <w:trPr>
          <w:trHeight w:val="219"/>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Real Estate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1,258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8,115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9,371</w:t>
            </w:r>
          </w:p>
        </w:tc>
      </w:tr>
      <w:tr>
        <w:trPr>
          <w:trHeight w:val="186"/>
        </w:trPr>
        <w:tc>
          <w:tcPr>
            <w:tcW w:w="5420" w:type="dxa"/>
            <w:vAlign w:val="bottom"/>
            <w:tcBorders>
              <w:bottom w:val="single" w:sz="8" w:color="auto"/>
            </w:tcBorders>
          </w:tcPr>
          <w:p>
            <w:pPr>
              <w:ind w:left="20"/>
              <w:spacing w:after="0" w:line="186" w:lineRule="exact"/>
              <w:rPr>
                <w:sz w:val="20"/>
                <w:szCs w:val="20"/>
                <w:color w:val="auto"/>
              </w:rPr>
            </w:pPr>
            <w:r>
              <w:rPr>
                <w:rFonts w:ascii="Times New Roman" w:cs="Times New Roman" w:eastAsia="Times New Roman" w:hAnsi="Times New Roman"/>
                <w:sz w:val="17"/>
                <w:szCs w:val="17"/>
                <w:color w:val="auto"/>
              </w:rPr>
              <w:t>Total segment operating expense</w:t>
            </w:r>
          </w:p>
        </w:tc>
        <w:tc>
          <w:tcPr>
            <w:tcW w:w="320" w:type="dxa"/>
            <w:vAlign w:val="bottom"/>
            <w:tcBorders>
              <w:bottom w:val="single" w:sz="8" w:color="auto"/>
            </w:tcBorders>
          </w:tcPr>
          <w:p>
            <w:pPr>
              <w:jc w:val="right"/>
              <w:ind w:right="13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5"/>
              <w:spacing w:after="0" w:line="186" w:lineRule="exact"/>
              <w:rPr>
                <w:sz w:val="20"/>
                <w:szCs w:val="20"/>
                <w:color w:val="auto"/>
              </w:rPr>
            </w:pPr>
            <w:r>
              <w:rPr>
                <w:rFonts w:ascii="Times New Roman" w:cs="Times New Roman" w:eastAsia="Times New Roman" w:hAnsi="Times New Roman"/>
                <w:sz w:val="17"/>
                <w:szCs w:val="17"/>
                <w:color w:val="auto"/>
              </w:rPr>
              <w:t>631,093</w:t>
            </w:r>
          </w:p>
        </w:tc>
        <w:tc>
          <w:tcPr>
            <w:tcW w:w="380" w:type="dxa"/>
            <w:vAlign w:val="bottom"/>
            <w:tcBorders>
              <w:bottom w:val="single" w:sz="8" w:color="auto"/>
            </w:tcBorders>
          </w:tcPr>
          <w:p>
            <w:pPr>
              <w:jc w:val="right"/>
              <w:ind w:right="134"/>
              <w:spacing w:after="0" w:line="186"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616,727</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13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5"/>
              <w:spacing w:after="0" w:line="186" w:lineRule="exact"/>
              <w:rPr>
                <w:sz w:val="20"/>
                <w:szCs w:val="20"/>
                <w:color w:val="auto"/>
              </w:rPr>
            </w:pPr>
            <w:r>
              <w:rPr>
                <w:rFonts w:ascii="Times New Roman" w:cs="Times New Roman" w:eastAsia="Times New Roman" w:hAnsi="Times New Roman"/>
                <w:sz w:val="17"/>
                <w:szCs w:val="17"/>
                <w:color w:val="auto"/>
              </w:rPr>
              <w:t>1,685,019</w:t>
            </w:r>
          </w:p>
        </w:tc>
        <w:tc>
          <w:tcPr>
            <w:tcW w:w="380" w:type="dxa"/>
            <w:vAlign w:val="bottom"/>
            <w:tcBorders>
              <w:bottom w:val="single" w:sz="8" w:color="auto"/>
            </w:tcBorders>
          </w:tcPr>
          <w:p>
            <w:pPr>
              <w:jc w:val="right"/>
              <w:ind w:right="134"/>
              <w:spacing w:after="0" w:line="186"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1,699,852</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of real property</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6,285</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Mountain equity investment income, net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1,093</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1,373</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w:t>
            </w: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Reported EBITDA: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5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Mountain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638,587</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606,926</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919,402</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913,644</w:t>
            </w:r>
          </w:p>
        </w:tc>
      </w:tr>
      <w:tr>
        <w:trPr>
          <w:trHeight w:val="219"/>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Lodging</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15,784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20,254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7,986</w:t>
            </w: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w:t>
            </w:r>
          </w:p>
        </w:tc>
        <w:tc>
          <w:tcPr>
            <w:tcW w:w="3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654,371</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623,322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939,656</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921,630</w:t>
            </w:r>
          </w:p>
        </w:tc>
      </w:tr>
      <w:tr>
        <w:trPr>
          <w:trHeight w:val="219"/>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Real Estate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2,788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r>
      <w:tr>
        <w:trPr>
          <w:trHeight w:val="186"/>
        </w:trPr>
        <w:tc>
          <w:tcPr>
            <w:tcW w:w="5420" w:type="dxa"/>
            <w:vAlign w:val="bottom"/>
            <w:tcBorders>
              <w:bottom w:val="single" w:sz="8" w:color="auto"/>
            </w:tcBorders>
          </w:tcPr>
          <w:p>
            <w:pPr>
              <w:ind w:left="20"/>
              <w:spacing w:after="0" w:line="186" w:lineRule="exact"/>
              <w:rPr>
                <w:sz w:val="20"/>
                <w:szCs w:val="20"/>
                <w:color w:val="auto"/>
              </w:rPr>
            </w:pPr>
            <w:r>
              <w:rPr>
                <w:rFonts w:ascii="Times New Roman" w:cs="Times New Roman" w:eastAsia="Times New Roman" w:hAnsi="Times New Roman"/>
                <w:sz w:val="17"/>
                <w:szCs w:val="17"/>
                <w:color w:val="auto"/>
              </w:rPr>
              <w:t>Total Reported EBITDA</w:t>
            </w:r>
          </w:p>
        </w:tc>
        <w:tc>
          <w:tcPr>
            <w:tcW w:w="320" w:type="dxa"/>
            <w:vAlign w:val="bottom"/>
            <w:tcBorders>
              <w:bottom w:val="single" w:sz="8" w:color="auto"/>
            </w:tcBorders>
          </w:tcPr>
          <w:p>
            <w:pPr>
              <w:jc w:val="right"/>
              <w:ind w:right="13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5"/>
              <w:spacing w:after="0" w:line="186" w:lineRule="exact"/>
              <w:rPr>
                <w:sz w:val="20"/>
                <w:szCs w:val="20"/>
                <w:color w:val="auto"/>
              </w:rPr>
            </w:pPr>
            <w:r>
              <w:rPr>
                <w:rFonts w:ascii="Times New Roman" w:cs="Times New Roman" w:eastAsia="Times New Roman" w:hAnsi="Times New Roman"/>
                <w:sz w:val="17"/>
                <w:szCs w:val="17"/>
                <w:color w:val="auto"/>
              </w:rPr>
              <w:t>653,282</w:t>
            </w:r>
          </w:p>
        </w:tc>
        <w:tc>
          <w:tcPr>
            <w:tcW w:w="380" w:type="dxa"/>
            <w:vAlign w:val="bottom"/>
            <w:tcBorders>
              <w:bottom w:val="single" w:sz="8" w:color="auto"/>
            </w:tcBorders>
          </w:tcPr>
          <w:p>
            <w:pPr>
              <w:jc w:val="right"/>
              <w:ind w:right="134"/>
              <w:spacing w:after="0" w:line="186"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621,886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13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5"/>
              <w:spacing w:after="0" w:line="186" w:lineRule="exact"/>
              <w:rPr>
                <w:sz w:val="20"/>
                <w:szCs w:val="20"/>
                <w:color w:val="auto"/>
              </w:rPr>
            </w:pPr>
            <w:r>
              <w:rPr>
                <w:rFonts w:ascii="Times New Roman" w:cs="Times New Roman" w:eastAsia="Times New Roman" w:hAnsi="Times New Roman"/>
                <w:sz w:val="17"/>
                <w:szCs w:val="17"/>
                <w:color w:val="auto"/>
              </w:rPr>
              <w:t>942,444</w:t>
            </w:r>
          </w:p>
        </w:tc>
        <w:tc>
          <w:tcPr>
            <w:tcW w:w="380" w:type="dxa"/>
            <w:vAlign w:val="bottom"/>
            <w:tcBorders>
              <w:bottom w:val="single" w:sz="8" w:color="auto"/>
            </w:tcBorders>
          </w:tcPr>
          <w:p>
            <w:pPr>
              <w:jc w:val="right"/>
              <w:ind w:right="134"/>
              <w:spacing w:after="0" w:line="186"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921,071</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held for sale or investment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86,568</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86,568</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90,078</w:t>
            </w:r>
          </w:p>
        </w:tc>
      </w:tr>
      <w:tr>
        <w:trPr>
          <w:trHeight w:val="167"/>
        </w:trPr>
        <w:tc>
          <w:tcPr>
            <w:tcW w:w="54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Reconciliation from net income attributable to Vail Resorts, Inc. to Total</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Reported EBITDA:</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Vail Resorts, Inc.</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361,995</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405,782</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396,714</w:t>
            </w:r>
          </w:p>
        </w:tc>
      </w:tr>
      <w:tr>
        <w:trPr>
          <w:trHeight w:val="21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19,388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18,160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22,359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23,011</w:t>
            </w:r>
          </w:p>
        </w:tc>
      </w:tr>
      <w:tr>
        <w:trPr>
          <w:trHeight w:val="212"/>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381,383</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343,166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428,141</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419,725</w:t>
            </w:r>
          </w:p>
        </w:tc>
      </w:tr>
      <w:tr>
        <w:trPr>
          <w:trHeight w:val="21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129,280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124,289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151,606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145,315</w:t>
            </w:r>
          </w:p>
        </w:tc>
      </w:tr>
      <w:tr>
        <w:trPr>
          <w:trHeight w:val="212"/>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510,663</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467,455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579,747</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565,040</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68,486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204,613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199,700</w:t>
            </w: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estimated fair value of contingent consideration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36,500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42,957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47,636</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disposal of fixed assets and other, net</w:t>
            </w:r>
          </w:p>
        </w:tc>
        <w:tc>
          <w:tcPr>
            <w:tcW w:w="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3,372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8,055</w:t>
            </w: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income and other,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(17,734)</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loss on intercompany loans</w:t>
            </w:r>
          </w:p>
        </w:tc>
        <w:tc>
          <w:tcPr>
            <w:tcW w:w="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2,305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4,230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5,563</w:t>
            </w:r>
          </w:p>
        </w:tc>
      </w:tr>
      <w:tr>
        <w:trPr>
          <w:trHeight w:val="219"/>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39,853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39,139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121,168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112,811</w:t>
            </w:r>
          </w:p>
        </w:tc>
      </w:tr>
      <w:tr>
        <w:trPr>
          <w:trHeight w:val="212"/>
        </w:trPr>
        <w:tc>
          <w:tcPr>
            <w:tcW w:w="5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 Reported EBITDA</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653,282</w:t>
            </w:r>
          </w:p>
        </w:tc>
        <w:tc>
          <w:tcPr>
            <w:tcW w:w="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621,886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942,444</w:t>
            </w:r>
          </w:p>
        </w:tc>
        <w:tc>
          <w:tcPr>
            <w:tcW w:w="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921,071</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1" w:name="page22"/>
    <w:bookmarkEnd w:id="21"/>
    <w:p>
      <w:pPr>
        <w:ind w:left="420" w:hanging="417"/>
        <w:spacing w:after="0"/>
        <w:tabs>
          <w:tab w:leader="none" w:pos="4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Repurchase Program</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March 9, 2006, the Company’s Board of Directors approved a share repurchase program, authorizing the Company to repurchase up to 3,000,000 Vail Shares. On July 16, 2008, December 4, 2015 and March 7, 2023, the Company’s Board of Directors increased the authorization by an additional 3,000,000, 1,500,000 and 2,500,000 Vail Shares, respectively, for a total authorization to repurchase up to 10,000,000 Vail Shares. During the three and nine months ended April 30, 2024, the Company repurchased 345,732 and 582,788 Vail Shares, respectively (at a total cost of approximately $75.0 million and $125.0 million, respectively, excluding excise tax). The Company repurchased 1,777,730 Vail Shares during the three and nine months ended April 30, 2023 (at a total cost of $400.0 million, excluding excise tax). Since inception of its share repurchase program through April 30, 2024, the Company has repurchased 9,231,090 Vail Shares for approximately $1,104.5 million. As of April 30, 2024, 768,910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198" w:lineRule="exact"/>
        <w:rPr>
          <w:sz w:val="20"/>
          <w:szCs w:val="20"/>
          <w:color w:val="auto"/>
        </w:rPr>
      </w:pPr>
    </w:p>
    <w:p>
      <w:pPr>
        <w:ind w:left="440" w:hanging="437"/>
        <w:spacing w:after="0"/>
        <w:tabs>
          <w:tab w:leader="none" w:pos="44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May 2, 2024, the Company, through a wholly-owned subsidiary, acquired Crans-Montana from CPI Property Group for a cash purchase price of CHF 97.2 million ($106.8 million), after adjustments for certain agreed-upon items. The Company acquired (i) an 84% ownership stake in Remontées Mécaniques Crans Montana Aminona SA, which controls and operates all of the lifts and supporting mountain operations, including four retail and rental locations; (ii) 100% ownership of SportLife AG (increased from the previously announced ownership stake of 80%), which operates one of the ski schools located at the resort; and</w:t>
      </w:r>
    </w:p>
    <w:p>
      <w:pPr>
        <w:jc w:val="both"/>
        <w:ind w:firstLine="3"/>
        <w:spacing w:after="0" w:line="259" w:lineRule="auto"/>
        <w:tabs>
          <w:tab w:leader="none" w:pos="30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ownership of 11 restaurants located on and around the mountain. The acquisition was funded with cash on hand. Initial accounting for the acquisition is not yet complete, including the determination of the acquisition-date fair value of assets acquired and liabilities assumed, as the Company is currently in the process of completing the assessment of valuation inputs and assumptions.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May 8, 2024, the Company completed its offering of $600 million aggregate principal amount of 6.50% senior notes due 2032 at par (the “Notes”), with the net proceeds used to fund the redemption of all $600 million of its outstanding 6.25% Notes due 2025 at par. The Notes are unsecured senior obligations of the Company and are guaranteed by certain of the Company’s domestic subsidiaries.</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will pay interest on the Notes on May 15 and November 15 of each year commencing on November 15, 2024. The Notes will mature on May 15, 2032. The Notes are redeemable, in whole or in part, at any time on or after May 15, 2027 at the redemption prices specified in a 2024 Indenture dated as of May 8, 2024 (the “2024 Indenture”) plus accrued and unpaid interest. Prior to May 15, 2027, the Company may redeem some or all of the Notes at a redemption price of 100% of the principal amount, plus accrued and unpaid interest, plus a “make-whole” premium as specified in the 2024 Indenture. In addition, prior to May 15, 2027, the Company may redeem up to 40% of the aggregate principal amount of the Notes with an amount not to exceed the net cash proceeds from certain equity offerings at the redemption price of 106.50% of the principal amount of the notes to be redeemed, plus accrued and unpaid interest, if any, to, but excluding, the redemption date. The Notes are senior unsecured obligations of the Company and rank equally in right of payment with existing and future senior indebtedness of the Company and the guarantors (as defined in the 2024 Indenture).</w:t>
      </w:r>
    </w:p>
    <w:p>
      <w:pPr>
        <w:spacing w:after="0" w:line="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2024 Indenture requires that, upon the occurrence of a Change of Control Repurchase Event (as defined in the 2024 Indenture), the Company shall offer to purchase all of the outstanding Notes at a purchase price in cash equal to 101% of the outstanding principal amount of the Notes, plus accrued and unpaid interest. If the Company or certain of its subsidiaries dispose of assets, under certain circumstances, the Company will be required to either invest the net cash proceeds from such assets sales in its business within a specified period of time, repay certain senior secured debt or debt of its non-guarantor subsidiaries, or make an offer to purchase a principal amount of the Notes equal to the excess net cash proceeds at a purchase price of 100% of their principal amount, plus accrued and unpaid interest.</w:t>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2024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2024 Indenture). The 2024 Indenture does not contain any financial maintenance covenants. Certain of the covenants will not apply to the Notes so long as the Notes have investment grade ratings from two specified rating agencies and no event of default has occurred and is continuing under the 2024 Indenture. The 2024 Indenture includes customary events of default, including failure to make payment, failure to comply with the obligations set forth in the 2024 Indenture, certain defaults on certain other indebtedness, certain events of bankruptcy, insolvency or reorganization, and invalidity of the guarantees of the Notes issued pursuant to the 2024 Indenture.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Vail Resorts, Inc., together with its subsidiaries, is referred to throughout this Quarterly Report on Form 10-Q for the period ended April 30, 2024 (“Form 10-Q”) as “we,” “us,” “our” or the “Company.”</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following Management’s Discussion and Analysis of Financial Condition and Results of Operations (“MD&amp;A”) should be read in conjunction with our Annual Report on Form 10-K for the fiscal year ended July 31, 2023 (“Form 10-K”) and the Consolidated Condensed Financial Statements as of April 30, 2024 and 2023 and for the three and nine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28, 2023.</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income attributable to Vail Resorts, Inc. to Total Reported EBITDA and Resort Reported EBITDA, and long-term debt, net to Net Debt.</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income,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Our operations are grouped into three integrated and interdependent segments: Mountain, Lodging and Real Estate. We refer to “Resort” as the combination of the Mountain and Lodging segments.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i w:val="1"/>
          <w:iCs w:val="1"/>
          <w:color w:val="auto"/>
        </w:rPr>
        <w:t>Mountain Segment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Mountain segment, the Company operates the following 42 destination mountain resorts and regional ski areas (collectively, “Resorts”), including Crans-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Montana Mountain Resort, which was acquired subsequent to April 30, 2024 (see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5593080" cy="2461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93080"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Additionally, the Mountain segment includes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Resorts typically experience their peak operating season for the Mountain segment from mid-December through mid-April, and our Australian ski areas typically experience their peak operating season from June to early October. Consequently, our first and fourth fiscal quarters are seasonally low periods as most of our North American and European ski operations are generally not open for business, and the activity of our Australian ski areas’ peak season and our North American and European summer operating results are not sufficient to offset the losses incurred during these seasonally low periods. Revenue of the Mountain segment during the first and fourth fiscal quarters is primarily generated from summer and group related visitation at our North American and European destination mountain resorts, retail/rental operations and peak season Australian ski operations. Our largest source of Mountain segment revenue is the sale of lift tickets (including pass products), which represented approximately 62% of Mountain segment net revenue for both the three months ended April 30, 2024 and 2023, and approximately 59% and 58% of Mountain revenue for the nine months ended April 30, 2024 and 2023, respectively.</w:t>
      </w:r>
    </w:p>
    <w:p>
      <w:pPr>
        <w:spacing w:after="0" w:line="200" w:lineRule="exact"/>
        <w:rPr>
          <w:sz w:val="20"/>
          <w:szCs w:val="20"/>
          <w:color w:val="auto"/>
        </w:rPr>
      </w:pP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Lift revenue is driven by volume and pricing. Pricing is impacted by absolute pricing, as well as both the demographic and geographic mix of guests, which impacts the price points at which various products are purchased. The demographic mix of guests that visit our North American Resorts is divided into two primary categories: (i) out-of-state and international (“Destination”) guests and (ii) in-state and local (“Local”) guests. The geographic mix depends on levels of visitation to our destination mountain resorts versus our regional ski areas. For both the 2023/2024 and 2022/2023 North American ski seasons, Destination guests comprised approximately 57% of our North American destination mountain resort skier visits (excluding complimentary access), while Local guests comprised approximately 43% of our North American destination mountain resort skier visits (excluding complimentary access). Skier visitation at our regional ski areas is largely comprised of Local guests. Destination guests generally purchase our higher-priced lift tickets (including pass products) and utilize more ancillary services such as ski school, dining and retail/rental, as well as lodging at or around our mountain resorts. Additionally, Destination guest visitation is less likely to be impacted by changes in the weather during the current season, but may be more impacted by adverse economic conditions, the global geopolitical climate, travel disruptions or weather conditions in the immediately preceding ski season. Local guests tend to be more value-oriented and weather-sensitive.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7"/>
          <w:szCs w:val="17"/>
          <w:color w:val="auto"/>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expect to ski a certain number of days during the season, and which is available in three tiers of resort access offerings. Our pass products provide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enter into strategic long-term pass alliance agreements with third-party mountain resorts, which further increase the value proposition of our pass products. For the 2024/2025 ski season, our pass alliances include Telluride Ski Resort in Colorado, Hakuba Valley and Rusutsu Resort in Japan, Resorts of the Canadian Rockies in Canada, Les 3 Vallées in France, Disentis Ski Area and Verbier 4 Vallées in Switzerland, Skirama Dolomiti in Italy and Ski Arlberg in Austria.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Condensed Statements of Operations throughout the ski season on a straight-line basis using the number of skiable days of the season-to-date period relative to the total estimated number of skiable days of the season.</w:t>
      </w:r>
    </w:p>
    <w:p>
      <w:pPr>
        <w:spacing w:after="0" w:line="200" w:lineRule="exact"/>
        <w:rPr>
          <w:sz w:val="20"/>
          <w:szCs w:val="20"/>
          <w:color w:val="auto"/>
        </w:rPr>
      </w:pPr>
    </w:p>
    <w:p>
      <w:pPr>
        <w:spacing w:after="0" w:line="2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Lift revenue consists of pass product lift revenue (“pass revenue”) and non-pass product lift revenue (“non-pass revenue”). For the nine months ended April 30, 2024 and 2023, approximately 66% and 61%, respectively, of our total lift revenue recognized was derived from pass revenue.</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Lodging Segment</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w:t>
      </w:r>
    </w:p>
    <w:p>
      <w:pPr>
        <w:spacing w:after="0" w:line="1" w:lineRule="exact"/>
        <w:rPr>
          <w:sz w:val="20"/>
          <w:szCs w:val="20"/>
          <w:color w:val="auto"/>
        </w:rPr>
      </w:pPr>
    </w:p>
    <w:p>
      <w:pPr>
        <w:ind w:firstLine="3"/>
        <w:spacing w:after="0" w:line="265" w:lineRule="auto"/>
        <w:tabs>
          <w:tab w:leader="none" w:pos="31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National Park Service (“NPS”) concessioner properties, including the Grand Teton Lodge Company (“GTLC”); (iv) a Colorado resort ground transportation company; and (v) mountain resort golf courses.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performance of our lodging properties (including managed condominium rooms) proximate to our Resorts, and our Colorado resort ground transportation company, are closely aligned with the performance of the Mountain segment and generally experience similar seasonal trends, particularly with respect to visitation by Destination guests. Revenues from such operations represented approximately 96% and 94% of Lodging segment net revenue (excluding Lodging segment revenue associated with the reimbursement of payroll costs) for the three months ended April 30, 2024 and 2023, respectively, and 79% and 81% of Lodging segment net revenue (excluding Lodging segment revenue associated with the reimbursement of payroll costs) for the nine months ended April 30, 2024 and 2023,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 Revenue of the Lodging segment during our first and fourth fiscal quarters is generated primarily by the operations of our NPS concessioner properties (as their peak operating season generally occurs during the months of June to October), as well as golf operations and seasonally low operations from our other owned and managed properties and businesses.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 Estate Segment</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5" w:name="page26"/>
    <w:bookmarkEnd w:id="25"/>
    <w:p>
      <w:pPr>
        <w:spacing w:after="0" w:line="286" w:lineRule="auto"/>
        <w:rPr>
          <w:sz w:val="20"/>
          <w:szCs w:val="20"/>
          <w:color w:val="auto"/>
        </w:rPr>
      </w:pPr>
      <w:r>
        <w:rPr>
          <w:rFonts w:ascii="Times New Roman" w:cs="Times New Roman" w:eastAsia="Times New Roman" w:hAnsi="Times New Roman"/>
          <w:sz w:val="17"/>
          <w:szCs w:val="17"/>
          <w:color w:val="auto"/>
        </w:rPr>
        <w:t>fluctuate significantly based upon the timing of closings and the type of real estate being sold, causing volatility in the Real Estate segment’s operating results from period to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Trends, Risks and Uncertainties</w:t>
      </w:r>
    </w:p>
    <w:p>
      <w:pPr>
        <w:spacing w:after="0" w:line="11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78" w:lineRule="exact"/>
        <w:rPr>
          <w:sz w:val="20"/>
          <w:szCs w:val="20"/>
          <w:color w:val="auto"/>
        </w:rPr>
      </w:pPr>
    </w:p>
    <w:p>
      <w:pPr>
        <w:jc w:val="both"/>
        <w:ind w:left="620" w:hanging="308"/>
        <w:spacing w:after="0" w:line="256"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results throughout the 2023/2024 North American ski season highlight both the stability provided by our season pass program and the investments we have made in our resorts and employees. The winter season included significant weather-related challenges, with approximately 28% lower snowfall for the full winter season across our western North American resorts compared to the same period in the prior year and limited natural snow and variable temperatures at our Eastern U.S. resorts (comprising the Midwest, Mid-Atlantic and Northeast). For the 2023/2024 North American and European ski season, total skier visits declined 7.7% as compared to the prior year period, which we believe was driven by a combination of unfavorable conditions and broader industry normalization post-COVID following record visitation in the U.S. during the 2022/2023 ski season. Skier visitation from non-pass product lift ticket guests was particularly impacted, declining 17% compared to the prior year period. Despite the decline in visitation, ancillary spending was strong across our ski school, dining, and rental businesses at our resorts. Resort net revenue for the second and third quarter combined period increased 1% and Resort Reported EBITDA increased 6% over the prior year, supported by our advance commitment strategy, strong growth in ancillary spending per visit, and continued cost discipline.</w:t>
      </w:r>
    </w:p>
    <w:p>
      <w:pPr>
        <w:spacing w:after="0" w:line="207" w:lineRule="exact"/>
        <w:rPr>
          <w:rFonts w:ascii="Times New Roman" w:cs="Times New Roman" w:eastAsia="Times New Roman" w:hAnsi="Times New Roman"/>
          <w:sz w:val="17"/>
          <w:szCs w:val="17"/>
          <w:color w:val="auto"/>
        </w:rPr>
      </w:pPr>
    </w:p>
    <w:p>
      <w:pPr>
        <w:jc w:val="both"/>
        <w:ind w:left="620" w:hanging="308"/>
        <w:spacing w:after="0" w:line="25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weather conditions, including 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In March 2024, we began our season pass sales program for the 2024/2025 North American ski season. Pass product sales through May 28, 2024 for the upcoming 2024/2025 North American ski season decreased approximately 5% in units and increased approximately 1% in sales dollars as compared to the period in the prior year through May 30, 2023. Pass product sales are adjusted to eliminate the impact of foreign currency by applying an exchange rate of $0.73 between the Canadian dollar and U.S. dollar in both periods for Whistler Blackcomb pass sales. We cannot predict if these trends will continue through the 2024 North American pass sales campaign or the overall impact that pass sales will have on lift revenue for the 2024/2025 North American ski season.</w:t>
      </w:r>
    </w:p>
    <w:p>
      <w:pPr>
        <w:spacing w:after="0" w:line="202" w:lineRule="exact"/>
        <w:rPr>
          <w:rFonts w:ascii="Times New Roman" w:cs="Times New Roman" w:eastAsia="Times New Roman" w:hAnsi="Times New Roman"/>
          <w:sz w:val="17"/>
          <w:szCs w:val="17"/>
          <w:color w:val="auto"/>
        </w:rPr>
      </w:pPr>
    </w:p>
    <w:p>
      <w:pPr>
        <w:jc w:val="both"/>
        <w:ind w:left="620" w:hanging="308"/>
        <w:spacing w:after="0" w:line="25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economies in the countries in which we operate and from which we attract our guests may be impacted by economic challenges associated with rising inflation, prolonged elevated interest rates, geopolitical conflicts and financial institution disruptions and/or fluctuating commodity prices that could adversely impact our business, including decreased guest spending or visitation or increased costs of operations. Skiing, travel and tourism are discretionary recreational activities that can entail a relatively high cost of participation. As a result, economic downturns and other negative impacts to consumer discretionary spending may have a pronounced impact on visitation to our Resorts. We cannot predict the extent to which we may be impacted by such potential economic challenges, whether in North America or globally.</w:t>
      </w:r>
    </w:p>
    <w:p>
      <w:pPr>
        <w:spacing w:after="0" w:line="202" w:lineRule="exact"/>
        <w:rPr>
          <w:rFonts w:ascii="Times New Roman" w:cs="Times New Roman" w:eastAsia="Times New Roman" w:hAnsi="Times New Roman"/>
          <w:sz w:val="17"/>
          <w:szCs w:val="17"/>
          <w:color w:val="auto"/>
        </w:rPr>
      </w:pPr>
    </w:p>
    <w:p>
      <w:pPr>
        <w:jc w:val="both"/>
        <w:ind w:left="620" w:hanging="308"/>
        <w:spacing w:after="0" w:line="261"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Given that we operate in the travel and leisure industry, we are subject to risks related to public health emergencies, including the potential outbreak and spread of contagious disease. Public health emergencies may lead to adverse economic impacts in global and local economies, including the economies in which we operate, which may in turn impact consumer demand, the willingness or ability of guests to travel, guest visitation, staffing levels or financial results. We cannot predict the ultimate impact that any potential public health emergency may have on our guest visitation, guest spending, staffing capabilities, other related trends or overall results of operations.</w:t>
      </w:r>
    </w:p>
    <w:p>
      <w:pPr>
        <w:spacing w:after="0" w:line="199" w:lineRule="exact"/>
        <w:rPr>
          <w:rFonts w:ascii="Times New Roman" w:cs="Times New Roman" w:eastAsia="Times New Roman" w:hAnsi="Times New Roman"/>
          <w:sz w:val="17"/>
          <w:szCs w:val="17"/>
          <w:color w:val="auto"/>
        </w:rPr>
      </w:pPr>
    </w:p>
    <w:p>
      <w:pPr>
        <w:jc w:val="both"/>
        <w:ind w:left="620" w:hanging="308"/>
        <w:spacing w:after="0" w:line="258"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April 30, 2024, we had $705.4 million of cash and cash equivalents, as well as $409.4 million available under the revolver component of our Ninth Amended and Restated Credit Agreement, dated as of April 24, 2024 (the “Vail Holdings Credit Agreement”), which represents the total commitment of $500.0 million less certain letters of credit outstanding of $90.6 million. Additionally, we have a credit facility which supports the liquidity needs of Whistler Blackcomb (the “Whistler Credit Agreement”). As of April 30, 2024, we had C$296.6 million ($215.5 million) available under the revolver component of the Whistler Credit Agreement, which represents the total commitment of C$300.0 million ($217.9 million) less letters of credit outstanding of C$3.4 million ($2.4 million). We believe that our existing cash and cash equivalents, availability under our credit agreements and the expected positive cash flow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6" w:name="page27"/>
    <w:bookmarkEnd w:id="26"/>
    <w:p>
      <w:pPr>
        <w:jc w:val="both"/>
        <w:ind w:left="620"/>
        <w:spacing w:after="0" w:line="259" w:lineRule="auto"/>
        <w:rPr>
          <w:sz w:val="20"/>
          <w:szCs w:val="20"/>
          <w:color w:val="auto"/>
        </w:rPr>
      </w:pPr>
      <w:r>
        <w:rPr>
          <w:rFonts w:ascii="Times New Roman" w:cs="Times New Roman" w:eastAsia="Times New Roman" w:hAnsi="Times New Roman"/>
          <w:sz w:val="17"/>
          <w:szCs w:val="17"/>
          <w:color w:val="auto"/>
        </w:rPr>
        <w:t>from operating activities of our Mountain and Lodging segments less resort capital expenditures will continue to provide us with sufficient liquidity to fund our operations. Additionally, on May 8, 2024, we completed an offering of $600.0 million in aggregate principal amount of 6.50% senior notes due 2032 in a private placement conducted pursuant to Rule 144A and Regulation S under the Securities Act of 1933, as amended, and used the net proceeds, along with cash on hand, to fund the redemption of our $600 million 6.25% Notes due 2025 at a redemption price equal to 100% of their principal amount and all related fees, expenses and accrued but unpaid interest on May 15, 2024. The 6.50% senior notes due 2032 are guaranteed on a senior subordinated basis by certain of the Company’s domestic subsidiaries.</w:t>
      </w:r>
    </w:p>
    <w:p>
      <w:pPr>
        <w:spacing w:after="0" w:line="202" w:lineRule="exact"/>
        <w:rPr>
          <w:sz w:val="20"/>
          <w:szCs w:val="20"/>
          <w:color w:val="auto"/>
        </w:rPr>
      </w:pPr>
    </w:p>
    <w:p>
      <w:pPr>
        <w:jc w:val="both"/>
        <w:ind w:left="620" w:hanging="308"/>
        <w:spacing w:after="0" w:line="258"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 2024, we acquired Crans-Montana Mountain Resort (“Crans-Montana”) in Switzerland from CPI Property Group for a cash purchase price of CHF 97.2 million ($106.8 million), after adjustments for certain agreed-upon items. We acquired (i) an 84% ownership stake in Remontées Mécaniques Crans Montana Aminona SA, which controls and operates all of the lifts and supporting mountain operations, including four retail and rental locations; (ii) 100% ownership of SportLife AG (increased from the previously announced ownership stake of 80%), which operates one of the ski schools located at the resort; and (iii) 100% ownership of 11 restaurants located on and around the mountain. The acquisition was funded with cash on hand. We plan to include unlimited and unrestricted access to Crans-Montana on the Epic Pass for the 2024/2025 ski season, as well as provide access on other pass products. We cannot predict the ultimate impact the acquisition of Crans-Montana will have on our future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w:t>
      </w:r>
    </w:p>
    <w:p>
      <w:pPr>
        <w:spacing w:after="0" w:line="12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Below is a summary of operating results for the three and nine months ended April 30, 2024, compared to the three and nine months ended April 30, 2023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00" w:type="dxa"/>
            <w:vAlign w:val="bottom"/>
          </w:tcPr>
          <w:p>
            <w:pPr>
              <w:spacing w:after="0"/>
              <w:rPr>
                <w:sz w:val="15"/>
                <w:szCs w:val="15"/>
                <w:color w:val="auto"/>
              </w:rPr>
            </w:pPr>
          </w:p>
        </w:tc>
        <w:tc>
          <w:tcPr>
            <w:tcW w:w="2480" w:type="dxa"/>
            <w:vAlign w:val="bottom"/>
            <w:gridSpan w:val="3"/>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2"/>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5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Vail Resorts, Inc.</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361,995</w:t>
            </w:r>
          </w:p>
        </w:tc>
        <w:tc>
          <w:tcPr>
            <w:tcW w:w="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405,782</w:t>
            </w:r>
          </w:p>
        </w:tc>
        <w:tc>
          <w:tcPr>
            <w:tcW w:w="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396,714</w:t>
            </w:r>
          </w:p>
        </w:tc>
      </w:tr>
      <w:tr>
        <w:trPr>
          <w:trHeight w:val="219"/>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510,663</w:t>
            </w:r>
          </w:p>
        </w:tc>
        <w:tc>
          <w:tcPr>
            <w:tcW w:w="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467,455</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579,747</w:t>
            </w:r>
          </w:p>
        </w:tc>
        <w:tc>
          <w:tcPr>
            <w:tcW w:w="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565,040</w:t>
            </w: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Mountain Reported EBITDA</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638,587</w:t>
            </w:r>
          </w:p>
        </w:tc>
        <w:tc>
          <w:tcPr>
            <w:tcW w:w="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606,926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919,402</w:t>
            </w:r>
          </w:p>
        </w:tc>
        <w:tc>
          <w:tcPr>
            <w:tcW w:w="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913,644</w:t>
            </w:r>
          </w:p>
        </w:tc>
      </w:tr>
      <w:tr>
        <w:trPr>
          <w:trHeight w:val="219"/>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Lodging Reported EBITDA</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15,784</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16,396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20,254</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7,986</w:t>
            </w:r>
          </w:p>
        </w:tc>
      </w:tr>
      <w:tr>
        <w:trPr>
          <w:trHeight w:val="212"/>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Resort Reported EBITDA</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654,371</w:t>
            </w:r>
          </w:p>
        </w:tc>
        <w:tc>
          <w:tcPr>
            <w:tcW w:w="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939,656</w:t>
            </w:r>
          </w:p>
        </w:tc>
        <w:tc>
          <w:tcPr>
            <w:tcW w:w="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921,630</w:t>
            </w:r>
          </w:p>
        </w:tc>
      </w:tr>
      <w:tr>
        <w:trPr>
          <w:trHeight w:val="219"/>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Real Estate Reported EBITDA</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(1,089)</w:t>
            </w:r>
          </w:p>
        </w:tc>
        <w:tc>
          <w:tcPr>
            <w:tcW w:w="3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2,788</w:t>
            </w:r>
          </w:p>
        </w:tc>
        <w:tc>
          <w:tcPr>
            <w:tcW w:w="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Mountain Segment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April 30, 2024 compared to the three months ended April 30, 2023</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Mountain segment operating results for the three months ended April 30, 2024 and 2023 are presented by category as follows (in thousands, except effective ticket price (“ETP”)). ETP is calculated as lift revenue divided by total skier visits for each applicable period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80" w:type="dxa"/>
            <w:vAlign w:val="bottom"/>
            <w:gridSpan w:val="3"/>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86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64"/>
        </w:trPr>
        <w:tc>
          <w:tcPr>
            <w:tcW w:w="6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60" w:type="dxa"/>
            <w:vAlign w:val="bottom"/>
            <w:vMerge w:val="restart"/>
          </w:tcPr>
          <w:p>
            <w:pPr>
              <w:jc w:val="center"/>
              <w:ind w:left="17"/>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2"/>
                <w:szCs w:val="2"/>
                <w:color w:val="auto"/>
              </w:rPr>
            </w:pPr>
          </w:p>
        </w:tc>
        <w:tc>
          <w:tcPr>
            <w:tcW w:w="124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86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2"/>
        </w:trPr>
        <w:tc>
          <w:tcPr>
            <w:tcW w:w="6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Mountain net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Lift</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745,677</w:t>
            </w:r>
          </w:p>
        </w:tc>
        <w:tc>
          <w:tcPr>
            <w:tcW w:w="4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710,052</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Ski school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161,248</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145,134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11.1 %</w:t>
            </w: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Dining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109,471</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101,683</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Retail/rental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123,262</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135,008</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56,400</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52,853</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0" w:type="dxa"/>
            <w:vAlign w:val="bottom"/>
          </w:tcPr>
          <w:p>
            <w:pPr>
              <w:spacing w:after="0"/>
              <w:rPr>
                <w:sz w:val="1"/>
                <w:szCs w:val="1"/>
                <w:color w:val="auto"/>
              </w:rPr>
            </w:pPr>
          </w:p>
        </w:tc>
      </w:tr>
      <w:tr>
        <w:trPr>
          <w:trHeight w:val="212"/>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Mountain net revenue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1,196,058</w:t>
            </w:r>
          </w:p>
        </w:tc>
        <w:tc>
          <w:tcPr>
            <w:tcW w:w="4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1,144,730</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0" w:type="dxa"/>
            <w:vAlign w:val="bottom"/>
          </w:tcPr>
          <w:p>
            <w:pPr>
              <w:spacing w:after="0"/>
              <w:rPr>
                <w:sz w:val="1"/>
                <w:szCs w:val="1"/>
                <w:color w:val="auto"/>
              </w:rPr>
            </w:pPr>
          </w:p>
        </w:tc>
      </w:tr>
      <w:tr>
        <w:trPr>
          <w:trHeight w:val="212"/>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Mountain operating expense: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246,563</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242,275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Retail cost of sales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36,668</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36,551</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Resort related fees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55,945</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79,969</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73,791</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139,419</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131,827</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0" w:type="dxa"/>
            <w:vAlign w:val="bottom"/>
          </w:tcPr>
          <w:p>
            <w:pPr>
              <w:spacing w:after="0"/>
              <w:rPr>
                <w:sz w:val="1"/>
                <w:szCs w:val="1"/>
                <w:color w:val="auto"/>
              </w:rPr>
            </w:pPr>
          </w:p>
        </w:tc>
      </w:tr>
      <w:tr>
        <w:trPr>
          <w:trHeight w:val="212"/>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Mountain operating 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558,564</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537,898</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Mountain equity investment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1,062.8 %</w:t>
            </w:r>
          </w:p>
        </w:tc>
        <w:tc>
          <w:tcPr>
            <w:tcW w:w="0" w:type="dxa"/>
            <w:vAlign w:val="bottom"/>
          </w:tcPr>
          <w:p>
            <w:pPr>
              <w:spacing w:after="0"/>
              <w:rPr>
                <w:sz w:val="1"/>
                <w:szCs w:val="1"/>
                <w:color w:val="auto"/>
              </w:rPr>
            </w:pPr>
          </w:p>
        </w:tc>
      </w:tr>
      <w:tr>
        <w:trPr>
          <w:trHeight w:val="212"/>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Mountain Reported EBITDA</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638,587</w:t>
            </w:r>
          </w:p>
        </w:tc>
        <w:tc>
          <w:tcPr>
            <w:tcW w:w="4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606,926</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0" w:type="dxa"/>
            <w:vAlign w:val="bottom"/>
          </w:tcPr>
          <w:p>
            <w:pPr>
              <w:spacing w:after="0"/>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0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skier visits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8,943</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9,242</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ETP</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83.38</w:t>
            </w:r>
          </w:p>
        </w:tc>
        <w:tc>
          <w:tcPr>
            <w:tcW w:w="4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Mountain Reported EBITDA includes $5.4 million and $4.9 million of stock-based compensation expense for the three months ended April 30, 2024 and 2023, respectively.</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Mountain Reported EBITDA increased $31.7 million, or 5.2%. The increase was primarily attributable to an increase in North American pass revenue, driven by an increase in pass product sales for the 2023/2024 North American ski season compared to the prior year, as well as the timing of recognition of pass revenue, which resulted in an approximately $14 million increase for the three months ended April 30, 2024 due to delayed opening for a number of our Resorts in the current year, which shifted the recognition of pass revenue into the third fiscal quarter as compared to the prior year (and which offsets against the decrease recognized in the three months ended January 31, 2024). Additionally, the increase was driven by strong growth in spending per visit in our ski school and dining ancillary lines of business compared to the prior year. These increases were partially offset by the impact of challenging conditions at our North American resorts for a large portion of the season, which led to a decline in both Local and Destination skier visitation and resulted in decreases for non-pass revenue and retail/rental revenue, as well as broader industry normalization post-COVID following record visitation in the U.S. during the 2022/2023 ski season, and increases in general and administrative expenses and other variable expenses associated with increased revenues. Mountain segment results also include $1.3 million and $0.1 million of acquisition and integration related expenses for the three months ended April 30, 2024 and 2023, respectively.</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Lift revenue increased $35.6 million, or 5.0%, primarily due to an increase in pass revenue of 13.7%, which was primarily driven by an increase in pass product sales for the 2023/2024 North American ski season. This increase was partially offset by a decrease in non-pass revenue of 5.7%, driven by a decrease in skier visitation across all regions, which was impacted by challenging conditions at our North American resorts for a large portion of the season, as non-pass visitation was slow to improve and did not return to normal historical guest behavior in March and April once conditions did improve, particularly at Whistler Blackcomb, and broader industry normalization post-COVID following record visitation in the U.S. during the 2022/2023 ski season, partially offset by an increase in non-pass ETP of 9.9%.</w:t>
      </w:r>
    </w:p>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Ski school revenue increased $16.1 million, or 11.1% and dining revenue increased $7.8 million, or 7.7%, which each benefited from an increase in guest spending per visit across our North American resorts, as well as initiatives to increase guest capture of</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8" w:name="page29"/>
    <w:bookmarkEnd w:id="28"/>
    <w:p>
      <w:pPr>
        <w:jc w:val="both"/>
        <w:spacing w:after="0" w:line="264" w:lineRule="auto"/>
        <w:rPr>
          <w:sz w:val="20"/>
          <w:szCs w:val="20"/>
          <w:color w:val="auto"/>
        </w:rPr>
      </w:pPr>
      <w:r>
        <w:rPr>
          <w:rFonts w:ascii="Times New Roman" w:cs="Times New Roman" w:eastAsia="Times New Roman" w:hAnsi="Times New Roman"/>
          <w:sz w:val="17"/>
          <w:szCs w:val="17"/>
          <w:color w:val="auto"/>
        </w:rPr>
        <w:t>ancillary spending. Retail/rental revenue decreased $11.7 million, or 8.7%, for which retail sales decreased $6.6 million, or 10.0%, and rental sales decreased $5.1 million, or 7.5%. The decrease in both retail and rental revenue was primarily driven by our exit of certain leased store operations which we operated in the prior year, which resulted in a reduction in revenue of approximately $7.8 million, as well as a decrease in skier visitation which impacted sales at our on-mountain retail outlets and the impact of broader industry-wide customer spending trends which negatively impacted retail capture.</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Other revenue mainly consists of other mountain activities revenue, employee housing revenue, guest services revenue, commercial leasing revenue, marketing revenue, private club revenue (which includes both club dues and amortization of initiation fees), municipal services revenue and other recreation activity revenue. Other revenue increased $3.5 million, or 6.7%, primarily driven by other mountain activities revenue as a result of an increase in guest spending per visit across our North American resorts.</w:t>
      </w:r>
    </w:p>
    <w:p>
      <w:pPr>
        <w:spacing w:after="0" w:line="1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Operating expense increased $20.7 million, or 3.8%, which was primarily attributable to an increase in general and administrative expenses and increased variable expenses associated with increased revenue. Operating expense includes $1.3 million and $0.1 million of acquisition and integration related expenses for the three months ended April 30, 2024 and 2023, respectively.</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Labor and labor-related benefits increased 1.8%, primarily due to normal wage adjustments for our employees in North America, partially offset by strong labor management which benefited from our investments in workforce management. Resort related fees increased 4.7%, primarily as a result of an increase in revenues on which those fees are based. General and administrative expense increased 8.4%, primarily due to an increase in allocated corporate overhead costs across nearly all corporate functions, driven by an increase in labor expenses in North America associated with normal wage adjustments and the impact of updated allocations of general and administrative expenses between segments which offsets primarily with decreases in the Lodging segment. Other expense increased 5.8%, primarily due to increases in utilities ($2.3 million), acquisition and integration related expenses ($1.2 million), professional services ($1.4 million), and increased variable operating expenses associated with increased revenues, including supplies ($1.2 million) and dining cost of sales ($0.8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i w:val="1"/>
          <w:iCs w:val="1"/>
          <w:color w:val="auto"/>
        </w:rPr>
        <w:t>Nine months ended April 30, 2024 compared to the nine months ended April 30,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Mountain segment operating results for the nine months ended April 30, 2024 and 2023 are presented by category as follows (in thousands, except ETP):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980" w:type="dxa"/>
            <w:vAlign w:val="bottom"/>
            <w:gridSpan w:val="3"/>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186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64"/>
        </w:trPr>
        <w:tc>
          <w:tcPr>
            <w:tcW w:w="60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60" w:type="dxa"/>
            <w:vAlign w:val="bottom"/>
            <w:vMerge w:val="restart"/>
          </w:tcPr>
          <w:p>
            <w:pPr>
              <w:jc w:val="center"/>
              <w:ind w:left="17"/>
              <w:spacing w:after="0" w:line="129"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44"/>
        </w:trPr>
        <w:tc>
          <w:tcPr>
            <w:tcW w:w="6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vMerge w:val="restart"/>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3"/>
                <w:szCs w:val="3"/>
                <w:color w:val="auto"/>
              </w:rPr>
            </w:pPr>
          </w:p>
        </w:tc>
        <w:tc>
          <w:tcPr>
            <w:tcW w:w="124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6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Mountain net revenue:</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Lift</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1,394,526</w:t>
            </w:r>
          </w:p>
        </w:tc>
        <w:tc>
          <w:tcPr>
            <w:tcW w:w="4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1,362,195</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Ski school</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295,055</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277,512</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0" w:type="dxa"/>
            <w:vAlign w:val="bottom"/>
          </w:tcPr>
          <w:p>
            <w:pPr>
              <w:spacing w:after="0"/>
              <w:rPr>
                <w:sz w:val="1"/>
                <w:szCs w:val="1"/>
                <w:color w:val="auto"/>
              </w:rPr>
            </w:pPr>
          </w:p>
        </w:tc>
      </w:tr>
      <w:tr>
        <w:trPr>
          <w:trHeight w:val="219"/>
        </w:trPr>
        <w:tc>
          <w:tcPr>
            <w:tcW w:w="6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Dining</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209,608</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206,953</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Retail/rental</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292,892</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335,284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19"/>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176,413</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177,945</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2"/>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Mountain net revenue</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2,368,494</w:t>
            </w:r>
          </w:p>
        </w:tc>
        <w:tc>
          <w:tcPr>
            <w:tcW w:w="4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2,359,889</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0" w:type="dxa"/>
            <w:vAlign w:val="bottom"/>
          </w:tcPr>
          <w:p>
            <w:pPr>
              <w:spacing w:after="0"/>
              <w:rPr>
                <w:sz w:val="1"/>
                <w:szCs w:val="1"/>
                <w:color w:val="auto"/>
              </w:rPr>
            </w:pPr>
          </w:p>
        </w:tc>
      </w:tr>
      <w:tr>
        <w:trPr>
          <w:trHeight w:val="212"/>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Mountain operating expense:</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Labor and labor-related benefits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611,253</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627,857</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9"/>
        </w:trPr>
        <w:tc>
          <w:tcPr>
            <w:tcW w:w="6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Retail cost of sales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95,666</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105,489</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Resort related fees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104,208</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100,635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0" w:type="dxa"/>
            <w:vAlign w:val="bottom"/>
          </w:tcPr>
          <w:p>
            <w:pPr>
              <w:spacing w:after="0"/>
              <w:rPr>
                <w:sz w:val="1"/>
                <w:szCs w:val="1"/>
                <w:color w:val="auto"/>
              </w:rPr>
            </w:pPr>
          </w:p>
        </w:tc>
      </w:tr>
      <w:tr>
        <w:trPr>
          <w:trHeight w:val="219"/>
        </w:trPr>
        <w:tc>
          <w:tcPr>
            <w:tcW w:w="6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269,490</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254,445</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0" w:type="dxa"/>
            <w:vAlign w:val="bottom"/>
          </w:tcPr>
          <w:p>
            <w:pPr>
              <w:spacing w:after="0"/>
              <w:rPr>
                <w:sz w:val="1"/>
                <w:szCs w:val="1"/>
                <w:color w:val="auto"/>
              </w:rPr>
            </w:pPr>
          </w:p>
        </w:tc>
      </w:tr>
      <w:tr>
        <w:trPr>
          <w:trHeight w:val="219"/>
        </w:trPr>
        <w:tc>
          <w:tcPr>
            <w:tcW w:w="6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369,848</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358,301</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0" w:type="dxa"/>
            <w:vAlign w:val="bottom"/>
          </w:tcPr>
          <w:p>
            <w:pPr>
              <w:spacing w:after="0"/>
              <w:rPr>
                <w:sz w:val="1"/>
                <w:szCs w:val="1"/>
                <w:color w:val="auto"/>
              </w:rPr>
            </w:pPr>
          </w:p>
        </w:tc>
      </w:tr>
      <w:tr>
        <w:trPr>
          <w:trHeight w:val="212"/>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Mountain operating expense</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1,450,465</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1,446,727</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0" w:type="dxa"/>
            <w:vAlign w:val="bottom"/>
          </w:tcPr>
          <w:p>
            <w:pPr>
              <w:spacing w:after="0"/>
              <w:rPr>
                <w:sz w:val="1"/>
                <w:szCs w:val="1"/>
                <w:color w:val="auto"/>
              </w:rPr>
            </w:pPr>
          </w:p>
        </w:tc>
      </w:tr>
      <w:tr>
        <w:trPr>
          <w:trHeight w:val="219"/>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Mountain equity investment income, net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184.9 %</w:t>
            </w:r>
          </w:p>
        </w:tc>
        <w:tc>
          <w:tcPr>
            <w:tcW w:w="0" w:type="dxa"/>
            <w:vAlign w:val="bottom"/>
          </w:tcPr>
          <w:p>
            <w:pPr>
              <w:spacing w:after="0"/>
              <w:rPr>
                <w:sz w:val="1"/>
                <w:szCs w:val="1"/>
                <w:color w:val="auto"/>
              </w:rPr>
            </w:pPr>
          </w:p>
        </w:tc>
      </w:tr>
      <w:tr>
        <w:trPr>
          <w:trHeight w:val="212"/>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Mountain Reported EBITDA</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919,402</w:t>
            </w:r>
          </w:p>
        </w:tc>
        <w:tc>
          <w:tcPr>
            <w:tcW w:w="4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913,644</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0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skier visits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16,865</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18,543</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ETP</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82.69</w:t>
            </w:r>
          </w:p>
        </w:tc>
        <w:tc>
          <w:tcPr>
            <w:tcW w:w="4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73.46</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12.6 %</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Mountain Reported EBITDA includes $17.5 million and $16.0 million of stock-based compensation expense for the nine months ended April 30, 2024 and 2023, respectively.</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Mountain Reported EBITDA increased $5.8 million, or 0.6%. The increase was primarily driven by an increase in pass revenue, driven by an increase in pass product sales for the 2023/2024 North American ski season compared to the prior year, as well as strong growth in spending per visit in our ski school and dining businesses compared to the prior year. These increases were partially offset by: (i) challenging conditions at our North American resorts for a large portion of the 2023/2024 ski season compared to the prior year, as well as broader industry normalization post-COVID following record visitation in the U.S. during the 2022/2023 ski season, which led to a decline in both Local and Destination skier visitation and resulted in decreases for non-pass revenue and retail/rental revenue, partially offset by a decrease in labor and labor-related benefits due to disciplined cost management in response to decreased skier visits, and other decreased variable expenses; (ii) our Australian operations, which experienced weather-related challenges that impacted terrain during the 2023 Australian ski season, compared to record visitation and favorable snow conditions in the prior year season; and (iii) a decrease in summer revenue at our North American Resorts, primarily as a result of decreased summer visitation from lower demand for summer mountain travel and weather related challenges compared to the prior year. Mountain Reported EBITDA also decreased as a result of an increase in general and administrative expenses (which includes the incremental impact of our prior year investments in employee wages), an increase in repairs and maintenance expense and the impact of inflation. Mountain segment results also include $5.3 million and $3.0 million of acquisition and integration related expenses for the nine months ended April 30, 2024 and 2023, respectively.</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Lift revenue increased $32.3 million, or 2.4%, primarily due to an increase in pass revenue of 10.9%, which was primarily driven by an increase in pass product sales for the 2023/2024 North American ski season compared to the prior year, partially offset by a decrease in non-pass revenue of 10.8%, primarily driven by challenging conditions at our North American resorts for a large portion of the season compared to the prior year, as well as broader industry normalization post-COVID following record visitation in the U.S. during the 2022/2023 ski season, and a decrease in non-pass revenue at our Australian resorts as a result of decreased visitation from weather-related disruptions and unfavorable snow conditions during the 2023 Australian ski season, compared to record visitation and favorable snow conditions in the prior year season.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7"/>
          <w:szCs w:val="17"/>
          <w:color w:val="auto"/>
        </w:rPr>
        <w:t>Ski school revenue increased $17.5 million, or 6.3% and dining revenue increased $2.7 million, or 1.3%, both as a result of an increase in guest spending per visit at our North American resorts, partially offset by a decrease at our Australian resorts as a result of a decrease in skier visitation from weather-related disruptions and unfavorable snow conditions during the 2023 Australian ski season, compared to record visitation and favorable snow conditions in the prior year season. Retail/rental revenue decreased $42.4 million, or 12.6%, for which retail sales decreased $27.6 million, or 14.4%, and rental sales decreased $14.8 million, or 10.3%. The decrease in both retail and rental revenue was primarily driven by a decrease in skier visitation which impacted sales at our on-mountain retail outlets in North America, as well as our exit of certain leased store operations which we operated in the prior year, which resulted in a revenue reduction of approximately $18.2 million.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Other revenue mainly consists of summer visitation,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includes Australian resort lodging and transportation revenue. Other revenue decreased $1.5 million, or 0.9%, primarily driven by our Australian operations, which experienced weather-related challenges that impacted terrain in the current year, compared to record visitation and favorable snow conditions in the prior year.</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Operating expense increased $3.7 million, or 0.3%, which was primarily attributable to an increase in general and administrative expenses and repairs and maintenance expense, partially offset by reduced labor hours at our North American Resorts in the current year as a result of challenging weather conditions that existed for a large portion of the season, which impacted our ability to operate at full capacity, as well as disciplined cost management. Additionally, operating expense includes $5.3 million and $3.0 million of acquisition and integration related expenses for the nine months ended April 30, 2024 and 2023, respectively.</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Labor and labor-related benefits decreased 2.6%, primarily attributable to reduced labor hours at our North American Resorts in the current year as a result of challenging weather conditions that existed for a large portion of the season, which impacted our ability to operate at full capacity, as well as disciplined cost management. Retail cost of sales decreased 9.3%, compared to a decrease in retail sales of 14.4%, reflecting decreased margins on retail products driven by higher sales of discounted inventory. Resort related fees increased 3.6% primarily as a result of an increase in revenues on which those fees are based. General and administrative expense increased 5.9%, primarily due to an increase in allocated corporate overhead costs across nearly all corporate functions (which includes the incremental impact of our prior year investments in employee wages, which went into effect in October 2022, and the impact of updated allocations of general and administrative expenses between segments which offsets primarily with decreases in the Lodging segment). Other expense increased 3.2%, primarily due to increased repairs and maintenance expense ($4.2 million), property taxes ($3.5 million), professional services expense ($2.7 million), utilities expense ($2.3 million) and acquisition and integration related expenses ($2.3 million), including the impact of inflation, partially offset by decreased variable expenses associated with decreased revenues, including dining cost of sales ($3.0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i w:val="1"/>
          <w:iCs w:val="1"/>
          <w:color w:val="auto"/>
        </w:rPr>
        <w:t>Lodging Segment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April 30, 2024 compared to the three months ended April 30, 2023</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Lodging segment operating results for the three months ended April 30, 2024 and 2023 are presented by category as follows (in thousands, except average daily rates (“ADR”) and revenue per available room (“RevPAR”)):</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60" w:type="dxa"/>
            <w:vAlign w:val="bottom"/>
            <w:gridSpan w:val="3"/>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88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64"/>
        </w:trPr>
        <w:tc>
          <w:tcPr>
            <w:tcW w:w="6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7"/>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2"/>
                <w:szCs w:val="2"/>
                <w:color w:val="auto"/>
              </w:rPr>
            </w:pPr>
          </w:p>
        </w:tc>
        <w:tc>
          <w:tcPr>
            <w:tcW w:w="122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88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2"/>
        </w:trPr>
        <w:tc>
          <w:tcPr>
            <w:tcW w:w="6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Lodging net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Owned hotel rooms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14,978</w:t>
            </w:r>
          </w:p>
        </w:tc>
        <w:tc>
          <w:tcPr>
            <w:tcW w:w="4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15,091</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Managed condominium rooms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35,390</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38,409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Dining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14,482</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15,422</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Transportation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7,150</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10,230</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12,380</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82,230</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88,226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Payroll cost reimbursements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4,825</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5,320</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12"/>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Lodging net revenue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87,055</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93,546</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12"/>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Lodging operating expense: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31,852</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35,482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14,245</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15,069</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20,349</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12"/>
        </w:trPr>
        <w:tc>
          <w:tcPr>
            <w:tcW w:w="6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66,446</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71,830</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Reimbursed payroll costs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4,825</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12"/>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Lodging operating expense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71,271</w:t>
            </w: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77,150</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Lodging Reported EBITDA</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15,784</w:t>
            </w:r>
          </w:p>
        </w:tc>
        <w:tc>
          <w:tcPr>
            <w:tcW w:w="4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16,396</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Owned hotel statistics: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ADR</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341.00</w:t>
            </w:r>
          </w:p>
        </w:tc>
        <w:tc>
          <w:tcPr>
            <w:tcW w:w="4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357.18</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RevPAR</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166.25</w:t>
            </w:r>
          </w:p>
        </w:tc>
        <w:tc>
          <w:tcPr>
            <w:tcW w:w="4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9"/>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Managed condominium statistics: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ADR</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521.58</w:t>
            </w:r>
          </w:p>
        </w:tc>
        <w:tc>
          <w:tcPr>
            <w:tcW w:w="4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514.61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RevPAR</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215.53</w:t>
            </w:r>
          </w:p>
        </w:tc>
        <w:tc>
          <w:tcPr>
            <w:tcW w:w="4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218.79</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Owned hotel and managed condominium statistics (combined):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ADR</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475.96</w:t>
            </w:r>
          </w:p>
        </w:tc>
        <w:tc>
          <w:tcPr>
            <w:tcW w:w="4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478.35</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RevPAR</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204.56</w:t>
            </w:r>
          </w:p>
        </w:tc>
        <w:tc>
          <w:tcPr>
            <w:tcW w:w="4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208.59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Lodging Reported EBITDA includes $0.7 million and $0.9 million of stock-based compensation expense for the three months ended April 30, 2024 and 2023, respectively.</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Lodging Reported EBITDA decreased $0.6 million, or 3.7%. Revenue from managed condominium rooms decreased $3.0 million, or 7.9%, primarily due to a reduction in our inventory of available managed condominium rooms proximate to our mountain resorts, as well as decreased demand, including the impact of decreased skier visitation driven by challenging weather conditions at our North American resorts for a large portion of the season compared to the prior year. Other revenue decreased $2.2 million or 17.4%, primarily due to decreases in ancillary and other revenues.</w:t>
      </w:r>
    </w:p>
    <w:p>
      <w:pPr>
        <w:spacing w:after="0" w:line="1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Operating expense (excluding reimbursed payroll costs) decreased 7.5%. Labor and labor-related benefits decreased 10.2%, primarily due to lower staffing required to support a reduced inventory of managed condominium rooms and a reduction in labor hours as a result of decreased demand.</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Nine months ended April 30, 2024 compared to the nine months ended April 30,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Lodging segment operating results for the nine months ended April 30, 2024 and 2023 are presented by category as follows (in thousands, except ADR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RevPAR):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6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188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64"/>
        </w:trPr>
        <w:tc>
          <w:tcPr>
            <w:tcW w:w="6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6"/>
              <w:spacing w:after="0" w:line="129"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44"/>
        </w:trPr>
        <w:tc>
          <w:tcPr>
            <w:tcW w:w="6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vMerge w:val="restart"/>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3"/>
                <w:szCs w:val="3"/>
                <w:color w:val="auto"/>
              </w:rPr>
            </w:pPr>
          </w:p>
        </w:tc>
        <w:tc>
          <w:tcPr>
            <w:tcW w:w="122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6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1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Lodging net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Owned hotel rooms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53,738</w:t>
            </w:r>
          </w:p>
        </w:tc>
        <w:tc>
          <w:tcPr>
            <w:tcW w:w="4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52,135</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Managed condominium rooms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75,701</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82,604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Dining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46,174</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45,435</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Transportation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15,060</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Golf</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6,541</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6,072</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36,700</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37,235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2"/>
        </w:trPr>
        <w:tc>
          <w:tcPr>
            <w:tcW w:w="6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233,914</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237,753</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Payroll cost reimbursements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12,779</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13,987</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12"/>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Lodging net revenue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246,693</w:t>
            </w: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251,740</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Lodging operating expense: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Labor and labor-related benefits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102,478</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111,894</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45,463</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49,830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65,719</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68,043</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213,660</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229,767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Reimbursed payroll costs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12,779</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13,987</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12"/>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Lodging operating expense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226,439</w:t>
            </w: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243,754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12"/>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Lodging Reported EBITDA</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20,254</w:t>
            </w:r>
          </w:p>
        </w:tc>
        <w:tc>
          <w:tcPr>
            <w:tcW w:w="4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7,986</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153.6 %</w:t>
            </w:r>
          </w:p>
        </w:tc>
        <w:tc>
          <w:tcPr>
            <w:tcW w:w="0" w:type="dxa"/>
            <w:vAlign w:val="bottom"/>
          </w:tcPr>
          <w:p>
            <w:pPr>
              <w:spacing w:after="0"/>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Owned hotel statistics: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ADR</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317.87</w:t>
            </w:r>
          </w:p>
        </w:tc>
        <w:tc>
          <w:tcPr>
            <w:tcW w:w="4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313.59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RevPAR</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155.75</w:t>
            </w:r>
          </w:p>
        </w:tc>
        <w:tc>
          <w:tcPr>
            <w:tcW w:w="4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156.55</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Managed condominium statistics: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ADR</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454.12</w:t>
            </w:r>
          </w:p>
        </w:tc>
        <w:tc>
          <w:tcPr>
            <w:tcW w:w="4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450.98</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RevPAR</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142.49</w:t>
            </w:r>
          </w:p>
        </w:tc>
        <w:tc>
          <w:tcPr>
            <w:tcW w:w="4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9"/>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Owned hotel and managed condominium statistics (combined):</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ADR</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407.48</w:t>
            </w:r>
          </w:p>
        </w:tc>
        <w:tc>
          <w:tcPr>
            <w:tcW w:w="4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407.07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0" w:type="dxa"/>
            <w:vAlign w:val="bottom"/>
          </w:tcPr>
          <w:p>
            <w:pPr>
              <w:spacing w:after="0"/>
              <w:rPr>
                <w:sz w:val="1"/>
                <w:szCs w:val="1"/>
                <w:color w:val="auto"/>
              </w:rPr>
            </w:pPr>
          </w:p>
        </w:tc>
      </w:tr>
      <w:tr>
        <w:trPr>
          <w:trHeight w:val="223"/>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RevPAR</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145.82</w:t>
            </w:r>
          </w:p>
        </w:tc>
        <w:tc>
          <w:tcPr>
            <w:tcW w:w="4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148.72</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Lodging Reported EBITDA includes $2.5 million and $3.0 million of stock-based compensation expense for the nine months ended April 30, 2024 and 2023, respectively.</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Lodging Reported EBITDA increased $12.3 million, or 153.6%, driven by a decrease in labor and labor-related benefits primarily associated with strong cost management and lower staffing required to support a reduced inventory of managed condominium rooms, as well as a decrease in general and administrative expense.</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Revenue from owned hotel rooms increased $1.6 million, or 3.1%, primarily due to an increase in revenue at GTLC as a result of higher ADR. Revenue from managed condominium rooms decreased $6.9 million, or 8.4%, primarily due to a reduction in our inventory of available managed condominium rooms proximate to our mountain resorts, as well as decreased demand, including the impact of decreased skier visitation driven by challenging weather conditions at our North American resorts for a large portion of the season compared to the prior year.</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Operating expense (excluding reimbursed payroll costs) decreased 7.0%. Labor and labor-related benefits decreased 8.4%, primarily due to lower staffing required to support a reduced inventory of managed condominium rooms and a reduction in labor hours as a result of decreased demand. General and administrative expense decreased 8.8%, primarily due to a decrease in allocated corporate overhead costs across nearly all corporate functions, including the impact of updated allocations of general</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3" w:name="page34"/>
    <w:bookmarkEnd w:id="33"/>
    <w:p>
      <w:pPr>
        <w:jc w:val="both"/>
        <w:spacing w:after="0" w:line="269" w:lineRule="auto"/>
        <w:rPr>
          <w:sz w:val="20"/>
          <w:szCs w:val="20"/>
          <w:color w:val="auto"/>
        </w:rPr>
      </w:pPr>
      <w:r>
        <w:rPr>
          <w:rFonts w:ascii="Times New Roman" w:cs="Times New Roman" w:eastAsia="Times New Roman" w:hAnsi="Times New Roman"/>
          <w:sz w:val="17"/>
          <w:szCs w:val="17"/>
          <w:color w:val="auto"/>
        </w:rPr>
        <w:t>and administrative expenses between segments which offsets primarily with increases in the Mountain segment. Other expense decreased 3.4%, primarily due to the receipt of property tax refunds during the three months ended January 31, 2024, as well as decreases in variable expenses associated with the decrease in revenue at our managed condominium properties.</w:t>
      </w:r>
    </w:p>
    <w:p>
      <w:pPr>
        <w:spacing w:after="0" w:line="1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 Estate Segment</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April 30, 2024 compared to the three months ended April 30,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 Estate segment operating results for the three months ended April 30, 2024 and 2023 are presented by category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Pr>
          <w:p>
            <w:pPr>
              <w:spacing w:after="0"/>
              <w:rPr>
                <w:sz w:val="13"/>
                <w:szCs w:val="13"/>
                <w:color w:val="auto"/>
              </w:rPr>
            </w:pPr>
          </w:p>
        </w:tc>
        <w:tc>
          <w:tcPr>
            <w:tcW w:w="186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64"/>
        </w:trPr>
        <w:tc>
          <w:tcPr>
            <w:tcW w:w="602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60" w:type="dxa"/>
            <w:vAlign w:val="bottom"/>
            <w:vMerge w:val="restart"/>
          </w:tcPr>
          <w:p>
            <w:pPr>
              <w:jc w:val="center"/>
              <w:ind w:left="22"/>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040" w:type="dxa"/>
            <w:vAlign w:val="bottom"/>
            <w:vMerge w:val="restart"/>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2"/>
                <w:szCs w:val="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0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86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2"/>
        </w:trPr>
        <w:tc>
          <w:tcPr>
            <w:tcW w:w="6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Real Estate net revenue</w:t>
            </w:r>
          </w:p>
        </w:tc>
        <w:tc>
          <w:tcPr>
            <w:tcW w:w="104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169</w:t>
            </w:r>
          </w:p>
        </w:tc>
        <w:tc>
          <w:tcPr>
            <w:tcW w:w="108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9.0 %</w:t>
            </w:r>
          </w:p>
        </w:tc>
        <w:tc>
          <w:tcPr>
            <w:tcW w:w="0" w:type="dxa"/>
            <w:vAlign w:val="bottom"/>
          </w:tcPr>
          <w:p>
            <w:pPr>
              <w:spacing w:after="0"/>
              <w:rPr>
                <w:sz w:val="1"/>
                <w:szCs w:val="1"/>
                <w:color w:val="auto"/>
              </w:rPr>
            </w:pPr>
          </w:p>
        </w:tc>
      </w:tr>
      <w:tr>
        <w:trPr>
          <w:trHeight w:val="219"/>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Real Estate operating expense</w:t>
            </w:r>
          </w:p>
        </w:tc>
        <w:tc>
          <w:tcPr>
            <w:tcW w:w="104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1,258</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1,679</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of real property</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2"/>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Real Estate Reported EBITDA</w:t>
            </w:r>
          </w:p>
        </w:tc>
        <w:tc>
          <w:tcPr>
            <w:tcW w:w="104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(1,089)</w:t>
            </w:r>
          </w:p>
        </w:tc>
        <w:tc>
          <w:tcPr>
            <w:tcW w:w="10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24.2 %</w:t>
            </w:r>
          </w:p>
        </w:tc>
        <w:tc>
          <w:tcPr>
            <w:tcW w:w="0" w:type="dxa"/>
            <w:vAlign w:val="bottom"/>
          </w:tcPr>
          <w:p>
            <w:pPr>
              <w:spacing w:after="0"/>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did not close on any significant real estate transactions during the three months ended April 30, 2024 and 2023.</w:t>
      </w:r>
    </w:p>
    <w:p>
      <w:pPr>
        <w:spacing w:after="0" w:line="2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Other operating expense for both the three months ended April 30, 2024 and 2023 was primarily comprised of general and administrative costs, such as labor and labor-related benefits, professional services and corporate overhead costs.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Nine months ended April 30, 2024 compared to the nine months ended April 30,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 Estate segment operating results for the nine months ended April 30, 2024 and 2023 are presented by category as follows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560" w:type="dxa"/>
            <w:vAlign w:val="bottom"/>
          </w:tcPr>
          <w:p>
            <w:pPr>
              <w:spacing w:after="0"/>
              <w:rPr>
                <w:sz w:val="13"/>
                <w:szCs w:val="13"/>
                <w:color w:val="auto"/>
              </w:rPr>
            </w:pPr>
          </w:p>
        </w:tc>
        <w:tc>
          <w:tcPr>
            <w:tcW w:w="1880" w:type="dxa"/>
            <w:vAlign w:val="bottom"/>
          </w:tcPr>
          <w:p>
            <w:pPr>
              <w:jc w:val="center"/>
              <w:ind w:left="4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64"/>
        </w:trPr>
        <w:tc>
          <w:tcPr>
            <w:tcW w:w="602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40"/>
              <w:spacing w:after="0" w:line="130"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46"/>
        </w:trPr>
        <w:tc>
          <w:tcPr>
            <w:tcW w:w="6020" w:type="dxa"/>
            <w:vAlign w:val="bottom"/>
          </w:tcPr>
          <w:p>
            <w:pPr>
              <w:spacing w:after="0"/>
              <w:rPr>
                <w:sz w:val="3"/>
                <w:szCs w:val="3"/>
                <w:color w:val="auto"/>
              </w:rPr>
            </w:pPr>
          </w:p>
        </w:tc>
        <w:tc>
          <w:tcPr>
            <w:tcW w:w="1060" w:type="dxa"/>
            <w:vAlign w:val="bottom"/>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3"/>
                <w:szCs w:val="3"/>
                <w:color w:val="auto"/>
              </w:rPr>
            </w:pPr>
          </w:p>
        </w:tc>
        <w:tc>
          <w:tcPr>
            <w:tcW w:w="114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3"/>
                <w:szCs w:val="3"/>
                <w:color w:val="auto"/>
              </w:rPr>
            </w:pPr>
          </w:p>
        </w:tc>
        <w:tc>
          <w:tcPr>
            <w:tcW w:w="1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60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1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Real Estate net revenue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4,618</w:t>
            </w:r>
          </w:p>
        </w:tc>
        <w:tc>
          <w:tcPr>
            <w:tcW w:w="114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0" w:type="dxa"/>
            <w:vAlign w:val="bottom"/>
          </w:tcPr>
          <w:p>
            <w:pPr>
              <w:spacing w:after="0"/>
              <w:rPr>
                <w:sz w:val="1"/>
                <w:szCs w:val="1"/>
                <w:color w:val="auto"/>
              </w:rPr>
            </w:pPr>
          </w:p>
        </w:tc>
      </w:tr>
      <w:tr>
        <w:trPr>
          <w:trHeight w:val="219"/>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operating expense:</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sales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3,607</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4,508</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4,225</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Real Estate operating expense</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8,115</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Gain on sale of real property</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6,285</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643.8 %</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Reported EBITDA</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2,788</w:t>
            </w:r>
          </w:p>
        </w:tc>
        <w:tc>
          <w:tcPr>
            <w:tcW w:w="114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598.7 %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During the nine months ended April 30, 2024, we closed on the sale of a land parcel in Keystone, CO for $4.2 million, which was recorded within Real Estate net revenue, with a corresponding cost of sale of $3.6 million. Additionally, we recorded a gain on sale of real property for $6.3 million related to a land parcel sale in Beaver Creek, CO, which closed for proceeds of $6.5 million during the nine months ended April 30, 2024. During the nine months ended April 30, 2023, we closed on the sale of a land parcel in Keystone for $7.5 million, which was recorded within Real Estate net revenue, with a corresponding cost of sale of $5.1 million.</w:t>
      </w:r>
    </w:p>
    <w:p>
      <w:pPr>
        <w:spacing w:after="0" w:line="200" w:lineRule="exact"/>
        <w:rPr>
          <w:sz w:val="20"/>
          <w:szCs w:val="20"/>
          <w:color w:val="auto"/>
        </w:rPr>
      </w:pPr>
    </w:p>
    <w:p>
      <w:pPr>
        <w:spacing w:after="0" w:line="2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Other operating expense for both the nine months ended April 30, 2024 and 2023 was primarily comprised of general and administrative costs, such as labor and labor-related benefits, professional services and allocated corporate overhead costs.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i w:val="1"/>
          <w:iCs w:val="1"/>
          <w:color w:val="auto"/>
        </w:rPr>
        <w:t>Other Items</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In addition to segment operating results, the following material items contributed to our overall financial results for the three and nine months ended April 30, 2024 and 2023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3"/>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52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20" w:type="dxa"/>
            <w:vAlign w:val="bottom"/>
          </w:tcPr>
          <w:p>
            <w:pPr>
              <w:spacing w:after="0"/>
              <w:rPr>
                <w:sz w:val="15"/>
                <w:szCs w:val="15"/>
                <w:color w:val="auto"/>
              </w:rPr>
            </w:pPr>
          </w:p>
        </w:tc>
        <w:tc>
          <w:tcPr>
            <w:tcW w:w="2520" w:type="dxa"/>
            <w:vAlign w:val="bottom"/>
            <w:gridSpan w:val="3"/>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14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
        </w:trPr>
        <w:tc>
          <w:tcPr>
            <w:tcW w:w="2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3"/>
                <w:szCs w:val="3"/>
                <w:color w:val="auto"/>
              </w:rPr>
            </w:pPr>
          </w:p>
        </w:tc>
        <w:tc>
          <w:tcPr>
            <w:tcW w:w="106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3"/>
                <w:szCs w:val="3"/>
                <w:color w:val="auto"/>
              </w:rPr>
            </w:pPr>
          </w:p>
        </w:tc>
        <w:tc>
          <w:tcPr>
            <w:tcW w:w="106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66"/>
        </w:trPr>
        <w:tc>
          <w:tcPr>
            <w:tcW w:w="260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Change in estimated fair value of</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(36,500)</w:t>
            </w:r>
          </w:p>
        </w:tc>
        <w:tc>
          <w:tcPr>
            <w:tcW w:w="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(45,900)</w:t>
            </w:r>
          </w:p>
        </w:tc>
        <w:tc>
          <w:tcPr>
            <w:tcW w:w="1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(20.5)%</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(42,957)</w:t>
            </w:r>
          </w:p>
        </w:tc>
        <w:tc>
          <w:tcPr>
            <w:tcW w:w="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(47,636)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Loss on disposal of fixed assets and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(571)</w:t>
            </w:r>
          </w:p>
        </w:tc>
        <w:tc>
          <w:tcPr>
            <w:tcW w:w="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(6,269)</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(90.9)%</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(3,372)</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(8,055)</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(39,853)</w:t>
            </w:r>
          </w:p>
        </w:tc>
        <w:tc>
          <w:tcPr>
            <w:tcW w:w="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(39,139)</w:t>
            </w:r>
          </w:p>
        </w:tc>
        <w:tc>
          <w:tcPr>
            <w:tcW w:w="1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1.8 %</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(121,168)</w:t>
            </w:r>
          </w:p>
        </w:tc>
        <w:tc>
          <w:tcPr>
            <w:tcW w:w="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(112,811)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7.4 %</w:t>
            </w:r>
          </w:p>
        </w:tc>
        <w:tc>
          <w:tcPr>
            <w:tcW w:w="0" w:type="dxa"/>
            <w:vAlign w:val="bottom"/>
          </w:tcPr>
          <w:p>
            <w:pPr>
              <w:spacing w:after="0"/>
              <w:rPr>
                <w:sz w:val="1"/>
                <w:szCs w:val="1"/>
                <w:color w:val="auto"/>
              </w:rPr>
            </w:pPr>
          </w:p>
        </w:tc>
      </w:tr>
      <w:tr>
        <w:trPr>
          <w:trHeight w:val="219"/>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(129,280)</w:t>
            </w:r>
          </w:p>
        </w:tc>
        <w:tc>
          <w:tcPr>
            <w:tcW w:w="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(124,289)</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4.0 %</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(151,606)</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(145,315)</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0" w:type="dxa"/>
            <w:vAlign w:val="bottom"/>
          </w:tcPr>
          <w:p>
            <w:pPr>
              <w:spacing w:after="0"/>
              <w:rPr>
                <w:sz w:val="1"/>
                <w:szCs w:val="1"/>
                <w:color w:val="auto"/>
              </w:rPr>
            </w:pPr>
          </w:p>
        </w:tc>
      </w:tr>
      <w:tr>
        <w:trPr>
          <w:trHeight w:val="219"/>
        </w:trPr>
        <w:tc>
          <w:tcPr>
            <w:tcW w:w="2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25.3 %</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26.6 %</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(1.3) pts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26.2 %</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pts</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Change in estimated fair value of contingent consideration. </w:t>
      </w:r>
      <w:r>
        <w:rPr>
          <w:rFonts w:ascii="Times New Roman" w:cs="Times New Roman" w:eastAsia="Times New Roman" w:hAnsi="Times New Roman"/>
          <w:sz w:val="17"/>
          <w:szCs w:val="17"/>
          <w:color w:val="auto"/>
        </w:rPr>
        <w:t>Change in estimated fair value of contingent consideration for the three months ended April 30,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decreased $9.4 million compared to the same period in the prior year, primarily related to a larger increase in the expected long-term EBITDA performance for Park City in the prior year.</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Loss on disposal of fixed assets and other, net. </w:t>
      </w:r>
      <w:r>
        <w:rPr>
          <w:rFonts w:ascii="Times New Roman" w:cs="Times New Roman" w:eastAsia="Times New Roman" w:hAnsi="Times New Roman"/>
          <w:sz w:val="17"/>
          <w:szCs w:val="17"/>
          <w:color w:val="auto"/>
        </w:rPr>
        <w:t>Loss on disposal of fixed assets and other, net for the three months ended April 30, 2023 included a loss of $5.9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related to the classification of five retail and rental stores in Telluride, Colorado as held-for-sale as of April 30, 2023, which were subsequently sold on May 1, 2023.</w:t>
      </w:r>
    </w:p>
    <w:p>
      <w:pPr>
        <w:spacing w:after="0" w:line="17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Interest expense, net. </w:t>
      </w:r>
      <w:r>
        <w:rPr>
          <w:rFonts w:ascii="Times New Roman" w:cs="Times New Roman" w:eastAsia="Times New Roman" w:hAnsi="Times New Roman"/>
          <w:sz w:val="17"/>
          <w:szCs w:val="17"/>
          <w:color w:val="auto"/>
        </w:rPr>
        <w:t>Interest expense, net for the nine months ended April 30, 2024 increased $8.4 million compared to the same period in the prior year, primarily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due to an increase in variable interest rates associated with the unhedged portion of our term loan borrowings under the Vail Holdings Credit Agreement.</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At the end of each interim period, the Company estimates the annual effective tax rate and applies that rate to its ordinary quarterly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earnings. The tax expense or benefit related to significant, unusual or extraordinary items that will be separately reported or reported net of their related tax effect are individually computed and recognized in the interim period in which those items occur. In addition, the effects of changes in enacted tax laws or rates or tax status are recognized in the interim period in which the change occurs. The effective tax rate for the three and nine months ended April 30, 2024 was 25.3% and 26.2%, respectively, compared to 26.6% and 25.7% for the three and nine months ended April 30, 2023, respectively.</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decrease in the effective tax rate for the three months ended April 30, 2024 compared to the three months ended April 30, 2023 was primarily due to a reduction in income in higher tax rate jurisdictions, a decrease in certain state tax rates, and a decrease in net unfavorable discrete items impacting the tax provision in the current period, including a reduction in excess tax benefits from employee share awards ($0.7 million) and a decrease in the impact of interest relating to the lapse of the statute of limitations for an uncertain tax position ($0.5 million).</w:t>
      </w:r>
    </w:p>
    <w:p>
      <w:pPr>
        <w:spacing w:after="0" w:line="1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increase in the effective tax rate for the nine months ended April 30, 2024 compared to the nine months ended April 30, 2023 was primarily due to an increase in net unfavorable discrete items impacting the tax provision in the current period, including a decrease in the impact of the lapse of the statute of limitations for an uncertain tax position ($5.8 million) and a reduction in deferred tax assets ($4.8 million).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i w:val="1"/>
          <w:iCs w:val="1"/>
          <w:color w:val="auto"/>
        </w:rPr>
        <w:t>Reconciliation of Segment Earnings and Net Debt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net income attributable to Vail Resorts, Inc. to Total Reported EBITDA for the three and nine months ended April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20" w:type="dxa"/>
            <w:vAlign w:val="bottom"/>
          </w:tcPr>
          <w:p>
            <w:pPr>
              <w:spacing w:after="0"/>
              <w:rPr>
                <w:sz w:val="15"/>
                <w:szCs w:val="15"/>
                <w:color w:val="auto"/>
              </w:rPr>
            </w:pPr>
          </w:p>
        </w:tc>
        <w:tc>
          <w:tcPr>
            <w:tcW w:w="2740" w:type="dxa"/>
            <w:vAlign w:val="bottom"/>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2"/>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5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Vail Resorts, Inc.</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361,995</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325,006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405,782</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396,714</w:t>
            </w:r>
          </w:p>
        </w:tc>
      </w:tr>
      <w:tr>
        <w:trPr>
          <w:trHeight w:val="21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19,388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18,160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22,359</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23,011</w:t>
            </w:r>
          </w:p>
        </w:tc>
      </w:tr>
      <w:tr>
        <w:trPr>
          <w:trHeight w:val="212"/>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381,383</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343,166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428,141</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419,725</w:t>
            </w:r>
          </w:p>
        </w:tc>
      </w:tr>
      <w:tr>
        <w:trPr>
          <w:trHeight w:val="21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129,280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124,289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151,606</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145,315</w:t>
            </w:r>
          </w:p>
        </w:tc>
      </w:tr>
      <w:tr>
        <w:trPr>
          <w:trHeight w:val="212"/>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510,663</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467,455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579,747</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565,040</w:t>
            </w: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68,486</w:t>
            </w:r>
          </w:p>
        </w:tc>
        <w:tc>
          <w:tcPr>
            <w:tcW w:w="3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69,097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204,613</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199,700</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disposal of fixed assets and other,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571</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3,372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8,055</w:t>
            </w: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32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36,500</w:t>
            </w:r>
          </w:p>
        </w:tc>
        <w:tc>
          <w:tcPr>
            <w:tcW w:w="3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45,900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42,957</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47,636</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income and other,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(5,096)</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(7,740)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(13,643)</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(17,734)</w:t>
            </w: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loss on intercompany loans</w:t>
            </w:r>
          </w:p>
        </w:tc>
        <w:tc>
          <w:tcPr>
            <w:tcW w:w="32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2,305</w:t>
            </w:r>
          </w:p>
        </w:tc>
        <w:tc>
          <w:tcPr>
            <w:tcW w:w="3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4,230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5,563</w:t>
            </w:r>
          </w:p>
        </w:tc>
      </w:tr>
      <w:tr>
        <w:trPr>
          <w:trHeight w:val="219"/>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39,853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39,139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121,168</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112,811</w:t>
            </w:r>
          </w:p>
        </w:tc>
      </w:tr>
      <w:tr>
        <w:trPr>
          <w:trHeight w:val="212"/>
        </w:trPr>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 Reported EBITDA</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653,282</w:t>
            </w:r>
          </w:p>
        </w:tc>
        <w:tc>
          <w:tcPr>
            <w:tcW w:w="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621,886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942,444</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921,071</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Mountain Reported EBITDA</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638,587</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606,926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919,402</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913,644</w:t>
            </w:r>
          </w:p>
        </w:tc>
      </w:tr>
      <w:tr>
        <w:trPr>
          <w:trHeight w:val="219"/>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Lodging Reported EBITDA</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15,784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16,396</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20,254</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7,986</w:t>
            </w:r>
          </w:p>
        </w:tc>
      </w:tr>
      <w:tr>
        <w:trPr>
          <w:trHeight w:val="212"/>
        </w:trPr>
        <w:tc>
          <w:tcPr>
            <w:tcW w:w="5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Reported EBITDA</w:t>
            </w:r>
          </w:p>
        </w:tc>
        <w:tc>
          <w:tcPr>
            <w:tcW w:w="32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654,371</w:t>
            </w:r>
          </w:p>
        </w:tc>
        <w:tc>
          <w:tcPr>
            <w:tcW w:w="3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623,322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939,656</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921,630</w:t>
            </w:r>
          </w:p>
        </w:tc>
      </w:tr>
      <w:tr>
        <w:trPr>
          <w:trHeight w:val="219"/>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Reported EBITDA</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(1,436)</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2,788</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r>
      <w:tr>
        <w:trPr>
          <w:trHeight w:val="212"/>
        </w:trPr>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 Reported EBITDA</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653,282</w:t>
            </w:r>
          </w:p>
        </w:tc>
        <w:tc>
          <w:tcPr>
            <w:tcW w:w="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621,886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942,444</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921,071</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3"/>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reconciles long-term debt, net to Net Debt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
        </w:trPr>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5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2,700,257</w:t>
            </w:r>
          </w:p>
        </w:tc>
        <w:tc>
          <w:tcPr>
            <w:tcW w:w="3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2,773,747</w:t>
            </w:r>
          </w:p>
        </w:tc>
      </w:tr>
      <w:tr>
        <w:trPr>
          <w:trHeight w:val="21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Long-term debt due within one year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68,470</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68,970</w:t>
            </w:r>
          </w:p>
        </w:tc>
      </w:tr>
      <w:tr>
        <w:trPr>
          <w:trHeight w:val="212"/>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debt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2,768,727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2,842,717</w:t>
            </w:r>
          </w:p>
        </w:tc>
      </w:tr>
      <w:tr>
        <w:trPr>
          <w:trHeight w:val="21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Less: cash and cash equivalents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705,429</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896,089</w:t>
            </w:r>
          </w:p>
        </w:tc>
      </w:tr>
      <w:tr>
        <w:trPr>
          <w:trHeight w:val="237"/>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Debt</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2,063,298</w:t>
            </w:r>
          </w:p>
        </w:tc>
        <w:tc>
          <w:tcPr>
            <w:tcW w:w="3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1,946,628</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significant sources of cash for the nine months ended April 30, 2024 and 2023 are presented by categories as follows (in thousands).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80" w:type="dxa"/>
            <w:vAlign w:val="bottom"/>
            <w:gridSpan w:val="3"/>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2"/>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1"/>
        </w:trPr>
        <w:tc>
          <w:tcPr>
            <w:tcW w:w="7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681,014</w:t>
            </w:r>
          </w:p>
        </w:tc>
        <w:tc>
          <w:tcPr>
            <w:tcW w:w="4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center"/>
              <w:ind w:left="458"/>
              <w:spacing w:after="0"/>
              <w:rPr>
                <w:sz w:val="20"/>
                <w:szCs w:val="20"/>
                <w:color w:val="auto"/>
              </w:rPr>
            </w:pPr>
            <w:r>
              <w:rPr>
                <w:rFonts w:ascii="Times New Roman" w:cs="Times New Roman" w:eastAsia="Times New Roman" w:hAnsi="Times New Roman"/>
                <w:sz w:val="17"/>
                <w:szCs w:val="17"/>
                <w:color w:val="auto"/>
              </w:rPr>
              <w:t>726,883</w:t>
            </w:r>
          </w:p>
        </w:tc>
      </w:tr>
      <w:tr>
        <w:trPr>
          <w:trHeight w:val="219"/>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(90,887)</w:t>
            </w:r>
          </w:p>
        </w:tc>
        <w:tc>
          <w:tcPr>
            <w:tcW w:w="44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center"/>
              <w:ind w:left="438"/>
              <w:spacing w:after="0"/>
              <w:rPr>
                <w:sz w:val="20"/>
                <w:szCs w:val="20"/>
                <w:color w:val="auto"/>
              </w:rPr>
            </w:pPr>
            <w:r>
              <w:rPr>
                <w:rFonts w:ascii="Times New Roman" w:cs="Times New Roman" w:eastAsia="Times New Roman" w:hAnsi="Times New Roman"/>
                <w:sz w:val="17"/>
                <w:szCs w:val="17"/>
                <w:color w:val="auto"/>
                <w:w w:val="99"/>
              </w:rPr>
              <w:t>(221,260)</w:t>
            </w:r>
          </w:p>
        </w:tc>
      </w:tr>
      <w:tr>
        <w:trPr>
          <w:trHeight w:val="219"/>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(433,435)</w:t>
            </w:r>
          </w:p>
        </w:tc>
        <w:tc>
          <w:tcPr>
            <w:tcW w:w="4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center"/>
              <w:ind w:left="438"/>
              <w:spacing w:after="0"/>
              <w:rPr>
                <w:sz w:val="20"/>
                <w:szCs w:val="20"/>
                <w:color w:val="auto"/>
              </w:rPr>
            </w:pPr>
            <w:r>
              <w:rPr>
                <w:rFonts w:ascii="Times New Roman" w:cs="Times New Roman" w:eastAsia="Times New Roman" w:hAnsi="Times New Roman"/>
                <w:sz w:val="17"/>
                <w:szCs w:val="17"/>
                <w:color w:val="auto"/>
                <w:w w:val="99"/>
              </w:rPr>
              <w:t>(703,176)</w:t>
            </w: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Nine months ended April 30, 2024 compared to the nine months ended April 30, 2023</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generated $681.0 million of cash from operating activities during the nine months ended April 30, 2024, a decrease of $45.9 million compared to $726.9 million generated during the nine months ended April 30, 2023. The decrease in operating cash flows was primarily a result of (i) an increase in income tax payments of approximately $32.2 million for the nine months ended April 30, 2024 as compared to the prior year, driven by overpayments, net operating loss carryforwards and other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7"/>
          <w:szCs w:val="17"/>
          <w:color w:val="auto"/>
        </w:rPr>
        <w:t>deductions in the prior year which offset our estimated payments made during the nine months ended April 30, 2023, and did not recur in the current year period, and (ii) an increase in cash interest payments.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Cash used in investing activities for the nine months ended April 30, 2024 decreased by $130.4 million primarily due to (i) prior year short-term bank deposit investments of $86.8 million, which were invested in deposits with maturity dates of more than three months at the date of purchase and were therefore not reflected as cash equivalents as of April 30, 2023, of which $57.6 million and $38.0 million matured during the nine months ended April 30, 2024 and 2023, respectively, and were either not reinvested or were reinvested in deposits with original maturities of three months or less; (ii) a decrease in capital expenditures of approximately $106.1 million as compared to the prior year, driven by our significant investments in lift upgrades during calendar year 2022; and (iii) $38.6 million of cash paid to Andermatt Swiss Alps AG upon closing the acquisition of Andermatt-Sedrun, net of cash acquired, on August 3, 2022. This increase was partially offset by the return of a cash deposit of approximately $114.5 million (CHF 110.0 million) originally made in July 2022 in conjunction with the acquisition of Andermatt-Sedrun, which closed on August 3, 2022. The cash deposit was invested into Andermatt-Sedrun, which is consolidated in our consolidated condensed financial statements subsequent to the acquisition being completed.</w:t>
      </w:r>
    </w:p>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Cash used in financing activities decreased by $269.7 million during the nine months ended April 30, 2024 compared to the nine months ended April 30, 2023, primarily due to a decrease in repurchases of common stock of $275.0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Sources of Cash</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had $705.4 million of cash and cash equivalents as of April 30, 2024, compared to $896.1 million as of April 30, 2023. We currently anticipate that our Mountain and Lodging segment operating results will continue to provide a significant source of future operating cash flows (primarily generated in our second and third fiscal quarters).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to our $705.4 million of cash and cash equivalents at April 30, 2024, we had $409.4 million available under the revolver component of our Vail Holdings Credit Agreement as of April 30, 2024 (which represents the total commitment of $500.0 million less outstanding letters of credit of $90.6 million). Additionally, we had C$296.6 million ($215.5 million) available under the revolver component of our Whistler Credit Agreement (which represents the total commitment of C$300.0 million ($217.9 million) less certain outstanding letters of credit of C$3.4 million ($2.4 million)).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with any new borrowings currently priced at the Secured Overnight Financing Rate plus 1.60% and Bankers Acceptance Rate plus 1.75%,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Uses of Cash</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Capital Expenditures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historically invested significant amounts of cash in capital expenditures for our resort operations, and we expect to continue to do so, subject to operating performance particularly as it relates to discretionary projects. Currently planned capital expenditures primarily include investments that will allow us to maintain our high-quality standards for the guest experience,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currently anticipate that we will spend approximately $189 million to $194 million on resort capital expenditures during calendar year 2024, excluding $13 million of incremental capital investments in premium fleet and fulfillment infrastructure to support the official launch of My Epic Gear for the 2024/2025 winter season at 12 destination mountain resorts and regional ski areas across North America, $11 million of growth capital investments at Andermatt-Sedrun, $1 million of reimbursable capital, and investments at Crans-Montana, which we expect will include $3 million of maintenance capital expenditures and $2 million associated with integration activities at Crans-Montana. Including My Epic Gear premium fleet, fulfillment infrastructure capital, one-time investments, and investments at Crans-Montana, our total capital plan for calendar year 2024 is expected to be approximately $219 million to $224 million. Included in these estimated capital expenditures are approximately $117 million to $122 million of maintenance capital expenditures (excluding Crans-Montana), which are necessary to maintain appearance and level of service appropriate to our resorts. We currently plan to utilize cash on hand, borrowings available under our credit agreements and/or cash flow generated from future operations to provide the cash necessary to complete our capital plans.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i w:val="1"/>
          <w:iCs w:val="1"/>
          <w:u w:val="single" w:color="auto"/>
          <w:color w:val="auto"/>
        </w:rPr>
        <w:t>Acquisition of Crans-Montana</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On May 2, 2024, we acquired Crans-Montana for a purchase price of CHF 97.2 million ($106.8 million), after adjustments for certain agreed-upon items, which was funded with cash on hand.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Debt</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April 30, 2024, principal payments on the majority of our long-term debt ($2.1 billion of the total $2.8 billion debt outstanding as of April 30, 2024) are not due until fiscal year 2026 and beyond. As of both April 30, 2024 and 2023, total long-term debt, net (including long-term debt due within one year) was $2.8 billion. Net Debt (defined as long-term debt, net plus long-term debt due within one year less cash and cash equivalents) increased from $1.9 billion as of April 30, 2023 to $2.1 billion as of April 30, 2024. The increase was primarily associated with approximately $225 million of share repurchases during the last twelve months.</w:t>
      </w:r>
    </w:p>
    <w:p>
      <w:pPr>
        <w:spacing w:after="0" w:line="200" w:lineRule="exact"/>
        <w:rPr>
          <w:sz w:val="20"/>
          <w:szCs w:val="20"/>
          <w:color w:val="auto"/>
        </w:rPr>
      </w:pP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of April 30, 2024, the Vail Holdings Credit Agreement provides for (i) a revolving loan facility in an aggregate principal amount of $500.0 million and (ii) a term loan of $1.0 billion. We expect that our liquidity needs in the near term will be met by continued use of our existing cash and cash equivalents, operating cash flows and borrowings under both the Vail Holdings Credit Agreement and Whistler Credit Agreement, if needed.</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debt service requirements can be impacted by changing interest rates as we had approximately $0.6 billion of variable-rate debt outstanding as of April 30, 2024. A 100-basis point change in our borrowing rates would cause our annual interest payments to change by approximately $6.2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We can respond to liquidity impacts of changes in the business and economic environment by managing our capital expenditures, variable operating expenses, the timing of new real estate development activity and the payment of cash dividends on our common stock.</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May 8, 2024, we completed our offering of $600 million aggregate principal amount of 6.50% senior notes due 2032 at par (the “Notes”). The Notes are unsecured senior obligations of the Company and will be guaranteed by certain of our domestic subsidiaries (other than certain excluded subsidiaries). The net proceeds funded the redemption of all $600 million of our outstanding 6.25% Senior Notes due 2025 at a redemption price equal to 100% of their principal amount and all related fees and expenses. We will pay interest on the Notes on May 15 and November 15 of each year commencing on November 15, 2024. The Notes will mature on May 15, 2032. The Notes are redeemable, in whole or in part, at any time on or after May 15, 2027 at the redemption prices specified in a 2024 Indenture dated as of May 8, 2024 (the “2024 Indenture”) plus accrued and unpaid interest. Prior to May 15, 2027, we may redeem some or all of the Notes at a redemption price of 100% of the principal amount, plus accrued and unpaid interest, plus a “make-whole” premium as specified in the 2024 Indenture. In addition, prior to May 15, 2027, we may redeem up to 40% of the aggregate principal amount of the Notes with an amount not to exceed the net cash proceeds from certain equity offerings at the redemption price of 106.50% of the principal amount of the notes to be redeemed, plus accrued and unpaid interest. The Notes are senior unsecured obligations of the Company and rank equally in right of payment with existing and future senior indebtedness of the Company and the guarantors (as defined in the 2024 Indenture).</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2024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2024 Indenture). The 2024 Indenture does not contain any financial maintenance covenants. Certain of the covenants will not apply to the Notes so long as the Notes have investment grade ratings from two specified rating agencies and no event of default has occurred and is continuing under the 2024 Indenture. The 2024 Indenture includes customary events of default, including failure to make payment, failure to comply with the obligations set forth in the 2024 Indenture, certain defaults on certain other indebtedness, certain events of bankruptcy, insolvency or reorganization, and invalidity of the guarantees of the Notes issued pursuant to the 2024 Indenture.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Dividend Payments</w:t>
      </w:r>
    </w:p>
    <w:p>
      <w:pPr>
        <w:spacing w:after="0" w:line="16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June 5, 2024, the Company’s Board of Directors approved a cash dividend of $2.22 per share payable on July 10, 2024 to stockholders of record as of June 25, 2024. During the nine months ended April 30, 2024, we paid cash dividends of $6.34 per share ($240.5 million). During the nine months ended April 30, 2023, we paid cash dividends of $5.88 per share ($235.7 million). We funded these dividends with available cash on hand. The amount, if any, of dividends to be paid in the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7"/>
          <w:szCs w:val="17"/>
          <w:color w:val="auto"/>
        </w:rPr>
        <w:t>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Share Repurchase Program</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1,500,000 Vail Shares (December 4, 2015) and 2,500,000 Vail Shares (March 7, 2023), for a total authorization to repurchase up to 10,000,000 Vail Shares. During the nine months ended April 30, 2024, we repurchased 582,788 shares (at an average cost of $214.49) for a total cost of approximately $125.0 million, excluding accrued excise tax. We funded the share repurchases with available cash on hand. The Company repurchased 1,777,730 Vail Shares during the three and nine months ended April 30, 2023. Since inception of this stock repurchase program through April 30, 2024, we have repurchased 9,231,090 Vail Shares at a cost of approximately $1,104.5 million. As of April 30, 2024, 768,910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repurchase at prices that we believe are attractive. The share repurchase program has no expiration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Covenants and Limitations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Andermatt-Sedrun and the Canton of Uri and Canton of Graubünden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2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were in compliance with all restrictive financial covenants in our debt instruments as of April 30, 2024.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 BALANCE SHEET ARRANGEMENTS</w:t>
      </w:r>
    </w:p>
    <w:p>
      <w:pPr>
        <w:spacing w:after="0" w:line="2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We do not have off balance sheet transactions that are expected to have a material effect on our financial condition, revenue, expenses, results of operations, liquidity, capital expenditures or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significant changes to our critical accounting policies and estimates as reported in our Form 10-K for the fiscal year ended July 31, 2023.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Except for any historical information contained herein, the matters discussed or incorporated by reference in this Form 10-Q contain certain forward-looking statements within the meaning of the federal securities laws. These statements relate to analyses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7"/>
          <w:szCs w:val="17"/>
          <w:color w:val="auto"/>
        </w:rPr>
        <w:t>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92" w:lineRule="exact"/>
        <w:rPr>
          <w:sz w:val="20"/>
          <w:szCs w:val="20"/>
          <w:color w:val="auto"/>
        </w:rPr>
      </w:pPr>
    </w:p>
    <w:p>
      <w:pPr>
        <w:ind w:left="780" w:hanging="622"/>
        <w:spacing w:after="0" w:line="265" w:lineRule="auto"/>
        <w:tabs>
          <w:tab w:leader="none" w:pos="776"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economy generally, and our business and results of operations, including the ultimate amount of refunds that we would be required to refund to our pass product holders for qualifying circumstances under our Epic Coverage program;</w:t>
      </w:r>
    </w:p>
    <w:p>
      <w:pPr>
        <w:spacing w:after="0" w:line="1"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prolonged weakness in general economic conditions, including adverse effects on the overall travel and leisure related industries;</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associated with the effects of high or prolonged inflation, rising interest rates and financial institution disruptions;</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unfavorable weather conditions or the impact of natural disasters or other unexpected events;</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line="252" w:lineRule="auto"/>
        <w:tabs>
          <w:tab w:leader="none" w:pos="776"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willingness or ability of our guests to travel due to terrorism, the uncertainty of military conflicts or public health emergencies, and the cost and availability of travel options and changing consumer preferences, discretionary spending habits or willingness to travel;</w:t>
      </w:r>
    </w:p>
    <w:p>
      <w:pPr>
        <w:spacing w:after="0" w:line="1"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related to travel and airline disruptions, and other adverse impacts on the ability of our guests to travel;</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related to interruptions or disruptions of our information technology systems, data security or cyberattacks;</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line="252" w:lineRule="auto"/>
        <w:tabs>
          <w:tab w:leader="none" w:pos="77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risks related to our reliance on information technology, including our failure to maintain the integrity of our customer or employee data and our ability to adapt to technological developments or industry trends;</w:t>
      </w:r>
    </w:p>
    <w:p>
      <w:pPr>
        <w:spacing w:after="0" w:line="1" w:lineRule="exact"/>
        <w:rPr>
          <w:rFonts w:ascii="Times New Roman" w:cs="Times New Roman" w:eastAsia="Times New Roman" w:hAnsi="Times New Roman"/>
          <w:sz w:val="17"/>
          <w:szCs w:val="17"/>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acquire, develop and implement relevant technology offerings for customers and partners;</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seasonality of our business combined with adverse events that may occur during our peak operating periods;</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competition in our mountain and lodging businesses or with other recreational and leisure activities;</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related to the high fixed cost structure of our business;</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fund resort capital expenditures;</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related to a disruption in our water supply that would impact our snowmaking capabilities and operations;</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reliance on government permits or approvals for our use of public land or to make operational and capital improvements;</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line="252" w:lineRule="auto"/>
        <w:tabs>
          <w:tab w:leader="none" w:pos="776"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related to federal, state, local and foreign government laws, rules and regulations, including environmental and health and safety laws and regulations;</w:t>
      </w:r>
    </w:p>
    <w:p>
      <w:pPr>
        <w:spacing w:after="0" w:line="1" w:lineRule="exact"/>
        <w:rPr>
          <w:rFonts w:ascii="Times New Roman" w:cs="Times New Roman" w:eastAsia="Times New Roman" w:hAnsi="Times New Roman"/>
          <w:sz w:val="17"/>
          <w:szCs w:val="17"/>
          <w:i w:val="1"/>
          <w:iCs w:val="1"/>
          <w:color w:val="auto"/>
        </w:rPr>
      </w:pPr>
    </w:p>
    <w:p>
      <w:pPr>
        <w:ind w:left="780" w:hanging="622"/>
        <w:spacing w:after="0" w:line="252" w:lineRule="auto"/>
        <w:tabs>
          <w:tab w:leader="none" w:pos="776"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related to changes in security and privacy laws and regulations which could increase our operating costs and adversely affect our ability to market our products, properties and services effectively;</w:t>
      </w:r>
    </w:p>
    <w:p>
      <w:pPr>
        <w:spacing w:after="0" w:line="1"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potential failure to adapt to technological developments or industry trends regarding information technology;</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successfully launch and promote adoption of new products, technology, services and programs;</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line="252" w:lineRule="auto"/>
        <w:tabs>
          <w:tab w:leader="none" w:pos="776"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related to our workforce, including increased labor costs, loss of key personnel and our ability to maintain adequate staffing, including hiring and retaining a sufficient seasonal workforce;</w:t>
      </w:r>
    </w:p>
    <w:p>
      <w:pPr>
        <w:spacing w:after="0" w:line="1" w:lineRule="exact"/>
        <w:rPr>
          <w:rFonts w:ascii="Times New Roman" w:cs="Times New Roman" w:eastAsia="Times New Roman" w:hAnsi="Times New Roman"/>
          <w:sz w:val="17"/>
          <w:szCs w:val="17"/>
          <w:i w:val="1"/>
          <w:iCs w:val="1"/>
          <w:color w:val="auto"/>
        </w:rPr>
      </w:pPr>
    </w:p>
    <w:p>
      <w:pPr>
        <w:ind w:left="780" w:hanging="622"/>
        <w:spacing w:after="0" w:line="252" w:lineRule="auto"/>
        <w:tabs>
          <w:tab w:leader="none" w:pos="776"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 deterioration in the quality or reputation of our brands, including our ability to protect our intellectual property and the risk of accidents at our mountain resorts;</w:t>
      </w:r>
    </w:p>
    <w:p>
      <w:pPr>
        <w:spacing w:after="0" w:line="1"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related to scrutiny and changing expectations regarding our environmental, social and governance practices and reporting;</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line="252" w:lineRule="auto"/>
        <w:tabs>
          <w:tab w:leader="none" w:pos="776"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w:t>
      </w:r>
    </w:p>
    <w:p>
      <w:pPr>
        <w:spacing w:after="0" w:line="1"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associated with international operations;</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line="252" w:lineRule="auto"/>
        <w:tabs>
          <w:tab w:leader="none" w:pos="776"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fluctuations in foreign currency exchange rates where the Company has foreign currency exposure, primarily the Canadian and Australian dollars and the Swiss franc, as compared to the U.S. dollar;</w:t>
      </w:r>
    </w:p>
    <w:p>
      <w:pPr>
        <w:spacing w:after="0" w:line="1"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in tax laws, regulations or interpretations, or adverse determinations by taxing authorities;</w:t>
      </w:r>
    </w:p>
    <w:p>
      <w:pPr>
        <w:spacing w:after="0" w:line="10" w:lineRule="exact"/>
        <w:rPr>
          <w:rFonts w:ascii="Times New Roman" w:cs="Times New Roman" w:eastAsia="Times New Roman" w:hAnsi="Times New Roman"/>
          <w:sz w:val="17"/>
          <w:szCs w:val="17"/>
          <w:i w:val="1"/>
          <w:iCs w:val="1"/>
          <w:color w:val="auto"/>
        </w:rPr>
      </w:pPr>
    </w:p>
    <w:p>
      <w:pPr>
        <w:jc w:val="both"/>
        <w:ind w:left="780" w:hanging="622"/>
        <w:spacing w:after="0" w:line="265" w:lineRule="auto"/>
        <w:tabs>
          <w:tab w:leader="none" w:pos="776"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186"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 materially adverse change in our financial condition;</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adverse consequences of current or future litigation and legal claims;</w:t>
      </w:r>
    </w:p>
    <w:p>
      <w:pPr>
        <w:spacing w:after="0" w:line="10" w:lineRule="exact"/>
        <w:rPr>
          <w:rFonts w:ascii="Times New Roman" w:cs="Times New Roman" w:eastAsia="Times New Roman" w:hAnsi="Times New Roman"/>
          <w:sz w:val="17"/>
          <w:szCs w:val="17"/>
          <w:i w:val="1"/>
          <w:iCs w:val="1"/>
          <w:color w:val="auto"/>
        </w:rPr>
      </w:pPr>
    </w:p>
    <w:p>
      <w:pPr>
        <w:ind w:left="780" w:hanging="622"/>
        <w:spacing w:after="0"/>
        <w:tabs>
          <w:tab w:leader="none" w:pos="78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in accounting judgments and estimates, accounting principles, policies or guidelines; and</w:t>
      </w:r>
    </w:p>
    <w:p>
      <w:pPr>
        <w:spacing w:after="0" w:line="10" w:lineRule="exact"/>
        <w:rPr>
          <w:rFonts w:ascii="Times New Roman" w:cs="Times New Roman" w:eastAsia="Times New Roman" w:hAnsi="Times New Roman"/>
          <w:sz w:val="17"/>
          <w:szCs w:val="17"/>
          <w:i w:val="1"/>
          <w:iCs w:val="1"/>
          <w:color w:val="auto"/>
        </w:rPr>
      </w:pPr>
    </w:p>
    <w:p>
      <w:pPr>
        <w:ind w:left="780" w:right="340" w:hanging="622"/>
        <w:spacing w:after="0" w:line="250" w:lineRule="auto"/>
        <w:tabs>
          <w:tab w:leader="none" w:pos="77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risks and uncertainties included under Part 1. Item 1A. “Risk Factors” of our Annual Report on Form 10-K for the fiscal year ended July 31, 2023.</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All forward-looking statements attributable to us or any persons acting on our behalf are expressly qualified in their entirety by these cautionary statements.</w:t>
      </w:r>
    </w:p>
    <w:p>
      <w:pPr>
        <w:spacing w:after="0" w:line="2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Interest Rate Risk. </w:t>
      </w:r>
      <w:r>
        <w:rPr>
          <w:rFonts w:ascii="Times New Roman" w:cs="Times New Roman" w:eastAsia="Times New Roman" w:hAnsi="Times New Roman"/>
          <w:sz w:val="17"/>
          <w:szCs w:val="17"/>
          <w:color w:val="auto"/>
        </w:rPr>
        <w:t>Our exposure to market risk is limited primarily to the fluctuating interest rates associated with variable rate indebtedness. As of April 30,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had approximately $0.6 billion of variable rate indebtedness (after taking into consideration $400.0 million in interest rate swaps which converts variable-rate debt to fixed-rate debt), representing approximately 22.4% of our total debt outstanding, at an average interest rate during the three and nine months ended April 30, 2024 of approximately 6.7% and 6.9%, respectively. Based on variable-rate borrowings outstanding as of April 30, 2024, a 100-basis point (or 1.0%) change in our borrowing rates would result in our annual interest payments changing by approximately $6.2 million. Our market risk exposure fluctuates based on changes in underlying interest rates.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Foreign Currency Exchange Rate Risk. </w:t>
      </w:r>
      <w:r>
        <w:rPr>
          <w:rFonts w:ascii="Times New Roman" w:cs="Times New Roman" w:eastAsia="Times New Roman" w:hAnsi="Times New Roman"/>
          <w:sz w:val="17"/>
          <w:szCs w:val="17"/>
          <w:color w:val="auto"/>
        </w:rPr>
        <w:t>We are exposed to currency translation risk because the results of our international entities are reported in local currency,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we then translate to U.S. dollars for inclusion in our Consolidated Condensed Financial Statements. As a result, changes between the foreign exchange rates, in particular the Canadian dollar, Australian dollar and Swiss franc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are reported in Canadian dollars, the results of our Australian resorts are reported in Australian dollars and the results of Andermatt-Sedrun are reported in Swiss francs, each of which we then translate to U.S. dollars for inclusion in our Consolidated Condensed Financial Statements. We do not currently enter into hedging arrangements to minimize the impact of foreign currency fluctuations on our operations.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following table summarizes the amounts of foreign currency translation adjustments, representing losses, and foreign currency loss on intercompany loans recognized in comprehensive income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2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640" w:type="dxa"/>
            <w:vAlign w:val="bottom"/>
          </w:tcPr>
          <w:p>
            <w:pPr>
              <w:spacing w:after="0"/>
              <w:rPr>
                <w:sz w:val="15"/>
                <w:szCs w:val="15"/>
                <w:color w:val="auto"/>
              </w:rPr>
            </w:pPr>
          </w:p>
        </w:tc>
      </w:tr>
      <w:tr>
        <w:trPr>
          <w:trHeight w:val="22"/>
        </w:trPr>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1"/>
        </w:trPr>
        <w:tc>
          <w:tcPr>
            <w:tcW w:w="78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r>
      <w:tr>
        <w:trPr>
          <w:trHeight w:val="21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(71,946)</w:t>
            </w:r>
          </w:p>
        </w:tc>
        <w:tc>
          <w:tcPr>
            <w:tcW w:w="106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(71,973)</w:t>
            </w:r>
          </w:p>
        </w:tc>
      </w:tr>
      <w:tr>
        <w:trPr>
          <w:trHeight w:val="21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Foreign currency loss on intercompany loans</w:t>
            </w:r>
          </w:p>
        </w:tc>
        <w:tc>
          <w:tcPr>
            <w:tcW w:w="100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(4,230)</w:t>
            </w:r>
          </w:p>
        </w:tc>
        <w:tc>
          <w:tcPr>
            <w:tcW w:w="10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(5,563)</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Management of the Company, under the supervision and with participation of the Chief Executive Officer (the “CEO”) and Chief Financial Officer (the “CFO”), evaluated the effectiveness of the Company’s “disclosure controls and procedures” as such term is defined in Rule 13a-15(e) and 15d-15(e) under the Securities Exchange Act of 1934, as amended (the “Act”), as of the end of the period covered by this Quarterly Report on Form 10-Q.</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Based upon their evaluation of the Company’s disclosure controls and procedures, the CEO and the CFO concluded that, as of the end of the period covered by this Quarterly Report on Form 10-Q, the disclosure controls and procedures are effective to provide reasonable assurance that information required to be disclosed by the Company in the reports that it files or submits under the Act is accumulated and communicated to management, including the CEO and the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7"/>
          <w:szCs w:val="17"/>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Controls over Financial Reporting</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There were no changes in the Company’s internal control over financial reporting that occurred during the three months ended April 30, 2024 that have materially affected, or are reasonably likely to materially affect, the Company’s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There have been no material changes to the risk factors we previously disclosed in our Form 10-K, which was filed on September 28, 2023 as of and for the year ended July 31,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Repurchase of Equity Securities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our purchases of Vail Shares during the third quarter of fiscal 2024:</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Maximum Number of</w:t>
            </w:r>
          </w:p>
        </w:tc>
        <w:tc>
          <w:tcPr>
            <w:tcW w:w="0" w:type="dxa"/>
            <w:vAlign w:val="bottom"/>
          </w:tcPr>
          <w:p>
            <w:pPr>
              <w:spacing w:after="0"/>
              <w:rPr>
                <w:sz w:val="1"/>
                <w:szCs w:val="1"/>
                <w:color w:val="auto"/>
              </w:rPr>
            </w:pPr>
          </w:p>
        </w:tc>
      </w:tr>
      <w:tr>
        <w:trPr>
          <w:trHeight w:val="140"/>
        </w:trPr>
        <w:tc>
          <w:tcPr>
            <w:tcW w:w="370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60" w:type="dxa"/>
            <w:vAlign w:val="bottom"/>
            <w:gridSpan w:val="2"/>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Purchased as Part of</w:t>
            </w:r>
          </w:p>
        </w:tc>
        <w:tc>
          <w:tcPr>
            <w:tcW w:w="16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Shares that May Yet Be</w:t>
            </w:r>
          </w:p>
        </w:tc>
        <w:tc>
          <w:tcPr>
            <w:tcW w:w="0" w:type="dxa"/>
            <w:vAlign w:val="bottom"/>
          </w:tcPr>
          <w:p>
            <w:pPr>
              <w:spacing w:after="0"/>
              <w:rPr>
                <w:sz w:val="1"/>
                <w:szCs w:val="1"/>
                <w:color w:val="auto"/>
              </w:rPr>
            </w:pPr>
          </w:p>
        </w:tc>
      </w:tr>
      <w:tr>
        <w:trPr>
          <w:trHeight w:val="142"/>
        </w:trPr>
        <w:tc>
          <w:tcPr>
            <w:tcW w:w="370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00" w:type="dxa"/>
            <w:vAlign w:val="bottom"/>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Publicly Announced</w:t>
            </w:r>
          </w:p>
        </w:tc>
        <w:tc>
          <w:tcPr>
            <w:tcW w:w="1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Purchased Under the</w:t>
            </w:r>
          </w:p>
        </w:tc>
        <w:tc>
          <w:tcPr>
            <w:tcW w:w="0" w:type="dxa"/>
            <w:vAlign w:val="bottom"/>
          </w:tcPr>
          <w:p>
            <w:pPr>
              <w:spacing w:after="0"/>
              <w:rPr>
                <w:sz w:val="1"/>
                <w:szCs w:val="1"/>
                <w:color w:val="auto"/>
              </w:rPr>
            </w:pPr>
          </w:p>
        </w:tc>
      </w:tr>
      <w:tr>
        <w:trPr>
          <w:trHeight w:val="188"/>
        </w:trPr>
        <w:tc>
          <w:tcPr>
            <w:tcW w:w="3700" w:type="dxa"/>
            <w:vAlign w:val="bottom"/>
            <w:tcBorders>
              <w:bottom w:val="single" w:sz="8" w:color="auto"/>
            </w:tcBorders>
            <w:vMerge w:val="continue"/>
          </w:tcPr>
          <w:p>
            <w:pPr>
              <w:spacing w:after="0"/>
              <w:rPr>
                <w:sz w:val="16"/>
                <w:szCs w:val="16"/>
                <w:color w:val="auto"/>
              </w:rPr>
            </w:pPr>
          </w:p>
        </w:tc>
        <w:tc>
          <w:tcPr>
            <w:tcW w:w="26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Plans or Programs (1)</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Plans or Programs (1)</w:t>
            </w: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1, 2024 - February 29, 2024</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1,114,642</w:t>
            </w:r>
          </w:p>
        </w:tc>
        <w:tc>
          <w:tcPr>
            <w:tcW w:w="0" w:type="dxa"/>
            <w:vAlign w:val="bottom"/>
          </w:tcPr>
          <w:p>
            <w:pPr>
              <w:spacing w:after="0"/>
              <w:rPr>
                <w:sz w:val="1"/>
                <w:szCs w:val="1"/>
                <w:color w:val="auto"/>
              </w:rPr>
            </w:pPr>
          </w:p>
        </w:tc>
      </w:tr>
      <w:tr>
        <w:trPr>
          <w:trHeight w:val="219"/>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1, 2024 - March 31, 2024</w:t>
            </w:r>
          </w:p>
        </w:tc>
        <w:tc>
          <w:tcPr>
            <w:tcW w:w="2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224,374</w:t>
            </w:r>
          </w:p>
        </w:tc>
        <w:tc>
          <w:tcPr>
            <w:tcW w:w="420" w:type="dxa"/>
            <w:vAlign w:val="bottom"/>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222.84</w:t>
            </w:r>
          </w:p>
        </w:tc>
        <w:tc>
          <w:tcPr>
            <w:tcW w:w="1660" w:type="dxa"/>
            <w:vAlign w:val="bottom"/>
          </w:tcPr>
          <w:p>
            <w:pPr>
              <w:jc w:val="right"/>
              <w:ind w:right="83"/>
              <w:spacing w:after="0"/>
              <w:rPr>
                <w:sz w:val="20"/>
                <w:szCs w:val="20"/>
                <w:color w:val="auto"/>
              </w:rPr>
            </w:pPr>
            <w:r>
              <w:rPr>
                <w:rFonts w:ascii="Times New Roman" w:cs="Times New Roman" w:eastAsia="Times New Roman" w:hAnsi="Times New Roman"/>
                <w:sz w:val="17"/>
                <w:szCs w:val="17"/>
                <w:color w:val="auto"/>
              </w:rPr>
              <w:t>224,374</w:t>
            </w: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890,268</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1, 2024 - April 30, 2024</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121,358</w:t>
            </w:r>
          </w:p>
        </w:tc>
        <w:tc>
          <w:tcPr>
            <w:tcW w:w="4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206.00</w:t>
            </w:r>
          </w:p>
        </w:tc>
        <w:tc>
          <w:tcPr>
            <w:tcW w:w="16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121,358</w:t>
            </w: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768,910</w:t>
            </w:r>
          </w:p>
        </w:tc>
        <w:tc>
          <w:tcPr>
            <w:tcW w:w="0" w:type="dxa"/>
            <w:vAlign w:val="bottom"/>
          </w:tcPr>
          <w:p>
            <w:pPr>
              <w:spacing w:after="0"/>
              <w:rPr>
                <w:sz w:val="1"/>
                <w:szCs w:val="1"/>
                <w:color w:val="auto"/>
              </w:rPr>
            </w:pPr>
          </w:p>
        </w:tc>
      </w:tr>
      <w:tr>
        <w:trPr>
          <w:trHeight w:val="212"/>
        </w:trPr>
        <w:tc>
          <w:tcPr>
            <w:tcW w:w="3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345,732</w:t>
            </w:r>
          </w:p>
        </w:tc>
        <w:tc>
          <w:tcPr>
            <w:tcW w:w="4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216.93</w:t>
            </w:r>
          </w:p>
        </w:tc>
        <w:tc>
          <w:tcPr>
            <w:tcW w:w="16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7"/>
                <w:szCs w:val="17"/>
                <w:color w:val="auto"/>
              </w:rPr>
              <w:t>345,732</w:t>
            </w:r>
          </w:p>
        </w:tc>
        <w:tc>
          <w:tcPr>
            <w:tcW w:w="1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768,910</w:t>
            </w:r>
          </w:p>
        </w:tc>
        <w:tc>
          <w:tcPr>
            <w:tcW w:w="0" w:type="dxa"/>
            <w:vAlign w:val="bottom"/>
          </w:tcPr>
          <w:p>
            <w:pPr>
              <w:spacing w:after="0"/>
              <w:rPr>
                <w:sz w:val="1"/>
                <w:szCs w:val="1"/>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520" w:right="100" w:hanging="416"/>
        <w:spacing w:after="0"/>
        <w:tabs>
          <w:tab w:leader="none" w:pos="5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 repurchase program is conducted under authorizations made from time to time by our Board of Directors. The Board of Directors initially authorized the repurchase of up to 3,000,000 Vail Shares (March 9, 2006), and later authorized additional repurchases of up to 3,000,000 Vail Shares (July 16, 2008), 1,500,000 Vail Shares (December 4, 2015) and 2,500,000 Vail Shares (March 7, 2023), for a total authorization to repurchase up to 10,000,000 Vail Shares. As of April 30, 2024, 768,910 Vail Shares remained available to repurchase under the existing repurchase authorization. Repurchases under these authorizations may be made from time to time at prevailing prices as permitted by applicable laws, including under plans complying with Rule 10b5-1 under the Securities Exchange Act of 1934, as amended, and subject to market conditions and other factors. These authorizations have no expiration date.</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and Officer Rule 10b5-1 Trading Arrangements</w:t>
      </w:r>
    </w:p>
    <w:p>
      <w:pPr>
        <w:spacing w:after="0" w:line="11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7"/>
          <w:szCs w:val="17"/>
          <w:color w:val="auto"/>
        </w:rPr>
        <w:t>During the three months ended April 30, 2024, none of the Company’s directors or “officers” (as defined in Rule 16a-1(f) under the Exchange Act) adopted, modified or terminated “Rule 10b5-1 trading arrangements” or “non-Rule 10b5-1 trading arrangements” (each as defined in Item 408 of Regulation 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0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13"/>
                <w:szCs w:val="13"/>
                <w:color w:val="auto"/>
              </w:rPr>
            </w:pPr>
          </w:p>
        </w:tc>
        <w:tc>
          <w:tcPr>
            <w:tcW w:w="9180" w:type="dxa"/>
            <w:vAlign w:val="bottom"/>
            <w:gridSpan w:val="4"/>
            <w:vMerge w:val="restart"/>
          </w:tcPr>
          <w:p>
            <w:pPr>
              <w:ind w:left="4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5"/>
                <w:szCs w:val="15"/>
                <w:color w:val="auto"/>
              </w:rPr>
            </w:pPr>
          </w:p>
        </w:tc>
        <w:tc>
          <w:tcPr>
            <w:tcW w:w="91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97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Ninth Amended and Restated Credit Agreement, dated April 24, 2024 among Vail Holdings, Inc., as borrower, Bank of America, N.A. as</w:t>
            </w:r>
          </w:p>
        </w:tc>
        <w:tc>
          <w:tcPr>
            <w:tcW w:w="0" w:type="dxa"/>
            <w:vAlign w:val="bottom"/>
          </w:tcPr>
          <w:p>
            <w:pPr>
              <w:spacing w:after="0"/>
              <w:rPr>
                <w:sz w:val="1"/>
                <w:szCs w:val="1"/>
                <w:color w:val="auto"/>
              </w:rPr>
            </w:pPr>
          </w:p>
        </w:tc>
      </w:tr>
      <w:tr>
        <w:trPr>
          <w:trHeight w:val="160"/>
        </w:trPr>
        <w:tc>
          <w:tcPr>
            <w:tcW w:w="132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4"/>
          </w:tcPr>
          <w:p>
            <w:pPr>
              <w:spacing w:after="0" w:line="160" w:lineRule="exact"/>
              <w:rPr>
                <w:sz w:val="20"/>
                <w:szCs w:val="20"/>
                <w:color w:val="auto"/>
              </w:rPr>
            </w:pPr>
            <w:r>
              <w:rPr>
                <w:rFonts w:ascii="Times New Roman" w:cs="Times New Roman" w:eastAsia="Times New Roman" w:hAnsi="Times New Roman"/>
                <w:sz w:val="17"/>
                <w:szCs w:val="17"/>
                <w:color w:val="0000FF"/>
              </w:rPr>
              <w:t>administrative agent, U.S. Bank National Association and Wells Fargo, National Association as co-syndication Agents, and the Lenders</w:t>
            </w:r>
          </w:p>
        </w:tc>
        <w:tc>
          <w:tcPr>
            <w:tcW w:w="280" w:type="dxa"/>
            <w:vAlign w:val="bottom"/>
            <w:tcBorders>
              <w:bottom w:val="single" w:sz="8" w:color="0000FF"/>
            </w:tcBorders>
          </w:tcPr>
          <w:p>
            <w:pPr>
              <w:spacing w:after="0" w:line="160" w:lineRule="exact"/>
              <w:rPr>
                <w:sz w:val="20"/>
                <w:szCs w:val="20"/>
                <w:color w:val="auto"/>
              </w:rPr>
            </w:pPr>
            <w:r>
              <w:rPr>
                <w:rFonts w:ascii="Times New Roman" w:cs="Times New Roman" w:eastAsia="Times New Roman" w:hAnsi="Times New Roman"/>
                <w:sz w:val="17"/>
                <w:szCs w:val="17"/>
                <w:color w:val="0000FF"/>
                <w:w w:val="74"/>
              </w:rPr>
              <w:t>party</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520" w:type="dxa"/>
            <w:vAlign w:val="bottom"/>
            <w:tcBorders>
              <w:bottom w:val="single" w:sz="8" w:color="0000FF"/>
            </w:tcBorders>
          </w:tcPr>
          <w:p>
            <w:pPr>
              <w:spacing w:after="0" w:line="147" w:lineRule="exact"/>
              <w:rPr>
                <w:sz w:val="20"/>
                <w:szCs w:val="20"/>
                <w:color w:val="auto"/>
              </w:rPr>
            </w:pPr>
            <w:r>
              <w:rPr>
                <w:rFonts w:ascii="Times New Roman" w:cs="Times New Roman" w:eastAsia="Times New Roman" w:hAnsi="Times New Roman"/>
                <w:sz w:val="17"/>
                <w:szCs w:val="17"/>
                <w:color w:val="0000FF"/>
                <w:w w:val="97"/>
              </w:rPr>
              <w:t>thereto.</w:t>
            </w:r>
          </w:p>
        </w:tc>
        <w:tc>
          <w:tcPr>
            <w:tcW w:w="91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97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68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Section 302 of the Sarbanes-Oxley Act of 2002.</w:t>
            </w:r>
          </w:p>
        </w:tc>
        <w:tc>
          <w:tcPr>
            <w:tcW w:w="40" w:type="dxa"/>
            <w:vAlign w:val="bottom"/>
            <w:tcBorders>
              <w:top w:val="single" w:sz="8" w:color="0000FF"/>
            </w:tcBorders>
          </w:tcPr>
          <w:p>
            <w:pPr>
              <w:spacing w:after="0"/>
              <w:rPr>
                <w:sz w:val="21"/>
                <w:szCs w:val="21"/>
                <w:color w:val="auto"/>
              </w:rPr>
            </w:pPr>
          </w:p>
        </w:tc>
        <w:tc>
          <w:tcPr>
            <w:tcW w:w="28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340" w:right="20" w:hanging="1320"/>
        <w:spacing w:after="0" w:line="255" w:lineRule="auto"/>
        <w:tabs>
          <w:tab w:leader="none" w:pos="1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Certifications of Chief Executive Officer and Chief Financial Officer pursuant to 18 U.S.C. Section 1350 as adopted pursuant to Section 906 of the Sarbanes-Oxley Act of 2002.</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10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XBRL Instance Document - the instance document does not appear in the interactive data file as its XBRL tags are embedded within the inline</w:t>
            </w:r>
          </w:p>
        </w:tc>
      </w:tr>
      <w:tr>
        <w:trPr>
          <w:trHeight w:val="223"/>
        </w:trPr>
        <w:tc>
          <w:tcPr>
            <w:tcW w:w="980" w:type="dxa"/>
            <w:vAlign w:val="bottom"/>
          </w:tcPr>
          <w:p>
            <w:pPr>
              <w:spacing w:after="0"/>
              <w:rPr>
                <w:sz w:val="19"/>
                <w:szCs w:val="19"/>
                <w:color w:val="auto"/>
              </w:rPr>
            </w:pPr>
          </w:p>
        </w:tc>
        <w:tc>
          <w:tcPr>
            <w:tcW w:w="10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XBRL document.</w:t>
            </w:r>
          </w:p>
        </w:tc>
      </w:tr>
      <w:tr>
        <w:trPr>
          <w:trHeight w:val="270"/>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10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XBRL Schema Document.</w:t>
            </w:r>
          </w:p>
        </w:tc>
      </w:tr>
      <w:tr>
        <w:trPr>
          <w:trHeight w:val="270"/>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10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XBRL Calculation Linkbase Document.</w:t>
            </w:r>
          </w:p>
        </w:tc>
      </w:tr>
      <w:tr>
        <w:trPr>
          <w:trHeight w:val="270"/>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10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XBRL Definition Linkbase Document.</w:t>
            </w:r>
          </w:p>
        </w:tc>
      </w:tr>
      <w:tr>
        <w:trPr>
          <w:trHeight w:val="270"/>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10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XBRL Label Linkbase Document.</w:t>
            </w:r>
          </w:p>
        </w:tc>
      </w:tr>
      <w:tr>
        <w:trPr>
          <w:trHeight w:val="270"/>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10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bl>
    <w:p>
      <w:pPr>
        <w:spacing w:after="0" w:line="47" w:lineRule="exact"/>
        <w:rPr>
          <w:sz w:val="20"/>
          <w:szCs w:val="20"/>
          <w:color w:val="auto"/>
        </w:rPr>
      </w:pPr>
    </w:p>
    <w:p>
      <w:pPr>
        <w:ind w:left="1340" w:hanging="1320"/>
        <w:spacing w:after="0"/>
        <w:tabs>
          <w:tab w:leader="none" w:pos="13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this Quarterly Report on Form 10-Q, formatted in inline XBRL.</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28"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3" w:name="page44"/>
    <w:bookmarkEnd w:id="43"/>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0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Vail Resorts, Inc.</w:t>
            </w:r>
          </w:p>
        </w:tc>
      </w:tr>
      <w:tr>
        <w:trPr>
          <w:trHeight w:val="476"/>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Date: June 6, 2024</w:t>
            </w:r>
          </w:p>
        </w:tc>
        <w:tc>
          <w:tcPr>
            <w:tcW w:w="264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Angela A. Korch</w:t>
            </w:r>
          </w:p>
        </w:tc>
      </w:tr>
      <w:tr>
        <w:trPr>
          <w:trHeight w:val="208"/>
        </w:trPr>
        <w:tc>
          <w:tcPr>
            <w:tcW w:w="3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Angela A. Korch</w:t>
            </w:r>
          </w:p>
        </w:tc>
      </w:tr>
      <w:tr>
        <w:trPr>
          <w:trHeight w:val="219"/>
        </w:trPr>
        <w:tc>
          <w:tcPr>
            <w:tcW w:w="3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23"/>
        </w:trPr>
        <w:tc>
          <w:tcPr>
            <w:tcW w:w="3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476"/>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Date: June 6, 2024</w:t>
            </w:r>
          </w:p>
        </w:tc>
        <w:tc>
          <w:tcPr>
            <w:tcW w:w="264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Nathan Gronberg</w:t>
            </w:r>
          </w:p>
        </w:tc>
      </w:tr>
      <w:tr>
        <w:trPr>
          <w:trHeight w:val="208"/>
        </w:trPr>
        <w:tc>
          <w:tcPr>
            <w:tcW w:w="3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Nathan Gronberg</w:t>
            </w:r>
          </w:p>
        </w:tc>
      </w:tr>
      <w:tr>
        <w:trPr>
          <w:trHeight w:val="171"/>
        </w:trPr>
        <w:tc>
          <w:tcPr>
            <w:tcW w:w="3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820" w:type="dxa"/>
            <w:vAlign w:val="bottom"/>
          </w:tcPr>
          <w:p>
            <w:pPr>
              <w:ind w:left="1340"/>
              <w:spacing w:after="0" w:line="171" w:lineRule="exact"/>
              <w:rPr>
                <w:sz w:val="20"/>
                <w:szCs w:val="20"/>
                <w:color w:val="auto"/>
              </w:rPr>
            </w:pPr>
            <w:r>
              <w:rPr>
                <w:rFonts w:ascii="Times New Roman" w:cs="Times New Roman" w:eastAsia="Times New Roman" w:hAnsi="Times New Roman"/>
                <w:sz w:val="17"/>
                <w:szCs w:val="17"/>
                <w:color w:val="auto"/>
              </w:rPr>
              <w:t>Vice President, Controller and</w:t>
            </w:r>
          </w:p>
        </w:tc>
      </w:tr>
      <w:tr>
        <w:trPr>
          <w:trHeight w:val="223"/>
        </w:trPr>
        <w:tc>
          <w:tcPr>
            <w:tcW w:w="3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Accounting Officer</w:t>
            </w:r>
          </w:p>
        </w:tc>
      </w:tr>
      <w:tr>
        <w:trPr>
          <w:trHeight w:val="228"/>
        </w:trPr>
        <w:tc>
          <w:tcPr>
            <w:tcW w:w="3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Accounting Officer)</w:t>
            </w:r>
          </w:p>
        </w:tc>
      </w:tr>
    </w:tbl>
    <w:p>
      <w:pPr>
        <w:sectPr>
          <w:pgSz w:w="11900" w:h="16838" w:orient="portrait"/>
          <w:cols w:equalWidth="0" w:num="1">
            <w:col w:w="10880"/>
          </w:cols>
          <w:pgMar w:left="320" w:top="119" w:right="6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80"/>
        <w:spacing w:after="0"/>
        <w:tabs>
          <w:tab w:leader="none" w:pos="8580" w:val="left"/>
        </w:tabs>
        <w:rPr>
          <w:sz w:val="20"/>
          <w:szCs w:val="20"/>
          <w:color w:val="auto"/>
        </w:rPr>
      </w:pPr>
      <w:r>
        <w:rPr>
          <w:rFonts w:ascii="Times New Roman" w:cs="Times New Roman" w:eastAsia="Times New Roman" w:hAnsi="Times New Roman"/>
          <w:sz w:val="17"/>
          <w:szCs w:val="17"/>
          <w:b w:val="1"/>
          <w:bCs w:val="1"/>
          <w:color w:val="auto"/>
        </w:rPr>
        <w:t>FCUSIP NUMBERS:</w:t>
      </w:r>
      <w:r>
        <w:rPr>
          <w:sz w:val="20"/>
          <w:szCs w:val="20"/>
          <w:color w:val="auto"/>
        </w:rPr>
        <w:tab/>
      </w:r>
      <w:r>
        <w:rPr>
          <w:rFonts w:ascii="Times New Roman" w:cs="Times New Roman" w:eastAsia="Times New Roman" w:hAnsi="Times New Roman"/>
          <w:sz w:val="17"/>
          <w:szCs w:val="17"/>
          <w:b w:val="1"/>
          <w:bCs w:val="1"/>
          <w:color w:val="auto"/>
        </w:rPr>
        <w:t>91879UAH3 (DEAL)</w:t>
      </w:r>
    </w:p>
    <w:p>
      <w:pPr>
        <w:spacing w:after="0" w:line="3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91879UAJ9 (REVOLVER)</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91879UAK6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366395</wp:posOffset>
            </wp:positionV>
            <wp:extent cx="713867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440055</wp:posOffset>
            </wp:positionV>
            <wp:extent cx="7138670"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NINTH AMENDED AND RESTATED CREDIT AGREEMENT</w:t>
      </w:r>
    </w:p>
    <w:p>
      <w:pPr>
        <w:spacing w:after="0" w:line="29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color w:val="auto"/>
        </w:rPr>
        <w:t>Dated as of April 24, 2024</w:t>
      </w:r>
    </w:p>
    <w:p>
      <w:pPr>
        <w:spacing w:after="0" w:line="200" w:lineRule="exact"/>
        <w:rPr>
          <w:sz w:val="20"/>
          <w:szCs w:val="20"/>
          <w:color w:val="auto"/>
        </w:rPr>
      </w:pPr>
    </w:p>
    <w:p>
      <w:pPr>
        <w:spacing w:after="0" w:line="3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among</w:t>
      </w:r>
    </w:p>
    <w:p>
      <w:pPr>
        <w:spacing w:after="0" w:line="28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VAIL HOLDINGS,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Borrower</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BANK OF AMERICA, N.A.</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21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9"/>
          <w:szCs w:val="19"/>
          <w:b w:val="1"/>
          <w:bCs w:val="1"/>
          <w:color w:val="auto"/>
        </w:rPr>
        <w:t>U.S. BANK NATIONAL ASSOCIATION</w:t>
      </w:r>
    </w:p>
    <w:p>
      <w:pPr>
        <w:spacing w:after="0" w:line="3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and</w:t>
      </w:r>
    </w:p>
    <w:p>
      <w:pPr>
        <w:spacing w:after="0" w:line="1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b w:val="1"/>
          <w:bCs w:val="1"/>
          <w:color w:val="auto"/>
        </w:rPr>
        <w:t>WELLS FARGO BANK, NATIONAL ASSOCIATION</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Co-Syndication Agents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and</w:t>
      </w:r>
    </w:p>
    <w:p>
      <w:pPr>
        <w:spacing w:after="0" w:line="23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414020</wp:posOffset>
            </wp:positionV>
            <wp:extent cx="7138670"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487680</wp:posOffset>
            </wp:positionV>
            <wp:extent cx="7138670"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BOFA SECURITIES, INC.</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U.S. BANK NATIONAL ASSOCIATION,</w:t>
      </w:r>
    </w:p>
    <w:p>
      <w:pPr>
        <w:spacing w:after="0" w:line="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and</w:t>
      </w:r>
    </w:p>
    <w:p>
      <w:pPr>
        <w:spacing w:after="0" w:line="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WELLS FARGO SECURITIES, LLC</w:t>
      </w:r>
    </w:p>
    <w:p>
      <w:pPr>
        <w:spacing w:after="0" w:line="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Joint Lead Arrangers and Joint Bookrunners</w:t>
      </w:r>
    </w:p>
    <w:p>
      <w:pPr>
        <w:sectPr>
          <w:pgSz w:w="11900" w:h="16838" w:orient="portrait"/>
          <w:cols w:equalWidth="0" w:num="1">
            <w:col w:w="10120"/>
          </w:cols>
          <w:pgMar w:left="1440" w:top="114" w:right="339" w:bottom="1440" w:gutter="0" w:footer="0" w:header="0"/>
        </w:sectPr>
      </w:pPr>
    </w:p>
    <w:bookmarkStart w:id="45" w:name="page46"/>
    <w:bookmarkEnd w:id="45"/>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521"/>
        </w:trPr>
        <w:tc>
          <w:tcPr>
            <w:tcW w:w="1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487"/>
        </w:trPr>
        <w:tc>
          <w:tcPr>
            <w:tcW w:w="876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SECTION 1  DEFINITIONS AND TERMS.</w:t>
            </w:r>
          </w:p>
        </w:tc>
        <w:tc>
          <w:tcPr>
            <w:tcW w:w="1460" w:type="dxa"/>
            <w:vAlign w:val="bottom"/>
          </w:tcPr>
          <w:p>
            <w:pPr>
              <w:spacing w:after="0"/>
              <w:rPr>
                <w:sz w:val="24"/>
                <w:szCs w:val="24"/>
                <w:color w:val="auto"/>
              </w:rPr>
            </w:pPr>
          </w:p>
        </w:tc>
        <w:tc>
          <w:tcPr>
            <w:tcW w:w="380" w:type="dxa"/>
            <w:vAlign w:val="bottom"/>
            <w:tcBorders>
              <w:top w:val="single" w:sz="8" w:color="auto"/>
            </w:tcBorders>
          </w:tcPr>
          <w:p>
            <w:pPr>
              <w:jc w:val="right"/>
              <w:ind w:right="126"/>
              <w:spacing w:after="0"/>
              <w:rPr>
                <w:sz w:val="20"/>
                <w:szCs w:val="20"/>
                <w:color w:val="auto"/>
              </w:rPr>
            </w:pPr>
            <w:r>
              <w:rPr>
                <w:rFonts w:ascii="Times New Roman" w:cs="Times New Roman" w:eastAsia="Times New Roman" w:hAnsi="Times New Roman"/>
                <w:sz w:val="19"/>
                <w:szCs w:val="19"/>
                <w:b w:val="1"/>
                <w:bCs w:val="1"/>
                <w:color w:val="auto"/>
              </w:rPr>
              <w:t>1</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1.1</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Definitions.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1</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1.2</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Number and Gender of Words.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36</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1.3</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Accounting Principles.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36</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1.4</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Rounding.</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37</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1.5</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References to Agreements and Laws.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37</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1.6</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Times of Day.</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38</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1.7</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L/C Amounts.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38</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1.8</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Whistler Acquisition Subsidiaries and Peak Acquisition Subsidiaries.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38</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1.9</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Rates; Currency Equivalents.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38</w:t>
            </w:r>
          </w:p>
        </w:tc>
      </w:tr>
      <w:tr>
        <w:trPr>
          <w:trHeight w:val="241"/>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1.10</w:t>
            </w: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Interest Rates.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38</w:t>
            </w:r>
          </w:p>
        </w:tc>
      </w:tr>
      <w:tr>
        <w:trPr>
          <w:trHeight w:val="248"/>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SECTION 2</w:t>
            </w:r>
          </w:p>
        </w:tc>
        <w:tc>
          <w:tcPr>
            <w:tcW w:w="7740" w:type="dxa"/>
            <w:vAlign w:val="bottom"/>
            <w:gridSpan w:val="3"/>
          </w:tcPr>
          <w:p>
            <w:pPr>
              <w:ind w:left="160"/>
              <w:spacing w:after="0"/>
              <w:rPr>
                <w:sz w:val="20"/>
                <w:szCs w:val="20"/>
                <w:color w:val="auto"/>
              </w:rPr>
            </w:pPr>
            <w:r>
              <w:rPr>
                <w:rFonts w:ascii="Times New Roman" w:cs="Times New Roman" w:eastAsia="Times New Roman" w:hAnsi="Times New Roman"/>
                <w:sz w:val="19"/>
                <w:szCs w:val="19"/>
                <w:b w:val="1"/>
                <w:bCs w:val="1"/>
                <w:color w:val="auto"/>
              </w:rPr>
              <w:t>COMMITMENT.</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b w:val="1"/>
                <w:bCs w:val="1"/>
                <w:color w:val="auto"/>
              </w:rPr>
              <w:t>39</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2.1</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Credit Facility.</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39</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2.2</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Loan Procedure.</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39</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2.3</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L/C Subfacility.</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42</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2.4</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[Reserved].</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53</w:t>
            </w:r>
          </w:p>
        </w:tc>
      </w:tr>
      <w:tr>
        <w:trPr>
          <w:trHeight w:val="241"/>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2.5</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Increase in Revolver Commitments; Incremental Term Loan Facility.</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53</w:t>
            </w:r>
          </w:p>
        </w:tc>
      </w:tr>
      <w:tr>
        <w:trPr>
          <w:trHeight w:val="248"/>
        </w:trPr>
        <w:tc>
          <w:tcPr>
            <w:tcW w:w="876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SECTION 3  TERMS OF PAYMENT.</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b w:val="1"/>
                <w:bCs w:val="1"/>
                <w:color w:val="auto"/>
              </w:rPr>
              <w:t>55</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3.1</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Notes and Payments.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55</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3.2</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Interest and Principal Payments; Prepayments; Voluntary Commitment Reductions.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56</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3.3</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Interest Options.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58</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3.4</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Quotation of Rates.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58</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3.5</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Default Rate.</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58</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3.6</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Interest Recapture.</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58</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3.7</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Interest Calculations; Retroactive Adjustments of Applicable Margin.</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58</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3.8</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Maximum Rate.</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59</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3.9</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Interest Periods.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59</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3.10</w:t>
            </w: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Order of Application.</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59</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3.11</w:t>
            </w:r>
          </w:p>
        </w:tc>
        <w:tc>
          <w:tcPr>
            <w:tcW w:w="774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Payments Generally.</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60</w:t>
            </w:r>
          </w:p>
        </w:tc>
      </w:tr>
      <w:tr>
        <w:trPr>
          <w:trHeight w:val="245"/>
        </w:trPr>
        <w:tc>
          <w:tcPr>
            <w:tcW w:w="8760" w:type="dxa"/>
            <w:vAlign w:val="bottom"/>
            <w:gridSpan w:val="4"/>
          </w:tcPr>
          <w:p>
            <w:pPr>
              <w:ind w:left="620"/>
              <w:spacing w:after="0"/>
              <w:rPr>
                <w:sz w:val="20"/>
                <w:szCs w:val="20"/>
                <w:color w:val="auto"/>
              </w:rPr>
            </w:pPr>
            <w:r>
              <w:rPr>
                <w:rFonts w:ascii="Times New Roman" w:cs="Times New Roman" w:eastAsia="Times New Roman" w:hAnsi="Times New Roman"/>
                <w:sz w:val="19"/>
                <w:szCs w:val="19"/>
                <w:color w:val="auto"/>
              </w:rPr>
              <w:t>3.12  Sharing of Payments, Etc.</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60</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3.13</w:t>
            </w: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Booking Loans.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61</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3.14</w:t>
            </w: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Cash Collateral.</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61</w:t>
            </w:r>
          </w:p>
        </w:tc>
      </w:tr>
      <w:tr>
        <w:trPr>
          <w:trHeight w:val="241"/>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3.15</w:t>
            </w: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Defaulting Lenders.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62</w:t>
            </w:r>
          </w:p>
        </w:tc>
      </w:tr>
      <w:tr>
        <w:trPr>
          <w:trHeight w:val="248"/>
        </w:trPr>
        <w:tc>
          <w:tcPr>
            <w:tcW w:w="876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SECTION 4  TAXES, YIELD PROTECTION, AND ILLEGALITY.</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b w:val="1"/>
                <w:bCs w:val="1"/>
                <w:color w:val="auto"/>
              </w:rPr>
              <w:t>64</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4.1</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Taxes.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64</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4.2</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Illegality.</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69</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4.3</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Inability to Determine Rates.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70</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4.4</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Increased Costs.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72</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4.5</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Compensation for Losses.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73</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4.6</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Mitigation Obligations; Replacement of Lenders.</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74</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4.7</w:t>
            </w:r>
          </w:p>
        </w:tc>
        <w:tc>
          <w:tcPr>
            <w:tcW w:w="774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Survival.</w:t>
            </w:r>
          </w:p>
        </w:tc>
        <w:tc>
          <w:tcPr>
            <w:tcW w:w="1840" w:type="dxa"/>
            <w:vAlign w:val="bottom"/>
            <w:gridSpan w:val="2"/>
          </w:tcPr>
          <w:p>
            <w:pPr>
              <w:jc w:val="right"/>
              <w:ind w:right="126"/>
              <w:spacing w:after="0"/>
              <w:rPr>
                <w:sz w:val="20"/>
                <w:szCs w:val="20"/>
                <w:color w:val="auto"/>
              </w:rPr>
            </w:pPr>
            <w:r>
              <w:rPr>
                <w:rFonts w:ascii="Times New Roman" w:cs="Times New Roman" w:eastAsia="Times New Roman" w:hAnsi="Times New Roman"/>
                <w:sz w:val="19"/>
                <w:szCs w:val="19"/>
                <w:color w:val="auto"/>
              </w:rPr>
              <w:t>74</w:t>
            </w:r>
          </w:p>
        </w:tc>
      </w:tr>
    </w:tbl>
    <w:p>
      <w:pPr>
        <w:sectPr>
          <w:pgSz w:w="11900" w:h="16838" w:orient="portrait"/>
          <w:cols w:equalWidth="0" w:num="1">
            <w:col w:w="10600"/>
          </w:cols>
          <w:pgMar w:left="960" w:top="1440" w:right="339" w:bottom="1440" w:gutter="0" w:footer="0" w:header="0"/>
        </w:sectPr>
      </w:pPr>
    </w:p>
    <w:bookmarkStart w:id="46" w:name="page47"/>
    <w:bookmarkEnd w:id="46"/>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SECTION 5</w:t>
            </w:r>
          </w:p>
        </w:tc>
        <w:tc>
          <w:tcPr>
            <w:tcW w:w="7080" w:type="dxa"/>
            <w:vAlign w:val="bottom"/>
          </w:tcPr>
          <w:p>
            <w:pPr>
              <w:ind w:left="160"/>
              <w:spacing w:after="0"/>
              <w:rPr>
                <w:sz w:val="20"/>
                <w:szCs w:val="20"/>
                <w:color w:val="auto"/>
              </w:rPr>
            </w:pPr>
            <w:r>
              <w:rPr>
                <w:rFonts w:ascii="Times New Roman" w:cs="Times New Roman" w:eastAsia="Times New Roman" w:hAnsi="Times New Roman"/>
                <w:sz w:val="19"/>
                <w:szCs w:val="19"/>
                <w:b w:val="1"/>
                <w:bCs w:val="1"/>
                <w:color w:val="auto"/>
              </w:rPr>
              <w:t>FEES.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74</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5.1</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Treatment of Fees.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5.2</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Fee Letter.</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5.3</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L/C Fees.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w:t>
            </w:r>
          </w:p>
        </w:tc>
      </w:tr>
      <w:tr>
        <w:trPr>
          <w:trHeight w:val="241"/>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5.4</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Revolver Commitment Fee.</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w:t>
            </w:r>
          </w:p>
        </w:tc>
      </w:tr>
      <w:tr>
        <w:trPr>
          <w:trHeight w:val="248"/>
        </w:trPr>
        <w:tc>
          <w:tcPr>
            <w:tcW w:w="81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SECTION 6  GUARANTY AND SECURITY.</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76</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6.1</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Guaranty.</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6.2</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Collateral.</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6.3</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Additional Collateral and Guaranties.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r>
      <w:tr>
        <w:trPr>
          <w:trHeight w:val="241"/>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6.4</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Additional Documents or Information.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r>
      <w:tr>
        <w:trPr>
          <w:trHeight w:val="248"/>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SECTION 7</w:t>
            </w:r>
          </w:p>
        </w:tc>
        <w:tc>
          <w:tcPr>
            <w:tcW w:w="7080" w:type="dxa"/>
            <w:vAlign w:val="bottom"/>
          </w:tcPr>
          <w:p>
            <w:pPr>
              <w:ind w:left="160"/>
              <w:spacing w:after="0"/>
              <w:rPr>
                <w:sz w:val="20"/>
                <w:szCs w:val="20"/>
                <w:color w:val="auto"/>
              </w:rPr>
            </w:pPr>
            <w:r>
              <w:rPr>
                <w:rFonts w:ascii="Times New Roman" w:cs="Times New Roman" w:eastAsia="Times New Roman" w:hAnsi="Times New Roman"/>
                <w:sz w:val="19"/>
                <w:szCs w:val="19"/>
                <w:b w:val="1"/>
                <w:bCs w:val="1"/>
                <w:color w:val="auto"/>
              </w:rPr>
              <w:t>CONDITIONS PRECEDENT.</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76</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7.1</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Initial Advance.</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r>
      <w:tr>
        <w:trPr>
          <w:trHeight w:val="241"/>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7.2</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Each Loan.</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w:t>
            </w:r>
          </w:p>
        </w:tc>
      </w:tr>
      <w:tr>
        <w:trPr>
          <w:trHeight w:val="248"/>
        </w:trPr>
        <w:tc>
          <w:tcPr>
            <w:tcW w:w="81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SECTION 8  REPRESENTATIONS AND WARRANTIES.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79</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8.1</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Regulation U.</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8.2</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Corporate Existence, Good Standing, Authority, and Compliance.</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8.3</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Subsidiaries.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8.4</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Authorization and Contravention.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8.5</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Binding Effect.</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8.6</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Financial Statements.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8.7</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Litigation.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8.8</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Taxes.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8.9</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Environmental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8.10</w:t>
            </w:r>
          </w:p>
        </w:tc>
        <w:tc>
          <w:tcPr>
            <w:tcW w:w="70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Employee Plans.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8.11</w:t>
            </w:r>
          </w:p>
        </w:tc>
        <w:tc>
          <w:tcPr>
            <w:tcW w:w="70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Properties and Liens.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8.12</w:t>
            </w:r>
          </w:p>
        </w:tc>
        <w:tc>
          <w:tcPr>
            <w:tcW w:w="70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Government Regulations.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8.13</w:t>
            </w:r>
          </w:p>
        </w:tc>
        <w:tc>
          <w:tcPr>
            <w:tcW w:w="70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Transactions with Affiliates.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8.14</w:t>
            </w:r>
          </w:p>
        </w:tc>
        <w:tc>
          <w:tcPr>
            <w:tcW w:w="70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Debt.</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8.15</w:t>
            </w:r>
          </w:p>
        </w:tc>
        <w:tc>
          <w:tcPr>
            <w:tcW w:w="70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Material Agreements.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8.16</w:t>
            </w:r>
          </w:p>
        </w:tc>
        <w:tc>
          <w:tcPr>
            <w:tcW w:w="70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Labor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8.17</w:t>
            </w:r>
          </w:p>
        </w:tc>
        <w:tc>
          <w:tcPr>
            <w:tcW w:w="70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Solvency.</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8.18</w:t>
            </w:r>
          </w:p>
        </w:tc>
        <w:tc>
          <w:tcPr>
            <w:tcW w:w="70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Intellectual Property.</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8.19</w:t>
            </w:r>
          </w:p>
        </w:tc>
        <w:tc>
          <w:tcPr>
            <w:tcW w:w="70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Full Disclosure.</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8.20</w:t>
            </w:r>
          </w:p>
        </w:tc>
        <w:tc>
          <w:tcPr>
            <w:tcW w:w="70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Insurance.</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8.21</w:t>
            </w:r>
          </w:p>
        </w:tc>
        <w:tc>
          <w:tcPr>
            <w:tcW w:w="70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Compliance with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8.22</w:t>
            </w:r>
          </w:p>
        </w:tc>
        <w:tc>
          <w:tcPr>
            <w:tcW w:w="70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OFAC.</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8.23</w:t>
            </w:r>
          </w:p>
        </w:tc>
        <w:tc>
          <w:tcPr>
            <w:tcW w:w="70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Anti-Corruption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8.24</w:t>
            </w:r>
          </w:p>
        </w:tc>
        <w:tc>
          <w:tcPr>
            <w:tcW w:w="70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Taxpayer Identification Number.</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8.25</w:t>
            </w:r>
          </w:p>
        </w:tc>
        <w:tc>
          <w:tcPr>
            <w:tcW w:w="70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Affected Financial Institution.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r>
      <w:tr>
        <w:trPr>
          <w:trHeight w:val="241"/>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8.26</w:t>
            </w:r>
          </w:p>
        </w:tc>
        <w:tc>
          <w:tcPr>
            <w:tcW w:w="70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Beneficial Ownership.</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r>
      <w:tr>
        <w:trPr>
          <w:trHeight w:val="248"/>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SECTION 9</w:t>
            </w:r>
          </w:p>
        </w:tc>
        <w:tc>
          <w:tcPr>
            <w:tcW w:w="7080" w:type="dxa"/>
            <w:vAlign w:val="bottom"/>
          </w:tcPr>
          <w:p>
            <w:pPr>
              <w:ind w:left="140"/>
              <w:spacing w:after="0"/>
              <w:rPr>
                <w:sz w:val="20"/>
                <w:szCs w:val="20"/>
                <w:color w:val="auto"/>
              </w:rPr>
            </w:pPr>
            <w:r>
              <w:rPr>
                <w:rFonts w:ascii="Times New Roman" w:cs="Times New Roman" w:eastAsia="Times New Roman" w:hAnsi="Times New Roman"/>
                <w:sz w:val="19"/>
                <w:szCs w:val="19"/>
                <w:b w:val="1"/>
                <w:bCs w:val="1"/>
                <w:color w:val="auto"/>
              </w:rPr>
              <w:t>AFFIRMATIVE COVENANTS.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84</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9.1</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Items to be Furnished.</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9.2</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Use of Proceeds.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9.3</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Books and Records.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r>
      <w:tr>
        <w:trPr>
          <w:trHeight w:val="245"/>
        </w:trPr>
        <w:tc>
          <w:tcPr>
            <w:tcW w:w="102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9.4</w:t>
            </w:r>
          </w:p>
        </w:tc>
        <w:tc>
          <w:tcPr>
            <w:tcW w:w="7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Inspections.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r>
    </w:tbl>
    <w:p>
      <w:pPr>
        <w:sectPr>
          <w:pgSz w:w="11900" w:h="16838" w:orient="portrait"/>
          <w:cols w:equalWidth="0" w:num="1">
            <w:col w:w="10380"/>
          </w:cols>
          <w:pgMar w:left="960" w:top="1440" w:right="559" w:bottom="1440" w:gutter="0" w:footer="0" w:header="0"/>
        </w:sectPr>
      </w:pPr>
    </w:p>
    <w:bookmarkStart w:id="47" w:name="page48"/>
    <w:bookmarkEnd w:id="47"/>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440" w:type="dxa"/>
            <w:vAlign w:val="bottom"/>
            <w:gridSpan w:val="3"/>
          </w:tcPr>
          <w:p>
            <w:pPr>
              <w:ind w:left="620"/>
              <w:spacing w:after="0"/>
              <w:rPr>
                <w:sz w:val="20"/>
                <w:szCs w:val="20"/>
                <w:color w:val="auto"/>
              </w:rPr>
            </w:pPr>
            <w:r>
              <w:rPr>
                <w:rFonts w:ascii="Times New Roman" w:cs="Times New Roman" w:eastAsia="Times New Roman" w:hAnsi="Times New Roman"/>
                <w:sz w:val="19"/>
                <w:szCs w:val="19"/>
                <w:color w:val="auto"/>
              </w:rPr>
              <w:t>9.5  Taxes.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9.6</w:t>
            </w:r>
          </w:p>
        </w:tc>
        <w:tc>
          <w:tcPr>
            <w:tcW w:w="64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Payment of Obligations.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w:t>
            </w:r>
          </w:p>
        </w:tc>
      </w:tr>
      <w:tr>
        <w:trPr>
          <w:trHeight w:val="245"/>
        </w:trPr>
        <w:tc>
          <w:tcPr>
            <w:tcW w:w="7440" w:type="dxa"/>
            <w:vAlign w:val="bottom"/>
            <w:gridSpan w:val="3"/>
          </w:tcPr>
          <w:p>
            <w:pPr>
              <w:ind w:left="620"/>
              <w:spacing w:after="0"/>
              <w:rPr>
                <w:sz w:val="20"/>
                <w:szCs w:val="20"/>
                <w:color w:val="auto"/>
              </w:rPr>
            </w:pPr>
            <w:r>
              <w:rPr>
                <w:rFonts w:ascii="Times New Roman" w:cs="Times New Roman" w:eastAsia="Times New Roman" w:hAnsi="Times New Roman"/>
                <w:sz w:val="19"/>
                <w:szCs w:val="19"/>
                <w:color w:val="auto"/>
              </w:rPr>
              <w:t>9.7  Maintenance of Existence, Assets, and Business.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9.8</w:t>
            </w:r>
          </w:p>
        </w:tc>
        <w:tc>
          <w:tcPr>
            <w:tcW w:w="64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Insurance.</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9.9</w:t>
            </w:r>
          </w:p>
        </w:tc>
        <w:tc>
          <w:tcPr>
            <w:tcW w:w="64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Environmental Laws.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9.10</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Subsidiaries.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w:t>
            </w:r>
          </w:p>
        </w:tc>
      </w:tr>
      <w:tr>
        <w:trPr>
          <w:trHeight w:val="245"/>
        </w:trPr>
        <w:tc>
          <w:tcPr>
            <w:tcW w:w="7440" w:type="dxa"/>
            <w:vAlign w:val="bottom"/>
            <w:gridSpan w:val="3"/>
          </w:tcPr>
          <w:p>
            <w:pPr>
              <w:ind w:left="620"/>
              <w:spacing w:after="0"/>
              <w:rPr>
                <w:sz w:val="20"/>
                <w:szCs w:val="20"/>
                <w:color w:val="auto"/>
              </w:rPr>
            </w:pPr>
            <w:r>
              <w:rPr>
                <w:rFonts w:ascii="Times New Roman" w:cs="Times New Roman" w:eastAsia="Times New Roman" w:hAnsi="Times New Roman"/>
                <w:sz w:val="19"/>
                <w:szCs w:val="19"/>
                <w:color w:val="auto"/>
              </w:rPr>
              <w:t>9.11  Designation and Re-designation of Subsidiaries.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9.12</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Keepwell Requirements.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w:t>
            </w:r>
          </w:p>
        </w:tc>
      </w:tr>
      <w:tr>
        <w:trPr>
          <w:trHeight w:val="241"/>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9.13</w:t>
            </w:r>
          </w:p>
        </w:tc>
        <w:tc>
          <w:tcPr>
            <w:tcW w:w="60" w:type="dxa"/>
            <w:vAlign w:val="bottom"/>
          </w:tcPr>
          <w:p>
            <w:pPr>
              <w:spacing w:after="0"/>
              <w:rPr>
                <w:sz w:val="20"/>
                <w:szCs w:val="20"/>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Anti-Corruption Laws; Sanctions.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w:t>
            </w:r>
          </w:p>
        </w:tc>
      </w:tr>
      <w:tr>
        <w:trPr>
          <w:trHeight w:val="248"/>
        </w:trPr>
        <w:tc>
          <w:tcPr>
            <w:tcW w:w="11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w w:val="98"/>
              </w:rPr>
              <w:t>SECTION 10</w:t>
            </w:r>
          </w:p>
        </w:tc>
        <w:tc>
          <w:tcPr>
            <w:tcW w:w="634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NEGATIVE COVENANTS.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89</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10.1</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Taxes.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10.2</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Payment of Obligations.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10.3</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Employee Plans.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10.4</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Debt.</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10.5</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Liens.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10.6</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Transactions with Affiliates.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10.7</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Compliance with Laws and Documents.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10.8</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Loans, Advances and Investments.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10.9</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Distributions.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w w:val="93"/>
              </w:rPr>
              <w:t>10.10</w:t>
            </w:r>
          </w:p>
        </w:tc>
        <w:tc>
          <w:tcPr>
            <w:tcW w:w="60" w:type="dxa"/>
            <w:vAlign w:val="bottom"/>
          </w:tcPr>
          <w:p>
            <w:pPr>
              <w:spacing w:after="0"/>
              <w:rPr>
                <w:sz w:val="21"/>
                <w:szCs w:val="21"/>
                <w:color w:val="auto"/>
              </w:rPr>
            </w:pPr>
          </w:p>
        </w:tc>
        <w:tc>
          <w:tcPr>
            <w:tcW w:w="63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Sale of Assets.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r>
      <w:tr>
        <w:trPr>
          <w:trHeight w:val="245"/>
        </w:trPr>
        <w:tc>
          <w:tcPr>
            <w:tcW w:w="7440" w:type="dxa"/>
            <w:vAlign w:val="bottom"/>
            <w:gridSpan w:val="3"/>
          </w:tcPr>
          <w:p>
            <w:pPr>
              <w:ind w:left="620"/>
              <w:spacing w:after="0"/>
              <w:rPr>
                <w:sz w:val="20"/>
                <w:szCs w:val="20"/>
                <w:color w:val="auto"/>
              </w:rPr>
            </w:pPr>
            <w:r>
              <w:rPr>
                <w:rFonts w:ascii="Times New Roman" w:cs="Times New Roman" w:eastAsia="Times New Roman" w:hAnsi="Times New Roman"/>
                <w:sz w:val="19"/>
                <w:szCs w:val="19"/>
                <w:color w:val="auto"/>
              </w:rPr>
              <w:t>10.11  Acquisitions, Mergers, and Dissolutions.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w w:val="93"/>
              </w:rPr>
              <w:t>10.12</w:t>
            </w:r>
          </w:p>
        </w:tc>
        <w:tc>
          <w:tcPr>
            <w:tcW w:w="60" w:type="dxa"/>
            <w:vAlign w:val="bottom"/>
          </w:tcPr>
          <w:p>
            <w:pPr>
              <w:spacing w:after="0"/>
              <w:rPr>
                <w:sz w:val="21"/>
                <w:szCs w:val="21"/>
                <w:color w:val="auto"/>
              </w:rPr>
            </w:pPr>
          </w:p>
        </w:tc>
        <w:tc>
          <w:tcPr>
            <w:tcW w:w="63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Assignment.</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r>
      <w:tr>
        <w:trPr>
          <w:trHeight w:val="245"/>
        </w:trPr>
        <w:tc>
          <w:tcPr>
            <w:tcW w:w="7440" w:type="dxa"/>
            <w:vAlign w:val="bottom"/>
            <w:gridSpan w:val="3"/>
          </w:tcPr>
          <w:p>
            <w:pPr>
              <w:ind w:left="620"/>
              <w:spacing w:after="0"/>
              <w:rPr>
                <w:sz w:val="20"/>
                <w:szCs w:val="20"/>
                <w:color w:val="auto"/>
              </w:rPr>
            </w:pPr>
            <w:r>
              <w:rPr>
                <w:rFonts w:ascii="Times New Roman" w:cs="Times New Roman" w:eastAsia="Times New Roman" w:hAnsi="Times New Roman"/>
                <w:sz w:val="19"/>
                <w:szCs w:val="19"/>
                <w:color w:val="auto"/>
              </w:rPr>
              <w:t>10.13  Fiscal Year and Accounting Methods.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w w:val="93"/>
              </w:rPr>
              <w:t>10.14</w:t>
            </w:r>
          </w:p>
        </w:tc>
        <w:tc>
          <w:tcPr>
            <w:tcW w:w="60" w:type="dxa"/>
            <w:vAlign w:val="bottom"/>
          </w:tcPr>
          <w:p>
            <w:pPr>
              <w:spacing w:after="0"/>
              <w:rPr>
                <w:sz w:val="21"/>
                <w:szCs w:val="21"/>
                <w:color w:val="auto"/>
              </w:rPr>
            </w:pPr>
          </w:p>
        </w:tc>
        <w:tc>
          <w:tcPr>
            <w:tcW w:w="63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New Businesses.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w w:val="93"/>
              </w:rPr>
              <w:t>10.15</w:t>
            </w:r>
          </w:p>
        </w:tc>
        <w:tc>
          <w:tcPr>
            <w:tcW w:w="60" w:type="dxa"/>
            <w:vAlign w:val="bottom"/>
          </w:tcPr>
          <w:p>
            <w:pPr>
              <w:spacing w:after="0"/>
              <w:rPr>
                <w:sz w:val="21"/>
                <w:szCs w:val="21"/>
                <w:color w:val="auto"/>
              </w:rPr>
            </w:pPr>
          </w:p>
        </w:tc>
        <w:tc>
          <w:tcPr>
            <w:tcW w:w="63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Government Regulations.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w w:val="93"/>
              </w:rPr>
              <w:t>10.16</w:t>
            </w:r>
          </w:p>
        </w:tc>
        <w:tc>
          <w:tcPr>
            <w:tcW w:w="60" w:type="dxa"/>
            <w:vAlign w:val="bottom"/>
          </w:tcPr>
          <w:p>
            <w:pPr>
              <w:spacing w:after="0"/>
              <w:rPr>
                <w:sz w:val="21"/>
                <w:szCs w:val="21"/>
                <w:color w:val="auto"/>
              </w:rPr>
            </w:pPr>
          </w:p>
        </w:tc>
        <w:tc>
          <w:tcPr>
            <w:tcW w:w="63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Burdensome Agreements.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w w:val="93"/>
              </w:rPr>
              <w:t>10.17</w:t>
            </w:r>
          </w:p>
        </w:tc>
        <w:tc>
          <w:tcPr>
            <w:tcW w:w="60" w:type="dxa"/>
            <w:vAlign w:val="bottom"/>
          </w:tcPr>
          <w:p>
            <w:pPr>
              <w:spacing w:after="0"/>
              <w:rPr>
                <w:sz w:val="21"/>
                <w:szCs w:val="21"/>
                <w:color w:val="auto"/>
              </w:rPr>
            </w:pPr>
          </w:p>
        </w:tc>
        <w:tc>
          <w:tcPr>
            <w:tcW w:w="63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Use of Proceeds.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w w:val="93"/>
              </w:rPr>
              <w:t>10.18</w:t>
            </w:r>
          </w:p>
        </w:tc>
        <w:tc>
          <w:tcPr>
            <w:tcW w:w="60" w:type="dxa"/>
            <w:vAlign w:val="bottom"/>
          </w:tcPr>
          <w:p>
            <w:pPr>
              <w:spacing w:after="0"/>
              <w:rPr>
                <w:sz w:val="21"/>
                <w:szCs w:val="21"/>
                <w:color w:val="auto"/>
              </w:rPr>
            </w:pPr>
          </w:p>
        </w:tc>
        <w:tc>
          <w:tcPr>
            <w:tcW w:w="63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Subsidiaries.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41"/>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w w:val="93"/>
              </w:rPr>
              <w:t>10.19</w:t>
            </w:r>
          </w:p>
        </w:tc>
        <w:tc>
          <w:tcPr>
            <w:tcW w:w="60" w:type="dxa"/>
            <w:vAlign w:val="bottom"/>
          </w:tcPr>
          <w:p>
            <w:pPr>
              <w:spacing w:after="0"/>
              <w:rPr>
                <w:sz w:val="20"/>
                <w:szCs w:val="20"/>
                <w:color w:val="auto"/>
              </w:rPr>
            </w:pPr>
          </w:p>
        </w:tc>
        <w:tc>
          <w:tcPr>
            <w:tcW w:w="63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Sanctions; Anti-Corruption Laws.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48"/>
        </w:trPr>
        <w:tc>
          <w:tcPr>
            <w:tcW w:w="11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w w:val="98"/>
              </w:rPr>
              <w:t>SECTION 11</w:t>
            </w:r>
          </w:p>
        </w:tc>
        <w:tc>
          <w:tcPr>
            <w:tcW w:w="6340" w:type="dxa"/>
            <w:vAlign w:val="bottom"/>
          </w:tcPr>
          <w:p>
            <w:pPr>
              <w:ind w:left="160"/>
              <w:spacing w:after="0"/>
              <w:rPr>
                <w:sz w:val="20"/>
                <w:szCs w:val="20"/>
                <w:color w:val="auto"/>
              </w:rPr>
            </w:pPr>
            <w:r>
              <w:rPr>
                <w:rFonts w:ascii="Times New Roman" w:cs="Times New Roman" w:eastAsia="Times New Roman" w:hAnsi="Times New Roman"/>
                <w:sz w:val="19"/>
                <w:szCs w:val="19"/>
                <w:b w:val="1"/>
                <w:bCs w:val="1"/>
                <w:color w:val="auto"/>
              </w:rPr>
              <w:t>FINANCIAL COVENANTS.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98</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11.1</w:t>
            </w:r>
          </w:p>
        </w:tc>
        <w:tc>
          <w:tcPr>
            <w:tcW w:w="60" w:type="dxa"/>
            <w:vAlign w:val="bottom"/>
          </w:tcPr>
          <w:p>
            <w:pPr>
              <w:spacing w:after="0"/>
              <w:rPr>
                <w:sz w:val="21"/>
                <w:szCs w:val="21"/>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Maximum Leverage Ratio.</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11.2</w:t>
            </w:r>
          </w:p>
        </w:tc>
        <w:tc>
          <w:tcPr>
            <w:tcW w:w="60" w:type="dxa"/>
            <w:vAlign w:val="bottom"/>
          </w:tcPr>
          <w:p>
            <w:pPr>
              <w:spacing w:after="0"/>
              <w:rPr>
                <w:sz w:val="21"/>
                <w:szCs w:val="21"/>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Interest Coverage Ratio.</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41"/>
        </w:trPr>
        <w:tc>
          <w:tcPr>
            <w:tcW w:w="7440" w:type="dxa"/>
            <w:vAlign w:val="bottom"/>
            <w:gridSpan w:val="3"/>
          </w:tcPr>
          <w:p>
            <w:pPr>
              <w:ind w:left="620"/>
              <w:spacing w:after="0"/>
              <w:rPr>
                <w:sz w:val="20"/>
                <w:szCs w:val="20"/>
                <w:color w:val="auto"/>
              </w:rPr>
            </w:pPr>
            <w:r>
              <w:rPr>
                <w:rFonts w:ascii="Times New Roman" w:cs="Times New Roman" w:eastAsia="Times New Roman" w:hAnsi="Times New Roman"/>
                <w:sz w:val="19"/>
                <w:szCs w:val="19"/>
                <w:color w:val="auto"/>
              </w:rPr>
              <w:t>11.3  Senior Secured Leverage Ratio.</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48"/>
        </w:trPr>
        <w:tc>
          <w:tcPr>
            <w:tcW w:w="11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w w:val="98"/>
              </w:rPr>
              <w:t>SECTION 12</w:t>
            </w:r>
          </w:p>
        </w:tc>
        <w:tc>
          <w:tcPr>
            <w:tcW w:w="634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DEFAULT.</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98</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12.1</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Payment of Obligation.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12.2</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Covenants.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12.3</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Debtor Relief.</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12.4</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Judgments and Attachments.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12.5</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Government Action.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12.6</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Misrepresentation.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12.7</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Ownership.</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12.8</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Default Under Other Agreements.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12.9</w:t>
            </w:r>
          </w:p>
        </w:tc>
        <w:tc>
          <w:tcPr>
            <w:tcW w:w="60" w:type="dxa"/>
            <w:vAlign w:val="bottom"/>
          </w:tcPr>
          <w:p>
            <w:pPr>
              <w:spacing w:after="0"/>
              <w:rPr>
                <w:sz w:val="21"/>
                <w:szCs w:val="21"/>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Subordinated Debt.</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45"/>
        </w:trPr>
        <w:tc>
          <w:tcPr>
            <w:tcW w:w="7440" w:type="dxa"/>
            <w:vAlign w:val="bottom"/>
            <w:gridSpan w:val="3"/>
          </w:tcPr>
          <w:p>
            <w:pPr>
              <w:ind w:left="620"/>
              <w:spacing w:after="0"/>
              <w:rPr>
                <w:sz w:val="20"/>
                <w:szCs w:val="20"/>
                <w:color w:val="auto"/>
              </w:rPr>
            </w:pPr>
            <w:r>
              <w:rPr>
                <w:rFonts w:ascii="Times New Roman" w:cs="Times New Roman" w:eastAsia="Times New Roman" w:hAnsi="Times New Roman"/>
                <w:sz w:val="19"/>
                <w:szCs w:val="19"/>
                <w:color w:val="auto"/>
              </w:rPr>
              <w:t>12.10  Validity and Enforceability of Loan Papers.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r>
        <w:trPr>
          <w:trHeight w:val="245"/>
        </w:trPr>
        <w:tc>
          <w:tcPr>
            <w:tcW w:w="1040" w:type="dxa"/>
            <w:vAlign w:val="bottom"/>
          </w:tcPr>
          <w:p>
            <w:pPr>
              <w:ind w:left="620"/>
              <w:spacing w:after="0"/>
              <w:rPr>
                <w:sz w:val="20"/>
                <w:szCs w:val="20"/>
                <w:color w:val="auto"/>
              </w:rPr>
            </w:pPr>
            <w:r>
              <w:rPr>
                <w:rFonts w:ascii="Times New Roman" w:cs="Times New Roman" w:eastAsia="Times New Roman" w:hAnsi="Times New Roman"/>
                <w:sz w:val="19"/>
                <w:szCs w:val="19"/>
                <w:color w:val="auto"/>
                <w:w w:val="93"/>
              </w:rPr>
              <w:t>12.11</w:t>
            </w:r>
          </w:p>
        </w:tc>
        <w:tc>
          <w:tcPr>
            <w:tcW w:w="60" w:type="dxa"/>
            <w:vAlign w:val="bottom"/>
          </w:tcPr>
          <w:p>
            <w:pPr>
              <w:spacing w:after="0"/>
              <w:rPr>
                <w:sz w:val="21"/>
                <w:szCs w:val="21"/>
                <w:color w:val="auto"/>
              </w:rPr>
            </w:pPr>
          </w:p>
        </w:tc>
        <w:tc>
          <w:tcPr>
            <w:tcW w:w="63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Employee Plans.</w:t>
            </w:r>
          </w:p>
        </w:tc>
        <w:tc>
          <w:tcPr>
            <w:tcW w:w="2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bl>
    <w:p>
      <w:pPr>
        <w:sectPr>
          <w:pgSz w:w="11900" w:h="16838" w:orient="portrait"/>
          <w:cols w:equalWidth="0" w:num="1">
            <w:col w:w="10380"/>
          </w:cols>
          <w:pgMar w:left="960" w:top="1440" w:right="559" w:bottom="1440" w:gutter="0" w:footer="0" w:header="0"/>
        </w:sectPr>
      </w:pPr>
    </w:p>
    <w:bookmarkStart w:id="48" w:name="page49"/>
    <w:bookmarkEnd w:id="48"/>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8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SECTION 13  RIGHTS AND REMEDIES.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100</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13.1</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Remedies Upon Default.</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13.2</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Company Waivers.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13.3</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Performance by Administrative Agent.</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13.4</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Not in Control.</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13.5</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Course of Dealing.</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13.6</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Cumulative Rights.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13.7</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Enforcement.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13.8</w:t>
            </w:r>
          </w:p>
        </w:tc>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Application of Proceeds.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13.9</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Diminution in Value of Collateral.</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w:t>
            </w:r>
          </w:p>
        </w:tc>
      </w:tr>
      <w:tr>
        <w:trPr>
          <w:trHeight w:val="241"/>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13.10</w:t>
            </w:r>
          </w:p>
        </w:tc>
        <w:tc>
          <w:tcPr>
            <w:tcW w:w="67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Certain Proceedings.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w:t>
            </w:r>
          </w:p>
        </w:tc>
      </w:tr>
      <w:tr>
        <w:trPr>
          <w:trHeight w:val="248"/>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w w:val="98"/>
              </w:rPr>
              <w:t>SECTION 14</w:t>
            </w:r>
          </w:p>
        </w:tc>
        <w:tc>
          <w:tcPr>
            <w:tcW w:w="6760" w:type="dxa"/>
            <w:vAlign w:val="bottom"/>
          </w:tcPr>
          <w:p>
            <w:pPr>
              <w:ind w:left="160"/>
              <w:spacing w:after="0"/>
              <w:rPr>
                <w:sz w:val="20"/>
                <w:szCs w:val="20"/>
                <w:color w:val="auto"/>
              </w:rPr>
            </w:pPr>
            <w:r>
              <w:rPr>
                <w:rFonts w:ascii="Times New Roman" w:cs="Times New Roman" w:eastAsia="Times New Roman" w:hAnsi="Times New Roman"/>
                <w:sz w:val="19"/>
                <w:szCs w:val="19"/>
                <w:b w:val="1"/>
                <w:bCs w:val="1"/>
                <w:color w:val="auto"/>
              </w:rPr>
              <w:t>ADMINISTRATIVE AGENT.</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102</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14.1</w:t>
            </w:r>
          </w:p>
        </w:tc>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Appointment and Authority.</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14.2</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Delegation of Duties.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14.3</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Rights as a Lender.</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14.4</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Reliance by Administrative Agent.</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14.5</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Exculpatory Provisions.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14.6</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Resignation or Removal as Administrative Agent.</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14.7</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Non-Reliance on Administrative Agent and Other Lenders.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14.8</w:t>
            </w:r>
          </w:p>
        </w:tc>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Administrative Agent May File Proofs of Claim.</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14.9</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Collateral and Guaranty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14.10</w:t>
            </w:r>
          </w:p>
        </w:tc>
        <w:tc>
          <w:tcPr>
            <w:tcW w:w="67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Financial Hedges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w:t>
            </w:r>
          </w:p>
        </w:tc>
      </w:tr>
      <w:tr>
        <w:trPr>
          <w:trHeight w:val="245"/>
        </w:trPr>
        <w:tc>
          <w:tcPr>
            <w:tcW w:w="7860" w:type="dxa"/>
            <w:vAlign w:val="bottom"/>
            <w:gridSpan w:val="2"/>
          </w:tcPr>
          <w:p>
            <w:pPr>
              <w:ind w:left="620"/>
              <w:spacing w:after="0"/>
              <w:rPr>
                <w:sz w:val="20"/>
                <w:szCs w:val="20"/>
                <w:color w:val="auto"/>
              </w:rPr>
            </w:pPr>
            <w:r>
              <w:rPr>
                <w:rFonts w:ascii="Times New Roman" w:cs="Times New Roman" w:eastAsia="Times New Roman" w:hAnsi="Times New Roman"/>
                <w:sz w:val="19"/>
                <w:szCs w:val="19"/>
                <w:color w:val="auto"/>
              </w:rPr>
              <w:t>14.11  Bond L/Cs and Bond Documents.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w:t>
            </w:r>
          </w:p>
        </w:tc>
      </w:tr>
      <w:tr>
        <w:trPr>
          <w:trHeight w:val="245"/>
        </w:trPr>
        <w:tc>
          <w:tcPr>
            <w:tcW w:w="7860" w:type="dxa"/>
            <w:vAlign w:val="bottom"/>
            <w:gridSpan w:val="2"/>
          </w:tcPr>
          <w:p>
            <w:pPr>
              <w:ind w:left="620"/>
              <w:spacing w:after="0"/>
              <w:rPr>
                <w:sz w:val="20"/>
                <w:szCs w:val="20"/>
                <w:color w:val="auto"/>
              </w:rPr>
            </w:pPr>
            <w:r>
              <w:rPr>
                <w:rFonts w:ascii="Times New Roman" w:cs="Times New Roman" w:eastAsia="Times New Roman" w:hAnsi="Times New Roman"/>
                <w:sz w:val="19"/>
                <w:szCs w:val="19"/>
                <w:color w:val="auto"/>
              </w:rPr>
              <w:t>14.12  No Other Duties, Etc.</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w:t>
            </w:r>
          </w:p>
        </w:tc>
      </w:tr>
      <w:tr>
        <w:trPr>
          <w:trHeight w:val="241"/>
        </w:trPr>
        <w:tc>
          <w:tcPr>
            <w:tcW w:w="7860" w:type="dxa"/>
            <w:vAlign w:val="bottom"/>
            <w:gridSpan w:val="2"/>
          </w:tcPr>
          <w:p>
            <w:pPr>
              <w:ind w:left="620"/>
              <w:spacing w:after="0"/>
              <w:rPr>
                <w:sz w:val="20"/>
                <w:szCs w:val="20"/>
                <w:color w:val="auto"/>
              </w:rPr>
            </w:pPr>
            <w:r>
              <w:rPr>
                <w:rFonts w:ascii="Times New Roman" w:cs="Times New Roman" w:eastAsia="Times New Roman" w:hAnsi="Times New Roman"/>
                <w:sz w:val="19"/>
                <w:szCs w:val="19"/>
                <w:color w:val="auto"/>
              </w:rPr>
              <w:t>14.13  Recovery of Erroneous Payments.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w:t>
            </w:r>
          </w:p>
        </w:tc>
      </w:tr>
      <w:tr>
        <w:trPr>
          <w:trHeight w:val="248"/>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w w:val="98"/>
              </w:rPr>
              <w:t>SECTION 15</w:t>
            </w:r>
          </w:p>
        </w:tc>
        <w:tc>
          <w:tcPr>
            <w:tcW w:w="676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MISCELLANEOUS.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109</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15.1</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Headings.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15.2</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Nonbusiness Days; Time.</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15.3</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Notices and Other Communications.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15.4</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Expenses; Indemnity; Damage Waiver.</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15.5</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Exceptions to Covenants; Conflict with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15.6</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Governing Law.</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15.7</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Severability.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15.8</w:t>
            </w:r>
          </w:p>
        </w:tc>
        <w:tc>
          <w:tcPr>
            <w:tcW w:w="6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Waiver of Jury Trial.</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15.9</w:t>
            </w:r>
          </w:p>
        </w:tc>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Amendments, Etc.</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15.10</w:t>
            </w:r>
          </w:p>
        </w:tc>
        <w:tc>
          <w:tcPr>
            <w:tcW w:w="67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Counterparts; Integration; Effectiveness.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245"/>
        </w:trPr>
        <w:tc>
          <w:tcPr>
            <w:tcW w:w="7860" w:type="dxa"/>
            <w:vAlign w:val="bottom"/>
            <w:gridSpan w:val="2"/>
          </w:tcPr>
          <w:p>
            <w:pPr>
              <w:ind w:left="620"/>
              <w:spacing w:after="0"/>
              <w:rPr>
                <w:sz w:val="20"/>
                <w:szCs w:val="20"/>
                <w:color w:val="auto"/>
              </w:rPr>
            </w:pPr>
            <w:r>
              <w:rPr>
                <w:rFonts w:ascii="Times New Roman" w:cs="Times New Roman" w:eastAsia="Times New Roman" w:hAnsi="Times New Roman"/>
                <w:sz w:val="19"/>
                <w:szCs w:val="19"/>
                <w:color w:val="auto"/>
              </w:rPr>
              <w:t>15.11  Successors and Assigns; Participation.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15.12</w:t>
            </w:r>
          </w:p>
        </w:tc>
        <w:tc>
          <w:tcPr>
            <w:tcW w:w="67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Payments Set Aside.</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15.13</w:t>
            </w:r>
          </w:p>
        </w:tc>
        <w:tc>
          <w:tcPr>
            <w:tcW w:w="67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Right of Setoff.</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15.14</w:t>
            </w:r>
          </w:p>
        </w:tc>
        <w:tc>
          <w:tcPr>
            <w:tcW w:w="67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Replacement of Lenders.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w:t>
            </w:r>
          </w:p>
        </w:tc>
      </w:tr>
      <w:tr>
        <w:trPr>
          <w:trHeight w:val="245"/>
        </w:trPr>
        <w:tc>
          <w:tcPr>
            <w:tcW w:w="11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15.15</w:t>
            </w:r>
          </w:p>
        </w:tc>
        <w:tc>
          <w:tcPr>
            <w:tcW w:w="67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Confidentiality.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w:t>
            </w:r>
          </w:p>
        </w:tc>
      </w:tr>
      <w:tr>
        <w:trPr>
          <w:trHeight w:val="245"/>
        </w:trPr>
        <w:tc>
          <w:tcPr>
            <w:tcW w:w="7860" w:type="dxa"/>
            <w:vAlign w:val="bottom"/>
            <w:gridSpan w:val="2"/>
          </w:tcPr>
          <w:p>
            <w:pPr>
              <w:ind w:left="620"/>
              <w:spacing w:after="0"/>
              <w:rPr>
                <w:sz w:val="20"/>
                <w:szCs w:val="20"/>
                <w:color w:val="auto"/>
              </w:rPr>
            </w:pPr>
            <w:r>
              <w:rPr>
                <w:rFonts w:ascii="Times New Roman" w:cs="Times New Roman" w:eastAsia="Times New Roman" w:hAnsi="Times New Roman"/>
                <w:sz w:val="19"/>
                <w:szCs w:val="19"/>
                <w:color w:val="auto"/>
              </w:rPr>
              <w:t>15.16  No Advisory or Fiduciary Responsibility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w:t>
            </w:r>
          </w:p>
        </w:tc>
      </w:tr>
      <w:tr>
        <w:trPr>
          <w:trHeight w:val="245"/>
        </w:trPr>
        <w:tc>
          <w:tcPr>
            <w:tcW w:w="7860" w:type="dxa"/>
            <w:vAlign w:val="bottom"/>
            <w:gridSpan w:val="2"/>
          </w:tcPr>
          <w:p>
            <w:pPr>
              <w:ind w:left="620"/>
              <w:spacing w:after="0"/>
              <w:rPr>
                <w:sz w:val="20"/>
                <w:szCs w:val="20"/>
                <w:color w:val="auto"/>
              </w:rPr>
            </w:pPr>
            <w:r>
              <w:rPr>
                <w:rFonts w:ascii="Times New Roman" w:cs="Times New Roman" w:eastAsia="Times New Roman" w:hAnsi="Times New Roman"/>
                <w:sz w:val="19"/>
                <w:szCs w:val="19"/>
                <w:color w:val="auto"/>
              </w:rPr>
              <w:t>15.17  USA PATRIOT Act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w:t>
            </w:r>
          </w:p>
        </w:tc>
      </w:tr>
      <w:tr>
        <w:trPr>
          <w:trHeight w:val="245"/>
        </w:trPr>
        <w:tc>
          <w:tcPr>
            <w:tcW w:w="7860" w:type="dxa"/>
            <w:vAlign w:val="bottom"/>
            <w:gridSpan w:val="2"/>
          </w:tcPr>
          <w:p>
            <w:pPr>
              <w:ind w:left="620"/>
              <w:spacing w:after="0"/>
              <w:rPr>
                <w:sz w:val="20"/>
                <w:szCs w:val="20"/>
                <w:color w:val="auto"/>
              </w:rPr>
            </w:pPr>
            <w:r>
              <w:rPr>
                <w:rFonts w:ascii="Times New Roman" w:cs="Times New Roman" w:eastAsia="Times New Roman" w:hAnsi="Times New Roman"/>
                <w:sz w:val="19"/>
                <w:szCs w:val="19"/>
                <w:color w:val="auto"/>
              </w:rPr>
              <w:t>15.18  Survival of Representations and Warranties.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w:t>
            </w:r>
          </w:p>
        </w:tc>
      </w:tr>
      <w:tr>
        <w:trPr>
          <w:trHeight w:val="245"/>
        </w:trPr>
        <w:tc>
          <w:tcPr>
            <w:tcW w:w="7860" w:type="dxa"/>
            <w:vAlign w:val="bottom"/>
            <w:gridSpan w:val="2"/>
          </w:tcPr>
          <w:p>
            <w:pPr>
              <w:ind w:left="620"/>
              <w:spacing w:after="0"/>
              <w:rPr>
                <w:sz w:val="20"/>
                <w:szCs w:val="20"/>
                <w:color w:val="auto"/>
              </w:rPr>
            </w:pPr>
            <w:r>
              <w:rPr>
                <w:rFonts w:ascii="Times New Roman" w:cs="Times New Roman" w:eastAsia="Times New Roman" w:hAnsi="Times New Roman"/>
                <w:sz w:val="19"/>
                <w:szCs w:val="19"/>
                <w:color w:val="auto"/>
              </w:rPr>
              <w:t>15.19  Execution of Assignments and Certain Other Documents.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w:t>
            </w:r>
          </w:p>
        </w:tc>
      </w:tr>
    </w:tbl>
    <w:p>
      <w:pPr>
        <w:sectPr>
          <w:pgSz w:w="11900" w:h="16838" w:orient="portrait"/>
          <w:cols w:equalWidth="0" w:num="1">
            <w:col w:w="10380"/>
          </w:cols>
          <w:pgMar w:left="960" w:top="1440" w:right="559" w:bottom="1440" w:gutter="0" w:footer="0" w:header="0"/>
        </w:sectPr>
      </w:pPr>
    </w:p>
    <w:bookmarkStart w:id="49" w:name="page50"/>
    <w:bookmarkEnd w:id="49"/>
    <w:p>
      <w:pPr>
        <w:spacing w:after="0" w:line="160" w:lineRule="exact"/>
        <w:rPr>
          <w:sz w:val="20"/>
          <w:szCs w:val="20"/>
          <w:color w:val="auto"/>
        </w:rPr>
      </w:pPr>
    </w:p>
    <w:tbl>
      <w:tblPr>
        <w:tblLayout w:type="fixed"/>
        <w:tblInd w:w="140" w:type="dxa"/>
        <w:tblCellMar>
          <w:top w:w="0" w:type="dxa"/>
          <w:left w:w="0" w:type="dxa"/>
          <w:bottom w:w="0" w:type="dxa"/>
          <w:right w:w="0" w:type="dxa"/>
        </w:tblCellMar>
      </w:tblPr>
      <w:tr>
        <w:trPr>
          <w:trHeight w:val="244"/>
        </w:trPr>
        <w:tc>
          <w:tcPr>
            <w:tcW w:w="5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w w:val="93"/>
              </w:rPr>
              <w:t>15.20</w:t>
            </w:r>
          </w:p>
        </w:tc>
        <w:tc>
          <w:tcPr>
            <w:tcW w:w="74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ENTIRE AGREEMENT.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w:t>
            </w:r>
          </w:p>
        </w:tc>
      </w:tr>
      <w:tr>
        <w:trPr>
          <w:trHeight w:val="245"/>
        </w:trPr>
        <w:tc>
          <w:tcPr>
            <w:tcW w:w="5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w w:val="93"/>
              </w:rPr>
              <w:t>15.21</w:t>
            </w:r>
          </w:p>
        </w:tc>
        <w:tc>
          <w:tcPr>
            <w:tcW w:w="74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Restatement of Existing Agreement.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w:t>
            </w:r>
          </w:p>
        </w:tc>
      </w:tr>
      <w:tr>
        <w:trPr>
          <w:trHeight w:val="245"/>
        </w:trPr>
        <w:tc>
          <w:tcPr>
            <w:tcW w:w="5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w w:val="93"/>
              </w:rPr>
              <w:t>15.22</w:t>
            </w:r>
          </w:p>
        </w:tc>
        <w:tc>
          <w:tcPr>
            <w:tcW w:w="74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Judgment Currency.</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w:t>
            </w:r>
          </w:p>
        </w:tc>
      </w:tr>
      <w:tr>
        <w:trPr>
          <w:trHeight w:val="245"/>
        </w:trPr>
        <w:tc>
          <w:tcPr>
            <w:tcW w:w="5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w w:val="93"/>
              </w:rPr>
              <w:t>15.23</w:t>
            </w:r>
          </w:p>
        </w:tc>
        <w:tc>
          <w:tcPr>
            <w:tcW w:w="74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ERISA.</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w:t>
            </w:r>
          </w:p>
        </w:tc>
      </w:tr>
      <w:tr>
        <w:trPr>
          <w:trHeight w:val="245"/>
        </w:trPr>
        <w:tc>
          <w:tcPr>
            <w:tcW w:w="5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w w:val="93"/>
              </w:rPr>
              <w:t>15.24</w:t>
            </w:r>
          </w:p>
        </w:tc>
        <w:tc>
          <w:tcPr>
            <w:tcW w:w="74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Acknowledgement and Consent to Bail-In of Affected Financial Institutions.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126</w:t>
            </w:r>
          </w:p>
        </w:tc>
      </w:tr>
      <w:tr>
        <w:trPr>
          <w:trHeight w:val="245"/>
        </w:trPr>
        <w:tc>
          <w:tcPr>
            <w:tcW w:w="5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w w:val="93"/>
              </w:rPr>
              <w:t>15.25</w:t>
            </w:r>
          </w:p>
        </w:tc>
        <w:tc>
          <w:tcPr>
            <w:tcW w:w="74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Acknowledgement Regarding Any Supported QFCs.</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126</w:t>
            </w:r>
          </w:p>
        </w:tc>
      </w:tr>
    </w:tbl>
    <w:p>
      <w:pPr>
        <w:sectPr>
          <w:pgSz w:w="11900" w:h="16838" w:orient="portrait"/>
          <w:cols w:equalWidth="0" w:num="1">
            <w:col w:w="9900"/>
          </w:cols>
          <w:pgMar w:left="1440" w:top="1440" w:right="559" w:bottom="1440" w:gutter="0" w:footer="0" w:header="0"/>
        </w:sectPr>
      </w:pPr>
    </w:p>
    <w:bookmarkStart w:id="50" w:name="page51"/>
    <w:bookmarkEnd w:id="50"/>
    <w:p>
      <w:pPr>
        <w:spacing w:after="0" w:line="1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SCHEDULES AND EXHIBITS</w:t>
      </w:r>
    </w:p>
    <w:p>
      <w:pPr>
        <w:spacing w:after="0" w:line="22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9"/>
          <w:szCs w:val="19"/>
          <w:color w:val="auto"/>
        </w:rPr>
        <w:t>Schedule 1</w:t>
      </w:r>
      <w:r>
        <w:rPr>
          <w:sz w:val="20"/>
          <w:szCs w:val="20"/>
          <w:color w:val="auto"/>
        </w:rPr>
        <w:tab/>
      </w:r>
      <w:r>
        <w:rPr>
          <w:rFonts w:ascii="Times New Roman" w:cs="Times New Roman" w:eastAsia="Times New Roman" w:hAnsi="Times New Roman"/>
          <w:sz w:val="18"/>
          <w:szCs w:val="18"/>
          <w:color w:val="auto"/>
        </w:rPr>
        <w:t>Parties, Addresses, Commitments, and Wiring Information</w:t>
      </w:r>
    </w:p>
    <w:p>
      <w:pPr>
        <w:spacing w:after="0" w:line="2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Schedule 2.3</w:t>
      </w:r>
      <w:r>
        <w:rPr>
          <w:sz w:val="20"/>
          <w:szCs w:val="20"/>
          <w:color w:val="auto"/>
        </w:rPr>
        <w:tab/>
      </w:r>
      <w:r>
        <w:rPr>
          <w:rFonts w:ascii="Times New Roman" w:cs="Times New Roman" w:eastAsia="Times New Roman" w:hAnsi="Times New Roman"/>
          <w:sz w:val="18"/>
          <w:szCs w:val="18"/>
          <w:color w:val="auto"/>
        </w:rPr>
        <w:t>Existing L/Cs and Scheduled Debt</w:t>
      </w:r>
    </w:p>
    <w:p>
      <w:pPr>
        <w:spacing w:after="0" w:line="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Schedule 7.1</w:t>
      </w:r>
      <w:r>
        <w:rPr>
          <w:sz w:val="20"/>
          <w:szCs w:val="20"/>
          <w:color w:val="auto"/>
        </w:rPr>
        <w:tab/>
      </w:r>
      <w:r>
        <w:rPr>
          <w:rFonts w:ascii="Times New Roman" w:cs="Times New Roman" w:eastAsia="Times New Roman" w:hAnsi="Times New Roman"/>
          <w:sz w:val="18"/>
          <w:szCs w:val="18"/>
          <w:color w:val="auto"/>
        </w:rPr>
        <w:t>Post-Closing Items</w:t>
      </w:r>
    </w:p>
    <w:p>
      <w:pPr>
        <w:spacing w:after="0" w:line="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Schedule 8.2</w:t>
      </w:r>
      <w:r>
        <w:rPr>
          <w:sz w:val="20"/>
          <w:szCs w:val="20"/>
          <w:color w:val="auto"/>
        </w:rPr>
        <w:tab/>
      </w:r>
      <w:r>
        <w:rPr>
          <w:rFonts w:ascii="Times New Roman" w:cs="Times New Roman" w:eastAsia="Times New Roman" w:hAnsi="Times New Roman"/>
          <w:sz w:val="18"/>
          <w:szCs w:val="18"/>
          <w:color w:val="auto"/>
        </w:rPr>
        <w:t>Corporate Organization and Structure</w:t>
      </w:r>
    </w:p>
    <w:p>
      <w:pPr>
        <w:spacing w:after="0" w:line="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Schedule 8.7</w:t>
      </w:r>
      <w:r>
        <w:rPr>
          <w:sz w:val="20"/>
          <w:szCs w:val="20"/>
          <w:color w:val="auto"/>
        </w:rPr>
        <w:tab/>
      </w:r>
      <w:r>
        <w:rPr>
          <w:rFonts w:ascii="Times New Roman" w:cs="Times New Roman" w:eastAsia="Times New Roman" w:hAnsi="Times New Roman"/>
          <w:sz w:val="18"/>
          <w:szCs w:val="18"/>
          <w:color w:val="auto"/>
        </w:rPr>
        <w:t>Material Litigation Summary</w:t>
      </w:r>
    </w:p>
    <w:p>
      <w:pPr>
        <w:spacing w:after="0" w:line="1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Schedule 8.9</w:t>
      </w:r>
      <w:r>
        <w:rPr>
          <w:sz w:val="20"/>
          <w:szCs w:val="20"/>
          <w:color w:val="auto"/>
        </w:rPr>
        <w:tab/>
      </w:r>
      <w:r>
        <w:rPr>
          <w:rFonts w:ascii="Times New Roman" w:cs="Times New Roman" w:eastAsia="Times New Roman" w:hAnsi="Times New Roman"/>
          <w:sz w:val="18"/>
          <w:szCs w:val="18"/>
          <w:color w:val="auto"/>
        </w:rPr>
        <w:t>Material Environmental Matters</w:t>
      </w:r>
    </w:p>
    <w:p>
      <w:pPr>
        <w:spacing w:after="0" w:line="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color w:val="auto"/>
        </w:rPr>
        <w:t>Schedule 8.11</w:t>
      </w:r>
      <w:r>
        <w:rPr>
          <w:sz w:val="20"/>
          <w:szCs w:val="20"/>
          <w:color w:val="auto"/>
        </w:rPr>
        <w:tab/>
      </w:r>
      <w:r>
        <w:rPr>
          <w:rFonts w:ascii="Times New Roman" w:cs="Times New Roman" w:eastAsia="Times New Roman" w:hAnsi="Times New Roman"/>
          <w:sz w:val="18"/>
          <w:szCs w:val="18"/>
          <w:color w:val="auto"/>
        </w:rPr>
        <w:t>Critical Assets</w:t>
      </w:r>
    </w:p>
    <w:p>
      <w:pPr>
        <w:spacing w:after="0" w:line="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color w:val="auto"/>
        </w:rPr>
        <w:t>Schedule 8.13</w:t>
      </w:r>
      <w:r>
        <w:rPr>
          <w:sz w:val="20"/>
          <w:szCs w:val="20"/>
          <w:color w:val="auto"/>
        </w:rPr>
        <w:tab/>
      </w:r>
      <w:r>
        <w:rPr>
          <w:rFonts w:ascii="Times New Roman" w:cs="Times New Roman" w:eastAsia="Times New Roman" w:hAnsi="Times New Roman"/>
          <w:sz w:val="18"/>
          <w:szCs w:val="18"/>
          <w:color w:val="auto"/>
        </w:rPr>
        <w:t>Non-Standard Transactions with Affiliates</w:t>
      </w:r>
    </w:p>
    <w:p>
      <w:pPr>
        <w:spacing w:after="0" w:line="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color w:val="auto"/>
        </w:rPr>
        <w:t>Schedule 8.24</w:t>
      </w:r>
      <w:r>
        <w:rPr>
          <w:sz w:val="20"/>
          <w:szCs w:val="20"/>
          <w:color w:val="auto"/>
        </w:rPr>
        <w:tab/>
      </w:r>
      <w:r>
        <w:rPr>
          <w:rFonts w:ascii="Times New Roman" w:cs="Times New Roman" w:eastAsia="Times New Roman" w:hAnsi="Times New Roman"/>
          <w:sz w:val="18"/>
          <w:szCs w:val="18"/>
          <w:color w:val="auto"/>
        </w:rPr>
        <w:t>Taxpayer Identification</w:t>
      </w:r>
    </w:p>
    <w:p>
      <w:pPr>
        <w:spacing w:after="0" w:line="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color w:val="auto"/>
        </w:rPr>
        <w:t>Schedule 10.8</w:t>
      </w:r>
      <w:r>
        <w:rPr>
          <w:sz w:val="20"/>
          <w:szCs w:val="20"/>
          <w:color w:val="auto"/>
        </w:rPr>
        <w:tab/>
      </w:r>
      <w:r>
        <w:rPr>
          <w:rFonts w:ascii="Times New Roman" w:cs="Times New Roman" w:eastAsia="Times New Roman" w:hAnsi="Times New Roman"/>
          <w:sz w:val="18"/>
          <w:szCs w:val="18"/>
          <w:color w:val="auto"/>
        </w:rPr>
        <w:t>Loans, Advances and Investments</w:t>
      </w:r>
    </w:p>
    <w:p>
      <w:pPr>
        <w:spacing w:after="0" w:line="1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color w:val="auto"/>
        </w:rPr>
        <w:t>Schedule 10.9</w:t>
      </w:r>
      <w:r>
        <w:rPr>
          <w:sz w:val="20"/>
          <w:szCs w:val="20"/>
          <w:color w:val="auto"/>
        </w:rPr>
        <w:tab/>
      </w:r>
      <w:r>
        <w:rPr>
          <w:rFonts w:ascii="Times New Roman" w:cs="Times New Roman" w:eastAsia="Times New Roman" w:hAnsi="Times New Roman"/>
          <w:sz w:val="18"/>
          <w:szCs w:val="18"/>
          <w:color w:val="auto"/>
        </w:rPr>
        <w:t>Permitted Distributions</w:t>
      </w:r>
    </w:p>
    <w:p>
      <w:pPr>
        <w:spacing w:after="0" w:line="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9"/>
          <w:szCs w:val="19"/>
          <w:color w:val="auto"/>
        </w:rPr>
        <w:t>Schedule 10.16</w:t>
      </w:r>
      <w:r>
        <w:rPr>
          <w:sz w:val="20"/>
          <w:szCs w:val="20"/>
          <w:color w:val="auto"/>
        </w:rPr>
        <w:tab/>
      </w:r>
      <w:r>
        <w:rPr>
          <w:rFonts w:ascii="Times New Roman" w:cs="Times New Roman" w:eastAsia="Times New Roman" w:hAnsi="Times New Roman"/>
          <w:sz w:val="18"/>
          <w:szCs w:val="18"/>
          <w:color w:val="auto"/>
        </w:rPr>
        <w:t>Existing Burdensome Agreements</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9"/>
          <w:szCs w:val="19"/>
          <w:color w:val="auto"/>
        </w:rPr>
        <w:t>Exhibit A-1</w:t>
        <w:tab/>
        <w:t>Form of Revolver Note</w:t>
      </w:r>
    </w:p>
    <w:p>
      <w:pPr>
        <w:spacing w:after="0" w:line="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9"/>
          <w:szCs w:val="19"/>
          <w:color w:val="auto"/>
        </w:rPr>
        <w:t>Exhibit A-2</w:t>
      </w:r>
      <w:r>
        <w:rPr>
          <w:sz w:val="20"/>
          <w:szCs w:val="20"/>
          <w:color w:val="auto"/>
        </w:rPr>
        <w:tab/>
      </w:r>
      <w:r>
        <w:rPr>
          <w:rFonts w:ascii="Times New Roman" w:cs="Times New Roman" w:eastAsia="Times New Roman" w:hAnsi="Times New Roman"/>
          <w:sz w:val="18"/>
          <w:szCs w:val="18"/>
          <w:color w:val="auto"/>
        </w:rPr>
        <w:t>Form of Term Loan Note</w:t>
      </w:r>
    </w:p>
    <w:p>
      <w:pPr>
        <w:spacing w:after="0" w:line="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9"/>
          <w:szCs w:val="19"/>
          <w:color w:val="auto"/>
        </w:rPr>
        <w:t>Exhibit B</w:t>
      </w:r>
      <w:r>
        <w:rPr>
          <w:sz w:val="20"/>
          <w:szCs w:val="20"/>
          <w:color w:val="auto"/>
        </w:rPr>
        <w:tab/>
      </w:r>
      <w:r>
        <w:rPr>
          <w:rFonts w:ascii="Times New Roman" w:cs="Times New Roman" w:eastAsia="Times New Roman" w:hAnsi="Times New Roman"/>
          <w:sz w:val="18"/>
          <w:szCs w:val="18"/>
          <w:color w:val="auto"/>
        </w:rPr>
        <w:t>Form of Guaranty</w:t>
      </w:r>
    </w:p>
    <w:p>
      <w:pPr>
        <w:spacing w:after="0" w:line="1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9"/>
          <w:szCs w:val="19"/>
          <w:color w:val="auto"/>
        </w:rPr>
        <w:t>Exhibit C</w:t>
      </w:r>
      <w:r>
        <w:rPr>
          <w:sz w:val="20"/>
          <w:szCs w:val="20"/>
          <w:color w:val="auto"/>
        </w:rPr>
        <w:tab/>
      </w:r>
      <w:r>
        <w:rPr>
          <w:rFonts w:ascii="Times New Roman" w:cs="Times New Roman" w:eastAsia="Times New Roman" w:hAnsi="Times New Roman"/>
          <w:sz w:val="18"/>
          <w:szCs w:val="18"/>
          <w:color w:val="auto"/>
        </w:rPr>
        <w:t>Form of Loan Notice</w:t>
      </w:r>
    </w:p>
    <w:p>
      <w:pPr>
        <w:spacing w:after="0" w:line="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color w:val="auto"/>
        </w:rPr>
        <w:t>Exhibit D</w:t>
      </w:r>
      <w:r>
        <w:rPr>
          <w:sz w:val="20"/>
          <w:szCs w:val="20"/>
          <w:color w:val="auto"/>
        </w:rPr>
        <w:tab/>
      </w:r>
      <w:r>
        <w:rPr>
          <w:rFonts w:ascii="Times New Roman" w:cs="Times New Roman" w:eastAsia="Times New Roman" w:hAnsi="Times New Roman"/>
          <w:sz w:val="18"/>
          <w:szCs w:val="18"/>
          <w:color w:val="auto"/>
        </w:rPr>
        <w:t>Form of Compliance Certificate</w:t>
      </w:r>
    </w:p>
    <w:p>
      <w:pPr>
        <w:spacing w:after="0" w:line="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9"/>
          <w:szCs w:val="19"/>
          <w:color w:val="auto"/>
        </w:rPr>
        <w:t>Exhibit E</w:t>
      </w:r>
      <w:r>
        <w:rPr>
          <w:sz w:val="20"/>
          <w:szCs w:val="20"/>
          <w:color w:val="auto"/>
        </w:rPr>
        <w:tab/>
      </w:r>
      <w:r>
        <w:rPr>
          <w:rFonts w:ascii="Times New Roman" w:cs="Times New Roman" w:eastAsia="Times New Roman" w:hAnsi="Times New Roman"/>
          <w:sz w:val="18"/>
          <w:szCs w:val="18"/>
          <w:color w:val="auto"/>
        </w:rPr>
        <w:t>Form of Assignment and Assumption</w:t>
      </w:r>
    </w:p>
    <w:p>
      <w:pPr>
        <w:spacing w:after="0" w:line="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9"/>
          <w:szCs w:val="19"/>
          <w:color w:val="auto"/>
        </w:rPr>
        <w:t>Exhibit F</w:t>
      </w:r>
      <w:r>
        <w:rPr>
          <w:sz w:val="20"/>
          <w:szCs w:val="20"/>
          <w:color w:val="auto"/>
        </w:rPr>
        <w:tab/>
      </w:r>
      <w:r>
        <w:rPr>
          <w:rFonts w:ascii="Times New Roman" w:cs="Times New Roman" w:eastAsia="Times New Roman" w:hAnsi="Times New Roman"/>
          <w:sz w:val="18"/>
          <w:szCs w:val="18"/>
          <w:color w:val="auto"/>
        </w:rPr>
        <w:t>Form of Pledge Agreement</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Exhibit G-1:</w:t>
      </w:r>
      <w:r>
        <w:rPr>
          <w:sz w:val="20"/>
          <w:szCs w:val="20"/>
          <w:color w:val="auto"/>
        </w:rPr>
        <w:tab/>
      </w:r>
      <w:r>
        <w:rPr>
          <w:rFonts w:ascii="Times New Roman" w:cs="Times New Roman" w:eastAsia="Times New Roman" w:hAnsi="Times New Roman"/>
          <w:sz w:val="18"/>
          <w:szCs w:val="18"/>
          <w:color w:val="auto"/>
        </w:rPr>
        <w:t>Form of U.S. Tax Compliance Certificate (For Foreign Lenders That Are Not Partnerships for U.S. Federal Income Tax Purposes)</w:t>
      </w:r>
    </w:p>
    <w:p>
      <w:pPr>
        <w:spacing w:after="0" w:line="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Exhibit G-2:</w:t>
      </w:r>
      <w:r>
        <w:rPr>
          <w:sz w:val="20"/>
          <w:szCs w:val="20"/>
          <w:color w:val="auto"/>
        </w:rPr>
        <w:tab/>
      </w:r>
      <w:r>
        <w:rPr>
          <w:rFonts w:ascii="Times New Roman" w:cs="Times New Roman" w:eastAsia="Times New Roman" w:hAnsi="Times New Roman"/>
          <w:sz w:val="18"/>
          <w:szCs w:val="18"/>
          <w:color w:val="auto"/>
        </w:rPr>
        <w:t>Form of U.S. Tax Compliance Certificate (For Foreign Participants That Are Not Partnerships for U.S. Federal Income Tax Purposes)</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Exhibit G-3:</w:t>
      </w:r>
      <w:r>
        <w:rPr>
          <w:sz w:val="20"/>
          <w:szCs w:val="20"/>
          <w:color w:val="auto"/>
        </w:rPr>
        <w:tab/>
      </w:r>
      <w:r>
        <w:rPr>
          <w:rFonts w:ascii="Times New Roman" w:cs="Times New Roman" w:eastAsia="Times New Roman" w:hAnsi="Times New Roman"/>
          <w:sz w:val="18"/>
          <w:szCs w:val="18"/>
          <w:color w:val="auto"/>
        </w:rPr>
        <w:t>Form of U.S. Tax Compliance Certificate (For Foreign Participants That Are Partnerships for U.S. Federal Income Tax Purposes)</w:t>
      </w:r>
    </w:p>
    <w:p>
      <w:pPr>
        <w:spacing w:after="0" w:line="1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color w:val="auto"/>
        </w:rPr>
        <w:t>Exhibit G-4:</w:t>
      </w:r>
      <w:r>
        <w:rPr>
          <w:sz w:val="20"/>
          <w:szCs w:val="20"/>
          <w:color w:val="auto"/>
        </w:rPr>
        <w:tab/>
      </w:r>
      <w:r>
        <w:rPr>
          <w:rFonts w:ascii="Times New Roman" w:cs="Times New Roman" w:eastAsia="Times New Roman" w:hAnsi="Times New Roman"/>
          <w:sz w:val="18"/>
          <w:szCs w:val="18"/>
          <w:color w:val="auto"/>
        </w:rPr>
        <w:t>Form of U.S. Tax Compliance Certificate (For Foreign Lenders That Are Partnerships for U.S. Federal Income Tax Purposes)</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NINTH AMENDED AND RESTATED CREDIT AGREEMENT</w:t>
      </w:r>
    </w:p>
    <w:p>
      <w:pPr>
        <w:spacing w:after="0" w:line="326" w:lineRule="exact"/>
        <w:rPr>
          <w:sz w:val="20"/>
          <w:szCs w:val="20"/>
          <w:color w:val="auto"/>
        </w:rPr>
      </w:pPr>
    </w:p>
    <w:p>
      <w:pPr>
        <w:ind w:firstLine="618"/>
        <w:spacing w:after="0" w:line="296" w:lineRule="auto"/>
        <w:rPr>
          <w:sz w:val="20"/>
          <w:szCs w:val="20"/>
          <w:color w:val="auto"/>
        </w:rPr>
      </w:pPr>
      <w:r>
        <w:rPr>
          <w:rFonts w:ascii="Times New Roman" w:cs="Times New Roman" w:eastAsia="Times New Roman" w:hAnsi="Times New Roman"/>
          <w:sz w:val="18"/>
          <w:szCs w:val="18"/>
          <w:color w:val="auto"/>
        </w:rPr>
        <w:t>This Ninth Amended and Restated Credit Agreement is entered into as of April 24, 2024, among Vail Holdings, Inc., a Colorado corporation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Lenders (defined below), and Bank of America, N.A., as Administrative Agent (as defined below) for itself and the other Lenders.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10" w:lineRule="exact"/>
        <w:rPr>
          <w:sz w:val="20"/>
          <w:szCs w:val="20"/>
          <w:color w:val="auto"/>
        </w:rPr>
      </w:pPr>
    </w:p>
    <w:p>
      <w:pPr>
        <w:ind w:firstLine="621"/>
        <w:spacing w:after="0" w:line="282" w:lineRule="auto"/>
        <w:tabs>
          <w:tab w:leader="none" w:pos="1064"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 is made to that certain Eighth Amended and Restated Credit Agreement dated as of August 15, 2018, among Borrower, Bank of America, N.A., as administrative agent, and the lenders therein named (the “</w:t>
      </w:r>
      <w:r>
        <w:rPr>
          <w:rFonts w:ascii="Times New Roman" w:cs="Times New Roman" w:eastAsia="Times New Roman" w:hAnsi="Times New Roman"/>
          <w:sz w:val="19"/>
          <w:szCs w:val="19"/>
          <w:b w:val="1"/>
          <w:bCs w:val="1"/>
          <w:i w:val="1"/>
          <w:iCs w:val="1"/>
          <w:color w:val="auto"/>
        </w:rPr>
        <w:t>Existing Credit Agreement</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left="980" w:hanging="359"/>
        <w:spacing w:after="0"/>
        <w:tabs>
          <w:tab w:leader="none" w:pos="98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wish to amend and restate the Existing Credit Agreement on the terms and conditions of this Agreement.</w:t>
      </w:r>
    </w:p>
    <w:p>
      <w:pPr>
        <w:spacing w:after="0" w:line="206" w:lineRule="exact"/>
        <w:rPr>
          <w:sz w:val="20"/>
          <w:szCs w:val="20"/>
          <w:color w:val="auto"/>
        </w:rPr>
      </w:pPr>
    </w:p>
    <w:p>
      <w:pPr>
        <w:ind w:firstLine="618"/>
        <w:spacing w:after="0" w:line="282" w:lineRule="auto"/>
        <w:rPr>
          <w:sz w:val="20"/>
          <w:szCs w:val="20"/>
          <w:color w:val="auto"/>
        </w:rPr>
      </w:pPr>
      <w:r>
        <w:rPr>
          <w:rFonts w:ascii="Times New Roman" w:cs="Times New Roman" w:eastAsia="Times New Roman" w:hAnsi="Times New Roman"/>
          <w:sz w:val="19"/>
          <w:szCs w:val="19"/>
          <w:color w:val="auto"/>
        </w:rPr>
        <w:t>In consideration of the mutual covenants contained herein, and for other good and valuable consideration, the receipt and adequacy of which are hereby acknowledged, the Existing Credit Agreement is hereby amended and restated to read in its entirety as follows:</w:t>
      </w:r>
    </w:p>
    <w:p>
      <w:pPr>
        <w:spacing w:after="0" w:line="13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b w:val="1"/>
          <w:bCs w:val="1"/>
          <w:u w:val="single" w:color="auto"/>
          <w:color w:val="auto"/>
        </w:rPr>
        <w:t>SECTION 1</w:t>
      </w:r>
      <w:r>
        <w:rPr>
          <w:sz w:val="20"/>
          <w:szCs w:val="20"/>
          <w:color w:val="auto"/>
        </w:rPr>
        <w:tab/>
      </w:r>
      <w:r>
        <w:rPr>
          <w:rFonts w:ascii="Times New Roman" w:cs="Times New Roman" w:eastAsia="Times New Roman" w:hAnsi="Times New Roman"/>
          <w:sz w:val="18"/>
          <w:szCs w:val="18"/>
          <w:b w:val="1"/>
          <w:bCs w:val="1"/>
          <w:u w:val="single" w:color="auto"/>
          <w:color w:val="auto"/>
        </w:rPr>
        <w:t>DEFINITIONS AND TERMS.</w:t>
      </w:r>
    </w:p>
    <w:p>
      <w:pPr>
        <w:spacing w:after="0" w:line="22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2020 VRI Convertible Indenture </w:t>
      </w:r>
      <w:r>
        <w:rPr>
          <w:rFonts w:ascii="Times New Roman" w:cs="Times New Roman" w:eastAsia="Times New Roman" w:hAnsi="Times New Roman"/>
          <w:sz w:val="19"/>
          <w:szCs w:val="19"/>
          <w:color w:val="auto"/>
        </w:rPr>
        <w:t>means the Indenture, dated as of December 18, 2020, between VRI, as issuer, and U.S. Bank National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Association, as trustee, as supplemented from time to time.</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2020 VRI Convertible Notes </w:t>
      </w:r>
      <w:r>
        <w:rPr>
          <w:rFonts w:ascii="Times New Roman" w:cs="Times New Roman" w:eastAsia="Times New Roman" w:hAnsi="Times New Roman"/>
          <w:sz w:val="19"/>
          <w:szCs w:val="19"/>
          <w:color w:val="auto"/>
        </w:rPr>
        <w:t>means the 0.0% Convertible Notes issued under the 2020 VRI Convertible Indenture.</w:t>
      </w:r>
    </w:p>
    <w:p>
      <w:pPr>
        <w:spacing w:after="0" w:line="206" w:lineRule="exact"/>
        <w:rPr>
          <w:sz w:val="20"/>
          <w:szCs w:val="20"/>
          <w:color w:val="auto"/>
        </w:rPr>
      </w:pPr>
    </w:p>
    <w:p>
      <w:pPr>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2020 VRI Senior Indenture </w:t>
      </w:r>
      <w:r>
        <w:rPr>
          <w:rFonts w:ascii="Times New Roman" w:cs="Times New Roman" w:eastAsia="Times New Roman" w:hAnsi="Times New Roman"/>
          <w:sz w:val="19"/>
          <w:szCs w:val="19"/>
          <w:color w:val="auto"/>
        </w:rPr>
        <w:t>means the Indenture, dated as of May 4, 2020, among VRI, as issuer, U.S. Bank National Association,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trustee, and certain of VRI’s Subsidiaries, as guarantors, as supplemented from time to time.</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2020 VRI Senior Notes </w:t>
      </w:r>
      <w:r>
        <w:rPr>
          <w:rFonts w:ascii="Times New Roman" w:cs="Times New Roman" w:eastAsia="Times New Roman" w:hAnsi="Times New Roman"/>
          <w:sz w:val="19"/>
          <w:szCs w:val="19"/>
          <w:color w:val="auto"/>
        </w:rPr>
        <w:t>means the 6.250% Senior Notes issued under the 2020 VRI Senior Indenture.</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Act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15.17</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Adjusted EBITDA </w:t>
      </w:r>
      <w:r>
        <w:rPr>
          <w:rFonts w:ascii="Times New Roman" w:cs="Times New Roman" w:eastAsia="Times New Roman" w:hAnsi="Times New Roman"/>
          <w:sz w:val="19"/>
          <w:szCs w:val="19"/>
          <w:color w:val="auto"/>
        </w:rPr>
        <w:t>means, without duplication, for any period of determination, the sum of (a) EBITDA of the Restricted Companies,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plus</w:t>
      </w:r>
    </w:p>
    <w:p>
      <w:pPr>
        <w:spacing w:after="0" w:line="26" w:lineRule="exact"/>
        <w:rPr>
          <w:sz w:val="20"/>
          <w:szCs w:val="20"/>
          <w:color w:val="auto"/>
        </w:rPr>
      </w:pPr>
    </w:p>
    <w:p>
      <w:pPr>
        <w:jc w:val="both"/>
        <w:ind w:firstLine="3"/>
        <w:spacing w:after="0" w:line="249" w:lineRule="auto"/>
        <w:tabs>
          <w:tab w:leader="none" w:pos="307"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insurance proceeds received in cash by the Restricted Companies under policies of business interruption insurance (or under policies of insurance which cover losses or claims of the same character or type) in a maximum amount not to exceed the EBITDA of the Restricted Companies for the most-recently-ended four fiscal quarters attributable to the applicable property or asset (as agreed upon by Administrative Agent and pro rated over a period of determination as deemed appropriate by Administrative Agent),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(c) non-cash losses of the Restricted Companies from foreign exchange conversions and mark-to-market adjustments to foreign exchange hedge agreements (or other derivatives),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(d) cash dividends or distributions based on income from any Unrestricted Subsidiary to a Restricted Subsidiary in an amount not to exceed the EBITDA of such Unrestricted Subsidiary for the most-recently-ended four fiscal quarters,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(e) extraordinary, unusual, or non-recurring charges, costs, and expenses of the Restricted Companies, including, without limitation, such</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 xml:space="preserve">charges, costs, and expenses for (i) financing fees, financial, and other advisory fees, accounting fees, legal fees (and similar advisory and consulting fees), and related costs and expenses incurred by the Restricted Companies in connection with permitted acquisitions and permitted asset sales (whether or not consummated), (ii) the restructuring, integration or reorganization of any Restricted Company or the Restricted Companies, (iii) the settlement of litigation or other claims against any Restricted Company, and (iv) the severance of employees of any Restricted Company (in an aggregate amount for any such expenses in </w:t>
      </w:r>
      <w:r>
        <w:rPr>
          <w:rFonts w:ascii="Times New Roman" w:cs="Times New Roman" w:eastAsia="Times New Roman" w:hAnsi="Times New Roman"/>
          <w:sz w:val="19"/>
          <w:szCs w:val="19"/>
          <w:b w:val="1"/>
          <w:bCs w:val="1"/>
          <w:i w:val="1"/>
          <w:iCs w:val="1"/>
          <w:color w:val="auto"/>
        </w:rPr>
        <w:t>clauses (i)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b w:val="1"/>
          <w:bCs w:val="1"/>
          <w:i w:val="1"/>
          <w:iCs w:val="1"/>
          <w:color w:val="auto"/>
        </w:rPr>
        <w:t>(iv)</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b w:val="1"/>
          <w:bCs w:val="1"/>
          <w:i w:val="1"/>
          <w:iCs w:val="1"/>
          <w:color w:val="auto"/>
        </w:rPr>
        <w:t>clause (e)</w:t>
      </w:r>
      <w:r>
        <w:rPr>
          <w:rFonts w:ascii="Times New Roman" w:cs="Times New Roman" w:eastAsia="Times New Roman" w:hAnsi="Times New Roman"/>
          <w:sz w:val="19"/>
          <w:szCs w:val="19"/>
          <w:color w:val="auto"/>
        </w:rPr>
        <w:t xml:space="preserve"> with respect to the most-recently-ended four fiscal quarters not to exceed 10% of EBITDA of the Restricted Companies for the most-recently-ended four fiscal quarters),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(f) non-cash costs of sales of real estate by the Restricted Companies in an amount not to exceed negative real estate EBITDA of Restricted Companies for such period,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(g) non-recurring losses included in the calculation of EBITDA of the Restricted Companies,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(h) non-recurring gains included in the calculation of EBITDA of the Restricted Companies,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(i) non-cash gains of the Restricted Companies from foreign exchange conversions and mark-to-market adjustments to foreign exchange hedge agreements (or other derivatives),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(j) for any payments by the Northstar Subsidiaries in respect of the portion of the Northstar Leases, if any, that is classified as a Capital Lease, the amount of such payment that would have been recorded as an operating lease expense had such portion of the Northstar Leases been classified as an operating lease. </w:t>
      </w:r>
      <w:r>
        <w:rPr>
          <w:rFonts w:ascii="Times New Roman" w:cs="Times New Roman" w:eastAsia="Times New Roman" w:hAnsi="Times New Roman"/>
          <w:sz w:val="19"/>
          <w:szCs w:val="19"/>
          <w:b w:val="1"/>
          <w:bCs w:val="1"/>
          <w:i w:val="1"/>
          <w:iCs w:val="1"/>
          <w:color w:val="auto"/>
        </w:rPr>
        <w:t>Adjusted EBITDA</w:t>
      </w:r>
      <w:r>
        <w:rPr>
          <w:rFonts w:ascii="Times New Roman" w:cs="Times New Roman" w:eastAsia="Times New Roman" w:hAnsi="Times New Roman"/>
          <w:sz w:val="19"/>
          <w:szCs w:val="19"/>
          <w:color w:val="auto"/>
        </w:rPr>
        <w:t xml:space="preserve">, for all purposes under this Agreement, shall (x) include, on a pro forma basis without duplication, all EBITDA of the Restricted Companies from assets acquired in accordance with this Agreement (including, without limitation, Restricted Subsidiaries formed or acquired in accordance with </w:t>
      </w:r>
      <w:r>
        <w:rPr>
          <w:rFonts w:ascii="Times New Roman" w:cs="Times New Roman" w:eastAsia="Times New Roman" w:hAnsi="Times New Roman"/>
          <w:sz w:val="19"/>
          <w:szCs w:val="19"/>
          <w:b w:val="1"/>
          <w:bCs w:val="1"/>
          <w:i w:val="1"/>
          <w:iCs w:val="1"/>
          <w:color w:val="auto"/>
        </w:rPr>
        <w:t>Section 9.10</w:t>
      </w:r>
      <w:r>
        <w:rPr>
          <w:rFonts w:ascii="Times New Roman" w:cs="Times New Roman" w:eastAsia="Times New Roman" w:hAnsi="Times New Roman"/>
          <w:sz w:val="19"/>
          <w:szCs w:val="19"/>
          <w:color w:val="auto"/>
        </w:rPr>
        <w:t xml:space="preserve"> hereof, and Unrestricted Subsidiaries re-designated as Restricted Subsidiaries in accordance with </w:t>
      </w:r>
      <w:r>
        <w:rPr>
          <w:rFonts w:ascii="Times New Roman" w:cs="Times New Roman" w:eastAsia="Times New Roman" w:hAnsi="Times New Roman"/>
          <w:sz w:val="19"/>
          <w:szCs w:val="19"/>
          <w:b w:val="1"/>
          <w:bCs w:val="1"/>
          <w:i w:val="1"/>
          <w:iCs w:val="1"/>
          <w:color w:val="auto"/>
        </w:rPr>
        <w:t>Section 9.11(b)</w:t>
      </w:r>
      <w:r>
        <w:rPr>
          <w:rFonts w:ascii="Times New Roman" w:cs="Times New Roman" w:eastAsia="Times New Roman" w:hAnsi="Times New Roman"/>
          <w:sz w:val="19"/>
          <w:szCs w:val="19"/>
          <w:color w:val="auto"/>
        </w:rPr>
        <w:t xml:space="preserve"> hereof, and if Borrower or any Restricted Company acquires, leases or otherwise gains control of the Park City base area from Park City Mountain Resort, such event shall be treated as an acquisition for purposes of the definition of Adjusted EBITDA) during any applicable period, calculated as if such assets were acquired on the first day of such period and including actual and identifiable cost synergies (provided by Borrower to Administrative Agent in writing) from acquisitions in an aggregate amount for such period not to exceed 10% of the EBITDA of the Restricted Companies for the most-recently-ended four fiscal quarters, and (y) exclude, on a pro forma basis, all EBITDA of the Restricted Companies from assets disposed in accordance with this Agreement during such period (including, without limitation, Restricted Subsidiaries re-designated as Unrestricted Subsidiaries in accordance with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9.11(a) </w:t>
      </w:r>
      <w:r>
        <w:rPr>
          <w:rFonts w:ascii="Times New Roman" w:cs="Times New Roman" w:eastAsia="Times New Roman" w:hAnsi="Times New Roman"/>
          <w:sz w:val="19"/>
          <w:szCs w:val="19"/>
          <w:color w:val="auto"/>
        </w:rPr>
        <w:t>hereof), calculated as if such assets were disposed on the first day of such period.</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Affected Financial Institution </w:t>
      </w:r>
      <w:r>
        <w:rPr>
          <w:rFonts w:ascii="Times New Roman" w:cs="Times New Roman" w:eastAsia="Times New Roman" w:hAnsi="Times New Roman"/>
          <w:sz w:val="19"/>
          <w:szCs w:val="19"/>
          <w:color w:val="auto"/>
        </w:rPr>
        <w:t>means (a) any EEA Financial Institution or (b) any UK Financial Institution.</w:t>
      </w:r>
    </w:p>
    <w:p>
      <w:pPr>
        <w:spacing w:after="0" w:line="219"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Administrative Agent </w:t>
      </w:r>
      <w:r>
        <w:rPr>
          <w:rFonts w:ascii="Times New Roman" w:cs="Times New Roman" w:eastAsia="Times New Roman" w:hAnsi="Times New Roman"/>
          <w:sz w:val="19"/>
          <w:szCs w:val="19"/>
          <w:color w:val="auto"/>
        </w:rPr>
        <w:t>means Bank of America, N.A., a national banking association, and its permitted successor as administrative agent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Lenders under this Agreement.</w:t>
      </w:r>
    </w:p>
    <w:p>
      <w:pPr>
        <w:spacing w:after="0" w:line="156"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Administrative Agent’s Office </w:t>
      </w:r>
      <w:r>
        <w:rPr>
          <w:rFonts w:ascii="Times New Roman" w:cs="Times New Roman" w:eastAsia="Times New Roman" w:hAnsi="Times New Roman"/>
          <w:sz w:val="19"/>
          <w:szCs w:val="19"/>
          <w:color w:val="auto"/>
        </w:rPr>
        <w:t>means Administrative Agent’s address and, as appropriate, account as set forth on</w:t>
      </w:r>
      <w:r>
        <w:rPr>
          <w:rFonts w:ascii="Times New Roman" w:cs="Times New Roman" w:eastAsia="Times New Roman" w:hAnsi="Times New Roman"/>
          <w:sz w:val="19"/>
          <w:szCs w:val="19"/>
          <w:b w:val="1"/>
          <w:bCs w:val="1"/>
          <w:i w:val="1"/>
          <w:iCs w:val="1"/>
          <w:color w:val="auto"/>
        </w:rPr>
        <w:t xml:space="preserve"> Schedule 1</w:t>
      </w:r>
      <w:r>
        <w:rPr>
          <w:rFonts w:ascii="Times New Roman" w:cs="Times New Roman" w:eastAsia="Times New Roman" w:hAnsi="Times New Roman"/>
          <w:sz w:val="19"/>
          <w:szCs w:val="19"/>
          <w:color w:val="auto"/>
        </w:rPr>
        <w:t>, or such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address or account as Administrative Agent may from time to time notify to Borrower and Lenders.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Administrative Questionnaire </w:t>
      </w:r>
      <w:r>
        <w:rPr>
          <w:rFonts w:ascii="Times New Roman" w:cs="Times New Roman" w:eastAsia="Times New Roman" w:hAnsi="Times New Roman"/>
          <w:sz w:val="19"/>
          <w:szCs w:val="19"/>
          <w:color w:val="auto"/>
        </w:rPr>
        <w:t>means an Administrative Questionnaire in a form supplied by Administrative Agent.</w:t>
      </w:r>
    </w:p>
    <w:p>
      <w:pPr>
        <w:spacing w:after="0" w:line="219"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Affiliate </w:t>
      </w:r>
      <w:r>
        <w:rPr>
          <w:rFonts w:ascii="Times New Roman" w:cs="Times New Roman" w:eastAsia="Times New Roman" w:hAnsi="Times New Roman"/>
          <w:sz w:val="19"/>
          <w:szCs w:val="19"/>
          <w:color w:val="auto"/>
        </w:rPr>
        <w:t>means with respect to any Person (the “</w:t>
      </w:r>
      <w:r>
        <w:rPr>
          <w:rFonts w:ascii="Times New Roman" w:cs="Times New Roman" w:eastAsia="Times New Roman" w:hAnsi="Times New Roman"/>
          <w:sz w:val="19"/>
          <w:szCs w:val="19"/>
          <w:b w:val="1"/>
          <w:bCs w:val="1"/>
          <w:i w:val="1"/>
          <w:iCs w:val="1"/>
          <w:color w:val="auto"/>
        </w:rPr>
        <w:t>Relevant Person</w:t>
      </w:r>
      <w:r>
        <w:rPr>
          <w:rFonts w:ascii="Times New Roman" w:cs="Times New Roman" w:eastAsia="Times New Roman" w:hAnsi="Times New Roman"/>
          <w:sz w:val="19"/>
          <w:szCs w:val="19"/>
          <w:color w:val="auto"/>
        </w:rPr>
        <w:t>”) (a) any other Person that directly, or indirectly through one or more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intermediaries, controls the relevant Person (a “</w:t>
      </w:r>
      <w:r>
        <w:rPr>
          <w:rFonts w:ascii="Times New Roman" w:cs="Times New Roman" w:eastAsia="Times New Roman" w:hAnsi="Times New Roman"/>
          <w:sz w:val="19"/>
          <w:szCs w:val="19"/>
          <w:b w:val="1"/>
          <w:bCs w:val="1"/>
          <w:i w:val="1"/>
          <w:iCs w:val="1"/>
          <w:color w:val="auto"/>
        </w:rPr>
        <w:t>Controlling Person</w:t>
      </w:r>
      <w:r>
        <w:rPr>
          <w:rFonts w:ascii="Times New Roman" w:cs="Times New Roman" w:eastAsia="Times New Roman" w:hAnsi="Times New Roman"/>
          <w:sz w:val="19"/>
          <w:szCs w:val="19"/>
          <w:color w:val="auto"/>
        </w:rPr>
        <w:t>”), or (b) any Person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the Relevant Person) which is controlled by or is under common control with a Controlling Person. As used herein, the term “</w:t>
      </w:r>
      <w:r>
        <w:rPr>
          <w:rFonts w:ascii="Times New Roman" w:cs="Times New Roman" w:eastAsia="Times New Roman" w:hAnsi="Times New Roman"/>
          <w:sz w:val="19"/>
          <w:szCs w:val="19"/>
          <w:i w:val="1"/>
          <w:iCs w:val="1"/>
          <w:color w:val="auto"/>
        </w:rPr>
        <w:t>control</w:t>
      </w:r>
      <w:r>
        <w:rPr>
          <w:rFonts w:ascii="Times New Roman" w:cs="Times New Roman" w:eastAsia="Times New Roman" w:hAnsi="Times New Roman"/>
          <w:sz w:val="19"/>
          <w:szCs w:val="19"/>
          <w:color w:val="auto"/>
        </w:rPr>
        <w:t>” means possession, directly 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22"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9"/>
          <w:szCs w:val="19"/>
          <w:color w:val="auto"/>
        </w:rPr>
        <w:t>indirectly, of the power to direct or cause the direction of the management or policies of a Person, whether through the ownership of voting securities, by contract, or otherwise.</w:t>
      </w:r>
    </w:p>
    <w:p>
      <w:pPr>
        <w:spacing w:after="0" w:line="137" w:lineRule="exact"/>
        <w:rPr>
          <w:sz w:val="20"/>
          <w:szCs w:val="20"/>
          <w:color w:val="auto"/>
        </w:rPr>
      </w:pPr>
    </w:p>
    <w:p>
      <w:pPr>
        <w:jc w:val="both"/>
        <w:ind w:right="100"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Agreement </w:t>
      </w:r>
      <w:r>
        <w:rPr>
          <w:rFonts w:ascii="Times New Roman" w:cs="Times New Roman" w:eastAsia="Times New Roman" w:hAnsi="Times New Roman"/>
          <w:sz w:val="19"/>
          <w:szCs w:val="19"/>
          <w:color w:val="auto"/>
        </w:rPr>
        <w:t>means this Ninth Amended and Restated Credit Agreement, and all schedules and exhibits thereto, as renewed, extended,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amended, supplemented, or restated from time to time.</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Agreement Currency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15.22</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Alternative Currency </w:t>
      </w:r>
      <w:r>
        <w:rPr>
          <w:rFonts w:ascii="Times New Roman" w:cs="Times New Roman" w:eastAsia="Times New Roman" w:hAnsi="Times New Roman"/>
          <w:sz w:val="19"/>
          <w:szCs w:val="19"/>
          <w:color w:val="auto"/>
        </w:rPr>
        <w:t>means, with respect to L/Cs, Australian Dollars.</w:t>
      </w:r>
    </w:p>
    <w:p>
      <w:pPr>
        <w:spacing w:after="0" w:line="219" w:lineRule="exact"/>
        <w:rPr>
          <w:sz w:val="20"/>
          <w:szCs w:val="20"/>
          <w:color w:val="auto"/>
        </w:rPr>
      </w:pPr>
    </w:p>
    <w:p>
      <w:pPr>
        <w:jc w:val="both"/>
        <w:ind w:right="100"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Alternative Currency Equivalent </w:t>
      </w:r>
      <w:r>
        <w:rPr>
          <w:rFonts w:ascii="Times New Roman" w:cs="Times New Roman" w:eastAsia="Times New Roman" w:hAnsi="Times New Roman"/>
          <w:sz w:val="19"/>
          <w:szCs w:val="19"/>
          <w:color w:val="auto"/>
        </w:rPr>
        <w:t>means, at any time, with respect to any amount denominated in Dollars, the equivalent amount thereof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Alternative Currency as determined by Administrative Agent or the Australian L/C Issuer, as the case may be, at such time on the basis of the Spot Rate (determined in respect of the most recent Revaluation Date) for the purchase of the Alternative Currency with Dollars.</w:t>
      </w:r>
    </w:p>
    <w:p>
      <w:pPr>
        <w:spacing w:after="0" w:line="155" w:lineRule="exact"/>
        <w:rPr>
          <w:sz w:val="20"/>
          <w:szCs w:val="20"/>
          <w:color w:val="auto"/>
        </w:rPr>
      </w:pPr>
    </w:p>
    <w:p>
      <w:pPr>
        <w:jc w:val="both"/>
        <w:ind w:right="100"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Anti-Corruption Laws </w:t>
      </w:r>
      <w:r>
        <w:rPr>
          <w:rFonts w:ascii="Times New Roman" w:cs="Times New Roman" w:eastAsia="Times New Roman" w:hAnsi="Times New Roman"/>
          <w:sz w:val="19"/>
          <w:szCs w:val="19"/>
          <w:color w:val="auto"/>
        </w:rPr>
        <w:t>means the United States Foreign Corrupt Practices Act of 1977, the United Kingdom Bribery Act 2010 and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other applicable U.S. federal or state laws concerning or related to bribery or corruption.</w:t>
      </w:r>
    </w:p>
    <w:p>
      <w:pPr>
        <w:spacing w:after="0" w:line="143" w:lineRule="exact"/>
        <w:rPr>
          <w:sz w:val="20"/>
          <w:szCs w:val="20"/>
          <w:color w:val="auto"/>
        </w:rPr>
      </w:pPr>
    </w:p>
    <w:p>
      <w:pPr>
        <w:jc w:val="both"/>
        <w:ind w:right="100"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Applicable Margin </w:t>
      </w:r>
      <w:r>
        <w:rPr>
          <w:rFonts w:ascii="Times New Roman" w:cs="Times New Roman" w:eastAsia="Times New Roman" w:hAnsi="Times New Roman"/>
          <w:sz w:val="19"/>
          <w:szCs w:val="19"/>
          <w:color w:val="auto"/>
        </w:rPr>
        <w:t>means, for any day, the margin of interest over the Base Rate or Term Reference Rate, as the case may be, that 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applicable when any interest rate is determined under this Agreement. The Applicable Margin is subject to adjustment (upwards or downwards, as appropriate) based on the ratio of Net Funded Debt to Adjusted EBITDA, as follows:</w:t>
      </w:r>
    </w:p>
    <w:p>
      <w:pPr>
        <w:spacing w:after="0" w:line="187" w:lineRule="exact"/>
        <w:rPr>
          <w:sz w:val="20"/>
          <w:szCs w:val="20"/>
          <w:color w:val="auto"/>
        </w:rPr>
      </w:pPr>
    </w:p>
    <w:tbl>
      <w:tblPr>
        <w:tblLayout w:type="fixed"/>
        <w:tblInd w:w="630" w:type="dxa"/>
        <w:tblCellMar>
          <w:top w:w="0" w:type="dxa"/>
          <w:left w:w="0" w:type="dxa"/>
          <w:bottom w:w="0" w:type="dxa"/>
          <w:right w:w="0" w:type="dxa"/>
        </w:tblCellMar>
      </w:tblPr>
      <w:tr>
        <w:trPr>
          <w:trHeight w:val="143"/>
        </w:trPr>
        <w:tc>
          <w:tcPr>
            <w:tcW w:w="1000" w:type="dxa"/>
            <w:vAlign w:val="bottom"/>
            <w:tcBorders>
              <w:top w:val="single" w:sz="8" w:color="auto"/>
              <w:left w:val="single" w:sz="8" w:color="auto"/>
              <w:right w:val="single" w:sz="8" w:color="auto"/>
            </w:tcBorders>
          </w:tcPr>
          <w:p>
            <w:pPr>
              <w:spacing w:after="0"/>
              <w:rPr>
                <w:sz w:val="12"/>
                <w:szCs w:val="12"/>
                <w:color w:val="auto"/>
              </w:rPr>
            </w:pPr>
          </w:p>
        </w:tc>
        <w:tc>
          <w:tcPr>
            <w:tcW w:w="5480" w:type="dxa"/>
            <w:vAlign w:val="bottom"/>
            <w:tcBorders>
              <w:top w:val="single" w:sz="8" w:color="auto"/>
              <w:right w:val="single" w:sz="8" w:color="auto"/>
            </w:tcBorders>
          </w:tcPr>
          <w:p>
            <w:pPr>
              <w:spacing w:after="0"/>
              <w:rPr>
                <w:sz w:val="12"/>
                <w:szCs w:val="12"/>
                <w:color w:val="auto"/>
              </w:rPr>
            </w:pPr>
          </w:p>
        </w:tc>
        <w:tc>
          <w:tcPr>
            <w:tcW w:w="2640" w:type="dxa"/>
            <w:vAlign w:val="bottom"/>
            <w:tcBorders>
              <w:top w:val="single" w:sz="8" w:color="auto"/>
              <w:right w:val="single" w:sz="8" w:color="auto"/>
            </w:tcBorders>
          </w:tcPr>
          <w:p>
            <w:pPr>
              <w:jc w:val="center"/>
              <w:ind w:left="475"/>
              <w:spacing w:after="0" w:line="143" w:lineRule="exact"/>
              <w:rPr>
                <w:sz w:val="20"/>
                <w:szCs w:val="20"/>
                <w:color w:val="auto"/>
              </w:rPr>
            </w:pPr>
            <w:r>
              <w:rPr>
                <w:rFonts w:ascii="Times New Roman" w:cs="Times New Roman" w:eastAsia="Times New Roman" w:hAnsi="Times New Roman"/>
                <w:sz w:val="14"/>
                <w:szCs w:val="14"/>
                <w:b w:val="1"/>
                <w:bCs w:val="1"/>
                <w:color w:val="auto"/>
                <w:w w:val="98"/>
              </w:rPr>
              <w:t>Applicable Margin for</w:t>
            </w:r>
          </w:p>
        </w:tc>
        <w:tc>
          <w:tcPr>
            <w:tcW w:w="1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Applicable M</w:t>
            </w:r>
          </w:p>
        </w:tc>
        <w:tc>
          <w:tcPr>
            <w:tcW w:w="0" w:type="dxa"/>
            <w:vAlign w:val="bottom"/>
          </w:tcPr>
          <w:p>
            <w:pPr>
              <w:spacing w:after="0"/>
              <w:rPr>
                <w:sz w:val="1"/>
                <w:szCs w:val="1"/>
                <w:color w:val="auto"/>
              </w:rPr>
            </w:pPr>
          </w:p>
        </w:tc>
      </w:tr>
      <w:tr>
        <w:trPr>
          <w:trHeight w:val="142"/>
        </w:trPr>
        <w:tc>
          <w:tcPr>
            <w:tcW w:w="1000" w:type="dxa"/>
            <w:vAlign w:val="bottom"/>
            <w:tcBorders>
              <w:left w:val="single" w:sz="8" w:color="auto"/>
              <w:right w:val="single" w:sz="8" w:color="auto"/>
            </w:tcBorders>
          </w:tcPr>
          <w:p>
            <w:pPr>
              <w:spacing w:after="0"/>
              <w:rPr>
                <w:sz w:val="12"/>
                <w:szCs w:val="12"/>
                <w:color w:val="auto"/>
              </w:rPr>
            </w:pPr>
          </w:p>
        </w:tc>
        <w:tc>
          <w:tcPr>
            <w:tcW w:w="5480" w:type="dxa"/>
            <w:vAlign w:val="bottom"/>
            <w:tcBorders>
              <w:right w:val="single" w:sz="8" w:color="auto"/>
            </w:tcBorders>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Ratio of Net Funded Debt to Adjusted EBITDA</w:t>
            </w:r>
          </w:p>
        </w:tc>
        <w:tc>
          <w:tcPr>
            <w:tcW w:w="2640" w:type="dxa"/>
            <w:vAlign w:val="bottom"/>
            <w:tcBorders>
              <w:right w:val="single" w:sz="8" w:color="auto"/>
            </w:tcBorders>
          </w:tcPr>
          <w:p>
            <w:pPr>
              <w:jc w:val="center"/>
              <w:ind w:left="515"/>
              <w:spacing w:after="0" w:line="142" w:lineRule="exact"/>
              <w:rPr>
                <w:sz w:val="20"/>
                <w:szCs w:val="20"/>
                <w:color w:val="auto"/>
              </w:rPr>
            </w:pPr>
            <w:r>
              <w:rPr>
                <w:rFonts w:ascii="Times New Roman" w:cs="Times New Roman" w:eastAsia="Times New Roman" w:hAnsi="Times New Roman"/>
                <w:sz w:val="14"/>
                <w:szCs w:val="14"/>
                <w:b w:val="1"/>
                <w:bCs w:val="1"/>
                <w:color w:val="auto"/>
                <w:w w:val="96"/>
              </w:rPr>
              <w:t>Term Reference Rate Loans and</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000" w:type="dxa"/>
            <w:vAlign w:val="bottom"/>
            <w:tcBorders>
              <w:left w:val="single" w:sz="8" w:color="auto"/>
              <w:bottom w:val="single" w:sz="8" w:color="auto"/>
              <w:right w:val="single" w:sz="8" w:color="auto"/>
            </w:tcBorders>
          </w:tcPr>
          <w:p>
            <w:pPr>
              <w:spacing w:after="0"/>
              <w:rPr>
                <w:sz w:val="16"/>
                <w:szCs w:val="16"/>
                <w:color w:val="auto"/>
              </w:rPr>
            </w:pPr>
          </w:p>
        </w:tc>
        <w:tc>
          <w:tcPr>
            <w:tcW w:w="5480" w:type="dxa"/>
            <w:vAlign w:val="bottom"/>
            <w:tcBorders>
              <w:bottom w:val="single" w:sz="8" w:color="auto"/>
              <w:right w:val="single" w:sz="8" w:color="auto"/>
            </w:tcBorders>
            <w:vMerge w:val="continue"/>
          </w:tcPr>
          <w:p>
            <w:pPr>
              <w:spacing w:after="0"/>
              <w:rPr>
                <w:sz w:val="16"/>
                <w:szCs w:val="16"/>
                <w:color w:val="auto"/>
              </w:rPr>
            </w:pPr>
          </w:p>
        </w:tc>
        <w:tc>
          <w:tcPr>
            <w:tcW w:w="264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Daily SOFR Rate Loans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Base Rate L</w:t>
            </w:r>
          </w:p>
        </w:tc>
        <w:tc>
          <w:tcPr>
            <w:tcW w:w="0" w:type="dxa"/>
            <w:vAlign w:val="bottom"/>
          </w:tcPr>
          <w:p>
            <w:pPr>
              <w:spacing w:after="0"/>
              <w:rPr>
                <w:sz w:val="1"/>
                <w:szCs w:val="1"/>
                <w:color w:val="auto"/>
              </w:rPr>
            </w:pPr>
          </w:p>
        </w:tc>
      </w:tr>
      <w:tr>
        <w:trPr>
          <w:trHeight w:val="242"/>
        </w:trPr>
        <w:tc>
          <w:tcPr>
            <w:tcW w:w="1000" w:type="dxa"/>
            <w:vAlign w:val="bottom"/>
            <w:tcBorders>
              <w:left w:val="single" w:sz="8" w:color="auto"/>
              <w:bottom w:val="single" w:sz="8" w:color="auto"/>
              <w:right w:val="single" w:sz="8" w:color="auto"/>
            </w:tcBorders>
          </w:tcPr>
          <w:p>
            <w:pPr>
              <w:jc w:val="center"/>
              <w:ind w:left="526"/>
              <w:spacing w:after="0"/>
              <w:rPr>
                <w:sz w:val="20"/>
                <w:szCs w:val="20"/>
                <w:color w:val="auto"/>
              </w:rPr>
            </w:pPr>
            <w:r>
              <w:rPr>
                <w:rFonts w:ascii="Times New Roman" w:cs="Times New Roman" w:eastAsia="Times New Roman" w:hAnsi="Times New Roman"/>
                <w:sz w:val="19"/>
                <w:szCs w:val="19"/>
                <w:color w:val="auto"/>
                <w:w w:val="94"/>
              </w:rPr>
              <w:t>I</w:t>
            </w:r>
          </w:p>
        </w:tc>
        <w:tc>
          <w:tcPr>
            <w:tcW w:w="5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Less than 1.50 to 1.00</w:t>
            </w:r>
          </w:p>
        </w:tc>
        <w:tc>
          <w:tcPr>
            <w:tcW w:w="2640" w:type="dxa"/>
            <w:vAlign w:val="bottom"/>
            <w:tcBorders>
              <w:bottom w:val="single" w:sz="8" w:color="auto"/>
              <w:right w:val="single" w:sz="8" w:color="auto"/>
            </w:tcBorders>
          </w:tcPr>
          <w:p>
            <w:pPr>
              <w:jc w:val="center"/>
              <w:ind w:left="495"/>
              <w:spacing w:after="0"/>
              <w:rPr>
                <w:sz w:val="20"/>
                <w:szCs w:val="20"/>
                <w:color w:val="auto"/>
              </w:rPr>
            </w:pPr>
            <w:r>
              <w:rPr>
                <w:rFonts w:ascii="Times New Roman" w:cs="Times New Roman" w:eastAsia="Times New Roman" w:hAnsi="Times New Roman"/>
                <w:sz w:val="19"/>
                <w:szCs w:val="19"/>
                <w:color w:val="auto"/>
                <w:w w:val="98"/>
              </w:rPr>
              <w:t>1.125%</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0.125%</w:t>
            </w:r>
          </w:p>
        </w:tc>
        <w:tc>
          <w:tcPr>
            <w:tcW w:w="0" w:type="dxa"/>
            <w:vAlign w:val="bottom"/>
          </w:tcPr>
          <w:p>
            <w:pPr>
              <w:spacing w:after="0"/>
              <w:rPr>
                <w:sz w:val="1"/>
                <w:szCs w:val="1"/>
                <w:color w:val="auto"/>
              </w:rPr>
            </w:pPr>
          </w:p>
        </w:tc>
      </w:tr>
      <w:tr>
        <w:trPr>
          <w:trHeight w:val="238"/>
        </w:trPr>
        <w:tc>
          <w:tcPr>
            <w:tcW w:w="1000" w:type="dxa"/>
            <w:vAlign w:val="bottom"/>
            <w:tcBorders>
              <w:left w:val="single" w:sz="8" w:color="auto"/>
              <w:bottom w:val="single" w:sz="8" w:color="auto"/>
              <w:right w:val="single" w:sz="8" w:color="auto"/>
            </w:tcBorders>
          </w:tcPr>
          <w:p>
            <w:pPr>
              <w:jc w:val="center"/>
              <w:ind w:left="506"/>
              <w:spacing w:after="0"/>
              <w:rPr>
                <w:sz w:val="20"/>
                <w:szCs w:val="20"/>
                <w:color w:val="auto"/>
              </w:rPr>
            </w:pPr>
            <w:r>
              <w:rPr>
                <w:rFonts w:ascii="Times New Roman" w:cs="Times New Roman" w:eastAsia="Times New Roman" w:hAnsi="Times New Roman"/>
                <w:sz w:val="19"/>
                <w:szCs w:val="19"/>
                <w:color w:val="auto"/>
                <w:w w:val="94"/>
              </w:rPr>
              <w:t>II</w:t>
            </w:r>
          </w:p>
        </w:tc>
        <w:tc>
          <w:tcPr>
            <w:tcW w:w="5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Greater than or equal to 1.50 to 1.00, but less than 2.00 to 1.00</w:t>
            </w:r>
          </w:p>
        </w:tc>
        <w:tc>
          <w:tcPr>
            <w:tcW w:w="2640" w:type="dxa"/>
            <w:vAlign w:val="bottom"/>
            <w:tcBorders>
              <w:bottom w:val="single" w:sz="8" w:color="auto"/>
              <w:right w:val="single" w:sz="8" w:color="auto"/>
            </w:tcBorders>
          </w:tcPr>
          <w:p>
            <w:pPr>
              <w:jc w:val="center"/>
              <w:ind w:left="495"/>
              <w:spacing w:after="0"/>
              <w:rPr>
                <w:sz w:val="20"/>
                <w:szCs w:val="20"/>
                <w:color w:val="auto"/>
              </w:rPr>
            </w:pPr>
            <w:r>
              <w:rPr>
                <w:rFonts w:ascii="Times New Roman" w:cs="Times New Roman" w:eastAsia="Times New Roman" w:hAnsi="Times New Roman"/>
                <w:sz w:val="19"/>
                <w:szCs w:val="19"/>
                <w:color w:val="auto"/>
                <w:w w:val="98"/>
              </w:rPr>
              <w:t>1.250%</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0.250%</w:t>
            </w:r>
          </w:p>
        </w:tc>
        <w:tc>
          <w:tcPr>
            <w:tcW w:w="0" w:type="dxa"/>
            <w:vAlign w:val="bottom"/>
          </w:tcPr>
          <w:p>
            <w:pPr>
              <w:spacing w:after="0"/>
              <w:rPr>
                <w:sz w:val="1"/>
                <w:szCs w:val="1"/>
                <w:color w:val="auto"/>
              </w:rPr>
            </w:pPr>
          </w:p>
        </w:tc>
      </w:tr>
      <w:tr>
        <w:trPr>
          <w:trHeight w:val="238"/>
        </w:trPr>
        <w:tc>
          <w:tcPr>
            <w:tcW w:w="1000" w:type="dxa"/>
            <w:vAlign w:val="bottom"/>
            <w:tcBorders>
              <w:left w:val="single" w:sz="8" w:color="auto"/>
              <w:bottom w:val="single" w:sz="8" w:color="auto"/>
              <w:right w:val="single" w:sz="8" w:color="auto"/>
            </w:tcBorders>
          </w:tcPr>
          <w:p>
            <w:pPr>
              <w:jc w:val="center"/>
              <w:ind w:left="526"/>
              <w:spacing w:after="0"/>
              <w:rPr>
                <w:sz w:val="20"/>
                <w:szCs w:val="20"/>
                <w:color w:val="auto"/>
              </w:rPr>
            </w:pPr>
            <w:r>
              <w:rPr>
                <w:rFonts w:ascii="Times New Roman" w:cs="Times New Roman" w:eastAsia="Times New Roman" w:hAnsi="Times New Roman"/>
                <w:sz w:val="19"/>
                <w:szCs w:val="19"/>
                <w:color w:val="auto"/>
                <w:w w:val="94"/>
              </w:rPr>
              <w:t>III</w:t>
            </w:r>
          </w:p>
        </w:tc>
        <w:tc>
          <w:tcPr>
            <w:tcW w:w="5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Greater than or equal to 2.00 to 1.00, but less than 3.00 to 1.00</w:t>
            </w:r>
          </w:p>
        </w:tc>
        <w:tc>
          <w:tcPr>
            <w:tcW w:w="2640" w:type="dxa"/>
            <w:vAlign w:val="bottom"/>
            <w:tcBorders>
              <w:bottom w:val="single" w:sz="8" w:color="auto"/>
              <w:right w:val="single" w:sz="8" w:color="auto"/>
            </w:tcBorders>
          </w:tcPr>
          <w:p>
            <w:pPr>
              <w:jc w:val="center"/>
              <w:ind w:left="495"/>
              <w:spacing w:after="0"/>
              <w:rPr>
                <w:sz w:val="20"/>
                <w:szCs w:val="20"/>
                <w:color w:val="auto"/>
              </w:rPr>
            </w:pPr>
            <w:r>
              <w:rPr>
                <w:rFonts w:ascii="Times New Roman" w:cs="Times New Roman" w:eastAsia="Times New Roman" w:hAnsi="Times New Roman"/>
                <w:sz w:val="19"/>
                <w:szCs w:val="19"/>
                <w:color w:val="auto"/>
                <w:w w:val="98"/>
              </w:rPr>
              <w:t>1.500%</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0.500%</w:t>
            </w:r>
          </w:p>
        </w:tc>
        <w:tc>
          <w:tcPr>
            <w:tcW w:w="0" w:type="dxa"/>
            <w:vAlign w:val="bottom"/>
          </w:tcPr>
          <w:p>
            <w:pPr>
              <w:spacing w:after="0"/>
              <w:rPr>
                <w:sz w:val="1"/>
                <w:szCs w:val="1"/>
                <w:color w:val="auto"/>
              </w:rPr>
            </w:pPr>
          </w:p>
        </w:tc>
      </w:tr>
      <w:tr>
        <w:trPr>
          <w:trHeight w:val="272"/>
        </w:trPr>
        <w:tc>
          <w:tcPr>
            <w:tcW w:w="1000" w:type="dxa"/>
            <w:vAlign w:val="bottom"/>
            <w:tcBorders>
              <w:left w:val="single" w:sz="8" w:color="auto"/>
              <w:bottom w:val="single" w:sz="8" w:color="auto"/>
              <w:right w:val="single" w:sz="8" w:color="auto"/>
            </w:tcBorders>
          </w:tcPr>
          <w:p>
            <w:pPr>
              <w:jc w:val="center"/>
              <w:ind w:left="506"/>
              <w:spacing w:after="0"/>
              <w:rPr>
                <w:sz w:val="20"/>
                <w:szCs w:val="20"/>
                <w:color w:val="auto"/>
              </w:rPr>
            </w:pPr>
            <w:r>
              <w:rPr>
                <w:rFonts w:ascii="Times New Roman" w:cs="Times New Roman" w:eastAsia="Times New Roman" w:hAnsi="Times New Roman"/>
                <w:sz w:val="19"/>
                <w:szCs w:val="19"/>
                <w:color w:val="auto"/>
                <w:w w:val="99"/>
              </w:rPr>
              <w:t>IV</w:t>
            </w:r>
          </w:p>
        </w:tc>
        <w:tc>
          <w:tcPr>
            <w:tcW w:w="5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Greater than or equal to 3.00 to 1.00, but less than 4.00 to 1.00</w:t>
            </w:r>
          </w:p>
        </w:tc>
        <w:tc>
          <w:tcPr>
            <w:tcW w:w="2640" w:type="dxa"/>
            <w:vAlign w:val="bottom"/>
            <w:tcBorders>
              <w:bottom w:val="single" w:sz="8" w:color="auto"/>
              <w:right w:val="single" w:sz="8" w:color="auto"/>
            </w:tcBorders>
          </w:tcPr>
          <w:p>
            <w:pPr>
              <w:jc w:val="center"/>
              <w:ind w:left="495"/>
              <w:spacing w:after="0"/>
              <w:rPr>
                <w:sz w:val="20"/>
                <w:szCs w:val="20"/>
                <w:color w:val="auto"/>
              </w:rPr>
            </w:pPr>
            <w:r>
              <w:rPr>
                <w:rFonts w:ascii="Times New Roman" w:cs="Times New Roman" w:eastAsia="Times New Roman" w:hAnsi="Times New Roman"/>
                <w:sz w:val="19"/>
                <w:szCs w:val="19"/>
                <w:color w:val="auto"/>
                <w:w w:val="98"/>
              </w:rPr>
              <w:t>2.000%</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1.000%</w:t>
            </w:r>
          </w:p>
        </w:tc>
        <w:tc>
          <w:tcPr>
            <w:tcW w:w="0" w:type="dxa"/>
            <w:vAlign w:val="bottom"/>
          </w:tcPr>
          <w:p>
            <w:pPr>
              <w:spacing w:after="0"/>
              <w:rPr>
                <w:sz w:val="1"/>
                <w:szCs w:val="1"/>
                <w:color w:val="auto"/>
              </w:rPr>
            </w:pPr>
          </w:p>
        </w:tc>
      </w:tr>
      <w:tr>
        <w:trPr>
          <w:trHeight w:val="276"/>
        </w:trPr>
        <w:tc>
          <w:tcPr>
            <w:tcW w:w="1000" w:type="dxa"/>
            <w:vAlign w:val="bottom"/>
            <w:tcBorders>
              <w:left w:val="single" w:sz="8" w:color="auto"/>
              <w:bottom w:val="single" w:sz="8" w:color="auto"/>
              <w:right w:val="single" w:sz="8" w:color="auto"/>
            </w:tcBorders>
          </w:tcPr>
          <w:p>
            <w:pPr>
              <w:jc w:val="center"/>
              <w:ind w:left="526"/>
              <w:spacing w:after="0"/>
              <w:rPr>
                <w:sz w:val="20"/>
                <w:szCs w:val="20"/>
                <w:color w:val="auto"/>
              </w:rPr>
            </w:pPr>
            <w:r>
              <w:rPr>
                <w:rFonts w:ascii="Times New Roman" w:cs="Times New Roman" w:eastAsia="Times New Roman" w:hAnsi="Times New Roman"/>
                <w:sz w:val="19"/>
                <w:szCs w:val="19"/>
                <w:color w:val="auto"/>
              </w:rPr>
              <w:t>V</w:t>
            </w:r>
          </w:p>
        </w:tc>
        <w:tc>
          <w:tcPr>
            <w:tcW w:w="5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Greater than or equal to 4.00 to 1.00</w:t>
            </w:r>
          </w:p>
        </w:tc>
        <w:tc>
          <w:tcPr>
            <w:tcW w:w="2640" w:type="dxa"/>
            <w:vAlign w:val="bottom"/>
            <w:tcBorders>
              <w:bottom w:val="single" w:sz="8" w:color="auto"/>
              <w:right w:val="single" w:sz="8" w:color="auto"/>
            </w:tcBorders>
          </w:tcPr>
          <w:p>
            <w:pPr>
              <w:jc w:val="center"/>
              <w:ind w:left="495"/>
              <w:spacing w:after="0"/>
              <w:rPr>
                <w:sz w:val="20"/>
                <w:szCs w:val="20"/>
                <w:color w:val="auto"/>
              </w:rPr>
            </w:pPr>
            <w:r>
              <w:rPr>
                <w:rFonts w:ascii="Times New Roman" w:cs="Times New Roman" w:eastAsia="Times New Roman" w:hAnsi="Times New Roman"/>
                <w:sz w:val="19"/>
                <w:szCs w:val="19"/>
                <w:color w:val="auto"/>
                <w:w w:val="98"/>
              </w:rPr>
              <w:t>2.500%</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1.500%</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9"/>
          <w:szCs w:val="19"/>
          <w:color w:val="auto"/>
        </w:rPr>
        <w:t xml:space="preserve">The ratio of Net Funded Debt to Adjusted EBITDA shall be calculated on a consolidated basis for the Companies in accordance with GAAP for the most recently completed fiscal quarter of the Companies for which results are available. The ratio shall be determined from the Current Financials and any related Compliance Certificate and any change in the Applicable Margin resulting from a change in such ratio shall be effective as of the date of delivery of such Compliance Certificate. However, if Borrower fails to furnish to Administrative Agent the Current Financials and any related Compliance Certificate when required pursuant to </w:t>
      </w:r>
      <w:r>
        <w:rPr>
          <w:rFonts w:ascii="Times New Roman" w:cs="Times New Roman" w:eastAsia="Times New Roman" w:hAnsi="Times New Roman"/>
          <w:sz w:val="19"/>
          <w:szCs w:val="19"/>
          <w:b w:val="1"/>
          <w:bCs w:val="1"/>
          <w:i w:val="1"/>
          <w:iCs w:val="1"/>
          <w:color w:val="auto"/>
        </w:rPr>
        <w:t>Section 9.1</w:t>
      </w:r>
      <w:r>
        <w:rPr>
          <w:rFonts w:ascii="Times New Roman" w:cs="Times New Roman" w:eastAsia="Times New Roman" w:hAnsi="Times New Roman"/>
          <w:sz w:val="19"/>
          <w:szCs w:val="19"/>
          <w:color w:val="auto"/>
        </w:rPr>
        <w:t xml:space="preserve">, then the ratio shall be deemed to be at Level V until Borrower furnishes the required Current Financials and any related Compliance Certificate to Administrative Agent. Furthermore, if the Companies’ audited Financial Statements delivered to Administrative Agent for any fiscal year pursuant to </w:t>
      </w:r>
      <w:r>
        <w:rPr>
          <w:rFonts w:ascii="Times New Roman" w:cs="Times New Roman" w:eastAsia="Times New Roman" w:hAnsi="Times New Roman"/>
          <w:sz w:val="19"/>
          <w:szCs w:val="19"/>
          <w:b w:val="1"/>
          <w:bCs w:val="1"/>
          <w:i w:val="1"/>
          <w:iCs w:val="1"/>
          <w:color w:val="auto"/>
        </w:rPr>
        <w:t>Section 9.1(a)</w:t>
      </w:r>
      <w:r>
        <w:rPr>
          <w:rFonts w:ascii="Times New Roman" w:cs="Times New Roman" w:eastAsia="Times New Roman" w:hAnsi="Times New Roman"/>
          <w:sz w:val="19"/>
          <w:szCs w:val="19"/>
          <w:color w:val="auto"/>
        </w:rPr>
        <w:t xml:space="preserve"> result in a different ratio, such revised ratio (whether higher or lower) shall govern effective as of the date of such delivery.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340"/>
          </w:cols>
          <w:pgMar w:left="320" w:top="1440" w:right="239" w:bottom="1440" w:gutter="0" w:footer="0" w:header="0"/>
        </w:sectPr>
      </w:pPr>
    </w:p>
    <w:bookmarkStart w:id="54" w:name="page55"/>
    <w:bookmarkEnd w:id="54"/>
    <w:p>
      <w:pPr>
        <w:spacing w:after="0" w:line="115"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Applicable Percentage </w:t>
      </w:r>
      <w:r>
        <w:rPr>
          <w:rFonts w:ascii="Times New Roman" w:cs="Times New Roman" w:eastAsia="Times New Roman" w:hAnsi="Times New Roman"/>
          <w:sz w:val="19"/>
          <w:szCs w:val="19"/>
          <w:color w:val="auto"/>
        </w:rPr>
        <w:t>means, for any day, the commitment fee percentage applicable under</w:t>
      </w:r>
      <w:r>
        <w:rPr>
          <w:rFonts w:ascii="Times New Roman" w:cs="Times New Roman" w:eastAsia="Times New Roman" w:hAnsi="Times New Roman"/>
          <w:sz w:val="19"/>
          <w:szCs w:val="19"/>
          <w:b w:val="1"/>
          <w:bCs w:val="1"/>
          <w:i w:val="1"/>
          <w:iCs w:val="1"/>
          <w:color w:val="auto"/>
        </w:rPr>
        <w:t xml:space="preserve"> Section 5.4 </w:t>
      </w:r>
      <w:r>
        <w:rPr>
          <w:rFonts w:ascii="Times New Roman" w:cs="Times New Roman" w:eastAsia="Times New Roman" w:hAnsi="Times New Roman"/>
          <w:sz w:val="19"/>
          <w:szCs w:val="19"/>
          <w:color w:val="auto"/>
        </w:rPr>
        <w:t>when commitment fees are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determined under this Agreement. The Applicable Percentage is subject to adjustment (upwards or downwards, as appropriate) based on the ratio of Net Funded Debt to Adjusted EBITDA, as follows:</w:t>
      </w:r>
    </w:p>
    <w:p>
      <w:pPr>
        <w:spacing w:after="0" w:line="200" w:lineRule="exact"/>
        <w:rPr>
          <w:sz w:val="20"/>
          <w:szCs w:val="20"/>
          <w:color w:val="auto"/>
        </w:rPr>
      </w:pPr>
    </w:p>
    <w:tbl>
      <w:tblPr>
        <w:tblLayout w:type="fixed"/>
        <w:tblInd w:w="1490" w:type="dxa"/>
        <w:tblCellMar>
          <w:top w:w="0" w:type="dxa"/>
          <w:left w:w="0" w:type="dxa"/>
          <w:bottom w:w="0" w:type="dxa"/>
          <w:right w:w="0" w:type="dxa"/>
        </w:tblCellMar>
      </w:tblPr>
      <w:tr>
        <w:trPr>
          <w:trHeight w:val="201"/>
        </w:trPr>
        <w:tc>
          <w:tcPr>
            <w:tcW w:w="9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5060" w:type="dxa"/>
            <w:vAlign w:val="bottom"/>
            <w:tcBorders>
              <w:top w:val="single" w:sz="8" w:color="auto"/>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Ratio of Net Funded Debt to Adjusted EBITDA</w:t>
            </w:r>
          </w:p>
        </w:tc>
        <w:tc>
          <w:tcPr>
            <w:tcW w:w="2440" w:type="dxa"/>
            <w:vAlign w:val="bottom"/>
            <w:tcBorders>
              <w:top w:val="single" w:sz="8" w:color="auto"/>
              <w:bottom w:val="single" w:sz="8" w:color="auto"/>
              <w:right w:val="single" w:sz="8" w:color="auto"/>
            </w:tcBorders>
          </w:tcPr>
          <w:p>
            <w:pPr>
              <w:jc w:val="center"/>
              <w:ind w:left="510"/>
              <w:spacing w:after="0"/>
              <w:rPr>
                <w:sz w:val="20"/>
                <w:szCs w:val="20"/>
                <w:color w:val="auto"/>
              </w:rPr>
            </w:pPr>
            <w:r>
              <w:rPr>
                <w:rFonts w:ascii="Times New Roman" w:cs="Times New Roman" w:eastAsia="Times New Roman" w:hAnsi="Times New Roman"/>
                <w:sz w:val="14"/>
                <w:szCs w:val="14"/>
                <w:b w:val="1"/>
                <w:bCs w:val="1"/>
                <w:color w:val="auto"/>
                <w:w w:val="98"/>
              </w:rPr>
              <w:t>Applicable Percentage</w:t>
            </w:r>
          </w:p>
        </w:tc>
      </w:tr>
      <w:tr>
        <w:trPr>
          <w:trHeight w:val="243"/>
        </w:trPr>
        <w:tc>
          <w:tcPr>
            <w:tcW w:w="920" w:type="dxa"/>
            <w:vAlign w:val="bottom"/>
            <w:tcBorders>
              <w:left w:val="single" w:sz="8" w:color="auto"/>
              <w:bottom w:val="single" w:sz="8" w:color="auto"/>
              <w:right w:val="single" w:sz="8" w:color="auto"/>
            </w:tcBorders>
          </w:tcPr>
          <w:p>
            <w:pPr>
              <w:jc w:val="center"/>
              <w:ind w:left="526"/>
              <w:spacing w:after="0"/>
              <w:rPr>
                <w:sz w:val="20"/>
                <w:szCs w:val="20"/>
                <w:color w:val="auto"/>
              </w:rPr>
            </w:pPr>
            <w:r>
              <w:rPr>
                <w:rFonts w:ascii="Times New Roman" w:cs="Times New Roman" w:eastAsia="Times New Roman" w:hAnsi="Times New Roman"/>
                <w:sz w:val="19"/>
                <w:szCs w:val="19"/>
                <w:color w:val="auto"/>
                <w:w w:val="94"/>
              </w:rPr>
              <w:t>I</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Less than 1.50 to 1.00</w:t>
            </w:r>
          </w:p>
        </w:tc>
        <w:tc>
          <w:tcPr>
            <w:tcW w:w="2440" w:type="dxa"/>
            <w:vAlign w:val="bottom"/>
            <w:tcBorders>
              <w:bottom w:val="single" w:sz="8" w:color="auto"/>
              <w:right w:val="single" w:sz="8" w:color="auto"/>
            </w:tcBorders>
          </w:tcPr>
          <w:p>
            <w:pPr>
              <w:jc w:val="center"/>
              <w:ind w:left="530"/>
              <w:spacing w:after="0"/>
              <w:rPr>
                <w:sz w:val="20"/>
                <w:szCs w:val="20"/>
                <w:color w:val="auto"/>
              </w:rPr>
            </w:pPr>
            <w:r>
              <w:rPr>
                <w:rFonts w:ascii="Times New Roman" w:cs="Times New Roman" w:eastAsia="Times New Roman" w:hAnsi="Times New Roman"/>
                <w:sz w:val="19"/>
                <w:szCs w:val="19"/>
                <w:color w:val="auto"/>
                <w:w w:val="98"/>
              </w:rPr>
              <w:t>0.200%</w:t>
            </w:r>
          </w:p>
        </w:tc>
      </w:tr>
      <w:tr>
        <w:trPr>
          <w:trHeight w:val="238"/>
        </w:trPr>
        <w:tc>
          <w:tcPr>
            <w:tcW w:w="920" w:type="dxa"/>
            <w:vAlign w:val="bottom"/>
            <w:tcBorders>
              <w:left w:val="single" w:sz="8" w:color="auto"/>
              <w:bottom w:val="single" w:sz="8" w:color="auto"/>
              <w:right w:val="single" w:sz="8" w:color="auto"/>
            </w:tcBorders>
          </w:tcPr>
          <w:p>
            <w:pPr>
              <w:jc w:val="center"/>
              <w:ind w:left="506"/>
              <w:spacing w:after="0"/>
              <w:rPr>
                <w:sz w:val="20"/>
                <w:szCs w:val="20"/>
                <w:color w:val="auto"/>
              </w:rPr>
            </w:pPr>
            <w:r>
              <w:rPr>
                <w:rFonts w:ascii="Times New Roman" w:cs="Times New Roman" w:eastAsia="Times New Roman" w:hAnsi="Times New Roman"/>
                <w:sz w:val="19"/>
                <w:szCs w:val="19"/>
                <w:color w:val="auto"/>
                <w:w w:val="94"/>
              </w:rPr>
              <w:t>II</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Greater than or equal to 1.50 to 1.00, but less than 2.00 to 1.00</w:t>
            </w:r>
          </w:p>
        </w:tc>
        <w:tc>
          <w:tcPr>
            <w:tcW w:w="2440" w:type="dxa"/>
            <w:vAlign w:val="bottom"/>
            <w:tcBorders>
              <w:bottom w:val="single" w:sz="8" w:color="auto"/>
              <w:right w:val="single" w:sz="8" w:color="auto"/>
            </w:tcBorders>
          </w:tcPr>
          <w:p>
            <w:pPr>
              <w:jc w:val="center"/>
              <w:ind w:left="530"/>
              <w:spacing w:after="0"/>
              <w:rPr>
                <w:sz w:val="20"/>
                <w:szCs w:val="20"/>
                <w:color w:val="auto"/>
              </w:rPr>
            </w:pPr>
            <w:r>
              <w:rPr>
                <w:rFonts w:ascii="Times New Roman" w:cs="Times New Roman" w:eastAsia="Times New Roman" w:hAnsi="Times New Roman"/>
                <w:sz w:val="19"/>
                <w:szCs w:val="19"/>
                <w:color w:val="auto"/>
                <w:w w:val="98"/>
              </w:rPr>
              <w:t>0.250%</w:t>
            </w:r>
          </w:p>
        </w:tc>
      </w:tr>
      <w:tr>
        <w:trPr>
          <w:trHeight w:val="238"/>
        </w:trPr>
        <w:tc>
          <w:tcPr>
            <w:tcW w:w="920" w:type="dxa"/>
            <w:vAlign w:val="bottom"/>
            <w:tcBorders>
              <w:left w:val="single" w:sz="8" w:color="auto"/>
              <w:bottom w:val="single" w:sz="8" w:color="auto"/>
              <w:right w:val="single" w:sz="8" w:color="auto"/>
            </w:tcBorders>
          </w:tcPr>
          <w:p>
            <w:pPr>
              <w:jc w:val="center"/>
              <w:ind w:left="526"/>
              <w:spacing w:after="0"/>
              <w:rPr>
                <w:sz w:val="20"/>
                <w:szCs w:val="20"/>
                <w:color w:val="auto"/>
              </w:rPr>
            </w:pPr>
            <w:r>
              <w:rPr>
                <w:rFonts w:ascii="Times New Roman" w:cs="Times New Roman" w:eastAsia="Times New Roman" w:hAnsi="Times New Roman"/>
                <w:sz w:val="19"/>
                <w:szCs w:val="19"/>
                <w:color w:val="auto"/>
                <w:w w:val="94"/>
              </w:rPr>
              <w:t>III</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Greater than or equal to 2.00 to 1.00, but less than 3.00 to 1.00</w:t>
            </w:r>
          </w:p>
        </w:tc>
        <w:tc>
          <w:tcPr>
            <w:tcW w:w="2440" w:type="dxa"/>
            <w:vAlign w:val="bottom"/>
            <w:tcBorders>
              <w:bottom w:val="single" w:sz="8" w:color="auto"/>
              <w:right w:val="single" w:sz="8" w:color="auto"/>
            </w:tcBorders>
          </w:tcPr>
          <w:p>
            <w:pPr>
              <w:jc w:val="center"/>
              <w:ind w:left="530"/>
              <w:spacing w:after="0"/>
              <w:rPr>
                <w:sz w:val="20"/>
                <w:szCs w:val="20"/>
                <w:color w:val="auto"/>
              </w:rPr>
            </w:pPr>
            <w:r>
              <w:rPr>
                <w:rFonts w:ascii="Times New Roman" w:cs="Times New Roman" w:eastAsia="Times New Roman" w:hAnsi="Times New Roman"/>
                <w:sz w:val="19"/>
                <w:szCs w:val="19"/>
                <w:color w:val="auto"/>
                <w:w w:val="98"/>
              </w:rPr>
              <w:t>0.300%</w:t>
            </w:r>
          </w:p>
        </w:tc>
      </w:tr>
      <w:tr>
        <w:trPr>
          <w:trHeight w:val="272"/>
        </w:trPr>
        <w:tc>
          <w:tcPr>
            <w:tcW w:w="920" w:type="dxa"/>
            <w:vAlign w:val="bottom"/>
            <w:tcBorders>
              <w:left w:val="single" w:sz="8" w:color="auto"/>
              <w:bottom w:val="single" w:sz="8" w:color="auto"/>
              <w:right w:val="single" w:sz="8" w:color="auto"/>
            </w:tcBorders>
          </w:tcPr>
          <w:p>
            <w:pPr>
              <w:jc w:val="center"/>
              <w:ind w:left="506"/>
              <w:spacing w:after="0"/>
              <w:rPr>
                <w:sz w:val="20"/>
                <w:szCs w:val="20"/>
                <w:color w:val="auto"/>
              </w:rPr>
            </w:pPr>
            <w:r>
              <w:rPr>
                <w:rFonts w:ascii="Times New Roman" w:cs="Times New Roman" w:eastAsia="Times New Roman" w:hAnsi="Times New Roman"/>
                <w:sz w:val="19"/>
                <w:szCs w:val="19"/>
                <w:color w:val="auto"/>
                <w:w w:val="99"/>
              </w:rPr>
              <w:t>IV</w:t>
            </w:r>
          </w:p>
        </w:tc>
        <w:tc>
          <w:tcPr>
            <w:tcW w:w="50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Greater than or equal to 3.00 to 1.00, but less than 4.00 to 1.00</w:t>
            </w:r>
          </w:p>
        </w:tc>
        <w:tc>
          <w:tcPr>
            <w:tcW w:w="2440" w:type="dxa"/>
            <w:vAlign w:val="bottom"/>
            <w:tcBorders>
              <w:bottom w:val="single" w:sz="8" w:color="auto"/>
              <w:right w:val="single" w:sz="8" w:color="auto"/>
            </w:tcBorders>
          </w:tcPr>
          <w:p>
            <w:pPr>
              <w:jc w:val="center"/>
              <w:ind w:left="530"/>
              <w:spacing w:after="0"/>
              <w:rPr>
                <w:sz w:val="20"/>
                <w:szCs w:val="20"/>
                <w:color w:val="auto"/>
              </w:rPr>
            </w:pPr>
            <w:r>
              <w:rPr>
                <w:rFonts w:ascii="Times New Roman" w:cs="Times New Roman" w:eastAsia="Times New Roman" w:hAnsi="Times New Roman"/>
                <w:sz w:val="19"/>
                <w:szCs w:val="19"/>
                <w:color w:val="auto"/>
                <w:w w:val="98"/>
              </w:rPr>
              <w:t>0.350%</w:t>
            </w:r>
          </w:p>
        </w:tc>
      </w:tr>
      <w:tr>
        <w:trPr>
          <w:trHeight w:val="276"/>
        </w:trPr>
        <w:tc>
          <w:tcPr>
            <w:tcW w:w="920" w:type="dxa"/>
            <w:vAlign w:val="bottom"/>
            <w:tcBorders>
              <w:left w:val="single" w:sz="8" w:color="auto"/>
              <w:bottom w:val="single" w:sz="8" w:color="auto"/>
              <w:right w:val="single" w:sz="8" w:color="auto"/>
            </w:tcBorders>
          </w:tcPr>
          <w:p>
            <w:pPr>
              <w:jc w:val="center"/>
              <w:ind w:left="526"/>
              <w:spacing w:after="0"/>
              <w:rPr>
                <w:sz w:val="20"/>
                <w:szCs w:val="20"/>
                <w:color w:val="auto"/>
              </w:rPr>
            </w:pPr>
            <w:r>
              <w:rPr>
                <w:rFonts w:ascii="Times New Roman" w:cs="Times New Roman" w:eastAsia="Times New Roman" w:hAnsi="Times New Roman"/>
                <w:sz w:val="19"/>
                <w:szCs w:val="19"/>
                <w:color w:val="auto"/>
              </w:rPr>
              <w:t>V</w:t>
            </w:r>
          </w:p>
        </w:tc>
        <w:tc>
          <w:tcPr>
            <w:tcW w:w="50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Greater than or equal to 4.00 to 1.00</w:t>
            </w:r>
          </w:p>
        </w:tc>
        <w:tc>
          <w:tcPr>
            <w:tcW w:w="2440" w:type="dxa"/>
            <w:vAlign w:val="bottom"/>
            <w:tcBorders>
              <w:bottom w:val="single" w:sz="8" w:color="auto"/>
              <w:right w:val="single" w:sz="8" w:color="auto"/>
            </w:tcBorders>
          </w:tcPr>
          <w:p>
            <w:pPr>
              <w:jc w:val="center"/>
              <w:ind w:left="530"/>
              <w:spacing w:after="0"/>
              <w:rPr>
                <w:sz w:val="20"/>
                <w:szCs w:val="20"/>
                <w:color w:val="auto"/>
              </w:rPr>
            </w:pPr>
            <w:r>
              <w:rPr>
                <w:rFonts w:ascii="Times New Roman" w:cs="Times New Roman" w:eastAsia="Times New Roman" w:hAnsi="Times New Roman"/>
                <w:sz w:val="19"/>
                <w:szCs w:val="19"/>
                <w:color w:val="auto"/>
                <w:w w:val="98"/>
              </w:rPr>
              <w:t>0.400%</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ratio of Net Funded Debt to Adjusted EBITDA shall be determined as described in the definition of Applicable Margin.</w:t>
      </w:r>
    </w:p>
    <w:p>
      <w:pPr>
        <w:spacing w:after="0" w:line="110"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Applicable Time </w:t>
      </w:r>
      <w:r>
        <w:rPr>
          <w:rFonts w:ascii="Times New Roman" w:cs="Times New Roman" w:eastAsia="Times New Roman" w:hAnsi="Times New Roman"/>
          <w:sz w:val="19"/>
          <w:szCs w:val="19"/>
          <w:color w:val="auto"/>
        </w:rPr>
        <w:t>means, with respect to any Loan or L/C in Alternative Currency, the local time in the place of settlement for Alternative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Currency as may be determined by Administrative Agent or the Australian L/C Issuer, as the case may be, to be necessary for timely settlement on the relevant date in accordance with normal banking procedures in the place of payment.</w:t>
      </w:r>
    </w:p>
    <w:p>
      <w:pPr>
        <w:spacing w:after="0" w:line="168"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Approved Fund </w:t>
      </w:r>
      <w:r>
        <w:rPr>
          <w:rFonts w:ascii="Times New Roman" w:cs="Times New Roman" w:eastAsia="Times New Roman" w:hAnsi="Times New Roman"/>
          <w:sz w:val="19"/>
          <w:szCs w:val="19"/>
          <w:color w:val="auto"/>
        </w:rPr>
        <w:t>means any Fund that is administered or managed by (a) a Lender, (b) an Affiliate of a Lender, or (c) an entity or an Affiliate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an entity that administers or manages a Lender.</w:t>
      </w:r>
    </w:p>
    <w:p>
      <w:pPr>
        <w:spacing w:after="0" w:line="156"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Approved Jurisdictions </w:t>
      </w:r>
      <w:r>
        <w:rPr>
          <w:rFonts w:ascii="Times New Roman" w:cs="Times New Roman" w:eastAsia="Times New Roman" w:hAnsi="Times New Roman"/>
          <w:sz w:val="19"/>
          <w:szCs w:val="19"/>
          <w:color w:val="auto"/>
        </w:rPr>
        <w:t>means the U.S., Australia, the Netherlands, Canada and such other jurisdiction approved in writing 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Administrative Agent from time to time.</w:t>
      </w:r>
    </w:p>
    <w:p>
      <w:pPr>
        <w:spacing w:after="0" w:line="131"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Assignee Group </w:t>
      </w:r>
      <w:r>
        <w:rPr>
          <w:rFonts w:ascii="Times New Roman" w:cs="Times New Roman" w:eastAsia="Times New Roman" w:hAnsi="Times New Roman"/>
          <w:sz w:val="19"/>
          <w:szCs w:val="19"/>
          <w:color w:val="auto"/>
        </w:rPr>
        <w:t>means two or more Eligible Assignees that are Affiliates of one another or two or more Approved Funds managed by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same investment advisor.</w:t>
      </w:r>
    </w:p>
    <w:p>
      <w:pPr>
        <w:spacing w:after="0" w:line="131"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Assignment and Assumption </w:t>
      </w:r>
      <w:r>
        <w:rPr>
          <w:rFonts w:ascii="Times New Roman" w:cs="Times New Roman" w:eastAsia="Times New Roman" w:hAnsi="Times New Roman"/>
          <w:sz w:val="19"/>
          <w:szCs w:val="19"/>
          <w:color w:val="auto"/>
        </w:rPr>
        <w:t>means an Assignment and Assumption substantially in the form of</w:t>
      </w:r>
      <w:r>
        <w:rPr>
          <w:rFonts w:ascii="Times New Roman" w:cs="Times New Roman" w:eastAsia="Times New Roman" w:hAnsi="Times New Roman"/>
          <w:sz w:val="19"/>
          <w:szCs w:val="19"/>
          <w:b w:val="1"/>
          <w:bCs w:val="1"/>
          <w:i w:val="1"/>
          <w:iCs w:val="1"/>
          <w:color w:val="auto"/>
        </w:rPr>
        <w:t xml:space="preserve"> Exhibit E </w:t>
      </w:r>
      <w:r>
        <w:rPr>
          <w:rFonts w:ascii="Times New Roman" w:cs="Times New Roman" w:eastAsia="Times New Roman" w:hAnsi="Times New Roman"/>
          <w:sz w:val="19"/>
          <w:szCs w:val="19"/>
          <w:color w:val="auto"/>
        </w:rPr>
        <w:t>hereto or any other form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(including electronic documentation generated by use of an electronic platform) approved by Administrative Agent.</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Attorney Costs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7.1(m)</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Australian Dollar </w:t>
      </w:r>
      <w:r>
        <w:rPr>
          <w:rFonts w:ascii="Times New Roman" w:cs="Times New Roman" w:eastAsia="Times New Roman" w:hAnsi="Times New Roman"/>
          <w:sz w:val="19"/>
          <w:szCs w:val="19"/>
          <w:color w:val="auto"/>
        </w:rPr>
        <w:t>means the lawful currency of Australia.</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Australian L/C Issuer </w:t>
      </w:r>
      <w:r>
        <w:rPr>
          <w:rFonts w:ascii="Times New Roman" w:cs="Times New Roman" w:eastAsia="Times New Roman" w:hAnsi="Times New Roman"/>
          <w:sz w:val="19"/>
          <w:szCs w:val="19"/>
          <w:color w:val="auto"/>
        </w:rPr>
        <w:t>means Bank of America, N.A.</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Auto-Extension L/C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2.3(b)(iii)</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Availability </w:t>
      </w:r>
      <w:r>
        <w:rPr>
          <w:rFonts w:ascii="Times New Roman" w:cs="Times New Roman" w:eastAsia="Times New Roman" w:hAnsi="Times New Roman"/>
          <w:sz w:val="19"/>
          <w:szCs w:val="19"/>
          <w:color w:val="auto"/>
        </w:rPr>
        <w:t>means, on any date of determination, (a) the Revolver Commitment on such date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 the Revolver Commitment Usage 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such date.</w:t>
      </w:r>
    </w:p>
    <w:p>
      <w:pPr>
        <w:spacing w:after="0" w:line="131"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Bail-In Action </w:t>
      </w:r>
      <w:r>
        <w:rPr>
          <w:rFonts w:ascii="Times New Roman" w:cs="Times New Roman" w:eastAsia="Times New Roman" w:hAnsi="Times New Roman"/>
          <w:sz w:val="19"/>
          <w:szCs w:val="19"/>
          <w:color w:val="auto"/>
        </w:rPr>
        <w:t>means the exercise of any Write-Down and Conversion Powers by the applicable Resolution Authority in respect of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liability of an Affected Financial Institution.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15"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Bail-In Legislation </w:t>
      </w:r>
      <w:r>
        <w:rPr>
          <w:rFonts w:ascii="Times New Roman" w:cs="Times New Roman" w:eastAsia="Times New Roman" w:hAnsi="Times New Roman"/>
          <w:sz w:val="19"/>
          <w:szCs w:val="19"/>
          <w:color w:val="auto"/>
        </w:rPr>
        <w:t>means, (a) with respect to any EEA Member Country implementing Article 55 of Directive 2014/59/EU of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Bank of America </w:t>
      </w:r>
      <w:r>
        <w:rPr>
          <w:rFonts w:ascii="Times New Roman" w:cs="Times New Roman" w:eastAsia="Times New Roman" w:hAnsi="Times New Roman"/>
          <w:sz w:val="19"/>
          <w:szCs w:val="19"/>
          <w:color w:val="auto"/>
        </w:rPr>
        <w:t>means Bank of America, N.A., a national banking association, in its individual capacity and not as Administrative Agent,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its permitted successors and assigns.</w:t>
      </w:r>
    </w:p>
    <w:p>
      <w:pPr>
        <w:spacing w:after="0" w:line="156"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Base Rate </w:t>
      </w:r>
      <w:r>
        <w:rPr>
          <w:rFonts w:ascii="Times New Roman" w:cs="Times New Roman" w:eastAsia="Times New Roman" w:hAnsi="Times New Roman"/>
          <w:sz w:val="19"/>
          <w:szCs w:val="19"/>
          <w:color w:val="auto"/>
        </w:rPr>
        <w:t>means, for any day, a fluctuating rate per annum equal to the highest of (a) the Federal Funds Rate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1/2 of 1%, (b) the rate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interest in effect for such day as publicly announced from time to time by Bank of America as its “</w:t>
      </w:r>
      <w:r>
        <w:rPr>
          <w:rFonts w:ascii="Times New Roman" w:cs="Times New Roman" w:eastAsia="Times New Roman" w:hAnsi="Times New Roman"/>
          <w:sz w:val="19"/>
          <w:szCs w:val="19"/>
          <w:i w:val="1"/>
          <w:iCs w:val="1"/>
          <w:color w:val="auto"/>
        </w:rPr>
        <w:t>prime rate</w:t>
      </w:r>
      <w:r>
        <w:rPr>
          <w:rFonts w:ascii="Times New Roman" w:cs="Times New Roman" w:eastAsia="Times New Roman" w:hAnsi="Times New Roman"/>
          <w:sz w:val="19"/>
          <w:szCs w:val="19"/>
          <w:color w:val="auto"/>
        </w:rPr>
        <w:t xml:space="preserve">,” (c) Term SOFR for an interest period of one month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1%, and (d) one percent (1.00%). The “</w:t>
      </w:r>
      <w:r>
        <w:rPr>
          <w:rFonts w:ascii="Times New Roman" w:cs="Times New Roman" w:eastAsia="Times New Roman" w:hAnsi="Times New Roman"/>
          <w:sz w:val="19"/>
          <w:szCs w:val="19"/>
          <w:i w:val="1"/>
          <w:iCs w:val="1"/>
          <w:color w:val="auto"/>
        </w:rPr>
        <w:t>prime rate</w:t>
      </w:r>
      <w:r>
        <w:rPr>
          <w:rFonts w:ascii="Times New Roman" w:cs="Times New Roman" w:eastAsia="Times New Roman" w:hAnsi="Times New Roman"/>
          <w:sz w:val="19"/>
          <w:szCs w:val="19"/>
          <w:color w:val="auto"/>
        </w:rPr>
        <w:t>”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Base Rate Loan </w:t>
      </w:r>
      <w:r>
        <w:rPr>
          <w:rFonts w:ascii="Times New Roman" w:cs="Times New Roman" w:eastAsia="Times New Roman" w:hAnsi="Times New Roman"/>
          <w:sz w:val="19"/>
          <w:szCs w:val="19"/>
          <w:color w:val="auto"/>
        </w:rPr>
        <w:t>means a Loan bearing interest at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sum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 Base Rate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Applicable Margin.</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Beneficial Ownership Certification </w:t>
      </w:r>
      <w:r>
        <w:rPr>
          <w:rFonts w:ascii="Times New Roman" w:cs="Times New Roman" w:eastAsia="Times New Roman" w:hAnsi="Times New Roman"/>
          <w:sz w:val="18"/>
          <w:szCs w:val="18"/>
          <w:color w:val="auto"/>
        </w:rPr>
        <w:t>means a certification regarding beneficial ownership required by the Beneficial Ownership Regulation.</w:t>
      </w:r>
    </w:p>
    <w:p>
      <w:pPr>
        <w:spacing w:after="0" w:line="2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Beneficial Ownership Regulation </w:t>
      </w:r>
      <w:r>
        <w:rPr>
          <w:rFonts w:ascii="Times New Roman" w:cs="Times New Roman" w:eastAsia="Times New Roman" w:hAnsi="Times New Roman"/>
          <w:sz w:val="19"/>
          <w:szCs w:val="19"/>
          <w:color w:val="auto"/>
        </w:rPr>
        <w:t>means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31 C.F.R. § 1010.230</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Bond Documents </w:t>
      </w:r>
      <w:r>
        <w:rPr>
          <w:rFonts w:ascii="Times New Roman" w:cs="Times New Roman" w:eastAsia="Times New Roman" w:hAnsi="Times New Roman"/>
          <w:sz w:val="19"/>
          <w:szCs w:val="19"/>
          <w:color w:val="auto"/>
        </w:rPr>
        <w:t>means (a) when used in connection with any Bond L/C, those certain Bonds or other certificates of indebtedness with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respect to which such Bond L/C has been issued as credit support, together with any remarketing agreement, trust indenture, purchased bond custody agreement, funding agreement, pledge agreement, and other documents executed pursuant to or in connection with such bonds or other certificates of indebtedness, and all amendments or supplements thereto, and (b) in all other cases, collectively, all Bond Documents as defined in the preceding </w:t>
      </w:r>
      <w:r>
        <w:rPr>
          <w:rFonts w:ascii="Times New Roman" w:cs="Times New Roman" w:eastAsia="Times New Roman" w:hAnsi="Times New Roman"/>
          <w:sz w:val="19"/>
          <w:szCs w:val="19"/>
          <w:b w:val="1"/>
          <w:bCs w:val="1"/>
          <w:i w:val="1"/>
          <w:iCs w:val="1"/>
          <w:color w:val="auto"/>
        </w:rPr>
        <w:t>clause (a)</w:t>
      </w:r>
      <w:r>
        <w:rPr>
          <w:rFonts w:ascii="Times New Roman" w:cs="Times New Roman" w:eastAsia="Times New Roman" w:hAnsi="Times New Roman"/>
          <w:sz w:val="19"/>
          <w:szCs w:val="19"/>
          <w:color w:val="auto"/>
        </w:rPr>
        <w:t xml:space="preserve"> relating to Bond L/Cs then outstanding.</w:t>
      </w:r>
    </w:p>
    <w:p>
      <w:pPr>
        <w:spacing w:after="0" w:line="174"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Bond L/Cs </w:t>
      </w:r>
      <w:r>
        <w:rPr>
          <w:rFonts w:ascii="Times New Roman" w:cs="Times New Roman" w:eastAsia="Times New Roman" w:hAnsi="Times New Roman"/>
          <w:sz w:val="19"/>
          <w:szCs w:val="19"/>
          <w:color w:val="auto"/>
        </w:rPr>
        <w:t>means all L/Cs issued by any L/C Issuer at the request of (a) Borrower and any Housing District in support of Bonds issued 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such Housing District, or (b) Borrower and any Metro District in support of Bonds issued by such Metro District, which L/Cs satisfy the conditions set forth in </w:t>
      </w:r>
      <w:r>
        <w:rPr>
          <w:rFonts w:ascii="Times New Roman" w:cs="Times New Roman" w:eastAsia="Times New Roman" w:hAnsi="Times New Roman"/>
          <w:sz w:val="19"/>
          <w:szCs w:val="19"/>
          <w:b w:val="1"/>
          <w:bCs w:val="1"/>
          <w:i w:val="1"/>
          <w:iCs w:val="1"/>
          <w:color w:val="auto"/>
        </w:rPr>
        <w:t>Section 2.3(i)(i)</w:t>
      </w:r>
      <w:r>
        <w:rPr>
          <w:rFonts w:ascii="Times New Roman" w:cs="Times New Roman" w:eastAsia="Times New Roman" w:hAnsi="Times New Roman"/>
          <w:sz w:val="19"/>
          <w:szCs w:val="19"/>
          <w:color w:val="auto"/>
        </w:rPr>
        <w:t xml:space="preserve"> herein, and renewals or extensions thereof.</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Bond Purchase Drawing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2.3(i)(ii)</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Bond Rights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2.3(i)(iv)</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Bonds </w:t>
      </w:r>
      <w:r>
        <w:rPr>
          <w:rFonts w:ascii="Times New Roman" w:cs="Times New Roman" w:eastAsia="Times New Roman" w:hAnsi="Times New Roman"/>
          <w:sz w:val="19"/>
          <w:szCs w:val="19"/>
          <w:color w:val="auto"/>
        </w:rPr>
        <w:t>means revenue bonds issued by (a) any Housing District or other Person for the purpose of financing, directly or indirectly,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development of housing projects designated for employees of the Companies, or (b) any Metro District or other Person for the purpose of financing, directly or indirectly, the operation, construction, and maintenance of infrastructure projects, which projects are related to the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color w:val="auto"/>
        </w:rPr>
        <w:t>Companies’ business activities in the region in which the projects are being developed, and for which a Restricted Company has issued credit support in the form of a Bond L/C for such revenue bonds.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Borrower </w:t>
      </w:r>
      <w:r>
        <w:rPr>
          <w:rFonts w:ascii="Times New Roman" w:cs="Times New Roman" w:eastAsia="Times New Roman" w:hAnsi="Times New Roman"/>
          <w:sz w:val="19"/>
          <w:szCs w:val="19"/>
          <w:color w:val="auto"/>
        </w:rPr>
        <w:t>is defined in the preamble to this Agreement.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Borrower Materials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9.1</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Business Day </w:t>
      </w:r>
      <w:r>
        <w:rPr>
          <w:rFonts w:ascii="Times New Roman" w:cs="Times New Roman" w:eastAsia="Times New Roman" w:hAnsi="Times New Roman"/>
          <w:sz w:val="19"/>
          <w:szCs w:val="19"/>
          <w:color w:val="auto"/>
        </w:rPr>
        <w:t>means any day other than a Saturday, Sunday, or other day on which commercial banks are authorized to be closed under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Laws of, or are in fact closed in, Dallas, Texas or New York, New York.</w:t>
      </w:r>
    </w:p>
    <w:p>
      <w:pPr>
        <w:spacing w:after="0" w:line="143"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Canyons-Park City Lease </w:t>
      </w:r>
      <w:r>
        <w:rPr>
          <w:rFonts w:ascii="Times New Roman" w:cs="Times New Roman" w:eastAsia="Times New Roman" w:hAnsi="Times New Roman"/>
          <w:sz w:val="19"/>
          <w:szCs w:val="19"/>
          <w:color w:val="auto"/>
        </w:rPr>
        <w:t>means that certain Master Agreement of Lease, dated as of May 29, 2013, by and between Talisker Canyons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LeaseCo LLC, as lessor, and VR CPC Holdings, Inc., as lessee, as the same may be amended from time to time.</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Capital Lease </w:t>
      </w:r>
      <w:r>
        <w:rPr>
          <w:rFonts w:ascii="Times New Roman" w:cs="Times New Roman" w:eastAsia="Times New Roman" w:hAnsi="Times New Roman"/>
          <w:sz w:val="19"/>
          <w:szCs w:val="19"/>
          <w:color w:val="auto"/>
        </w:rPr>
        <w:t>means any capital lease or sublease that has been (or under GAAP should be) capitalized on a balance sheet.</w:t>
      </w:r>
    </w:p>
    <w:p>
      <w:pPr>
        <w:spacing w:after="0" w:line="206"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Cash Collateralize </w:t>
      </w:r>
      <w:r>
        <w:rPr>
          <w:rFonts w:ascii="Times New Roman" w:cs="Times New Roman" w:eastAsia="Times New Roman" w:hAnsi="Times New Roman"/>
          <w:sz w:val="19"/>
          <w:szCs w:val="19"/>
          <w:color w:val="auto"/>
        </w:rPr>
        <w:t>means to pledge and deposit with or deliver to Administrative Agent, for the benefit of Administrative Agent or L/C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Issuers (as applicable), and the Lenders, as collateral for L/C Exposure, or obligations of Lenders to fund participations in respect thereof (as the context may require), cash or deposit account balances, or if the applicable L/C Issuer benefitting from such collateral shall agree in its sole discretion, other credit support, in each case pursuant to documentation in form and substance satisfactory to Administrative Agent and such L/C Issuer. Cash Collateral shall have a meaning correlative to the foregoing and shall include the proceeds of such cash collateral and other credit support.</w:t>
      </w:r>
    </w:p>
    <w:p>
      <w:pPr>
        <w:spacing w:after="0" w:line="178"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Change in Law </w:t>
      </w:r>
      <w:r>
        <w:rPr>
          <w:rFonts w:ascii="Times New Roman" w:cs="Times New Roman" w:eastAsia="Times New Roman" w:hAnsi="Times New Roman"/>
          <w:sz w:val="19"/>
          <w:szCs w:val="19"/>
          <w:color w:val="auto"/>
        </w:rPr>
        <w:t>means the occurrence, after the Closing Date, of any of the following: (a) the adoption or taking effect of any Law, rule,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regulation, or treaty, (b) any change in any Law, rule, regulation, or treaty or in the administration, interpretation, implementation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w:t>
      </w:r>
      <w:r>
        <w:rPr>
          <w:rFonts w:ascii="Times New Roman" w:cs="Times New Roman" w:eastAsia="Times New Roman" w:hAnsi="Times New Roman"/>
          <w:sz w:val="19"/>
          <w:szCs w:val="19"/>
          <w:i w:val="1"/>
          <w:iCs w:val="1"/>
          <w:color w:val="auto"/>
        </w:rPr>
        <w:t>Change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Law</w:t>
      </w:r>
      <w:r>
        <w:rPr>
          <w:rFonts w:ascii="Times New Roman" w:cs="Times New Roman" w:eastAsia="Times New Roman" w:hAnsi="Times New Roman"/>
          <w:sz w:val="19"/>
          <w:szCs w:val="19"/>
          <w:color w:val="auto"/>
        </w:rPr>
        <w:t>”, regardless of the date enacted, adopted, or issued.</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Change of Control Transaction </w:t>
      </w:r>
      <w:r>
        <w:rPr>
          <w:rFonts w:ascii="Times New Roman" w:cs="Times New Roman" w:eastAsia="Times New Roman" w:hAnsi="Times New Roman"/>
          <w:sz w:val="19"/>
          <w:szCs w:val="19"/>
          <w:color w:val="auto"/>
        </w:rPr>
        <w:t>means an event or series of events by which:</w:t>
      </w:r>
    </w:p>
    <w:p>
      <w:pPr>
        <w:spacing w:after="0" w:line="208" w:lineRule="exact"/>
        <w:rPr>
          <w:sz w:val="20"/>
          <w:szCs w:val="20"/>
          <w:color w:val="auto"/>
        </w:rPr>
      </w:pPr>
    </w:p>
    <w:p>
      <w:pPr>
        <w:jc w:val="both"/>
        <w:ind w:left="620" w:firstLine="619"/>
        <w:spacing w:after="0" w:line="259" w:lineRule="auto"/>
        <w:tabs>
          <w:tab w:leader="none" w:pos="170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w:t>
      </w:r>
      <w:r>
        <w:rPr>
          <w:rFonts w:ascii="Times New Roman" w:cs="Times New Roman" w:eastAsia="Times New Roman" w:hAnsi="Times New Roman"/>
          <w:sz w:val="19"/>
          <w:szCs w:val="19"/>
          <w:i w:val="1"/>
          <w:iCs w:val="1"/>
          <w:color w:val="auto"/>
        </w:rPr>
        <w:t>person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i w:val="1"/>
          <w:iCs w:val="1"/>
          <w:color w:val="auto"/>
        </w:rPr>
        <w:t>group</w:t>
      </w:r>
      <w:r>
        <w:rPr>
          <w:rFonts w:ascii="Times New Roman" w:cs="Times New Roman" w:eastAsia="Times New Roman" w:hAnsi="Times New Roman"/>
          <w:sz w:val="19"/>
          <w:szCs w:val="19"/>
          <w:color w:val="auto"/>
        </w:rPr>
        <w:t>”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w:t>
      </w:r>
      <w:r>
        <w:rPr>
          <w:rFonts w:ascii="Times New Roman" w:cs="Times New Roman" w:eastAsia="Times New Roman" w:hAnsi="Times New Roman"/>
          <w:sz w:val="19"/>
          <w:szCs w:val="19"/>
          <w:i w:val="1"/>
          <w:iCs w:val="1"/>
          <w:color w:val="auto"/>
        </w:rPr>
        <w:t>beneficial owner</w:t>
      </w:r>
      <w:r>
        <w:rPr>
          <w:rFonts w:ascii="Times New Roman" w:cs="Times New Roman" w:eastAsia="Times New Roman" w:hAnsi="Times New Roman"/>
          <w:sz w:val="19"/>
          <w:szCs w:val="19"/>
          <w:color w:val="auto"/>
        </w:rPr>
        <w:t>” (as defined in Rules 13d-3 and 13d-5 under the Securities Exchange Act of 1934), directly or indirectly, of 40% or more of the equity securities of VRI entitled to vote for members of the board of directors or equivalent governing body of VRI on a fully-diluted basis;</w:t>
      </w:r>
    </w:p>
    <w:p>
      <w:pPr>
        <w:spacing w:after="0" w:line="164" w:lineRule="exact"/>
        <w:rPr>
          <w:rFonts w:ascii="Times New Roman" w:cs="Times New Roman" w:eastAsia="Times New Roman" w:hAnsi="Times New Roman"/>
          <w:sz w:val="19"/>
          <w:szCs w:val="19"/>
          <w:color w:val="auto"/>
        </w:rPr>
      </w:pPr>
    </w:p>
    <w:p>
      <w:pPr>
        <w:ind w:left="620" w:firstLine="619"/>
        <w:spacing w:after="0" w:line="282" w:lineRule="auto"/>
        <w:tabs>
          <w:tab w:leader="none" w:pos="1651"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any period of 12 consecutive months, a majority of the members of the board of directors or other equivalent governing body of VRI cease to be composed of individuals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22" w:lineRule="exact"/>
        <w:rPr>
          <w:sz w:val="20"/>
          <w:szCs w:val="20"/>
          <w:color w:val="auto"/>
        </w:rPr>
      </w:pPr>
    </w:p>
    <w:p>
      <w:pPr>
        <w:jc w:val="both"/>
        <w:ind w:left="620" w:firstLine="1"/>
        <w:spacing w:after="0" w:line="254" w:lineRule="auto"/>
        <w:tabs>
          <w:tab w:leader="none" w:pos="853"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who were members of that board or equivalent governing body on the first day of such period, (ii) whose election or nomination to that board or equivalent governing body was approved by individuals referred to in </w:t>
      </w:r>
      <w:r>
        <w:rPr>
          <w:rFonts w:ascii="Times New Roman" w:cs="Times New Roman" w:eastAsia="Times New Roman" w:hAnsi="Times New Roman"/>
          <w:sz w:val="19"/>
          <w:szCs w:val="19"/>
          <w:b w:val="1"/>
          <w:bCs w:val="1"/>
          <w:i w:val="1"/>
          <w:iCs w:val="1"/>
          <w:color w:val="auto"/>
        </w:rPr>
        <w:t>clause (i)</w:t>
      </w:r>
      <w:r>
        <w:rPr>
          <w:rFonts w:ascii="Times New Roman" w:cs="Times New Roman" w:eastAsia="Times New Roman" w:hAnsi="Times New Roman"/>
          <w:sz w:val="19"/>
          <w:szCs w:val="19"/>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19"/>
          <w:szCs w:val="19"/>
          <w:b w:val="1"/>
          <w:bCs w:val="1"/>
          <w:i w:val="1"/>
          <w:iCs w:val="1"/>
          <w:color w:val="auto"/>
        </w:rPr>
        <w:t>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(ii)</w:t>
      </w:r>
      <w:r>
        <w:rPr>
          <w:rFonts w:ascii="Times New Roman" w:cs="Times New Roman" w:eastAsia="Times New Roman" w:hAnsi="Times New Roman"/>
          <w:sz w:val="19"/>
          <w:szCs w:val="19"/>
          <w:color w:val="auto"/>
        </w:rPr>
        <w:t xml:space="preserve"> above constituting at the time of such election or nomination at least a majority of that board or equivalent governing body; or</w:t>
      </w:r>
    </w:p>
    <w:p>
      <w:pPr>
        <w:spacing w:after="0" w:line="183" w:lineRule="exact"/>
        <w:rPr>
          <w:rFonts w:ascii="Times New Roman" w:cs="Times New Roman" w:eastAsia="Times New Roman" w:hAnsi="Times New Roman"/>
          <w:sz w:val="19"/>
          <w:szCs w:val="19"/>
          <w:color w:val="auto"/>
        </w:rPr>
      </w:pPr>
    </w:p>
    <w:p>
      <w:pPr>
        <w:jc w:val="both"/>
        <w:ind w:left="620" w:firstLine="619"/>
        <w:spacing w:after="0" w:line="259" w:lineRule="auto"/>
        <w:tabs>
          <w:tab w:leader="none" w:pos="1707"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or two or more Persons acting in concert shall have acquired, by contract or otherwise, control over the equity securities of VRI entitled to vote for members of the board of directors or equivalent governing body of VRI on a fully-diluted basis (and taking into account all such securities that such Person or group has the right to acquire pursuant to any option right) representing 51% or more of the combined voting power of such securities.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Closing Date </w:t>
      </w:r>
      <w:r>
        <w:rPr>
          <w:rFonts w:ascii="Times New Roman" w:cs="Times New Roman" w:eastAsia="Times New Roman" w:hAnsi="Times New Roman"/>
          <w:sz w:val="19"/>
          <w:szCs w:val="19"/>
          <w:color w:val="auto"/>
        </w:rPr>
        <w:t>means April 24, 2024.</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CME </w:t>
      </w:r>
      <w:r>
        <w:rPr>
          <w:rFonts w:ascii="Times New Roman" w:cs="Times New Roman" w:eastAsia="Times New Roman" w:hAnsi="Times New Roman"/>
          <w:sz w:val="19"/>
          <w:szCs w:val="19"/>
          <w:color w:val="auto"/>
        </w:rPr>
        <w:t>means CME Group Benchmark Administration Limited.</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Code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Internal Revenue Code of 1986</w:t>
      </w:r>
      <w:r>
        <w:rPr>
          <w:rFonts w:ascii="Times New Roman" w:cs="Times New Roman" w:eastAsia="Times New Roman" w:hAnsi="Times New Roman"/>
          <w:sz w:val="18"/>
          <w:szCs w:val="18"/>
          <w:color w:val="auto"/>
        </w:rPr>
        <w:t>, as amended from time to time, and related rules and regulations from time to time in effect.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Collateral </w:t>
      </w:r>
      <w:r>
        <w:rPr>
          <w:rFonts w:ascii="Times New Roman" w:cs="Times New Roman" w:eastAsia="Times New Roman" w:hAnsi="Times New Roman"/>
          <w:sz w:val="19"/>
          <w:szCs w:val="19"/>
          <w:color w:val="auto"/>
        </w:rPr>
        <w:t>means the property and assets described in</w:t>
      </w:r>
      <w:r>
        <w:rPr>
          <w:rFonts w:ascii="Times New Roman" w:cs="Times New Roman" w:eastAsia="Times New Roman" w:hAnsi="Times New Roman"/>
          <w:sz w:val="19"/>
          <w:szCs w:val="19"/>
          <w:b w:val="1"/>
          <w:bCs w:val="1"/>
          <w:i w:val="1"/>
          <w:iCs w:val="1"/>
          <w:color w:val="auto"/>
        </w:rPr>
        <w:t xml:space="preserve"> Sections 6.2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i w:val="1"/>
          <w:iCs w:val="1"/>
          <w:color w:val="auto"/>
        </w:rPr>
        <w:t xml:space="preserve"> 6.3</w:t>
      </w:r>
      <w:r>
        <w:rPr>
          <w:rFonts w:ascii="Times New Roman" w:cs="Times New Roman" w:eastAsia="Times New Roman" w:hAnsi="Times New Roman"/>
          <w:sz w:val="19"/>
          <w:szCs w:val="19"/>
          <w:i w:val="1"/>
          <w:iCs w:val="1"/>
          <w:color w:val="auto"/>
        </w:rPr>
        <w: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Commitment </w:t>
      </w:r>
      <w:r>
        <w:rPr>
          <w:rFonts w:ascii="Times New Roman" w:cs="Times New Roman" w:eastAsia="Times New Roman" w:hAnsi="Times New Roman"/>
          <w:sz w:val="19"/>
          <w:szCs w:val="19"/>
          <w:color w:val="auto"/>
        </w:rPr>
        <w:t>means a Term Loan Commitment, L/C Commitment or a Revolver Commitment, as the context may require.</w:t>
      </w:r>
    </w:p>
    <w:p>
      <w:pPr>
        <w:spacing w:after="0" w:line="206"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Commitment Percentage </w:t>
      </w:r>
      <w:r>
        <w:rPr>
          <w:rFonts w:ascii="Times New Roman" w:cs="Times New Roman" w:eastAsia="Times New Roman" w:hAnsi="Times New Roman"/>
          <w:sz w:val="19"/>
          <w:szCs w:val="19"/>
          <w:color w:val="auto"/>
        </w:rPr>
        <w:t>means (a) with respect to any Term Loan Lender at any time, the percentage (carried out to the ninth decimal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place) of the Term Loan Facility represented by (i) on or prior to the Closing Date, such Term Loan Lender’s Term Loan Commitment at such time, subject to adjustment as provided in </w:t>
      </w:r>
      <w:r>
        <w:rPr>
          <w:rFonts w:ascii="Times New Roman" w:cs="Times New Roman" w:eastAsia="Times New Roman" w:hAnsi="Times New Roman"/>
          <w:sz w:val="19"/>
          <w:szCs w:val="19"/>
          <w:b w:val="1"/>
          <w:bCs w:val="1"/>
          <w:i w:val="1"/>
          <w:iCs w:val="1"/>
          <w:color w:val="auto"/>
        </w:rPr>
        <w:t>Section 3.15</w:t>
      </w:r>
      <w:r>
        <w:rPr>
          <w:rFonts w:ascii="Times New Roman" w:cs="Times New Roman" w:eastAsia="Times New Roman" w:hAnsi="Times New Roman"/>
          <w:sz w:val="19"/>
          <w:szCs w:val="19"/>
          <w:color w:val="auto"/>
        </w:rPr>
        <w:t xml:space="preserve">, and (ii) thereafter, the principal amount of such Term Loan Lender’s Term Loans at such time, subject to adjustment as provided in </w:t>
      </w:r>
      <w:r>
        <w:rPr>
          <w:rFonts w:ascii="Times New Roman" w:cs="Times New Roman" w:eastAsia="Times New Roman" w:hAnsi="Times New Roman"/>
          <w:sz w:val="19"/>
          <w:szCs w:val="19"/>
          <w:b w:val="1"/>
          <w:bCs w:val="1"/>
          <w:i w:val="1"/>
          <w:iCs w:val="1"/>
          <w:color w:val="auto"/>
        </w:rPr>
        <w:t>Section 2.5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3.15</w:t>
      </w:r>
      <w:r>
        <w:rPr>
          <w:rFonts w:ascii="Times New Roman" w:cs="Times New Roman" w:eastAsia="Times New Roman" w:hAnsi="Times New Roman"/>
          <w:sz w:val="19"/>
          <w:szCs w:val="19"/>
          <w:color w:val="auto"/>
        </w:rPr>
        <w:t xml:space="preserve">, and (b) with respect to any Revolver Lender at any time, the percentage (carried out to the ninth decimal place) of the Revolver Facility represented by such Revolver Lender’s Revolver Commitment at such time, subject to adjustment as provided in </w:t>
      </w:r>
      <w:r>
        <w:rPr>
          <w:rFonts w:ascii="Times New Roman" w:cs="Times New Roman" w:eastAsia="Times New Roman" w:hAnsi="Times New Roman"/>
          <w:sz w:val="19"/>
          <w:szCs w:val="19"/>
          <w:b w:val="1"/>
          <w:bCs w:val="1"/>
          <w:i w:val="1"/>
          <w:iCs w:val="1"/>
          <w:color w:val="auto"/>
        </w:rPr>
        <w:t>Section 2.5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3.15</w:t>
      </w:r>
      <w:r>
        <w:rPr>
          <w:rFonts w:ascii="Times New Roman" w:cs="Times New Roman" w:eastAsia="Times New Roman" w:hAnsi="Times New Roman"/>
          <w:sz w:val="19"/>
          <w:szCs w:val="19"/>
          <w:color w:val="auto"/>
        </w:rPr>
        <w:t xml:space="preserve">. If the commitment of each Revolver Lender to make Revolver Loans and the obligation of each L/C Issuer to make L/C Credit Extensions have been terminated pursuant to </w:t>
      </w:r>
      <w:r>
        <w:rPr>
          <w:rFonts w:ascii="Times New Roman" w:cs="Times New Roman" w:eastAsia="Times New Roman" w:hAnsi="Times New Roman"/>
          <w:sz w:val="19"/>
          <w:szCs w:val="19"/>
          <w:b w:val="1"/>
          <w:bCs w:val="1"/>
          <w:i w:val="1"/>
          <w:iCs w:val="1"/>
          <w:color w:val="auto"/>
        </w:rPr>
        <w:t>Section 13.1</w:t>
      </w:r>
      <w:r>
        <w:rPr>
          <w:rFonts w:ascii="Times New Roman" w:cs="Times New Roman" w:eastAsia="Times New Roman" w:hAnsi="Times New Roman"/>
          <w:sz w:val="19"/>
          <w:szCs w:val="19"/>
          <w:color w:val="auto"/>
        </w:rPr>
        <w:t xml:space="preserve"> or if the Revolver Commitment has expired, then the Commitment Percentage of each Revolver Lender shall be determined based on the Commitment Percentage of such Revolver Lender most recently in effect, giving effect to any subsequent assignments. The initial Commitment Percentage of each Lender in respect of the Revolver Facility and the Term Loan Facility, as applicable, is set forth opposite the name of such Lender on </w:t>
      </w:r>
      <w:r>
        <w:rPr>
          <w:rFonts w:ascii="Times New Roman" w:cs="Times New Roman" w:eastAsia="Times New Roman" w:hAnsi="Times New Roman"/>
          <w:sz w:val="19"/>
          <w:szCs w:val="19"/>
          <w:b w:val="1"/>
          <w:bCs w:val="1"/>
          <w:i w:val="1"/>
          <w:iCs w:val="1"/>
          <w:color w:val="auto"/>
        </w:rPr>
        <w:t>Schedule 1</w:t>
      </w:r>
      <w:r>
        <w:rPr>
          <w:rFonts w:ascii="Times New Roman" w:cs="Times New Roman" w:eastAsia="Times New Roman" w:hAnsi="Times New Roman"/>
          <w:sz w:val="19"/>
          <w:szCs w:val="19"/>
          <w:color w:val="auto"/>
        </w:rPr>
        <w:t xml:space="preserve"> or in the Assignment and Assumption pursuant to which such Lender becomes a party hereto, as applicable.</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Commodity Exchange Act </w:t>
      </w:r>
      <w:r>
        <w:rPr>
          <w:rFonts w:ascii="Times New Roman" w:cs="Times New Roman" w:eastAsia="Times New Roman" w:hAnsi="Times New Roman"/>
          <w:sz w:val="19"/>
          <w:szCs w:val="19"/>
          <w:color w:val="auto"/>
        </w:rPr>
        <w:t>means the Commodity Exchange Act (7 U.S.C. § 1 et seq.), as amended from time to time, and any successor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statute.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Communication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15.19</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Companies </w:t>
      </w:r>
      <w:r>
        <w:rPr>
          <w:rFonts w:ascii="Times New Roman" w:cs="Times New Roman" w:eastAsia="Times New Roman" w:hAnsi="Times New Roman"/>
          <w:sz w:val="19"/>
          <w:szCs w:val="19"/>
          <w:color w:val="auto"/>
        </w:rPr>
        <w:t>means VRI and each of VRI’s Restricted and Unrestricted Subsidiaries now or hereafter existing, and</w:t>
      </w:r>
      <w:r>
        <w:rPr>
          <w:rFonts w:ascii="Times New Roman" w:cs="Times New Roman" w:eastAsia="Times New Roman" w:hAnsi="Times New Roman"/>
          <w:sz w:val="19"/>
          <w:szCs w:val="19"/>
          <w:b w:val="1"/>
          <w:bCs w:val="1"/>
          <w:i w:val="1"/>
          <w:iCs w:val="1"/>
          <w:color w:val="auto"/>
        </w:rPr>
        <w:t xml:space="preserve"> Company </w:t>
      </w:r>
      <w:r>
        <w:rPr>
          <w:rFonts w:ascii="Times New Roman" w:cs="Times New Roman" w:eastAsia="Times New Roman" w:hAnsi="Times New Roman"/>
          <w:sz w:val="19"/>
          <w:szCs w:val="19"/>
          <w:color w:val="auto"/>
        </w:rPr>
        <w:t>means any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Companies.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15"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Completion Guaranty </w:t>
      </w:r>
      <w:r>
        <w:rPr>
          <w:rFonts w:ascii="Times New Roman" w:cs="Times New Roman" w:eastAsia="Times New Roman" w:hAnsi="Times New Roman"/>
          <w:sz w:val="19"/>
          <w:szCs w:val="19"/>
          <w:color w:val="auto"/>
        </w:rPr>
        <w:t>means, with respect to any Real Estate Project of an Unrestricted Subsidiary, a completion guaranty or similar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agreement entered into by a Restricted Company pursuant to which such Restricted Company (a) guarantees the timely completion of construction of such construction project in accordance with applicable plans and specifications, the payment of all costs incurred in connection with the construction of such construction project, the payment of the premiums of all insurance required to be maintained in connection with the Real Estate Project, or such other matters customarily included by institutional lenders in a completion guaranty, or (b) otherwise indemnifies a construction lender or other party from loss resulting from a failure to timely complete and pay all costs incurred in connection with construction of any project financed by such lender or other party in accordance with the applicable plans and specifications.</w:t>
      </w:r>
    </w:p>
    <w:p>
      <w:pPr>
        <w:spacing w:after="0" w:line="165"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Compliance Certificate </w:t>
      </w:r>
      <w:r>
        <w:rPr>
          <w:rFonts w:ascii="Times New Roman" w:cs="Times New Roman" w:eastAsia="Times New Roman" w:hAnsi="Times New Roman"/>
          <w:sz w:val="19"/>
          <w:szCs w:val="19"/>
          <w:color w:val="auto"/>
        </w:rPr>
        <w:t>means a certificate substantially in the form of</w:t>
      </w:r>
      <w:r>
        <w:rPr>
          <w:rFonts w:ascii="Times New Roman" w:cs="Times New Roman" w:eastAsia="Times New Roman" w:hAnsi="Times New Roman"/>
          <w:sz w:val="19"/>
          <w:szCs w:val="19"/>
          <w:b w:val="1"/>
          <w:bCs w:val="1"/>
          <w:i w:val="1"/>
          <w:iCs w:val="1"/>
          <w:color w:val="auto"/>
        </w:rPr>
        <w:t xml:space="preserve"> Exhibit D </w:t>
      </w:r>
      <w:r>
        <w:rPr>
          <w:rFonts w:ascii="Times New Roman" w:cs="Times New Roman" w:eastAsia="Times New Roman" w:hAnsi="Times New Roman"/>
          <w:sz w:val="19"/>
          <w:szCs w:val="19"/>
          <w:color w:val="auto"/>
        </w:rPr>
        <w:t>and signed by Borrower’s Chief Financial Officer,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together with the calculation worksheet described therein.</w:t>
      </w:r>
    </w:p>
    <w:p>
      <w:pPr>
        <w:spacing w:after="0" w:line="131"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Concessioner Subsidiaries </w:t>
      </w:r>
      <w:r>
        <w:rPr>
          <w:rFonts w:ascii="Times New Roman" w:cs="Times New Roman" w:eastAsia="Times New Roman" w:hAnsi="Times New Roman"/>
          <w:sz w:val="19"/>
          <w:szCs w:val="19"/>
          <w:color w:val="auto"/>
        </w:rPr>
        <w:t>means, collectively, (a) Grand Teton Lodge Company, a Wyoming corporation, (b) Flagg Ranch Company,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Colorado corporation, and (c) each other Restricted Subsidiary (other than Borrower) that is awarded a concession contract or similar agreement by the National Park Service (each, a “</w:t>
      </w:r>
      <w:r>
        <w:rPr>
          <w:rFonts w:ascii="Times New Roman" w:cs="Times New Roman" w:eastAsia="Times New Roman" w:hAnsi="Times New Roman"/>
          <w:sz w:val="19"/>
          <w:szCs w:val="19"/>
          <w:b w:val="1"/>
          <w:bCs w:val="1"/>
          <w:i w:val="1"/>
          <w:iCs w:val="1"/>
          <w:color w:val="auto"/>
        </w:rPr>
        <w:t>Concession Contract</w:t>
      </w:r>
      <w:r>
        <w:rPr>
          <w:rFonts w:ascii="Times New Roman" w:cs="Times New Roman" w:eastAsia="Times New Roman" w:hAnsi="Times New Roman"/>
          <w:sz w:val="19"/>
          <w:szCs w:val="19"/>
          <w:color w:val="auto"/>
        </w:rPr>
        <w:t>”) that prohibits the Equity Interests of such Restricted Subsidiary from being pledged to Administrative Agent under the Loan Papers; provided, that (i) a true and correct copy of the applicable Concession Contract has been delivered to Administrative Agent and such Concession Contract has not expired or been terminated, (ii) the Equity Interests of such Restricted Subsidiary have not, and will not, be pledged to any other Person, (iii) such Restricted Subsidiary does not, and will not own, any material assets or property other than the Concession Contract, the revenues generated by such Concession Contract, and the improvements, assets, and Rights necessary to perform its obligations under such Concession Contract, (iv) such Restricted Subsidiary has executed a Guaranty, and (v) Administrative Agent has agreed to the designation of such Restricted Subsidiary as a Concessioner Subsidiary in writing.</w:t>
      </w:r>
    </w:p>
    <w:p>
      <w:pPr>
        <w:spacing w:after="0" w:line="181"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Conforming Changes </w:t>
      </w:r>
      <w:r>
        <w:rPr>
          <w:rFonts w:ascii="Times New Roman" w:cs="Times New Roman" w:eastAsia="Times New Roman" w:hAnsi="Times New Roman"/>
          <w:sz w:val="19"/>
          <w:szCs w:val="19"/>
          <w:color w:val="auto"/>
        </w:rPr>
        <w:t>means, with respect to the use, administration of or any conventions associated with SOFR or any proposed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Successor Rate, Daily Simple SOFR, or Term SOFR, as applicable, any conforming changes to the definitions of “</w:t>
      </w:r>
      <w:r>
        <w:rPr>
          <w:rFonts w:ascii="Times New Roman" w:cs="Times New Roman" w:eastAsia="Times New Roman" w:hAnsi="Times New Roman"/>
          <w:sz w:val="19"/>
          <w:szCs w:val="19"/>
          <w:i w:val="1"/>
          <w:iCs w:val="1"/>
          <w:color w:val="auto"/>
        </w:rPr>
        <w:t>Base Rate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Daily Simple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SOFR</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SOFR</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Term SOFR</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Interest Period</w:t>
      </w:r>
      <w:r>
        <w:rPr>
          <w:rFonts w:ascii="Times New Roman" w:cs="Times New Roman" w:eastAsia="Times New Roman" w:hAnsi="Times New Roman"/>
          <w:sz w:val="19"/>
          <w:szCs w:val="19"/>
          <w:color w:val="auto"/>
        </w:rPr>
        <w:t>”, timing and frequency of determining rates and making payments of interest and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technical, administrative or operational matters (including, for the avoidance of doubt, the definitions of “</w:t>
      </w:r>
      <w:r>
        <w:rPr>
          <w:rFonts w:ascii="Times New Roman" w:cs="Times New Roman" w:eastAsia="Times New Roman" w:hAnsi="Times New Roman"/>
          <w:sz w:val="19"/>
          <w:szCs w:val="19"/>
          <w:i w:val="1"/>
          <w:iCs w:val="1"/>
          <w:color w:val="auto"/>
        </w:rPr>
        <w:t>Business Day</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U.S. Government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Securities Business Day</w:t>
      </w:r>
      <w:r>
        <w:rPr>
          <w:rFonts w:ascii="Times New Roman" w:cs="Times New Roman" w:eastAsia="Times New Roman" w:hAnsi="Times New Roman"/>
          <w:sz w:val="19"/>
          <w:szCs w:val="19"/>
          <w:color w:val="auto"/>
        </w:rPr>
        <w:t>”, timing of borrowing requests or prepayment, conversion or continuation notices and length of lookback periods) as may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 appropriate, in the discretion of Administrative Agent (after consultation with Borrower), to reflect the adoption and implementation of such applicable rate(s) and to permit the administration thereof by Administrative Agent in a manner substantially consistent with market practice (or, if Administrative Agent determines that adoption of any portion of such market practice is not administratively feasible or that no market practice for the administration of such rate exists, in such other manner of administration as Administrative Agent determines is reasonably necessary in connection with the administration of this Agreement and any other Loan Paper).</w:t>
      </w:r>
    </w:p>
    <w:p>
      <w:pPr>
        <w:spacing w:after="0" w:line="178"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Connection Income Taxes </w:t>
      </w:r>
      <w:r>
        <w:rPr>
          <w:rFonts w:ascii="Times New Roman" w:cs="Times New Roman" w:eastAsia="Times New Roman" w:hAnsi="Times New Roman"/>
          <w:sz w:val="19"/>
          <w:szCs w:val="19"/>
          <w:color w:val="auto"/>
        </w:rPr>
        <w:t>means Other Connection Taxes that are imposed on or measured by net income (however denominated) or that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are franchise Taxes or branch profits Taxes.</w:t>
      </w:r>
    </w:p>
    <w:p>
      <w:pPr>
        <w:spacing w:after="0" w:line="156"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Consolidated Net Income </w:t>
      </w:r>
      <w:r>
        <w:rPr>
          <w:rFonts w:ascii="Times New Roman" w:cs="Times New Roman" w:eastAsia="Times New Roman" w:hAnsi="Times New Roman"/>
          <w:sz w:val="19"/>
          <w:szCs w:val="19"/>
          <w:color w:val="auto"/>
        </w:rPr>
        <w:t>means, with respect to any Person, the aggregate of the</w:t>
      </w:r>
      <w:r>
        <w:rPr>
          <w:rFonts w:ascii="Times New Roman" w:cs="Times New Roman" w:eastAsia="Times New Roman" w:hAnsi="Times New Roman"/>
          <w:sz w:val="19"/>
          <w:szCs w:val="19"/>
          <w:b w:val="1"/>
          <w:bCs w:val="1"/>
          <w:i w:val="1"/>
          <w:iCs w:val="1"/>
          <w:color w:val="auto"/>
        </w:rPr>
        <w:t xml:space="preserve"> Section 10.9 </w:t>
      </w:r>
      <w:r>
        <w:rPr>
          <w:rFonts w:ascii="Times New Roman" w:cs="Times New Roman" w:eastAsia="Times New Roman" w:hAnsi="Times New Roman"/>
          <w:sz w:val="19"/>
          <w:szCs w:val="19"/>
          <w:color w:val="auto"/>
        </w:rPr>
        <w:t>Net Income of such Person and its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Restricted Subsidiaries for such period, on a consolidated basis, determined in accordance with GAAP;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(a) the net income (but not loss) of any Person that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is not a Restricted Subsidiary of such Person or that is accounted for by the equity method of accounting shall be included only to the extent of the amount of dividends or distributions paid in cash by such Person during such period to the referent Person or a Restricted Subsidiary thereof, (b) the cumulative effect of a change in accounting principles shall be excluded and (c) non-cash compensation expenses incurred in respect of stock option plans shall be excluded.</w:t>
      </w:r>
    </w:p>
    <w:p>
      <w:pPr>
        <w:spacing w:after="0" w:line="158" w:lineRule="exact"/>
        <w:rPr>
          <w:sz w:val="20"/>
          <w:szCs w:val="20"/>
          <w:color w:val="auto"/>
        </w:rPr>
      </w:pPr>
    </w:p>
    <w:p>
      <w:pPr>
        <w:jc w:val="both"/>
        <w:ind w:firstLine="618"/>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Convertible Debt Securities </w:t>
      </w:r>
      <w:r>
        <w:rPr>
          <w:rFonts w:ascii="Times New Roman" w:cs="Times New Roman" w:eastAsia="Times New Roman" w:hAnsi="Times New Roman"/>
          <w:sz w:val="19"/>
          <w:szCs w:val="19"/>
          <w:color w:val="auto"/>
        </w:rPr>
        <w:t>means any senior unsecured indebtedness for borrowed money in the form of convertible debt securities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which a Company is directly and primarily obligated and that is issued pursuant to documentation with terms that are no more restrictive upon such Company than the terms of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Convertible Debt Securities shall not include High-Yield Debt.</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Credit Party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14.3</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Critical Assets </w:t>
      </w:r>
      <w:r>
        <w:rPr>
          <w:rFonts w:ascii="Times New Roman" w:cs="Times New Roman" w:eastAsia="Times New Roman" w:hAnsi="Times New Roman"/>
          <w:sz w:val="19"/>
          <w:szCs w:val="19"/>
          <w:color w:val="auto"/>
        </w:rPr>
        <w:t>means all improvements, assets, and Rights essential to ski resort operations owned or acquired by any Company;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 xml:space="preserve">that </w:t>
      </w:r>
      <w:r>
        <w:rPr>
          <w:rFonts w:ascii="Times New Roman" w:cs="Times New Roman" w:eastAsia="Times New Roman" w:hAnsi="Times New Roman"/>
          <w:sz w:val="19"/>
          <w:szCs w:val="19"/>
          <w:color w:val="auto"/>
        </w:rPr>
        <w:t>the assets of the Whistler Acquisition Subsidiaries and the Peak Resorts Acquisition Subsidiaries shall not be deemed “Critical Assets”.</w:t>
      </w:r>
    </w:p>
    <w:p>
      <w:pPr>
        <w:spacing w:after="0" w:line="156"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Current Financials </w:t>
      </w:r>
      <w:r>
        <w:rPr>
          <w:rFonts w:ascii="Times New Roman" w:cs="Times New Roman" w:eastAsia="Times New Roman" w:hAnsi="Times New Roman"/>
          <w:sz w:val="19"/>
          <w:szCs w:val="19"/>
          <w:color w:val="auto"/>
        </w:rPr>
        <w:t>means, initially, the consolidated Financial Statements of the Companies for the period ended January 31, 2024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thereafter, the consolidated Financial Statements of the Companies most recently delivered to Administrative Agent under </w:t>
      </w:r>
      <w:r>
        <w:rPr>
          <w:rFonts w:ascii="Times New Roman" w:cs="Times New Roman" w:eastAsia="Times New Roman" w:hAnsi="Times New Roman"/>
          <w:sz w:val="19"/>
          <w:szCs w:val="19"/>
          <w:b w:val="1"/>
          <w:bCs w:val="1"/>
          <w:i w:val="1"/>
          <w:iCs w:val="1"/>
          <w:color w:val="auto"/>
        </w:rPr>
        <w:t>Sections 9.1(a)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9.1(b)</w:t>
      </w:r>
      <w:r>
        <w:rPr>
          <w:rFonts w:ascii="Times New Roman" w:cs="Times New Roman" w:eastAsia="Times New Roman" w:hAnsi="Times New Roman"/>
          <w:sz w:val="19"/>
          <w:szCs w:val="19"/>
          <w:color w:val="auto"/>
        </w:rPr>
        <w:t>, as the case may be.</w:t>
      </w:r>
    </w:p>
    <w:p>
      <w:pPr>
        <w:spacing w:after="0" w:line="168"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Customary Recourse Exceptions </w:t>
      </w:r>
      <w:r>
        <w:rPr>
          <w:rFonts w:ascii="Times New Roman" w:cs="Times New Roman" w:eastAsia="Times New Roman" w:hAnsi="Times New Roman"/>
          <w:sz w:val="19"/>
          <w:szCs w:val="19"/>
          <w:color w:val="auto"/>
        </w:rPr>
        <w:t>means, with respect to any Non-Recourse Debt of an Unrestricted Subsidiary, exclusions from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exculpation provisions with respect to such Non-Recourse Debt for the bankruptcy of such Unrestricted Subsidiary, fraud, misapplication of cash, environmental claims, waste, willful destruction, and other circumstances customarily excluded by institutional lenders from exculpation provisions and/or included in separate indemnification agreements in non-recourse financings of real estate.</w:t>
      </w:r>
    </w:p>
    <w:p>
      <w:pPr>
        <w:spacing w:after="0" w:line="157" w:lineRule="exact"/>
        <w:rPr>
          <w:sz w:val="20"/>
          <w:szCs w:val="20"/>
          <w:color w:val="auto"/>
        </w:rPr>
      </w:pPr>
    </w:p>
    <w:p>
      <w:pPr>
        <w:jc w:val="both"/>
        <w:ind w:firstLine="618"/>
        <w:spacing w:after="0" w:line="232" w:lineRule="auto"/>
        <w:rPr>
          <w:sz w:val="20"/>
          <w:szCs w:val="20"/>
          <w:color w:val="auto"/>
        </w:rPr>
      </w:pPr>
      <w:r>
        <w:rPr>
          <w:rFonts w:ascii="Times New Roman" w:cs="Times New Roman" w:eastAsia="Times New Roman" w:hAnsi="Times New Roman"/>
          <w:sz w:val="19"/>
          <w:szCs w:val="19"/>
          <w:b w:val="1"/>
          <w:bCs w:val="1"/>
          <w:i w:val="1"/>
          <w:iCs w:val="1"/>
          <w:color w:val="auto"/>
        </w:rPr>
        <w:t xml:space="preserve">Daily Simple SOFR </w:t>
      </w:r>
      <w:r>
        <w:rPr>
          <w:rFonts w:ascii="Times New Roman" w:cs="Times New Roman" w:eastAsia="Times New Roman" w:hAnsi="Times New Roman"/>
          <w:sz w:val="19"/>
          <w:szCs w:val="19"/>
          <w:color w:val="auto"/>
        </w:rPr>
        <w:t>means, with respect to any applicable determination date, (a) the SOFR published on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U.S. Government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Securities Business Day preceding such day by the SOFR Administrator on the Federal Reserve Bank of New York’s website (or any successor source); provided, however, that if such day is not a U.S. Government Securities Business Day, then Daily Simple SOFR means such rate so published on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U.S. Government Securities Business Day preceding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xml:space="preserve">) U.S. Government Securities Business Day immediately prior thereto;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SOFR Adjustment. If the rate as so determined would be less than 0.00%, such rate shall be deemed to be 0.00% for purposes of the Loans and Loan Papers.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Daily SOFR Rate Loan </w:t>
      </w:r>
      <w:r>
        <w:rPr>
          <w:rFonts w:ascii="Times New Roman" w:cs="Times New Roman" w:eastAsia="Times New Roman" w:hAnsi="Times New Roman"/>
          <w:sz w:val="19"/>
          <w:szCs w:val="19"/>
          <w:color w:val="auto"/>
        </w:rPr>
        <w:t>means a Loan made hereunder with respect to which the interest rate is calculated by reference to Daily Simple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SOFR.</w:t>
      </w:r>
    </w:p>
    <w:p>
      <w:pPr>
        <w:spacing w:after="0" w:line="193"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Debt </w:t>
      </w:r>
      <w:r>
        <w:rPr>
          <w:rFonts w:ascii="Times New Roman" w:cs="Times New Roman" w:eastAsia="Times New Roman" w:hAnsi="Times New Roman"/>
          <w:sz w:val="19"/>
          <w:szCs w:val="19"/>
          <w:color w:val="auto"/>
        </w:rPr>
        <w:t>of any Person means at any date, without duplication (and calculated in accordance with GAAP), (a) all obligations of such Person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borrowed money (whether as a direct obligation on a promissory note, bond, zero coupon bond, debenture, or other similar instrument, or as an unfulfilled reimbursement obligation on a drawn letter of credit or similar instrument, or otherwise), including, without duplication, all Capital Lease obligations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the interest component of such obligations) of such Person, (b) all obligations of such Person to pay the deferred purchase price of property or services,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(i) obligations under employment contracts or deferred employee compensation plans and (ii) trade accounts payable and other expenses or payables arising in the ordinary course of business, (c) all Debt of others secured by a Lien on any asset of such Person (or for which the holder of the Debt has an existing Right, contingent or otherwise, to be so secured), whether or not such Debt is assumed by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such Person, and (d) all guaranties and other contingent obligations (as a general partner or otherwise) of such Person with respect to Debt of others;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 </w:t>
      </w:r>
      <w:r>
        <w:rPr>
          <w:rFonts w:ascii="Times New Roman" w:cs="Times New Roman" w:eastAsia="Times New Roman" w:hAnsi="Times New Roman"/>
          <w:sz w:val="19"/>
          <w:szCs w:val="19"/>
          <w:color w:val="auto"/>
        </w:rPr>
        <w:t>repayment or reimbursement obligations of the Restricted Companies with respect to Permitted Recourse Obligations shall not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considered Debt unless and until an event or circumstance occurs that triggers such Restricted Company’s direct payment liability or reimbursement obligation (as opposed to contingent or performance obligations) to the lender or other party to whom such Permitted Recourse Obligation is actually owed, in which case the amount of such direct payment liability to such lender or other party shall constitute Debt;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the satisfaction of performance obligations by any Restricted Company on behalf of any Unrestricted Subsidiary under a Completion Guaranty shall not constitute Debt.</w:t>
      </w:r>
    </w:p>
    <w:p>
      <w:pPr>
        <w:spacing w:after="0" w:line="165"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Debtor Relief Laws </w:t>
      </w:r>
      <w:r>
        <w:rPr>
          <w:rFonts w:ascii="Times New Roman" w:cs="Times New Roman" w:eastAsia="Times New Roman" w:hAnsi="Times New Roman"/>
          <w:sz w:val="19"/>
          <w:szCs w:val="19"/>
          <w:color w:val="auto"/>
        </w:rPr>
        <w:t>means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Bankruptcy Reform Act of 1978</w:t>
      </w:r>
      <w:r>
        <w:rPr>
          <w:rFonts w:ascii="Times New Roman" w:cs="Times New Roman" w:eastAsia="Times New Roman" w:hAnsi="Times New Roman"/>
          <w:sz w:val="19"/>
          <w:szCs w:val="19"/>
          <w:color w:val="auto"/>
        </w:rPr>
        <w:t>, as amended from time to time, and all other applicable liquidation,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conservatorship, bankruptcy, moratorium, rearrangement, receivership, insolvency, reorganization, suspension of payments, or similar Laws affecting creditors’ Rights from time to time in effect.</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Default </w:t>
      </w:r>
      <w:r>
        <w:rPr>
          <w:rFonts w:ascii="Times New Roman" w:cs="Times New Roman" w:eastAsia="Times New Roman" w:hAnsi="Times New Roman"/>
          <w:sz w:val="19"/>
          <w:szCs w:val="19"/>
          <w:color w:val="auto"/>
        </w:rPr>
        <w:t>is defined in</w:t>
      </w:r>
      <w:r>
        <w:rPr>
          <w:rFonts w:ascii="Times New Roman" w:cs="Times New Roman" w:eastAsia="Times New Roman" w:hAnsi="Times New Roman"/>
          <w:sz w:val="19"/>
          <w:szCs w:val="19"/>
          <w:b w:val="1"/>
          <w:bCs w:val="1"/>
          <w:i w:val="1"/>
          <w:iCs w:val="1"/>
          <w:color w:val="auto"/>
        </w:rPr>
        <w:t xml:space="preserve"> Section 12</w:t>
      </w:r>
      <w:r>
        <w:rPr>
          <w:rFonts w:ascii="Times New Roman" w:cs="Times New Roman" w:eastAsia="Times New Roman" w:hAnsi="Times New Roman"/>
          <w:sz w:val="19"/>
          <w:szCs w:val="19"/>
          <w:i w:val="1"/>
          <w:iCs w:val="1"/>
          <w:color w:val="auto"/>
        </w:rPr>
        <w:t>.</w:t>
      </w:r>
    </w:p>
    <w:p>
      <w:pPr>
        <w:spacing w:after="0" w:line="219"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Default Rate </w:t>
      </w:r>
      <w:r>
        <w:rPr>
          <w:rFonts w:ascii="Times New Roman" w:cs="Times New Roman" w:eastAsia="Times New Roman" w:hAnsi="Times New Roman"/>
          <w:sz w:val="19"/>
          <w:szCs w:val="19"/>
          <w:color w:val="auto"/>
        </w:rPr>
        <w:t>means (a) when used with respect to Obligations other than L/C Fees, an interest rate equal to (i) the Base Rate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(ii)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Applicable Margin, if any, applicable to Base Rate Loans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(iii) 2% per annum;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with respect to a Term Reference Rate Loan or Daily SOFR Rate Loan, the Default Rate shall be an interest rate equal to the interest rate (including any Applicable Margin) otherwise applicable to such Loan plus 2% per annum, and (b) when used with respect to L/C Fees calculated based on the Applicable Margin, a rate equal to the Applicable Margin plus 2% per annum.</w:t>
      </w:r>
    </w:p>
    <w:p>
      <w:pPr>
        <w:spacing w:after="0" w:line="174"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Defaulting Lender </w:t>
      </w:r>
      <w:r>
        <w:rPr>
          <w:rFonts w:ascii="Times New Roman" w:cs="Times New Roman" w:eastAsia="Times New Roman" w:hAnsi="Times New Roman"/>
          <w:sz w:val="19"/>
          <w:szCs w:val="19"/>
          <w:color w:val="auto"/>
        </w:rPr>
        <w:t>means, subject to</w:t>
      </w:r>
      <w:r>
        <w:rPr>
          <w:rFonts w:ascii="Times New Roman" w:cs="Times New Roman" w:eastAsia="Times New Roman" w:hAnsi="Times New Roman"/>
          <w:sz w:val="19"/>
          <w:szCs w:val="19"/>
          <w:b w:val="1"/>
          <w:bCs w:val="1"/>
          <w:i w:val="1"/>
          <w:iCs w:val="1"/>
          <w:color w:val="auto"/>
        </w:rPr>
        <w:t xml:space="preserve"> Section 3.15(b)</w:t>
      </w:r>
      <w:r>
        <w:rPr>
          <w:rFonts w:ascii="Times New Roman" w:cs="Times New Roman" w:eastAsia="Times New Roman" w:hAnsi="Times New Roman"/>
          <w:sz w:val="19"/>
          <w:szCs w:val="19"/>
          <w:color w:val="auto"/>
        </w:rPr>
        <w:t>, any Lender that (a) has failed to fund any portion of the Revolver Loans or the Term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Loans, unless such Lender notifies Administrative Agent in writing that such failure is the result of such Lender’s determination that a condition precedent to funding (which condition precedent, together with the applicable default, if any, shall be specifically identified in such writing) has not been satisfied or participations in L/C Exposure hereunder within two Business Days of the date required to be funded by it hereunder, (b) has otherwise failed to pay over to Administrative Agent or any other Lender any other amount required to be paid by it hereunder within two Business Days of the date when due, unless the subject of a good faith dispute, (c) has notified Borrower or Administrative Agent in writing that it does not intend to comply with its funding obligations or has made a public statement to that effect with respect to its funding obligations hereunder (unless such writing or public statement relates to such Lender’s obligation to fund a Revolver Loan or a Term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 or under other agreements in which it commits to extend credit, (d) has failed, within three Business Days after request by Administrative Agent, to confirm in writing to Administrative Agent that it will comply with its funding obligations (provided, that such Lender shall cease to be a Defaulting Lender pursuant to this </w:t>
      </w:r>
      <w:r>
        <w:rPr>
          <w:rFonts w:ascii="Times New Roman" w:cs="Times New Roman" w:eastAsia="Times New Roman" w:hAnsi="Times New Roman"/>
          <w:sz w:val="19"/>
          <w:szCs w:val="19"/>
          <w:b w:val="1"/>
          <w:bCs w:val="1"/>
          <w:i w:val="1"/>
          <w:iCs w:val="1"/>
          <w:color w:val="auto"/>
        </w:rPr>
        <w:t>clause (d)</w:t>
      </w:r>
      <w:r>
        <w:rPr>
          <w:rFonts w:ascii="Times New Roman" w:cs="Times New Roman" w:eastAsia="Times New Roman" w:hAnsi="Times New Roman"/>
          <w:sz w:val="19"/>
          <w:szCs w:val="19"/>
          <w:color w:val="auto"/>
        </w:rPr>
        <w:t xml:space="preserve"> upon Administrative Agent’s receipt of such written confirmation), or (e)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provided, that a Lender shall not be a Defaulting Lender solely by virtue of the ownership or acquisition of any equity interest in that Lender 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any direct or indirect parent company thereof by a Governmental Authority, so long as such ownership interest does not result in or provide such Lender with immunity from jurisdiction of courts within the United States from enforcement of judgments or writs of attachment on assets or permit such Lender (or such Governmental Authority or instrumentality) to reject, repudiate, disavow, or disaffirm any contract or agreement made with such Lender. Any determination by Administrative Agent that a Lender is a Defaulting Lender under any one or more of </w:t>
      </w:r>
      <w:r>
        <w:rPr>
          <w:rFonts w:ascii="Times New Roman" w:cs="Times New Roman" w:eastAsia="Times New Roman" w:hAnsi="Times New Roman"/>
          <w:sz w:val="18"/>
          <w:szCs w:val="18"/>
          <w:b w:val="1"/>
          <w:bCs w:val="1"/>
          <w:i w:val="1"/>
          <w:iCs w:val="1"/>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b w:val="1"/>
          <w:bCs w:val="1"/>
          <w:i w:val="1"/>
          <w:iCs w:val="1"/>
          <w:color w:val="auto"/>
        </w:rPr>
        <w:t>(e)</w:t>
      </w:r>
      <w:r>
        <w:rPr>
          <w:rFonts w:ascii="Times New Roman" w:cs="Times New Roman" w:eastAsia="Times New Roman" w:hAnsi="Times New Roman"/>
          <w:sz w:val="18"/>
          <w:szCs w:val="18"/>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b w:val="1"/>
          <w:bCs w:val="1"/>
          <w:i w:val="1"/>
          <w:iCs w:val="1"/>
          <w:color w:val="auto"/>
        </w:rPr>
        <w:t>Section 3.15(b)</w:t>
      </w:r>
      <w:r>
        <w:rPr>
          <w:rFonts w:ascii="Times New Roman" w:cs="Times New Roman" w:eastAsia="Times New Roman" w:hAnsi="Times New Roman"/>
          <w:sz w:val="18"/>
          <w:szCs w:val="18"/>
          <w:color w:val="auto"/>
        </w:rPr>
        <w:t>) as of the date established therefor by Administrative Agent in a written notice of such determination, which shall be delivered by Administrative Agent to Borrower, the L/C Issuers and each other Lender promptly following such determination.</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Designated Condominium Sale </w:t>
      </w:r>
      <w:r>
        <w:rPr>
          <w:rFonts w:ascii="Times New Roman" w:cs="Times New Roman" w:eastAsia="Times New Roman" w:hAnsi="Times New Roman"/>
          <w:sz w:val="19"/>
          <w:szCs w:val="19"/>
          <w:color w:val="auto"/>
        </w:rPr>
        <w:t>means the sale or other disposition of any condominium unit owned on the Closing Date.</w:t>
      </w:r>
    </w:p>
    <w:p>
      <w:pPr>
        <w:spacing w:after="0" w:line="219"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Designated Jurisdiction </w:t>
      </w:r>
      <w:r>
        <w:rPr>
          <w:rFonts w:ascii="Times New Roman" w:cs="Times New Roman" w:eastAsia="Times New Roman" w:hAnsi="Times New Roman"/>
          <w:sz w:val="19"/>
          <w:szCs w:val="19"/>
          <w:color w:val="auto"/>
        </w:rPr>
        <w:t>means any country that is the subject of a Sanction or is located, organized or resident in a country or territory that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is the target/subject of Sanctions, including the Crimea, Donetsk and Luhansk regions of Ukraine, Cuba, Iran, North Korea and Syria.</w:t>
      </w:r>
    </w:p>
    <w:p>
      <w:pPr>
        <w:spacing w:after="0" w:line="156"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Disqualified Equity Interests </w:t>
      </w:r>
      <w:r>
        <w:rPr>
          <w:rFonts w:ascii="Times New Roman" w:cs="Times New Roman" w:eastAsia="Times New Roman" w:hAnsi="Times New Roman"/>
          <w:sz w:val="19"/>
          <w:szCs w:val="19"/>
          <w:color w:val="auto"/>
        </w:rPr>
        <w:t>means capital stock or other Equity Interests that by their terms (or by the terms of any debt or security into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which they are convertible or for which they are exchangeable) or upon the happening of any event, mature or are mandatorily redeemable pursuant to a sinking fund, demand of the holder, or otherwise, in whole or in part, including, without limitation, any Equity Interests issued in exchange for or in redemption of any Subordinated Debt.</w:t>
      </w:r>
    </w:p>
    <w:p>
      <w:pPr>
        <w:spacing w:after="0" w:line="157"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Distribution </w:t>
      </w:r>
      <w:r>
        <w:rPr>
          <w:rFonts w:ascii="Times New Roman" w:cs="Times New Roman" w:eastAsia="Times New Roman" w:hAnsi="Times New Roman"/>
          <w:sz w:val="19"/>
          <w:szCs w:val="19"/>
          <w:color w:val="auto"/>
        </w:rPr>
        <w:t>means, with respect to any shares of any capital stock or other Equity Interests issued by VRI or any Subsidiary of VRI, (a)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retirement, redemption, purchase, or other acquisition for value of such capital stock or other Equity Interests by such Person (including, without limitation, in connection with the merger or consolidation of any Company), (b) the payment of any dividend (whether in cash, securities, or property) on or with respect to such capital stock or other Equity Interests by such Person (including, without limitation, in connection with the merger or consolidation of any Company), (c) any loan or advance by that Person to, or other investment by that Person in, the holder of any such capital stock or other Equity Interests, and (d) any other payment by that Person with respect to such capital stock or other Equity Interests, including any sinking fund or general deposit, on account of the purchase, redemption, retirement, acquisition, cancellation, or termination of any such capital stock or other Equity Interests, or on account of any return of capital to such Person’s stockholders, partners, or members (or the equivalent Person), if any;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neither the conversion of convertible debt securities (whether settled in shares, cash or a combination thereof) nor the purchase of an Equity Hedge in connection with the issuance of convertible debt securities shall be considered a Distribution.</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Dollars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i w:val="1"/>
          <w:iCs w:val="1"/>
          <w:color w:val="auto"/>
        </w:rPr>
        <w:t xml:space="preserve"> $ </w:t>
      </w:r>
      <w:r>
        <w:rPr>
          <w:rFonts w:ascii="Times New Roman" w:cs="Times New Roman" w:eastAsia="Times New Roman" w:hAnsi="Times New Roman"/>
          <w:sz w:val="19"/>
          <w:szCs w:val="19"/>
          <w:color w:val="auto"/>
        </w:rPr>
        <w:t>mean lawful money of the United States.</w:t>
      </w:r>
    </w:p>
    <w:p>
      <w:pPr>
        <w:spacing w:after="0" w:line="219"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Dollar Equivalent </w:t>
      </w:r>
      <w:r>
        <w:rPr>
          <w:rFonts w:ascii="Times New Roman" w:cs="Times New Roman" w:eastAsia="Times New Roman" w:hAnsi="Times New Roman"/>
          <w:sz w:val="19"/>
          <w:szCs w:val="19"/>
          <w:color w:val="auto"/>
        </w:rPr>
        <w:t>means, at any time, (a) with respect to any amount denominated in Dollars, such amount, and (b) with respect to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amount denominated in the Alternative Currency, the equivalent amount thereof in Dollars as determined by Administrative Agent or the Australian L/C Issuer, as the case may be, at such time on the basis of the Spot Rate (determined in respect of the most recent Revaluation Date) for the purchase of Dollars with the Alternative Currency.</w:t>
      </w:r>
    </w:p>
    <w:p>
      <w:pPr>
        <w:spacing w:after="0" w:line="157"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EBITDA </w:t>
      </w:r>
      <w:r>
        <w:rPr>
          <w:rFonts w:ascii="Times New Roman" w:cs="Times New Roman" w:eastAsia="Times New Roman" w:hAnsi="Times New Roman"/>
          <w:sz w:val="19"/>
          <w:szCs w:val="19"/>
          <w:color w:val="auto"/>
        </w:rPr>
        <w:t>means, for any period of calculation with respect to any Person (or group of Persons whose Financial Statements are consolidated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accordance with GAAP), Net Income before interest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Taxes based on or measured by income, and Non-Cash Operating Charges, in each case to the extent deducted in determining Net Income.</w:t>
      </w:r>
    </w:p>
    <w:p>
      <w:pPr>
        <w:spacing w:after="0" w:line="225"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EEA Financial Institution </w:t>
      </w:r>
      <w:r>
        <w:rPr>
          <w:rFonts w:ascii="Times New Roman" w:cs="Times New Roman" w:eastAsia="Times New Roman" w:hAnsi="Times New Roman"/>
          <w:sz w:val="19"/>
          <w:szCs w:val="19"/>
          <w:color w:val="auto"/>
        </w:rPr>
        <w:t>means (a) any credit institution or investment firm established in any EEA Member Country which is subject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EEA Member Country </w:t>
      </w:r>
      <w:r>
        <w:rPr>
          <w:rFonts w:ascii="Times New Roman" w:cs="Times New Roman" w:eastAsia="Times New Roman" w:hAnsi="Times New Roman"/>
          <w:sz w:val="19"/>
          <w:szCs w:val="19"/>
          <w:color w:val="auto"/>
        </w:rPr>
        <w:t>means any of the member states of the European Union, Iceland, Liechtenstein, and Norway.</w:t>
      </w:r>
    </w:p>
    <w:p>
      <w:pPr>
        <w:spacing w:after="0" w:line="219"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EEA Resolution Authority </w:t>
      </w:r>
      <w:r>
        <w:rPr>
          <w:rFonts w:ascii="Times New Roman" w:cs="Times New Roman" w:eastAsia="Times New Roman" w:hAnsi="Times New Roman"/>
          <w:sz w:val="19"/>
          <w:szCs w:val="19"/>
          <w:color w:val="auto"/>
        </w:rPr>
        <w:t>means any public administrative authority or any person entrusted with public administrative authority of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EEA Member Country (including any delegee) having responsibility for the resolution of any EEA Financial Institution.</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Electronic Copy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15.19</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Electronic Record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15.19</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Electronic Signature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15.19</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Eligible Assignee </w:t>
      </w:r>
      <w:r>
        <w:rPr>
          <w:rFonts w:ascii="Times New Roman" w:cs="Times New Roman" w:eastAsia="Times New Roman" w:hAnsi="Times New Roman"/>
          <w:sz w:val="19"/>
          <w:szCs w:val="19"/>
          <w:color w:val="auto"/>
        </w:rPr>
        <w:t>means (a) a Lender; (b) an Affiliate of a Lender; (c) an Approved Fund; and (d) any other Person (other than a natural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person) approved by (i) Administrative Agent and the L/C Issuers, and (ii) unless a Default has occurred and is continuing, Borrower (each such approval not to be unreasonably withheld or delayed);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notwithstanding the foregoing, </w:t>
      </w:r>
      <w:r>
        <w:rPr>
          <w:rFonts w:ascii="Times New Roman" w:cs="Times New Roman" w:eastAsia="Times New Roman" w:hAnsi="Times New Roman"/>
          <w:sz w:val="19"/>
          <w:szCs w:val="19"/>
          <w:b w:val="1"/>
          <w:bCs w:val="1"/>
          <w:i w:val="1"/>
          <w:iCs w:val="1"/>
          <w:color w:val="auto"/>
        </w:rPr>
        <w:t>Eligible Assignee</w:t>
      </w:r>
      <w:r>
        <w:rPr>
          <w:rFonts w:ascii="Times New Roman" w:cs="Times New Roman" w:eastAsia="Times New Roman" w:hAnsi="Times New Roman"/>
          <w:sz w:val="19"/>
          <w:szCs w:val="19"/>
          <w:color w:val="auto"/>
        </w:rPr>
        <w:t xml:space="preserve"> shall not include Borrower, any of Borrower’s Affiliates, or the Companies.</w:t>
      </w:r>
    </w:p>
    <w:p>
      <w:pPr>
        <w:spacing w:after="0" w:line="175"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Employee Plan </w:t>
      </w:r>
      <w:r>
        <w:rPr>
          <w:rFonts w:ascii="Times New Roman" w:cs="Times New Roman" w:eastAsia="Times New Roman" w:hAnsi="Times New Roman"/>
          <w:sz w:val="19"/>
          <w:szCs w:val="19"/>
          <w:color w:val="auto"/>
        </w:rPr>
        <w:t>means an employee pension benefit plan covered 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Title IV</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ERISA and established or maintained by any Company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any ERISA Affiliate.</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Environmental Law </w:t>
      </w:r>
      <w:r>
        <w:rPr>
          <w:rFonts w:ascii="Times New Roman" w:cs="Times New Roman" w:eastAsia="Times New Roman" w:hAnsi="Times New Roman"/>
          <w:sz w:val="19"/>
          <w:szCs w:val="19"/>
          <w:color w:val="auto"/>
        </w:rPr>
        <w:t>means any Law that relates to the pollution or protection of ambient air, water or land or to Hazardous Substances.</w:t>
      </w:r>
    </w:p>
    <w:p>
      <w:pPr>
        <w:spacing w:after="0" w:line="219"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Equity Hedge </w:t>
      </w:r>
      <w:r>
        <w:rPr>
          <w:rFonts w:ascii="Times New Roman" w:cs="Times New Roman" w:eastAsia="Times New Roman" w:hAnsi="Times New Roman"/>
          <w:sz w:val="19"/>
          <w:szCs w:val="19"/>
          <w:color w:val="auto"/>
        </w:rPr>
        <w:t>means any call or capped call option (or substantively equivalent derivative transaction) on VRI’s common stock purchased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by VRI in connection with the issuance of any convertible debt securities.</w:t>
      </w:r>
    </w:p>
    <w:p>
      <w:pPr>
        <w:spacing w:after="0" w:line="156"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Equity Interests </w:t>
      </w:r>
      <w:r>
        <w:rPr>
          <w:rFonts w:ascii="Times New Roman" w:cs="Times New Roman" w:eastAsia="Times New Roman" w:hAnsi="Times New Roman"/>
          <w:sz w:val="19"/>
          <w:szCs w:val="19"/>
          <w:color w:val="auto"/>
        </w:rPr>
        <w:t>means, with respect to any Person, all of the shares of capital stock of (or other ownership or profit interests in) such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Person, all of the warrants, options, or other rights for the purchase or acquisition from such Person of shares of capital stock of (or other ownership or profit interests in) such Person, all of the securities (other than debt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convertible debt securities shall not constitute Equity Interests prior to any conversion thereof.</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ERISA </w:t>
      </w:r>
      <w:r>
        <w:rPr>
          <w:rFonts w:ascii="Times New Roman" w:cs="Times New Roman" w:eastAsia="Times New Roman" w:hAnsi="Times New Roman"/>
          <w:sz w:val="19"/>
          <w:szCs w:val="19"/>
          <w:color w:val="auto"/>
        </w:rPr>
        <w:t>means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Employee Retirement Income Security Act of 1974</w:t>
      </w:r>
      <w:r>
        <w:rPr>
          <w:rFonts w:ascii="Times New Roman" w:cs="Times New Roman" w:eastAsia="Times New Roman" w:hAnsi="Times New Roman"/>
          <w:sz w:val="19"/>
          <w:szCs w:val="19"/>
          <w:color w:val="auto"/>
        </w:rPr>
        <w:t>, as amended, and related rules and regulations.</w:t>
      </w:r>
    </w:p>
    <w:p>
      <w:pPr>
        <w:spacing w:after="0" w:line="219"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ERISA Affiliate </w:t>
      </w:r>
      <w:r>
        <w:rPr>
          <w:rFonts w:ascii="Times New Roman" w:cs="Times New Roman" w:eastAsia="Times New Roman" w:hAnsi="Times New Roman"/>
          <w:sz w:val="19"/>
          <w:szCs w:val="19"/>
          <w:color w:val="auto"/>
        </w:rPr>
        <w:t>means any trade or business (whether or not incorporated) that, together with any Company, is treated as a single employer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under </w:t>
      </w:r>
      <w:r>
        <w:rPr>
          <w:rFonts w:ascii="Times New Roman" w:cs="Times New Roman" w:eastAsia="Times New Roman" w:hAnsi="Times New Roman"/>
          <w:sz w:val="19"/>
          <w:szCs w:val="19"/>
          <w:i w:val="1"/>
          <w:iCs w:val="1"/>
          <w:color w:val="auto"/>
        </w:rPr>
        <w:t>section 414(b)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i w:val="1"/>
          <w:iCs w:val="1"/>
          <w:color w:val="auto"/>
        </w:rPr>
        <w:t>(c)</w:t>
      </w:r>
      <w:r>
        <w:rPr>
          <w:rFonts w:ascii="Times New Roman" w:cs="Times New Roman" w:eastAsia="Times New Roman" w:hAnsi="Times New Roman"/>
          <w:sz w:val="19"/>
          <w:szCs w:val="19"/>
          <w:color w:val="auto"/>
        </w:rPr>
        <w:t xml:space="preserve"> of the Code or, solely for purposes of </w:t>
      </w:r>
      <w:r>
        <w:rPr>
          <w:rFonts w:ascii="Times New Roman" w:cs="Times New Roman" w:eastAsia="Times New Roman" w:hAnsi="Times New Roman"/>
          <w:sz w:val="19"/>
          <w:szCs w:val="19"/>
          <w:i w:val="1"/>
          <w:iCs w:val="1"/>
          <w:color w:val="auto"/>
        </w:rPr>
        <w:t>section 302</w:t>
      </w:r>
      <w:r>
        <w:rPr>
          <w:rFonts w:ascii="Times New Roman" w:cs="Times New Roman" w:eastAsia="Times New Roman" w:hAnsi="Times New Roman"/>
          <w:sz w:val="19"/>
          <w:szCs w:val="19"/>
          <w:color w:val="auto"/>
        </w:rPr>
        <w:t xml:space="preserve"> of ERISA and </w:t>
      </w:r>
      <w:r>
        <w:rPr>
          <w:rFonts w:ascii="Times New Roman" w:cs="Times New Roman" w:eastAsia="Times New Roman" w:hAnsi="Times New Roman"/>
          <w:sz w:val="19"/>
          <w:szCs w:val="19"/>
          <w:i w:val="1"/>
          <w:iCs w:val="1"/>
          <w:color w:val="auto"/>
        </w:rPr>
        <w:t>section 412</w:t>
      </w:r>
      <w:r>
        <w:rPr>
          <w:rFonts w:ascii="Times New Roman" w:cs="Times New Roman" w:eastAsia="Times New Roman" w:hAnsi="Times New Roman"/>
          <w:sz w:val="19"/>
          <w:szCs w:val="19"/>
          <w:color w:val="auto"/>
        </w:rPr>
        <w:t xml:space="preserve"> of the Code, is treated as a single employer under </w:t>
      </w:r>
      <w:r>
        <w:rPr>
          <w:rFonts w:ascii="Times New Roman" w:cs="Times New Roman" w:eastAsia="Times New Roman" w:hAnsi="Times New Roman"/>
          <w:sz w:val="19"/>
          <w:szCs w:val="19"/>
          <w:i w:val="1"/>
          <w:iCs w:val="1"/>
          <w:color w:val="auto"/>
        </w:rPr>
        <w:t>section 414</w:t>
      </w:r>
      <w:r>
        <w:rPr>
          <w:rFonts w:ascii="Times New Roman" w:cs="Times New Roman" w:eastAsia="Times New Roman" w:hAnsi="Times New Roman"/>
          <w:sz w:val="19"/>
          <w:szCs w:val="19"/>
          <w:color w:val="auto"/>
        </w:rPr>
        <w:t xml:space="preserve"> of the Code.</w:t>
      </w:r>
    </w:p>
    <w:p>
      <w:pPr>
        <w:spacing w:after="0" w:line="155"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EU Bail-In Legislation Schedule </w:t>
      </w:r>
      <w:r>
        <w:rPr>
          <w:rFonts w:ascii="Times New Roman" w:cs="Times New Roman" w:eastAsia="Times New Roman" w:hAnsi="Times New Roman"/>
          <w:sz w:val="19"/>
          <w:szCs w:val="19"/>
          <w:color w:val="auto"/>
        </w:rPr>
        <w:t>means the EU Bail-In Legislation Schedule published by the Loan Market Association (or any successor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person), as in effect from time to time.</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Exchangeco </w:t>
      </w:r>
      <w:r>
        <w:rPr>
          <w:rFonts w:ascii="Times New Roman" w:cs="Times New Roman" w:eastAsia="Times New Roman" w:hAnsi="Times New Roman"/>
          <w:sz w:val="19"/>
          <w:szCs w:val="19"/>
          <w:color w:val="auto"/>
        </w:rPr>
        <w:t>means 1068877 B.C. Ltd., a corporation existing under the Laws of the Province of British Columbia.</w:t>
      </w:r>
    </w:p>
    <w:p>
      <w:pPr>
        <w:spacing w:after="0" w:line="206"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Excluded Swap Obligation </w:t>
      </w:r>
      <w:r>
        <w:rPr>
          <w:rFonts w:ascii="Times New Roman" w:cs="Times New Roman" w:eastAsia="Times New Roman" w:hAnsi="Times New Roman"/>
          <w:sz w:val="19"/>
          <w:szCs w:val="19"/>
          <w:color w:val="auto"/>
        </w:rPr>
        <w:t>means, with respect to any Guarantor, any Swap Obligation if, and to the extent that, all or a portion of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w:t>
      </w:r>
      <w:r>
        <w:rPr>
          <w:rFonts w:ascii="Times New Roman" w:cs="Times New Roman" w:eastAsia="Times New Roman" w:hAnsi="Times New Roman"/>
          <w:sz w:val="19"/>
          <w:szCs w:val="19"/>
          <w:i w:val="1"/>
          <w:iCs w:val="1"/>
          <w:color w:val="auto"/>
        </w:rPr>
        <w:t>eligible contract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participant</w:t>
      </w:r>
      <w:r>
        <w:rPr>
          <w:rFonts w:ascii="Times New Roman" w:cs="Times New Roman" w:eastAsia="Times New Roman" w:hAnsi="Times New Roman"/>
          <w:sz w:val="19"/>
          <w:szCs w:val="19"/>
          <w:color w:val="auto"/>
        </w:rPr>
        <w:t>” as defined in the Commodity Exchange Act (determined after giving effect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Section 9.12</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any other “</w:t>
      </w:r>
      <w:r>
        <w:rPr>
          <w:rFonts w:ascii="Times New Roman" w:cs="Times New Roman" w:eastAsia="Times New Roman" w:hAnsi="Times New Roman"/>
          <w:sz w:val="19"/>
          <w:szCs w:val="19"/>
          <w:i w:val="1"/>
          <w:iCs w:val="1"/>
          <w:color w:val="auto"/>
        </w:rPr>
        <w:t>keepwell, support or other agreement</w:t>
      </w:r>
      <w:r>
        <w:rPr>
          <w:rFonts w:ascii="Times New Roman" w:cs="Times New Roman" w:eastAsia="Times New Roman" w:hAnsi="Times New Roman"/>
          <w:sz w:val="19"/>
          <w:szCs w:val="19"/>
          <w:color w:val="auto"/>
        </w:rPr>
        <w:t>” for the benefit of such Guarantor and any and all guarantees of such Guarantor’s Swap Obligations by other Restricted Companies)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regulations thereunder at the time the Guaranty of such Guarantor, or the grant by such Guarantor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69"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b w:val="1"/>
          <w:bCs w:val="1"/>
          <w:i w:val="1"/>
          <w:iCs w:val="1"/>
          <w:color w:val="auto"/>
        </w:rPr>
        <w:t xml:space="preserve">Excluded Taxes </w:t>
      </w:r>
      <w:r>
        <w:rPr>
          <w:rFonts w:ascii="Times New Roman" w:cs="Times New Roman" w:eastAsia="Times New Roman" w:hAnsi="Times New Roman"/>
          <w:sz w:val="19"/>
          <w:szCs w:val="19"/>
          <w:color w:val="auto"/>
        </w:rPr>
        <w:t>means any of the following Taxes imposed on or with respect to a Recipient or required to be withheld or deducted from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Borrower under </w:t>
      </w:r>
      <w:r>
        <w:rPr>
          <w:rFonts w:ascii="Times New Roman" w:cs="Times New Roman" w:eastAsia="Times New Roman" w:hAnsi="Times New Roman"/>
          <w:sz w:val="19"/>
          <w:szCs w:val="19"/>
          <w:b w:val="1"/>
          <w:bCs w:val="1"/>
          <w:i w:val="1"/>
          <w:iCs w:val="1"/>
          <w:color w:val="auto"/>
        </w:rPr>
        <w:t>Section 15.14</w:t>
      </w:r>
      <w:r>
        <w:rPr>
          <w:rFonts w:ascii="Times New Roman" w:cs="Times New Roman" w:eastAsia="Times New Roman" w:hAnsi="Times New Roman"/>
          <w:sz w:val="19"/>
          <w:szCs w:val="19"/>
          <w:color w:val="auto"/>
        </w:rPr>
        <w:t xml:space="preserve">), or (ii) pursuant to </w:t>
      </w:r>
      <w:r>
        <w:rPr>
          <w:rFonts w:ascii="Times New Roman" w:cs="Times New Roman" w:eastAsia="Times New Roman" w:hAnsi="Times New Roman"/>
          <w:sz w:val="19"/>
          <w:szCs w:val="19"/>
          <w:b w:val="1"/>
          <w:bCs w:val="1"/>
          <w:i w:val="1"/>
          <w:iCs w:val="1"/>
          <w:color w:val="auto"/>
        </w:rPr>
        <w:t>Section 4.1(a)(ii)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(c)</w:t>
      </w:r>
      <w:r>
        <w:rPr>
          <w:rFonts w:ascii="Times New Roman" w:cs="Times New Roman" w:eastAsia="Times New Roman" w:hAnsi="Times New Roman"/>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9"/>
          <w:szCs w:val="19"/>
          <w:b w:val="1"/>
          <w:bCs w:val="1"/>
          <w:i w:val="1"/>
          <w:iCs w:val="1"/>
          <w:color w:val="auto"/>
        </w:rPr>
        <w:t>Section 4.1(e)</w:t>
      </w:r>
      <w:r>
        <w:rPr>
          <w:rFonts w:ascii="Times New Roman" w:cs="Times New Roman" w:eastAsia="Times New Roman" w:hAnsi="Times New Roman"/>
          <w:sz w:val="19"/>
          <w:szCs w:val="19"/>
          <w:color w:val="auto"/>
        </w:rPr>
        <w:t xml:space="preserve"> and (d) any U.S. federal withholding Taxes imposed pursuant to FATCA.</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Existing Credit Agreement </w:t>
      </w:r>
      <w:r>
        <w:rPr>
          <w:rFonts w:ascii="Times New Roman" w:cs="Times New Roman" w:eastAsia="Times New Roman" w:hAnsi="Times New Roman"/>
          <w:sz w:val="19"/>
          <w:szCs w:val="19"/>
          <w:color w:val="auto"/>
        </w:rPr>
        <w:t>is defined in the Recitals of this Agreement.</w:t>
      </w:r>
    </w:p>
    <w:p>
      <w:pPr>
        <w:spacing w:after="0" w:line="219"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Existing Housing Bonds </w:t>
      </w:r>
      <w:r>
        <w:rPr>
          <w:rFonts w:ascii="Times New Roman" w:cs="Times New Roman" w:eastAsia="Times New Roman" w:hAnsi="Times New Roman"/>
          <w:sz w:val="19"/>
          <w:szCs w:val="19"/>
          <w:color w:val="auto"/>
        </w:rPr>
        <w:t>means the following Bonds issued by Housing Districts before June 10, 2003 (the date of the Third Amended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Restated Agreement), and re-issuances of such Housing Bonds in accordance with the related Bond Documents: (a) $10,600,000 of Eagle County, Colorado, Taxable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Housing Facilities Revenue Bonds (BC Housing, LLC Project) Series 1997A and 1997B, (b) $19,980,000 of Breckenridge Terrace LLC Taxable Housing Facilities Revenue Notes (Breckenridge Terrace Project), Series 1999A and 1999B, (c) $10,410,000 of Eagle County, Colorado, Taxable Housing Facilities Revenue Bonds (The Tarnes at BC, LLC Project), Series 1999A and 1999B, and (d) $11,585,000 of the Tenderfoot Seasonal Housing, LLC Taxable Housing Facilities Revenue Notes (Tenderfoot Seasonal Housing, LLC Project), Series 2000A and 2000B, and renewals or extensions of each of the foregoing (but not increases thereof) on or after June 10, 2003.</w:t>
      </w:r>
    </w:p>
    <w:p>
      <w:pPr>
        <w:spacing w:after="0" w:line="177"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Existing Housing Districts </w:t>
      </w:r>
      <w:r>
        <w:rPr>
          <w:rFonts w:ascii="Times New Roman" w:cs="Times New Roman" w:eastAsia="Times New Roman" w:hAnsi="Times New Roman"/>
          <w:sz w:val="19"/>
          <w:szCs w:val="19"/>
          <w:color w:val="auto"/>
        </w:rPr>
        <w:t>means, collectively, Tenderfoot Seasonal Housing LLC, The Tarnes at BC Housing LLC, BC Housing LLC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(Riveredge), and Breckenridge Terrace LLC, and </w:t>
      </w:r>
      <w:r>
        <w:rPr>
          <w:rFonts w:ascii="Times New Roman" w:cs="Times New Roman" w:eastAsia="Times New Roman" w:hAnsi="Times New Roman"/>
          <w:sz w:val="19"/>
          <w:szCs w:val="19"/>
          <w:b w:val="1"/>
          <w:bCs w:val="1"/>
          <w:i w:val="1"/>
          <w:iCs w:val="1"/>
          <w:color w:val="auto"/>
        </w:rPr>
        <w:t>Existing Housing District</w:t>
      </w:r>
      <w:r>
        <w:rPr>
          <w:rFonts w:ascii="Times New Roman" w:cs="Times New Roman" w:eastAsia="Times New Roman" w:hAnsi="Times New Roman"/>
          <w:sz w:val="19"/>
          <w:szCs w:val="19"/>
          <w:color w:val="auto"/>
        </w:rPr>
        <w:t xml:space="preserve"> means any one of the Existing Housing Districts.</w:t>
      </w:r>
    </w:p>
    <w:p>
      <w:pPr>
        <w:spacing w:after="0" w:line="131"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Existing L/C </w:t>
      </w:r>
      <w:r>
        <w:rPr>
          <w:rFonts w:ascii="Times New Roman" w:cs="Times New Roman" w:eastAsia="Times New Roman" w:hAnsi="Times New Roman"/>
          <w:sz w:val="19"/>
          <w:szCs w:val="19"/>
          <w:color w:val="auto"/>
        </w:rPr>
        <w:t>means each Bond L/C and other letter of credit issued by an L/C Issuer for the account of any of the Companies and described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on </w:t>
      </w:r>
      <w:r>
        <w:rPr>
          <w:rFonts w:ascii="Times New Roman" w:cs="Times New Roman" w:eastAsia="Times New Roman" w:hAnsi="Times New Roman"/>
          <w:sz w:val="19"/>
          <w:szCs w:val="19"/>
          <w:b w:val="1"/>
          <w:bCs w:val="1"/>
          <w:i w:val="1"/>
          <w:iCs w:val="1"/>
          <w:color w:val="auto"/>
        </w:rPr>
        <w:t>Part A</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i w:val="1"/>
          <w:iCs w:val="1"/>
          <w:color w:val="auto"/>
        </w:rPr>
        <w:t>Schedule 2.3</w:t>
      </w:r>
      <w:r>
        <w:rPr>
          <w:rFonts w:ascii="Times New Roman" w:cs="Times New Roman" w:eastAsia="Times New Roman" w:hAnsi="Times New Roman"/>
          <w:sz w:val="19"/>
          <w:szCs w:val="19"/>
          <w:color w:val="auto"/>
        </w:rPr>
        <w:t>.</w:t>
      </w:r>
    </w:p>
    <w:p>
      <w:pPr>
        <w:spacing w:after="0" w:line="131"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Existing Metro Districts </w:t>
      </w:r>
      <w:r>
        <w:rPr>
          <w:rFonts w:ascii="Times New Roman" w:cs="Times New Roman" w:eastAsia="Times New Roman" w:hAnsi="Times New Roman"/>
          <w:sz w:val="19"/>
          <w:szCs w:val="19"/>
          <w:color w:val="auto"/>
        </w:rPr>
        <w:t>means, collectively, Holland Creek Metropolitan District and Red Sky Ranch Metropolitan District, and</w:t>
      </w:r>
      <w:r>
        <w:rPr>
          <w:rFonts w:ascii="Times New Roman" w:cs="Times New Roman" w:eastAsia="Times New Roman" w:hAnsi="Times New Roman"/>
          <w:sz w:val="19"/>
          <w:szCs w:val="19"/>
          <w:b w:val="1"/>
          <w:bCs w:val="1"/>
          <w:i w:val="1"/>
          <w:iCs w:val="1"/>
          <w:color w:val="auto"/>
        </w:rPr>
        <w:t xml:space="preserve"> Existing Metro District </w:t>
      </w:r>
      <w:r>
        <w:rPr>
          <w:rFonts w:ascii="Times New Roman" w:cs="Times New Roman" w:eastAsia="Times New Roman" w:hAnsi="Times New Roman"/>
          <w:sz w:val="19"/>
          <w:szCs w:val="19"/>
          <w:color w:val="auto"/>
        </w:rPr>
        <w:t>means any one of the Existing Metro Districts.</w:t>
      </w:r>
    </w:p>
    <w:p>
      <w:pPr>
        <w:spacing w:after="0" w:line="143"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Facility Amount </w:t>
      </w:r>
      <w:r>
        <w:rPr>
          <w:rFonts w:ascii="Times New Roman" w:cs="Times New Roman" w:eastAsia="Times New Roman" w:hAnsi="Times New Roman"/>
          <w:sz w:val="19"/>
          <w:szCs w:val="19"/>
          <w:color w:val="auto"/>
        </w:rPr>
        <w:t>means the Total Commitment (including any increase in the aggregate Commitments pursuant to</w:t>
      </w:r>
      <w:r>
        <w:rPr>
          <w:rFonts w:ascii="Times New Roman" w:cs="Times New Roman" w:eastAsia="Times New Roman" w:hAnsi="Times New Roman"/>
          <w:sz w:val="19"/>
          <w:szCs w:val="19"/>
          <w:b w:val="1"/>
          <w:bCs w:val="1"/>
          <w:i w:val="1"/>
          <w:iCs w:val="1"/>
          <w:color w:val="auto"/>
        </w:rPr>
        <w:t xml:space="preserve"> Section 2.5</w:t>
      </w:r>
      <w:r>
        <w:rPr>
          <w:rFonts w:ascii="Times New Roman" w:cs="Times New Roman" w:eastAsia="Times New Roman" w:hAnsi="Times New Roman"/>
          <w:sz w:val="19"/>
          <w:szCs w:val="19"/>
          <w:color w:val="auto"/>
        </w:rPr>
        <w:t>) plus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aggregate amount of all Incremental Term Loan Facilities.</w:t>
      </w:r>
    </w:p>
    <w:p>
      <w:pPr>
        <w:spacing w:after="0" w:line="156"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FATCA </w:t>
      </w:r>
      <w:r>
        <w:rPr>
          <w:rFonts w:ascii="Times New Roman" w:cs="Times New Roman" w:eastAsia="Times New Roman" w:hAnsi="Times New Roman"/>
          <w:sz w:val="19"/>
          <w:szCs w:val="19"/>
          <w:color w:val="auto"/>
        </w:rPr>
        <w:t>means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Sections 1471</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through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1474</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 Code, as of the date of this Agreement (or any amended or successor version that 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substantially comparable and not materially more onerous to comply with), and any current or future regulations or official interpretations thereof and any agreements entered into pursuant to </w:t>
      </w:r>
      <w:r>
        <w:rPr>
          <w:rFonts w:ascii="Times New Roman" w:cs="Times New Roman" w:eastAsia="Times New Roman" w:hAnsi="Times New Roman"/>
          <w:sz w:val="19"/>
          <w:szCs w:val="19"/>
          <w:i w:val="1"/>
          <w:iCs w:val="1"/>
          <w:color w:val="auto"/>
        </w:rPr>
        <w:t>Section 1471(b)(1)</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Federal Funds Rate </w:t>
      </w:r>
      <w:r>
        <w:rPr>
          <w:rFonts w:ascii="Times New Roman" w:cs="Times New Roman" w:eastAsia="Times New Roman" w:hAnsi="Times New Roman"/>
          <w:sz w:val="19"/>
          <w:szCs w:val="19"/>
          <w:color w:val="auto"/>
        </w:rPr>
        <w:t>means, for any day, the rate per annum calculated by the Federal Reserve Bank of New York based on such day’s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Federal Funds Rate as so determined would be less than zero, such rate shall be deemed to be zero for purposes of this Agreement.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Fee Letter </w:t>
      </w:r>
      <w:r>
        <w:rPr>
          <w:rFonts w:ascii="Times New Roman" w:cs="Times New Roman" w:eastAsia="Times New Roman" w:hAnsi="Times New Roman"/>
          <w:sz w:val="19"/>
          <w:szCs w:val="19"/>
          <w:color w:val="auto"/>
        </w:rPr>
        <w:t>means any fee letter among Borrower, Administrative Agent and/or Joint Lead Arrangers.</w:t>
      </w:r>
    </w:p>
    <w:p>
      <w:pPr>
        <w:spacing w:after="0" w:line="219"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Financial Hedge </w:t>
      </w:r>
      <w:r>
        <w:rPr>
          <w:rFonts w:ascii="Times New Roman" w:cs="Times New Roman" w:eastAsia="Times New Roman" w:hAnsi="Times New Roman"/>
          <w:sz w:val="19"/>
          <w:szCs w:val="19"/>
          <w:color w:val="auto"/>
        </w:rPr>
        <w:t>means a transaction between any Company and any Lender or an Affiliate of any Lender (or another Person reasonably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acceptable to Administrative Agent), which is intended to reduce or eliminate the risk of fluctuations in one or more interest rates, foreign currencies, commodity prices, equity prices, or other financial measures, whether or not such transaction is governed by or subject to any master agreement conforming to ISDA standards and which is legal and enforceable under applicable Law.</w:t>
      </w:r>
    </w:p>
    <w:p>
      <w:pPr>
        <w:spacing w:after="0" w:line="157" w:lineRule="exact"/>
        <w:rPr>
          <w:sz w:val="20"/>
          <w:szCs w:val="20"/>
          <w:color w:val="auto"/>
        </w:rPr>
      </w:pPr>
    </w:p>
    <w:p>
      <w:pPr>
        <w:jc w:val="both"/>
        <w:ind w:firstLine="618"/>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Financial Statements </w:t>
      </w:r>
      <w:r>
        <w:rPr>
          <w:rFonts w:ascii="Times New Roman" w:cs="Times New Roman" w:eastAsia="Times New Roman" w:hAnsi="Times New Roman"/>
          <w:sz w:val="19"/>
          <w:szCs w:val="19"/>
          <w:color w:val="auto"/>
        </w:rPr>
        <w:t>of a Person means balance sheets, profit and loss statements, reconciliations of capital and surplus, and statements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cash flow prepared (a) according to GAAP, and (b)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as stated in </w:t>
      </w:r>
      <w:r>
        <w:rPr>
          <w:rFonts w:ascii="Times New Roman" w:cs="Times New Roman" w:eastAsia="Times New Roman" w:hAnsi="Times New Roman"/>
          <w:sz w:val="19"/>
          <w:szCs w:val="19"/>
          <w:b w:val="1"/>
          <w:bCs w:val="1"/>
          <w:i w:val="1"/>
          <w:iCs w:val="1"/>
          <w:color w:val="auto"/>
        </w:rPr>
        <w:t>Section 1.3</w:t>
      </w:r>
      <w:r>
        <w:rPr>
          <w:rFonts w:ascii="Times New Roman" w:cs="Times New Roman" w:eastAsia="Times New Roman" w:hAnsi="Times New Roman"/>
          <w:sz w:val="19"/>
          <w:szCs w:val="19"/>
          <w:color w:val="auto"/>
        </w:rPr>
        <w:t>, in comparative form to prior year-end figures or corresponding periods of the preceding fiscal year, as applicable.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16"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Foreign Lender </w:t>
      </w:r>
      <w:r>
        <w:rPr>
          <w:rFonts w:ascii="Times New Roman" w:cs="Times New Roman" w:eastAsia="Times New Roman" w:hAnsi="Times New Roman"/>
          <w:sz w:val="19"/>
          <w:szCs w:val="19"/>
          <w:color w:val="auto"/>
        </w:rPr>
        <w:t>means a Lender that is not a U.S. Person. For purposes of this definition, the United States, each state thereof and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District of Columbia shall be deemed to constitute a single jurisdiction.</w:t>
      </w:r>
    </w:p>
    <w:p>
      <w:pPr>
        <w:spacing w:after="0" w:line="131"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Forest Service Permit Agreements </w:t>
      </w:r>
      <w:r>
        <w:rPr>
          <w:rFonts w:ascii="Times New Roman" w:cs="Times New Roman" w:eastAsia="Times New Roman" w:hAnsi="Times New Roman"/>
          <w:sz w:val="19"/>
          <w:szCs w:val="19"/>
          <w:color w:val="auto"/>
        </w:rPr>
        <w:t>means (a) that certain Second Amended and Restated Multiparty Agreement Regarding Forest Service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Special Use Permit No. 4056-01; (b) that certain Second Amended and Restated Multiparty Agreement Regarding Forest Service Special Use Permit No. 4065-03; (c) that certain Second Amended and Restated Multiparty Agreement Regarding Forest Service Special Use Permit No. 5289-01; (d) that certain Second Amended and Restated Multiparty Agreement Regarding Forest Service Special Use Permit No. 5289-04; (e) that certain Amended and Restated Multiparty Agreement Regarding Forest Service Special Use Permit No. ELD508901; (f) any similar agreement or instrument relating to Term Special Use Permit Holder No. AMA282; (g) any similar agreement or instrument relating to any Forest Service Permit and authorized or contemplated by the provisions of the documents executed in connection with the issuance of the Vail Bonds; and (h) all renewals, extensions and restatements of, and amendments and supplements to, any of the foregoing.</w:t>
      </w:r>
    </w:p>
    <w:p>
      <w:pPr>
        <w:spacing w:after="0" w:line="179"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b w:val="1"/>
          <w:bCs w:val="1"/>
          <w:i w:val="1"/>
          <w:iCs w:val="1"/>
          <w:color w:val="auto"/>
        </w:rPr>
        <w:t xml:space="preserve">Forest Service Permits </w:t>
      </w:r>
      <w:r>
        <w:rPr>
          <w:rFonts w:ascii="Times New Roman" w:cs="Times New Roman" w:eastAsia="Times New Roman" w:hAnsi="Times New Roman"/>
          <w:sz w:val="19"/>
          <w:szCs w:val="19"/>
          <w:color w:val="auto"/>
        </w:rPr>
        <w:t>means (a) Ski Area Term Special Use Permit Holder No. 4056-01 issued by the Service to Borrower for the Vail ski</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area on November 23, 1993, and expiring on October 31, 2031; (b) Term Special Use Permit No. Holder 4065-03 issued by the Service to Borrower’s wholly-owned subsidiary, Beaver Creek Associates, Inc., for the Beaver Creek ski area on November 17, 1999, and expiring on December 31, 2038; (c) Term Special Use Permit Holder No. 5289-01 for Keystone ski area issued by the Service to Ralston Resorts, Inc., now known as Vail Summit Resorts, on December 30, 1996, and expiring on December 30, 2032; (d) Term Special Use Permit Holder No. 5289-04 for Breckenridge ski area issued by the Service to Ralston Resorts, Inc., now known as Vail Summit Resorts, on December 31, 1996, and expiring on December 31, 2029; (e) Term Special Use Permit Holder No. EDL508901 for Heavenly ski area issued by the Service to Heavenly Valley, Limited Partnership on May 7, 2002, and expiring on May 1, 2042; (f) Term Special Use Permit Holder No. AMA282 for Kirkwood ski area issued by the Service to Heavenly Valley, Limited Partnership, d/b/a Kirkwood Mountain Resort on April 11, 2012, and expiring on March 19, 2052; and (g) any replacements of any of the foregoing.</w:t>
      </w:r>
    </w:p>
    <w:p>
      <w:pPr>
        <w:spacing w:after="0" w:line="178"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Fronting Exposure </w:t>
      </w:r>
      <w:r>
        <w:rPr>
          <w:rFonts w:ascii="Times New Roman" w:cs="Times New Roman" w:eastAsia="Times New Roman" w:hAnsi="Times New Roman"/>
          <w:sz w:val="19"/>
          <w:szCs w:val="19"/>
          <w:color w:val="auto"/>
        </w:rPr>
        <w:t>means, at any time there is a Defaulting Lender, such Defaulting Lender’s Commitment Percentage of the Dollar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Equivalent of the outstanding L/C Exposure other than L/C Exposure as to which such Defaulting Lender’s participation obligation has been reallocated to other Lenders or Cash Collateralized in accordance with the terms hereof.</w:t>
      </w:r>
    </w:p>
    <w:p>
      <w:pPr>
        <w:spacing w:after="0" w:line="168"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Fund </w:t>
      </w:r>
      <w:r>
        <w:rPr>
          <w:rFonts w:ascii="Times New Roman" w:cs="Times New Roman" w:eastAsia="Times New Roman" w:hAnsi="Times New Roman"/>
          <w:sz w:val="19"/>
          <w:szCs w:val="19"/>
          <w:color w:val="auto"/>
        </w:rPr>
        <w:t>means any Person (other than a natural person) that is (or will be) engaged in making, purchasing, holding, or otherwise investing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commercial loans and similar extensions of credit in the ordinary course of its activities.</w:t>
      </w:r>
    </w:p>
    <w:p>
      <w:pPr>
        <w:spacing w:after="0" w:line="156"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Funded Debt </w:t>
      </w:r>
      <w:r>
        <w:rPr>
          <w:rFonts w:ascii="Times New Roman" w:cs="Times New Roman" w:eastAsia="Times New Roman" w:hAnsi="Times New Roman"/>
          <w:sz w:val="18"/>
          <w:szCs w:val="18"/>
          <w:color w:val="auto"/>
        </w:rPr>
        <w:t>means, without duplication, on any date of determination,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the sum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calculated on a consolidated basis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Restricted Companies in accordance with GAAP: (a) all obligations for borrowed money (whether as a direct obligation on a promissory note, bond, zero coupon bond, debenture, or other similar instrument, as a direct (as opposed to contingent) payment obligation arising under a guaranty, or as an unfulfilled reimbursement obligation on a drawn letter of credit or similar instrument, or otherwise),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all Capital Lease obligations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than </w:t>
      </w:r>
      <w:r>
        <w:rPr>
          <w:rFonts w:ascii="Times New Roman" w:cs="Times New Roman" w:eastAsia="Times New Roman" w:hAnsi="Times New Roman"/>
          <w:sz w:val="18"/>
          <w:szCs w:val="18"/>
          <w:color w:val="auto"/>
        </w:rPr>
        <w:t>(x) the interest component of such obligations and (y) obligations under the Northstar Leases (to the extent such leases constitute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Leases)) of any Restricted Company,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reimbursement obligations and undrawn amounts under Bond L/Cs supporting Bonds (other than Existing Housing Bonds) issued by Unrestricted Subsidiaries,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(d) payment obligations with respect to Permitted Recourse Obligations which</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constitutes Debt hereunder,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Funded Debt</w:t>
      </w:r>
      <w:r>
        <w:rPr>
          <w:rFonts w:ascii="Times New Roman" w:cs="Times New Roman" w:eastAsia="Times New Roman" w:hAnsi="Times New Roman"/>
          <w:sz w:val="19"/>
          <w:szCs w:val="19"/>
          <w:color w:val="auto"/>
        </w:rPr>
        <w:t xml:space="preserve"> shall expressly exclude Debt under Existing Housing Bonds.</w:t>
      </w:r>
    </w:p>
    <w:p>
      <w:pPr>
        <w:spacing w:after="0" w:line="219"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Funding Loss </w:t>
      </w:r>
      <w:r>
        <w:rPr>
          <w:rFonts w:ascii="Times New Roman" w:cs="Times New Roman" w:eastAsia="Times New Roman" w:hAnsi="Times New Roman"/>
          <w:sz w:val="19"/>
          <w:szCs w:val="19"/>
          <w:color w:val="auto"/>
        </w:rPr>
        <w:t>means any loss or expense that any Lender reasonably incurs because (a) Borrower fails or refuses (for any reason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whatsoever,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 default by Administrative Agent or Lender claiming such loss or expense) to take any Loan that it has requested under this Agreement, or (b) Borrower pays any Revolver Loan or Term Loan that is a Term Reference Rate Loan or converts any Revolver Loan or Term Loan that is a Term Reference Rate Loan to a Base Rate Loan, in each case, before the last day of the applicable Interest Period.</w:t>
      </w:r>
    </w:p>
    <w:p>
      <w:pPr>
        <w:spacing w:after="0" w:line="175"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GAAP </w:t>
      </w:r>
      <w:r>
        <w:rPr>
          <w:rFonts w:ascii="Times New Roman" w:cs="Times New Roman" w:eastAsia="Times New Roman" w:hAnsi="Times New Roman"/>
          <w:sz w:val="19"/>
          <w:szCs w:val="19"/>
          <w:color w:val="auto"/>
        </w:rPr>
        <w:t>means generally accepted accounting principles of the Accounting Principles Board of the American Institute of Certified Public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Accountants and the Financial Accounting Standards Board (or agencies with similar functions of comparable stature and authority within the United States accounting profession) that are applicable from time to time.</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Gillett </w:t>
      </w:r>
      <w:r>
        <w:rPr>
          <w:rFonts w:ascii="Times New Roman" w:cs="Times New Roman" w:eastAsia="Times New Roman" w:hAnsi="Times New Roman"/>
          <w:sz w:val="19"/>
          <w:szCs w:val="19"/>
          <w:color w:val="auto"/>
        </w:rPr>
        <w:t>means Gillett Broadcasting, Inc., a Delaware corporation, a direct Subsidiary of VRI.</w:t>
      </w:r>
    </w:p>
    <w:p>
      <w:pPr>
        <w:spacing w:after="0" w:line="206"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Governmental Authority </w:t>
      </w:r>
      <w:r>
        <w:rPr>
          <w:rFonts w:ascii="Times New Roman" w:cs="Times New Roman" w:eastAsia="Times New Roman" w:hAnsi="Times New Roman"/>
          <w:sz w:val="19"/>
          <w:szCs w:val="19"/>
          <w:color w:val="auto"/>
        </w:rPr>
        <w:t>means the government of the United States or any other nation, or of any political subdivision thereof, whether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Guarantor </w:t>
      </w:r>
      <w:r>
        <w:rPr>
          <w:rFonts w:ascii="Times New Roman" w:cs="Times New Roman" w:eastAsia="Times New Roman" w:hAnsi="Times New Roman"/>
          <w:sz w:val="19"/>
          <w:szCs w:val="19"/>
          <w:color w:val="auto"/>
        </w:rPr>
        <w:t>means each Person executing a Guaranty.</w:t>
      </w:r>
    </w:p>
    <w:p>
      <w:pPr>
        <w:spacing w:after="0" w:line="206" w:lineRule="exact"/>
        <w:rPr>
          <w:sz w:val="20"/>
          <w:szCs w:val="20"/>
          <w:color w:val="auto"/>
        </w:rPr>
      </w:pPr>
    </w:p>
    <w:p>
      <w:pPr>
        <w:jc w:val="both"/>
        <w:ind w:firstLine="618"/>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Guaranty </w:t>
      </w:r>
      <w:r>
        <w:rPr>
          <w:rFonts w:ascii="Times New Roman" w:cs="Times New Roman" w:eastAsia="Times New Roman" w:hAnsi="Times New Roman"/>
          <w:sz w:val="19"/>
          <w:szCs w:val="19"/>
          <w:color w:val="auto"/>
        </w:rPr>
        <w:t>means, collectively, a guaranty substantially in the form of</w:t>
      </w:r>
      <w:r>
        <w:rPr>
          <w:rFonts w:ascii="Times New Roman" w:cs="Times New Roman" w:eastAsia="Times New Roman" w:hAnsi="Times New Roman"/>
          <w:sz w:val="19"/>
          <w:szCs w:val="19"/>
          <w:b w:val="1"/>
          <w:bCs w:val="1"/>
          <w:i w:val="1"/>
          <w:iCs w:val="1"/>
          <w:color w:val="auto"/>
        </w:rPr>
        <w:t xml:space="preserve"> Exhibit B</w:t>
      </w:r>
      <w:r>
        <w:rPr>
          <w:rFonts w:ascii="Times New Roman" w:cs="Times New Roman" w:eastAsia="Times New Roman" w:hAnsi="Times New Roman"/>
          <w:sz w:val="19"/>
          <w:szCs w:val="19"/>
          <w:color w:val="auto"/>
        </w:rPr>
        <w:t>, executed and delivered by any Person pursuant to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requirements of the Loan Papers, and any amendment, modification, supplement, restatement, ratification, or reaffirmation of any Guaranty made in accordance with the Loan Papers.</w:t>
      </w:r>
    </w:p>
    <w:p>
      <w:pPr>
        <w:spacing w:after="0" w:line="146"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Hazardous Substance </w:t>
      </w:r>
      <w:r>
        <w:rPr>
          <w:rFonts w:ascii="Times New Roman" w:cs="Times New Roman" w:eastAsia="Times New Roman" w:hAnsi="Times New Roman"/>
          <w:sz w:val="19"/>
          <w:szCs w:val="19"/>
          <w:color w:val="auto"/>
        </w:rPr>
        <w:t>means any substance that is defined or classified as a hazardous waste, hazardous material, pollutant, contaminant,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toxic or hazardous substance under any Environmental Law.</w:t>
      </w:r>
    </w:p>
    <w:p>
      <w:pPr>
        <w:spacing w:after="0" w:line="131"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High-Yield Debt </w:t>
      </w:r>
      <w:r>
        <w:rPr>
          <w:rFonts w:ascii="Times New Roman" w:cs="Times New Roman" w:eastAsia="Times New Roman" w:hAnsi="Times New Roman"/>
          <w:sz w:val="19"/>
          <w:szCs w:val="19"/>
          <w:color w:val="auto"/>
        </w:rPr>
        <w:t>means any senior unsecured indebtedness for borrowed money in the form of high-yield debt securities for which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Company is directly and primarily obligated and that is issued pursuant to documentation with terms that are no more restrictive upon such Company than the terms of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High-Yield Debt shall not include Convertible Debt Securities.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Honor Date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2.3(c)(i)</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Housing Districts </w:t>
      </w:r>
      <w:r>
        <w:rPr>
          <w:rFonts w:ascii="Times New Roman" w:cs="Times New Roman" w:eastAsia="Times New Roman" w:hAnsi="Times New Roman"/>
          <w:sz w:val="19"/>
          <w:szCs w:val="19"/>
          <w:color w:val="auto"/>
        </w:rPr>
        <w:t>means, collectively, (a) the Existing Housing Districts, and (b) any other Person which issues Bonds after the Closing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Date to finance the development of housing projects for employees of the Companies; and </w:t>
      </w:r>
      <w:r>
        <w:rPr>
          <w:rFonts w:ascii="Times New Roman" w:cs="Times New Roman" w:eastAsia="Times New Roman" w:hAnsi="Times New Roman"/>
          <w:sz w:val="19"/>
          <w:szCs w:val="19"/>
          <w:b w:val="1"/>
          <w:bCs w:val="1"/>
          <w:i w:val="1"/>
          <w:iCs w:val="1"/>
          <w:color w:val="auto"/>
        </w:rPr>
        <w:t>Housing District</w:t>
      </w:r>
      <w:r>
        <w:rPr>
          <w:rFonts w:ascii="Times New Roman" w:cs="Times New Roman" w:eastAsia="Times New Roman" w:hAnsi="Times New Roman"/>
          <w:sz w:val="19"/>
          <w:szCs w:val="19"/>
          <w:color w:val="auto"/>
        </w:rPr>
        <w:t xml:space="preserve"> means one of the Housing Districts.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Incremental Term Loan </w:t>
      </w:r>
      <w:r>
        <w:rPr>
          <w:rFonts w:ascii="Times New Roman" w:cs="Times New Roman" w:eastAsia="Times New Roman" w:hAnsi="Times New Roman"/>
          <w:sz w:val="19"/>
          <w:szCs w:val="19"/>
          <w:color w:val="auto"/>
        </w:rPr>
        <w:t>means any amount disbursed by any Lender to Borrower pursuant to the Incremental Term Loan Facility.</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Incremental Term Loan Facility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2.5</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16"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Indemnified Taxes </w:t>
      </w:r>
      <w:r>
        <w:rPr>
          <w:rFonts w:ascii="Times New Roman" w:cs="Times New Roman" w:eastAsia="Times New Roman" w:hAnsi="Times New Roman"/>
          <w:sz w:val="19"/>
          <w:szCs w:val="19"/>
          <w:color w:val="auto"/>
        </w:rPr>
        <w:t>means (a) Taxes, other than Excluded Taxes, imposed on or with respect to any payment made by or on account of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obligation of any Restricted Company under any Loan Papers and (b) to the extent not otherwise described in </w:t>
      </w:r>
      <w:r>
        <w:rPr>
          <w:rFonts w:ascii="Times New Roman" w:cs="Times New Roman" w:eastAsia="Times New Roman" w:hAnsi="Times New Roman"/>
          <w:sz w:val="19"/>
          <w:szCs w:val="19"/>
          <w:b w:val="1"/>
          <w:bCs w:val="1"/>
          <w:i w:val="1"/>
          <w:iCs w:val="1"/>
          <w:color w:val="auto"/>
        </w:rPr>
        <w:t>clause (a)</w:t>
      </w:r>
      <w:r>
        <w:rPr>
          <w:rFonts w:ascii="Times New Roman" w:cs="Times New Roman" w:eastAsia="Times New Roman" w:hAnsi="Times New Roman"/>
          <w:sz w:val="19"/>
          <w:szCs w:val="19"/>
          <w:color w:val="auto"/>
        </w:rPr>
        <w:t>, Other Taxes.</w:t>
      </w:r>
    </w:p>
    <w:p>
      <w:pPr>
        <w:spacing w:after="0" w:line="131"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Intellectual Property </w:t>
      </w:r>
      <w:r>
        <w:rPr>
          <w:rFonts w:ascii="Times New Roman" w:cs="Times New Roman" w:eastAsia="Times New Roman" w:hAnsi="Times New Roman"/>
          <w:sz w:val="19"/>
          <w:szCs w:val="19"/>
          <w:color w:val="auto"/>
        </w:rPr>
        <w:t>means (a) common law, federal statutory, state statutory, and foreign trademarks or service marks (including, without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limitation, all registrations and pending applications and the goodwill of the business symbolized by or conducted in connection with any such trademark or service mark), trademark or service mark licenses and all proceeds of trademarks or service marks (including, without limitation, license royalties and proceeds from infringement suits), (b) U.S. and foreign patents (including, without limitation, all pending applications, continuations, continuations-in-part, divisions, reissues, substitutions, and extensions of existing patents or applications), patent licenses, and all proceeds of patents (including, without limitation, license royalties and proceeds from infringement suits), (c) copyrights (including, without limitation, all registrations and pending applications), copyright licenses, and all proceeds of copyrights (including, without limitation, license royalties and proceeds from infringement suits), and (d) trade secrets, </w:t>
      </w:r>
      <w:r>
        <w:rPr>
          <w:rFonts w:ascii="Times New Roman" w:cs="Times New Roman" w:eastAsia="Times New Roman" w:hAnsi="Times New Roman"/>
          <w:sz w:val="19"/>
          <w:szCs w:val="19"/>
          <w:i w:val="1"/>
          <w:iCs w:val="1"/>
          <w:color w:val="auto"/>
        </w:rPr>
        <w:t>but does not include</w:t>
      </w:r>
      <w:r>
        <w:rPr>
          <w:rFonts w:ascii="Times New Roman" w:cs="Times New Roman" w:eastAsia="Times New Roman" w:hAnsi="Times New Roman"/>
          <w:sz w:val="19"/>
          <w:szCs w:val="19"/>
          <w:color w:val="auto"/>
        </w:rPr>
        <w:t xml:space="preserve"> (i) any licenses (including, without limitation, liquor licenses) or any permits (including, without limitation, sales Tax permits) issued by a Governmental Authority and in which (y) the licensee’s or permittee’s interest is defeasible by such Governmental Authority and (z) the licensee or permittee has no right beyond the terms, conditions, and periods of the license or permit, or (ii) trade names or “dba’s” to the extent they do not constitute trademarks or service marks.</w:t>
      </w:r>
    </w:p>
    <w:p>
      <w:pPr>
        <w:spacing w:after="0" w:line="181"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Interest Period </w:t>
      </w:r>
      <w:r>
        <w:rPr>
          <w:rFonts w:ascii="Times New Roman" w:cs="Times New Roman" w:eastAsia="Times New Roman" w:hAnsi="Times New Roman"/>
          <w:sz w:val="19"/>
          <w:szCs w:val="19"/>
          <w:color w:val="auto"/>
        </w:rPr>
        <w:t>means, as to each Revolver Loan or Term Loan that is a Term Reference Rate Loan, the period commencing on the date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such Revolver Loan or Term Loan is disbursed or converted to or continued as a Revolver Loan or Term Loan that is a Term Reference Rate Loan and ending on the date one (1), three (3), or six (6) months thereafter, as selected by Borrower in its Loan Notice;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jc w:val="both"/>
        <w:ind w:left="620" w:firstLine="619"/>
        <w:spacing w:after="0" w:line="261" w:lineRule="auto"/>
        <w:tabs>
          <w:tab w:leader="none" w:pos="1706"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62" w:lineRule="exact"/>
        <w:rPr>
          <w:rFonts w:ascii="Times New Roman" w:cs="Times New Roman" w:eastAsia="Times New Roman" w:hAnsi="Times New Roman"/>
          <w:sz w:val="19"/>
          <w:szCs w:val="19"/>
          <w:color w:val="auto"/>
        </w:rPr>
      </w:pPr>
    </w:p>
    <w:p>
      <w:pPr>
        <w:jc w:val="both"/>
        <w:ind w:left="620" w:firstLine="619"/>
        <w:spacing w:after="0" w:line="261" w:lineRule="auto"/>
        <w:tabs>
          <w:tab w:leader="none" w:pos="1696"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5" w:lineRule="exact"/>
        <w:rPr>
          <w:rFonts w:ascii="Times New Roman" w:cs="Times New Roman" w:eastAsia="Times New Roman" w:hAnsi="Times New Roman"/>
          <w:sz w:val="19"/>
          <w:szCs w:val="19"/>
          <w:color w:val="auto"/>
        </w:rPr>
      </w:pPr>
    </w:p>
    <w:p>
      <w:pPr>
        <w:ind w:left="1640" w:hanging="401"/>
        <w:spacing w:after="0"/>
        <w:tabs>
          <w:tab w:leader="none" w:pos="16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Interest Period shall extend beyond the Termination Date.</w:t>
      </w:r>
    </w:p>
    <w:p>
      <w:pPr>
        <w:spacing w:after="0" w:line="213"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Internal Control Event </w:t>
      </w:r>
      <w:r>
        <w:rPr>
          <w:rFonts w:ascii="Times New Roman" w:cs="Times New Roman" w:eastAsia="Times New Roman" w:hAnsi="Times New Roman"/>
          <w:sz w:val="19"/>
          <w:szCs w:val="19"/>
          <w:color w:val="auto"/>
        </w:rPr>
        <w:t>means a material weakness in, or fraud that involves management or other employees who have a significant role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Borrower’s internal controls over financial reporting, in each case as described in the Securities Laws.</w:t>
      </w:r>
    </w:p>
    <w:p>
      <w:pPr>
        <w:spacing w:after="0" w:line="156" w:lineRule="exact"/>
        <w:rPr>
          <w:sz w:val="20"/>
          <w:szCs w:val="20"/>
          <w:color w:val="auto"/>
        </w:rPr>
      </w:pPr>
    </w:p>
    <w:p>
      <w:pPr>
        <w:jc w:val="both"/>
        <w:ind w:firstLine="618"/>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Limit (Joint Ventures) </w:t>
      </w:r>
      <w:r>
        <w:rPr>
          <w:rFonts w:ascii="Times New Roman" w:cs="Times New Roman" w:eastAsia="Times New Roman" w:hAnsi="Times New Roman"/>
          <w:sz w:val="18"/>
          <w:szCs w:val="18"/>
          <w:color w:val="auto"/>
        </w:rPr>
        <w:t>means, on any date of determination, the sum of (a) $75,000,000,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 10% of Total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net reductions in investments permitted by </w:t>
      </w:r>
      <w:r>
        <w:rPr>
          <w:rFonts w:ascii="Times New Roman" w:cs="Times New Roman" w:eastAsia="Times New Roman" w:hAnsi="Times New Roman"/>
          <w:sz w:val="18"/>
          <w:szCs w:val="18"/>
          <w:b w:val="1"/>
          <w:bCs w:val="1"/>
          <w:i w:val="1"/>
          <w:iCs w:val="1"/>
          <w:color w:val="auto"/>
        </w:rPr>
        <w:t>Section 10.8(m)</w:t>
      </w:r>
      <w:r>
        <w:rPr>
          <w:rFonts w:ascii="Times New Roman" w:cs="Times New Roman" w:eastAsia="Times New Roman" w:hAnsi="Times New Roman"/>
          <w:sz w:val="18"/>
          <w:szCs w:val="18"/>
          <w:color w:val="auto"/>
        </w:rPr>
        <w:t xml:space="preserve"> as a result of (i) dispositions of any such investments sold or otherwise liquidated or repaid to the extent of the net cash proceeds and the fair market value of any assets or property (as determined in good faith by the Board of Directors of VRI) received by a Restricted Company, or (ii) dividends reducing any such investment, repayment of the outstanding principal amount of loans or advances, or other transfers of assets to VRI or any Restricted Subsidiary of VRI, or (iii) the portion (proportionate to VRI’s direct or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indirect interest in the equity therein) of the fair market value of the net assets of a joint venture in which a Restricted Company has made an investment permitted by </w:t>
      </w:r>
      <w:r>
        <w:rPr>
          <w:rFonts w:ascii="Times New Roman" w:cs="Times New Roman" w:eastAsia="Times New Roman" w:hAnsi="Times New Roman"/>
          <w:sz w:val="19"/>
          <w:szCs w:val="19"/>
          <w:b w:val="1"/>
          <w:bCs w:val="1"/>
          <w:i w:val="1"/>
          <w:iCs w:val="1"/>
          <w:color w:val="auto"/>
        </w:rPr>
        <w:t>Section 10.8(m)</w:t>
      </w:r>
      <w:r>
        <w:rPr>
          <w:rFonts w:ascii="Times New Roman" w:cs="Times New Roman" w:eastAsia="Times New Roman" w:hAnsi="Times New Roman"/>
          <w:sz w:val="19"/>
          <w:szCs w:val="19"/>
          <w:color w:val="auto"/>
        </w:rPr>
        <w:t xml:space="preserve"> immediately prior to the time such Person is designated or becomes a Restricted Subsidiary of VRI in accordance with </w:t>
      </w:r>
      <w:r>
        <w:rPr>
          <w:rFonts w:ascii="Times New Roman" w:cs="Times New Roman" w:eastAsia="Times New Roman" w:hAnsi="Times New Roman"/>
          <w:sz w:val="19"/>
          <w:szCs w:val="19"/>
          <w:b w:val="1"/>
          <w:bCs w:val="1"/>
          <w:i w:val="1"/>
          <w:iCs w:val="1"/>
          <w:color w:val="auto"/>
        </w:rPr>
        <w:t>Sections 9.10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9.11(b)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(d) loans made in accordance with </w:t>
      </w:r>
      <w:r>
        <w:rPr>
          <w:rFonts w:ascii="Times New Roman" w:cs="Times New Roman" w:eastAsia="Times New Roman" w:hAnsi="Times New Roman"/>
          <w:sz w:val="19"/>
          <w:szCs w:val="19"/>
          <w:b w:val="1"/>
          <w:bCs w:val="1"/>
          <w:i w:val="1"/>
          <w:iCs w:val="1"/>
          <w:color w:val="auto"/>
        </w:rPr>
        <w:t>Section 10.8(r)</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Investment Limit (Similar Businesses) </w:t>
      </w:r>
      <w:r>
        <w:rPr>
          <w:rFonts w:ascii="Times New Roman" w:cs="Times New Roman" w:eastAsia="Times New Roman" w:hAnsi="Times New Roman"/>
          <w:sz w:val="19"/>
          <w:szCs w:val="19"/>
          <w:color w:val="auto"/>
        </w:rPr>
        <w:t>means, on any date of determination, the sum of (a) $100,000,000,</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 15% of Total Assets,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 xml:space="preserve">plus </w:t>
      </w:r>
      <w:r>
        <w:rPr>
          <w:rFonts w:ascii="Times New Roman" w:cs="Times New Roman" w:eastAsia="Times New Roman" w:hAnsi="Times New Roman"/>
          <w:sz w:val="19"/>
          <w:szCs w:val="19"/>
          <w:color w:val="auto"/>
        </w:rPr>
        <w:t>(c) net reductions in investments permitted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Section 10.8(l)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a result of (i) dispositions of any such investments sold or otherwise liquidated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or repaid to the extent of the net cash proceeds and the fair market value of any assets or property (as determined in good faith by the Board of Directors of VRI) received by a Restricted Company, (ii) dividends reducing any such investment, repayment of the outstanding principal amount of loans or advances, or other transfers of assets to VRI or any Restricted Subsidiary of VRI, or (iii) the portion (proportionate to VRI’s direct or indirect interest in the equity of a Person) of the fair market value of the net assets of an Unrestricted Subsidiary immediately prior to the time such Unrestricted Subsidiary is designated or becomes a Restricted Subsidiary of VRI in accordance with </w:t>
      </w:r>
      <w:r>
        <w:rPr>
          <w:rFonts w:ascii="Times New Roman" w:cs="Times New Roman" w:eastAsia="Times New Roman" w:hAnsi="Times New Roman"/>
          <w:sz w:val="19"/>
          <w:szCs w:val="19"/>
          <w:b w:val="1"/>
          <w:bCs w:val="1"/>
          <w:i w:val="1"/>
          <w:iCs w:val="1"/>
          <w:color w:val="auto"/>
        </w:rPr>
        <w:t>Sections 9.10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9.11(b)</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ISP </w:t>
      </w:r>
      <w:r>
        <w:rPr>
          <w:rFonts w:ascii="Times New Roman" w:cs="Times New Roman" w:eastAsia="Times New Roman" w:hAnsi="Times New Roman"/>
          <w:sz w:val="19"/>
          <w:szCs w:val="19"/>
          <w:color w:val="auto"/>
        </w:rPr>
        <w:t>means, with respect to any L/C, the “</w:t>
      </w:r>
      <w:r>
        <w:rPr>
          <w:rFonts w:ascii="Times New Roman" w:cs="Times New Roman" w:eastAsia="Times New Roman" w:hAnsi="Times New Roman"/>
          <w:sz w:val="19"/>
          <w:szCs w:val="19"/>
          <w:i w:val="1"/>
          <w:iCs w:val="1"/>
          <w:color w:val="auto"/>
        </w:rPr>
        <w:t>International Standby Practices 1998</w:t>
      </w:r>
      <w:r>
        <w:rPr>
          <w:rFonts w:ascii="Times New Roman" w:cs="Times New Roman" w:eastAsia="Times New Roman" w:hAnsi="Times New Roman"/>
          <w:sz w:val="19"/>
          <w:szCs w:val="19"/>
          <w:color w:val="auto"/>
        </w:rPr>
        <w:t>” published by the Institute of International Banking Law &amp;</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Practice (or such later version thereof as may be in effect at the time of issuance).</w:t>
      </w:r>
    </w:p>
    <w:p>
      <w:pPr>
        <w:spacing w:after="0" w:line="131"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Issuer Documents </w:t>
      </w:r>
      <w:r>
        <w:rPr>
          <w:rFonts w:ascii="Times New Roman" w:cs="Times New Roman" w:eastAsia="Times New Roman" w:hAnsi="Times New Roman"/>
          <w:sz w:val="19"/>
          <w:szCs w:val="19"/>
          <w:color w:val="auto"/>
        </w:rPr>
        <w:t>means with respect to any L/C, the L/C Agreement and any other document, agreement, and instrument entered into 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applicable L/C Issuer and Borrower (or any other Company) or in favor of such L/C Issuer and relating to such L/C.</w:t>
      </w:r>
    </w:p>
    <w:p>
      <w:pPr>
        <w:spacing w:after="0" w:line="131"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Joint Lead Arrangers </w:t>
      </w:r>
      <w:r>
        <w:rPr>
          <w:rFonts w:ascii="Times New Roman" w:cs="Times New Roman" w:eastAsia="Times New Roman" w:hAnsi="Times New Roman"/>
          <w:sz w:val="19"/>
          <w:szCs w:val="19"/>
          <w:color w:val="auto"/>
        </w:rPr>
        <w:t>BofA Securities, Inc., U.S. Bank National Association and Wells Fargo Securities, LLC, in their respective capacities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as joint lead arrangers and joint bookrunners.</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Laws </w:t>
      </w:r>
      <w:r>
        <w:rPr>
          <w:rFonts w:ascii="Times New Roman" w:cs="Times New Roman" w:eastAsia="Times New Roman" w:hAnsi="Times New Roman"/>
          <w:sz w:val="19"/>
          <w:szCs w:val="19"/>
          <w:color w:val="auto"/>
        </w:rPr>
        <w:t>means all applicable statutes, laws, treaties, ordinances, rules, regulations, orders, writs, injunctions, decrees, and judgments.</w:t>
      </w:r>
    </w:p>
    <w:p>
      <w:pPr>
        <w:spacing w:after="0" w:line="206"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w:t>
      </w:r>
      <w:r>
        <w:rPr>
          <w:rFonts w:ascii="Times New Roman" w:cs="Times New Roman" w:eastAsia="Times New Roman" w:hAnsi="Times New Roman"/>
          <w:sz w:val="19"/>
          <w:szCs w:val="19"/>
          <w:color w:val="auto"/>
        </w:rPr>
        <w:t>means each Existing L/C and other letter of credit issued by an L/C Issuer under this Agreement providing for the payment of cash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upon the honoring of a presentation thereunder. An L/C may be a standby or commercial letter of credit. L/Cs may be issued in Dollars or in the Alternative Currency.</w:t>
      </w:r>
    </w:p>
    <w:p>
      <w:pPr>
        <w:spacing w:after="0" w:line="168"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Agreement </w:t>
      </w:r>
      <w:r>
        <w:rPr>
          <w:rFonts w:ascii="Times New Roman" w:cs="Times New Roman" w:eastAsia="Times New Roman" w:hAnsi="Times New Roman"/>
          <w:sz w:val="19"/>
          <w:szCs w:val="19"/>
          <w:color w:val="auto"/>
        </w:rPr>
        <w:t>means an application and agreement for the issuance or amendment of an L/C in the form from time to time in use by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applicable L/C Issuer.</w:t>
      </w:r>
    </w:p>
    <w:p>
      <w:pPr>
        <w:spacing w:after="0" w:line="156"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Borrowing </w:t>
      </w:r>
      <w:r>
        <w:rPr>
          <w:rFonts w:ascii="Times New Roman" w:cs="Times New Roman" w:eastAsia="Times New Roman" w:hAnsi="Times New Roman"/>
          <w:sz w:val="19"/>
          <w:szCs w:val="19"/>
          <w:color w:val="auto"/>
        </w:rPr>
        <w:t>means an extension of credit resulting from a drawing under any L/C that has not been reimbursed on the date when made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 refinanced as a Revolver Loan.</w:t>
      </w:r>
    </w:p>
    <w:p>
      <w:pPr>
        <w:spacing w:after="0" w:line="131"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Commitment </w:t>
      </w:r>
      <w:r>
        <w:rPr>
          <w:rFonts w:ascii="Times New Roman" w:cs="Times New Roman" w:eastAsia="Times New Roman" w:hAnsi="Times New Roman"/>
          <w:sz w:val="19"/>
          <w:szCs w:val="19"/>
          <w:color w:val="auto"/>
        </w:rPr>
        <w:t>means, as to each L/C Issuer, the commitment of such L/C Issuer to issue Letters of Credit in an aggregate principal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amount at any one time outstanding not to exceed the amount set forth opposite such L/C Issuer’s name on </w:t>
      </w:r>
      <w:r>
        <w:rPr>
          <w:rFonts w:ascii="Times New Roman" w:cs="Times New Roman" w:eastAsia="Times New Roman" w:hAnsi="Times New Roman"/>
          <w:sz w:val="19"/>
          <w:szCs w:val="19"/>
          <w:b w:val="1"/>
          <w:bCs w:val="1"/>
          <w:i w:val="1"/>
          <w:iCs w:val="1"/>
          <w:color w:val="auto"/>
        </w:rPr>
        <w:t>Schedule 1</w:t>
      </w:r>
      <w:r>
        <w:rPr>
          <w:rFonts w:ascii="Times New Roman" w:cs="Times New Roman" w:eastAsia="Times New Roman" w:hAnsi="Times New Roman"/>
          <w:sz w:val="19"/>
          <w:szCs w:val="19"/>
          <w:color w:val="auto"/>
        </w:rPr>
        <w:t xml:space="preserve"> under the caption “</w:t>
      </w:r>
      <w:r>
        <w:rPr>
          <w:rFonts w:ascii="Times New Roman" w:cs="Times New Roman" w:eastAsia="Times New Roman" w:hAnsi="Times New Roman"/>
          <w:sz w:val="19"/>
          <w:szCs w:val="19"/>
          <w:i w:val="1"/>
          <w:iCs w:val="1"/>
          <w:color w:val="auto"/>
        </w:rPr>
        <w:t>Letter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Credit Sublimit</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Credit Extension </w:t>
      </w:r>
      <w:r>
        <w:rPr>
          <w:rFonts w:ascii="Times New Roman" w:cs="Times New Roman" w:eastAsia="Times New Roman" w:hAnsi="Times New Roman"/>
          <w:sz w:val="19"/>
          <w:szCs w:val="19"/>
          <w:color w:val="auto"/>
        </w:rPr>
        <w:t>means, with respect to any L/C, the issuance thereof, the extension of the expiry date thereof, or the increase of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amount thereof.</w:t>
      </w:r>
    </w:p>
    <w:p>
      <w:pPr>
        <w:spacing w:after="0" w:line="131"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Expiration Date </w:t>
      </w:r>
      <w:r>
        <w:rPr>
          <w:rFonts w:ascii="Times New Roman" w:cs="Times New Roman" w:eastAsia="Times New Roman" w:hAnsi="Times New Roman"/>
          <w:sz w:val="19"/>
          <w:szCs w:val="19"/>
          <w:color w:val="auto"/>
        </w:rPr>
        <w:t>means the day that is seven (7) days prior to the Termination Date for the Revolver Facility then in effect (or, if such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day is not a Business Day, the next preceding Business Day).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16"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Exposure </w:t>
      </w:r>
      <w:r>
        <w:rPr>
          <w:rFonts w:ascii="Times New Roman" w:cs="Times New Roman" w:eastAsia="Times New Roman" w:hAnsi="Times New Roman"/>
          <w:sz w:val="19"/>
          <w:szCs w:val="19"/>
          <w:color w:val="auto"/>
        </w:rPr>
        <w:t>means, on any date of determination, without duplication,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sum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(a) the aggregate amount available to be drawn under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all outstanding L/Cs (including, without limitation, any reinstatement of or increase in the face amount thereof effected pursuant to the terms of any Bond L/C),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aggregate unpaid reimbursement obligations of Borrower with respect to drawings, drafts, or other forms of demand honored under any L/C (including, without limitation, all L/C Borrowings and unpaid reimbursement obligations under any Bond L/C). For purposes of computing the amount available to be drawn under any L/C, the amount of such L/C shall be determined in accordance with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1.7</w:t>
      </w:r>
      <w:r>
        <w:rPr>
          <w:rFonts w:ascii="Times New Roman" w:cs="Times New Roman" w:eastAsia="Times New Roman" w:hAnsi="Times New Roman"/>
          <w:sz w:val="19"/>
          <w:szCs w:val="19"/>
          <w:color w:val="auto"/>
        </w:rPr>
        <w:t>. For all purposes of this Agreement, if on any date of determination an L/C has expired by its terms but any amount may still be drawn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thereunder by reason of the operation of </w:t>
      </w:r>
      <w:r>
        <w:rPr>
          <w:rFonts w:ascii="Times New Roman" w:cs="Times New Roman" w:eastAsia="Times New Roman" w:hAnsi="Times New Roman"/>
          <w:sz w:val="19"/>
          <w:szCs w:val="19"/>
          <w:i w:val="1"/>
          <w:iCs w:val="1"/>
          <w:color w:val="auto"/>
        </w:rPr>
        <w:t>Rule 3.14</w:t>
      </w:r>
      <w:r>
        <w:rPr>
          <w:rFonts w:ascii="Times New Roman" w:cs="Times New Roman" w:eastAsia="Times New Roman" w:hAnsi="Times New Roman"/>
          <w:sz w:val="19"/>
          <w:szCs w:val="19"/>
          <w:color w:val="auto"/>
        </w:rPr>
        <w:t xml:space="preserve"> of the ISP, such L/C shall be deemed to be “</w:t>
      </w:r>
      <w:r>
        <w:rPr>
          <w:rFonts w:ascii="Times New Roman" w:cs="Times New Roman" w:eastAsia="Times New Roman" w:hAnsi="Times New Roman"/>
          <w:sz w:val="19"/>
          <w:szCs w:val="19"/>
          <w:i w:val="1"/>
          <w:iCs w:val="1"/>
          <w:color w:val="auto"/>
        </w:rPr>
        <w:t>outstanding</w:t>
      </w:r>
      <w:r>
        <w:rPr>
          <w:rFonts w:ascii="Times New Roman" w:cs="Times New Roman" w:eastAsia="Times New Roman" w:hAnsi="Times New Roman"/>
          <w:sz w:val="19"/>
          <w:szCs w:val="19"/>
          <w:color w:val="auto"/>
        </w:rPr>
        <w:t>” in the amount so remaining available to be drawn.</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L/C Fees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3.10(b)</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618"/>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Issuers </w:t>
      </w:r>
      <w:r>
        <w:rPr>
          <w:rFonts w:ascii="Times New Roman" w:cs="Times New Roman" w:eastAsia="Times New Roman" w:hAnsi="Times New Roman"/>
          <w:sz w:val="19"/>
          <w:szCs w:val="19"/>
          <w:color w:val="auto"/>
        </w:rPr>
        <w:t>means Bank of America, Wells Fargo Bank, National Association and the Australian L/C Issuer, in their respective capacities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issuers of L/Cs hereunder, and any additional Lender approved by Administrative Agent and Borrower that has agreed to act as an “</w:t>
      </w:r>
      <w:r>
        <w:rPr>
          <w:rFonts w:ascii="Times New Roman" w:cs="Times New Roman" w:eastAsia="Times New Roman" w:hAnsi="Times New Roman"/>
          <w:sz w:val="19"/>
          <w:szCs w:val="19"/>
          <w:i w:val="1"/>
          <w:iCs w:val="1"/>
          <w:color w:val="auto"/>
        </w:rPr>
        <w:t>L/C Issuer</w:t>
      </w:r>
      <w:r>
        <w:rPr>
          <w:rFonts w:ascii="Times New Roman" w:cs="Times New Roman" w:eastAsia="Times New Roman" w:hAnsi="Times New Roman"/>
          <w:sz w:val="19"/>
          <w:szCs w:val="19"/>
          <w:color w:val="auto"/>
        </w:rPr>
        <w:t xml:space="preserve">”, or any successor issuer of L/Cs hereunder; and </w:t>
      </w:r>
      <w:r>
        <w:rPr>
          <w:rFonts w:ascii="Times New Roman" w:cs="Times New Roman" w:eastAsia="Times New Roman" w:hAnsi="Times New Roman"/>
          <w:sz w:val="19"/>
          <w:szCs w:val="19"/>
          <w:b w:val="1"/>
          <w:bCs w:val="1"/>
          <w:i w:val="1"/>
          <w:iCs w:val="1"/>
          <w:color w:val="auto"/>
        </w:rPr>
        <w:t>L/C Issuer</w:t>
      </w:r>
      <w:r>
        <w:rPr>
          <w:rFonts w:ascii="Times New Roman" w:cs="Times New Roman" w:eastAsia="Times New Roman" w:hAnsi="Times New Roman"/>
          <w:sz w:val="19"/>
          <w:szCs w:val="19"/>
          <w:color w:val="auto"/>
        </w:rPr>
        <w:t xml:space="preserve"> means one of the L/C Issuers.</w:t>
      </w:r>
    </w:p>
    <w:p>
      <w:pPr>
        <w:spacing w:after="0" w:line="146"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Subfacility </w:t>
      </w:r>
      <w:r>
        <w:rPr>
          <w:rFonts w:ascii="Times New Roman" w:cs="Times New Roman" w:eastAsia="Times New Roman" w:hAnsi="Times New Roman"/>
          <w:sz w:val="19"/>
          <w:szCs w:val="19"/>
          <w:color w:val="auto"/>
        </w:rPr>
        <w:t>means a subfacility under the Agreement for the issuance of L/Cs, as described in</w:t>
      </w:r>
      <w:r>
        <w:rPr>
          <w:rFonts w:ascii="Times New Roman" w:cs="Times New Roman" w:eastAsia="Times New Roman" w:hAnsi="Times New Roman"/>
          <w:sz w:val="19"/>
          <w:szCs w:val="19"/>
          <w:b w:val="1"/>
          <w:bCs w:val="1"/>
          <w:i w:val="1"/>
          <w:iCs w:val="1"/>
          <w:color w:val="auto"/>
        </w:rPr>
        <w:t xml:space="preserve"> Section 2.3</w:t>
      </w:r>
      <w:r>
        <w:rPr>
          <w:rFonts w:ascii="Times New Roman" w:cs="Times New Roman" w:eastAsia="Times New Roman" w:hAnsi="Times New Roman"/>
          <w:sz w:val="19"/>
          <w:szCs w:val="19"/>
          <w:color w:val="auto"/>
        </w:rPr>
        <w:t>, under which the L/C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Exposure may never exceed the L/C Sublimit.</w:t>
      </w:r>
    </w:p>
    <w:p>
      <w:pPr>
        <w:spacing w:after="0" w:line="131"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L/C Sublimit </w:t>
      </w:r>
      <w:r>
        <w:rPr>
          <w:rFonts w:ascii="Times New Roman" w:cs="Times New Roman" w:eastAsia="Times New Roman" w:hAnsi="Times New Roman"/>
          <w:sz w:val="19"/>
          <w:szCs w:val="19"/>
          <w:color w:val="auto"/>
        </w:rPr>
        <w:t>means the lesser of (a) $200,000,000 and (b) the Revolver Commitment (as the same may be increased or reduced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accordance with the Loan Papers). The L/C Sublimit is part of, and not in addition to, the Revolver Commitment.</w:t>
      </w:r>
    </w:p>
    <w:p>
      <w:pPr>
        <w:spacing w:after="0" w:line="143"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Lenders </w:t>
      </w:r>
      <w:r>
        <w:rPr>
          <w:rFonts w:ascii="Times New Roman" w:cs="Times New Roman" w:eastAsia="Times New Roman" w:hAnsi="Times New Roman"/>
          <w:sz w:val="19"/>
          <w:szCs w:val="19"/>
          <w:color w:val="auto"/>
        </w:rPr>
        <w:t>means (a) each of the lenders named on the attached</w:t>
      </w:r>
      <w:r>
        <w:rPr>
          <w:rFonts w:ascii="Times New Roman" w:cs="Times New Roman" w:eastAsia="Times New Roman" w:hAnsi="Times New Roman"/>
          <w:sz w:val="19"/>
          <w:szCs w:val="19"/>
          <w:b w:val="1"/>
          <w:bCs w:val="1"/>
          <w:i w:val="1"/>
          <w:iCs w:val="1"/>
          <w:color w:val="auto"/>
        </w:rPr>
        <w:t xml:space="preserve"> Schedule 1 </w:t>
      </w:r>
      <w:r>
        <w:rPr>
          <w:rFonts w:ascii="Times New Roman" w:cs="Times New Roman" w:eastAsia="Times New Roman" w:hAnsi="Times New Roman"/>
          <w:sz w:val="19"/>
          <w:szCs w:val="19"/>
          <w:color w:val="auto"/>
        </w:rPr>
        <w:t>and, subject to this Agreement, their respective successors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assigns (but not any Participant who is not otherwise a party to this Agreement), and (b) additional lenders who become party to this Agreement in accordance with </w:t>
      </w:r>
      <w:r>
        <w:rPr>
          <w:rFonts w:ascii="Times New Roman" w:cs="Times New Roman" w:eastAsia="Times New Roman" w:hAnsi="Times New Roman"/>
          <w:sz w:val="19"/>
          <w:szCs w:val="19"/>
          <w:b w:val="1"/>
          <w:bCs w:val="1"/>
          <w:i w:val="1"/>
          <w:iCs w:val="1"/>
          <w:color w:val="auto"/>
        </w:rPr>
        <w:t>Section 2.5</w:t>
      </w:r>
      <w:r>
        <w:rPr>
          <w:rFonts w:ascii="Times New Roman" w:cs="Times New Roman" w:eastAsia="Times New Roman" w:hAnsi="Times New Roman"/>
          <w:sz w:val="19"/>
          <w:szCs w:val="19"/>
          <w:color w:val="auto"/>
        </w:rPr>
        <w:t xml:space="preserve"> hereof.</w:t>
      </w:r>
    </w:p>
    <w:p>
      <w:pPr>
        <w:spacing w:after="0" w:line="155"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Lending Office </w:t>
      </w:r>
      <w:r>
        <w:rPr>
          <w:rFonts w:ascii="Times New Roman" w:cs="Times New Roman" w:eastAsia="Times New Roman" w:hAnsi="Times New Roman"/>
          <w:sz w:val="19"/>
          <w:szCs w:val="19"/>
          <w:color w:val="auto"/>
        </w:rPr>
        <w:t>means as to any Lender, the office or offices of such Lender described as such in such Lender’s Administrative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Questionnaire, or such other office or offices as a Lender may from time to time notify Borrower and Administrative Agent.</w:t>
      </w:r>
    </w:p>
    <w:p>
      <w:pPr>
        <w:spacing w:after="0" w:line="131" w:lineRule="exact"/>
        <w:rPr>
          <w:sz w:val="20"/>
          <w:szCs w:val="20"/>
          <w:color w:val="auto"/>
        </w:rPr>
      </w:pPr>
    </w:p>
    <w:p>
      <w:pPr>
        <w:jc w:val="both"/>
        <w:ind w:firstLine="618"/>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Lien </w:t>
      </w:r>
      <w:r>
        <w:rPr>
          <w:rFonts w:ascii="Times New Roman" w:cs="Times New Roman" w:eastAsia="Times New Roman" w:hAnsi="Times New Roman"/>
          <w:sz w:val="19"/>
          <w:szCs w:val="19"/>
          <w:color w:val="auto"/>
        </w:rPr>
        <w:t>means, with respect to any asset, any mortgage, lien, pledge, charge, security interest, or encumbrance of any kind in respect of such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asset. For the purposes of this Agreement, a Person shall be deemed to own subject to a Lien any asset which it has acquired or holds subject to the interest of a vendor or lessor under any conditional sale agreement, capital lease, or other title retention agreement relating to such asset.</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Litigation </w:t>
      </w:r>
      <w:r>
        <w:rPr>
          <w:rFonts w:ascii="Times New Roman" w:cs="Times New Roman" w:eastAsia="Times New Roman" w:hAnsi="Times New Roman"/>
          <w:sz w:val="19"/>
          <w:szCs w:val="19"/>
          <w:color w:val="auto"/>
        </w:rPr>
        <w:t>means any action, suit, proceeding, claim, or dispute by or before any Governmental Authority.</w:t>
      </w:r>
    </w:p>
    <w:p>
      <w:pPr>
        <w:spacing w:after="0" w:line="219"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Loan </w:t>
      </w:r>
      <w:r>
        <w:rPr>
          <w:rFonts w:ascii="Times New Roman" w:cs="Times New Roman" w:eastAsia="Times New Roman" w:hAnsi="Times New Roman"/>
          <w:sz w:val="19"/>
          <w:szCs w:val="19"/>
          <w:color w:val="auto"/>
        </w:rPr>
        <w:t>means any amount disbursed by any Lender to Borrower or on behalf of any Company under the Loan Papers, either as an original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disbursement of funds, the continuation of an amount outstanding, or payment under an L/C.</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Loan Date </w:t>
      </w:r>
      <w:r>
        <w:rPr>
          <w:rFonts w:ascii="Times New Roman" w:cs="Times New Roman" w:eastAsia="Times New Roman" w:hAnsi="Times New Roman"/>
          <w:sz w:val="19"/>
          <w:szCs w:val="19"/>
          <w:color w:val="auto"/>
        </w:rPr>
        <w:t>is defined in</w:t>
      </w:r>
      <w:r>
        <w:rPr>
          <w:rFonts w:ascii="Times New Roman" w:cs="Times New Roman" w:eastAsia="Times New Roman" w:hAnsi="Times New Roman"/>
          <w:sz w:val="19"/>
          <w:szCs w:val="19"/>
          <w:b w:val="1"/>
          <w:bCs w:val="1"/>
          <w:i w:val="1"/>
          <w:iCs w:val="1"/>
          <w:color w:val="auto"/>
        </w:rPr>
        <w:t xml:space="preserve"> Section 2.2(a)</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16"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Loan Notice </w:t>
      </w:r>
      <w:r>
        <w:rPr>
          <w:rFonts w:ascii="Times New Roman" w:cs="Times New Roman" w:eastAsia="Times New Roman" w:hAnsi="Times New Roman"/>
          <w:sz w:val="19"/>
          <w:szCs w:val="19"/>
          <w:color w:val="auto"/>
        </w:rPr>
        <w:t>means a request executed by a Responsible Officer substantially in the form of</w:t>
      </w:r>
      <w:r>
        <w:rPr>
          <w:rFonts w:ascii="Times New Roman" w:cs="Times New Roman" w:eastAsia="Times New Roman" w:hAnsi="Times New Roman"/>
          <w:sz w:val="19"/>
          <w:szCs w:val="19"/>
          <w:b w:val="1"/>
          <w:bCs w:val="1"/>
          <w:i w:val="1"/>
          <w:iCs w:val="1"/>
          <w:color w:val="auto"/>
        </w:rPr>
        <w:t xml:space="preserve"> Exhibit C </w:t>
      </w:r>
      <w:r>
        <w:rPr>
          <w:rFonts w:ascii="Times New Roman" w:cs="Times New Roman" w:eastAsia="Times New Roman" w:hAnsi="Times New Roman"/>
          <w:sz w:val="19"/>
          <w:szCs w:val="19"/>
          <w:color w:val="auto"/>
        </w:rPr>
        <w:t>or such other form as may be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approved by Administrative Agent (including any form on an electronic platform or electronic transmission system as shall be approved by Administrative Agent).</w:t>
      </w:r>
    </w:p>
    <w:p>
      <w:pPr>
        <w:spacing w:after="0" w:line="168" w:lineRule="exact"/>
        <w:rPr>
          <w:sz w:val="20"/>
          <w:szCs w:val="20"/>
          <w:color w:val="auto"/>
        </w:rPr>
      </w:pPr>
    </w:p>
    <w:p>
      <w:pPr>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Loan Papers </w:t>
      </w:r>
      <w:r>
        <w:rPr>
          <w:rFonts w:ascii="Times New Roman" w:cs="Times New Roman" w:eastAsia="Times New Roman" w:hAnsi="Times New Roman"/>
          <w:sz w:val="19"/>
          <w:szCs w:val="19"/>
          <w:color w:val="auto"/>
        </w:rPr>
        <w:t>means (a) this Agreement, (b) the Notes, (c) each Guaranty, (d) all L/Cs and L/C Agreements, (e) the Security Documents,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 all renewals, extensions, restatements of, amendments and supplements to, and confirmations or ratifications of, any of the foregoing.</w:t>
      </w:r>
    </w:p>
    <w:p>
      <w:pPr>
        <w:spacing w:after="0" w:line="156"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Material Adverse Event </w:t>
      </w:r>
      <w:r>
        <w:rPr>
          <w:rFonts w:ascii="Times New Roman" w:cs="Times New Roman" w:eastAsia="Times New Roman" w:hAnsi="Times New Roman"/>
          <w:sz w:val="19"/>
          <w:szCs w:val="19"/>
          <w:color w:val="auto"/>
        </w:rPr>
        <w:t>means any (a) material impairment of the ability of the Restricted Companies as a whole to perform their payment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 other material obligations under the Loan Papers or material impairment of the ability of Administrative Agent or any Lender to enforce any of the material obligations of the Restricted Companies as a whole under the Loan Papers; (b) material and adverse effect on the operations, business, properties, liabilities (actual or contingent), or condition (financial or otherwise) of the Restricted Companies as a whole; or (c) a material adverse effect upon the legality, validity, or binding effect against the Restricted Companies of any Loan Paper to which such Restricted Companies are parties (determined with respect to the Loan Papers of the Restricted Companies taken as a whole).</w:t>
      </w:r>
    </w:p>
    <w:p>
      <w:pPr>
        <w:spacing w:after="0" w:line="178"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Material Agreement </w:t>
      </w:r>
      <w:r>
        <w:rPr>
          <w:rFonts w:ascii="Times New Roman" w:cs="Times New Roman" w:eastAsia="Times New Roman" w:hAnsi="Times New Roman"/>
          <w:sz w:val="19"/>
          <w:szCs w:val="19"/>
          <w:color w:val="auto"/>
        </w:rPr>
        <w:t>means, for any Person, any agreement (excluding purchase orders for material, services, or inventory in the ordinary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course of business) to which that Person is a party, by which that Person is bound, or to which any assets of that Person may be subject, that is not cancelable by that Person upon 30 or fewer days’ notice without liability for further payment,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nominal penalty, and that requires that Person to pay more than $2,000,000 during any 12-month period.</w:t>
      </w:r>
    </w:p>
    <w:p>
      <w:pPr>
        <w:spacing w:after="0" w:line="175"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Maximum Amount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i w:val="1"/>
          <w:iCs w:val="1"/>
          <w:color w:val="auto"/>
        </w:rPr>
        <w:t xml:space="preserve"> Maximum Rate </w:t>
      </w:r>
      <w:r>
        <w:rPr>
          <w:rFonts w:ascii="Times New Roman" w:cs="Times New Roman" w:eastAsia="Times New Roman" w:hAnsi="Times New Roman"/>
          <w:sz w:val="19"/>
          <w:szCs w:val="19"/>
          <w:color w:val="auto"/>
        </w:rPr>
        <w:t>respectively mean, for a Lender, the maximum non-usurious amount and the maximum non-usurious rate of interest that, under applicable Law, such Lender is permitted to contract for, charge, take, reserve, or receive on the Obligation held by such Lender.</w:t>
      </w:r>
    </w:p>
    <w:p>
      <w:pPr>
        <w:spacing w:after="0" w:line="168"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Maximum Facility Amount </w:t>
      </w:r>
      <w:r>
        <w:rPr>
          <w:rFonts w:ascii="Times New Roman" w:cs="Times New Roman" w:eastAsia="Times New Roman" w:hAnsi="Times New Roman"/>
          <w:sz w:val="19"/>
          <w:szCs w:val="19"/>
          <w:color w:val="auto"/>
        </w:rPr>
        <w:t>means, on any date of determination, the greater of (a) $2,750,000,000, and (b) the product of (i) 3.50 and (ii)</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Adjusted EBITDA for the four fiscal quarters ending on the last day of the immediately preceding fiscal quarter.</w:t>
      </w:r>
    </w:p>
    <w:p>
      <w:pPr>
        <w:spacing w:after="0" w:line="156"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Metro Districts </w:t>
      </w:r>
      <w:r>
        <w:rPr>
          <w:rFonts w:ascii="Times New Roman" w:cs="Times New Roman" w:eastAsia="Times New Roman" w:hAnsi="Times New Roman"/>
          <w:sz w:val="19"/>
          <w:szCs w:val="19"/>
          <w:color w:val="auto"/>
        </w:rPr>
        <w:t>means, collectively, (a) the Existing Metro Districts, and (b) any other Person which issues Bonds after the Closing Date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finance the operation, construction, and maintenance of infrastructure projects in municipalities, which projects are related to the Companies’ business activities in the region in which the projects are being developed; and </w:t>
      </w:r>
      <w:r>
        <w:rPr>
          <w:rFonts w:ascii="Times New Roman" w:cs="Times New Roman" w:eastAsia="Times New Roman" w:hAnsi="Times New Roman"/>
          <w:sz w:val="19"/>
          <w:szCs w:val="19"/>
          <w:b w:val="1"/>
          <w:bCs w:val="1"/>
          <w:i w:val="1"/>
          <w:iCs w:val="1"/>
          <w:color w:val="auto"/>
        </w:rPr>
        <w:t>Metro District</w:t>
      </w:r>
      <w:r>
        <w:rPr>
          <w:rFonts w:ascii="Times New Roman" w:cs="Times New Roman" w:eastAsia="Times New Roman" w:hAnsi="Times New Roman"/>
          <w:sz w:val="19"/>
          <w:szCs w:val="19"/>
          <w:color w:val="auto"/>
        </w:rPr>
        <w:t xml:space="preserve"> means one of the Metro Districts.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Moody’s </w:t>
      </w:r>
      <w:r>
        <w:rPr>
          <w:rFonts w:ascii="Times New Roman" w:cs="Times New Roman" w:eastAsia="Times New Roman" w:hAnsi="Times New Roman"/>
          <w:sz w:val="19"/>
          <w:szCs w:val="19"/>
          <w:color w:val="auto"/>
        </w:rPr>
        <w:t>means Moody’s Investor’s Service, Inc.</w:t>
      </w:r>
    </w:p>
    <w:p>
      <w:pPr>
        <w:spacing w:after="0" w:line="206"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Multiemployer Plan </w:t>
      </w:r>
      <w:r>
        <w:rPr>
          <w:rFonts w:ascii="Times New Roman" w:cs="Times New Roman" w:eastAsia="Times New Roman" w:hAnsi="Times New Roman"/>
          <w:sz w:val="19"/>
          <w:szCs w:val="19"/>
          <w:color w:val="auto"/>
        </w:rPr>
        <w:t>means a multiemployer plan as defined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Sections 3(37)</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4001(a)(3)</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ERISA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Section 414(f)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 Code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which any Company or any ERISA Affiliate is making, or has made, or is accruing, or has accrued, an obligation to make contributions.</w:t>
      </w:r>
    </w:p>
    <w:p>
      <w:pPr>
        <w:spacing w:after="0" w:line="131"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Net Funded Debt </w:t>
      </w:r>
      <w:r>
        <w:rPr>
          <w:rFonts w:ascii="Times New Roman" w:cs="Times New Roman" w:eastAsia="Times New Roman" w:hAnsi="Times New Roman"/>
          <w:sz w:val="19"/>
          <w:szCs w:val="19"/>
          <w:color w:val="auto"/>
        </w:rPr>
        <w:t>means, on any date of determination, an amount equal to (a) Funded Debt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 the amount of Unrestricted Cash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excess of $10,000,000.</w:t>
      </w:r>
    </w:p>
    <w:p>
      <w:pPr>
        <w:spacing w:after="0" w:line="143"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Net Income </w:t>
      </w:r>
      <w:r>
        <w:rPr>
          <w:rFonts w:ascii="Times New Roman" w:cs="Times New Roman" w:eastAsia="Times New Roman" w:hAnsi="Times New Roman"/>
          <w:sz w:val="19"/>
          <w:szCs w:val="19"/>
          <w:color w:val="auto"/>
        </w:rPr>
        <w:t>means, for any period with respect to any Person (or group of Persons whose Financial Statements are consolidated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accordance with GAAP), the net income of such Person or Persons from continuing operations after extraordinary items (excluding gains or losses from the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disposition of assets) for that period determined in accordance with GAAP; </w:t>
      </w:r>
      <w:r>
        <w:rPr>
          <w:rFonts w:ascii="Times New Roman" w:cs="Times New Roman" w:eastAsia="Times New Roman" w:hAnsi="Times New Roman"/>
          <w:sz w:val="19"/>
          <w:szCs w:val="19"/>
          <w:i w:val="1"/>
          <w:iCs w:val="1"/>
          <w:color w:val="auto"/>
        </w:rPr>
        <w:t>provided however, that</w:t>
      </w:r>
      <w:r>
        <w:rPr>
          <w:rFonts w:ascii="Times New Roman" w:cs="Times New Roman" w:eastAsia="Times New Roman" w:hAnsi="Times New Roman"/>
          <w:sz w:val="19"/>
          <w:szCs w:val="19"/>
          <w:color w:val="auto"/>
        </w:rPr>
        <w:t xml:space="preserve"> for purposes of calculating Net Income of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Restricted Companies under this Agreement:</w:t>
      </w:r>
    </w:p>
    <w:p>
      <w:pPr>
        <w:spacing w:after="0" w:line="194" w:lineRule="exact"/>
        <w:rPr>
          <w:sz w:val="20"/>
          <w:szCs w:val="20"/>
          <w:color w:val="auto"/>
        </w:rPr>
      </w:pPr>
    </w:p>
    <w:p>
      <w:pPr>
        <w:jc w:val="both"/>
        <w:ind w:left="620" w:firstLine="619"/>
        <w:spacing w:after="0" w:line="254" w:lineRule="auto"/>
        <w:tabs>
          <w:tab w:leader="none" w:pos="1641"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Restricted Company owns an interest in a Person that is not consolidated in the consolidated financial statements of VRI and its Restricted Subsidiaries in accordance with GAAP (a “</w:t>
      </w:r>
      <w:r>
        <w:rPr>
          <w:rFonts w:ascii="Times New Roman" w:cs="Times New Roman" w:eastAsia="Times New Roman" w:hAnsi="Times New Roman"/>
          <w:sz w:val="19"/>
          <w:szCs w:val="19"/>
          <w:b w:val="1"/>
          <w:bCs w:val="1"/>
          <w:i w:val="1"/>
          <w:iCs w:val="1"/>
          <w:color w:val="auto"/>
        </w:rPr>
        <w:t>Non-Consolidated Entity</w:t>
      </w:r>
      <w:r>
        <w:rPr>
          <w:rFonts w:ascii="Times New Roman" w:cs="Times New Roman" w:eastAsia="Times New Roman" w:hAnsi="Times New Roman"/>
          <w:sz w:val="19"/>
          <w:szCs w:val="19"/>
          <w:color w:val="auto"/>
        </w:rPr>
        <w:t>”), then such equity interest shall not be accounted for under the equity method of accounting, but the “</w:t>
      </w:r>
      <w:r>
        <w:rPr>
          <w:rFonts w:ascii="Times New Roman" w:cs="Times New Roman" w:eastAsia="Times New Roman" w:hAnsi="Times New Roman"/>
          <w:sz w:val="19"/>
          <w:szCs w:val="19"/>
          <w:b w:val="1"/>
          <w:bCs w:val="1"/>
          <w:i w:val="1"/>
          <w:iCs w:val="1"/>
          <w:color w:val="auto"/>
        </w:rPr>
        <w:t>Net Income</w:t>
      </w:r>
      <w:r>
        <w:rPr>
          <w:rFonts w:ascii="Times New Roman" w:cs="Times New Roman" w:eastAsia="Times New Roman" w:hAnsi="Times New Roman"/>
          <w:sz w:val="19"/>
          <w:szCs w:val="19"/>
          <w:color w:val="auto"/>
        </w:rPr>
        <w:t>” of such Restricted Company shall be increased to the extent cash is distributed to such Restricted Company by any such Non-Consolidated Entity during such period and shall be decreased to the extent cash is contributed in the form of equity to such Non-Consolidated Entity in order to fund losses of such Non-Consolidated Entity during such period;</w:t>
      </w:r>
    </w:p>
    <w:p>
      <w:pPr>
        <w:spacing w:after="0" w:line="183" w:lineRule="exact"/>
        <w:rPr>
          <w:rFonts w:ascii="Times New Roman" w:cs="Times New Roman" w:eastAsia="Times New Roman" w:hAnsi="Times New Roman"/>
          <w:sz w:val="19"/>
          <w:szCs w:val="19"/>
          <w:color w:val="auto"/>
        </w:rPr>
      </w:pPr>
    </w:p>
    <w:p>
      <w:pPr>
        <w:jc w:val="both"/>
        <w:ind w:left="620" w:firstLine="619"/>
        <w:spacing w:after="0" w:line="261" w:lineRule="auto"/>
        <w:tabs>
          <w:tab w:leader="none" w:pos="1667"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premiums paid and the write-off of any unamortized balance of original issue discount in connection with a redemption of, or tender offer for, debt that is consummated in accordance with the Loan Papers, and the amortization and write-off of any unamortized balance of debt issuance costs, shall be excluded; and</w:t>
      </w:r>
    </w:p>
    <w:p>
      <w:pPr>
        <w:spacing w:after="0" w:line="175" w:lineRule="exact"/>
        <w:rPr>
          <w:rFonts w:ascii="Times New Roman" w:cs="Times New Roman" w:eastAsia="Times New Roman" w:hAnsi="Times New Roman"/>
          <w:sz w:val="19"/>
          <w:szCs w:val="19"/>
          <w:color w:val="auto"/>
        </w:rPr>
      </w:pPr>
    </w:p>
    <w:p>
      <w:pPr>
        <w:ind w:left="620" w:firstLine="619"/>
        <w:spacing w:after="0" w:line="268" w:lineRule="auto"/>
        <w:tabs>
          <w:tab w:leader="none" w:pos="177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income or expense that increases or decreases Net Income and occurs as a result of any change in the amount of contingent consideration reflected on the balance sheet of VRI shall be excluded.</w:t>
      </w:r>
    </w:p>
    <w:p>
      <w:pPr>
        <w:spacing w:after="0" w:line="163"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Non-Cash Operating Charges </w:t>
      </w:r>
      <w:r>
        <w:rPr>
          <w:rFonts w:ascii="Times New Roman" w:cs="Times New Roman" w:eastAsia="Times New Roman" w:hAnsi="Times New Roman"/>
          <w:sz w:val="19"/>
          <w:szCs w:val="19"/>
          <w:color w:val="auto"/>
        </w:rPr>
        <w:t>means depreciation expense, amortization expense, and any other non-cash charges determined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accordance with GAAP (including, without limitation, non-cash compensation expenses incurred in respect of stock option plans, including, without limitation, pursuant to FAS 123R).</w:t>
      </w:r>
    </w:p>
    <w:p>
      <w:pPr>
        <w:spacing w:after="0" w:line="168"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Non-Consenting Lender </w:t>
      </w:r>
      <w:r>
        <w:rPr>
          <w:rFonts w:ascii="Times New Roman" w:cs="Times New Roman" w:eastAsia="Times New Roman" w:hAnsi="Times New Roman"/>
          <w:sz w:val="19"/>
          <w:szCs w:val="19"/>
          <w:color w:val="auto"/>
        </w:rPr>
        <w:t>means any Lender that does not approve any consent, waiver or amendment that (a) requires the approval of all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Lenders or all affected Lenders, in accordance with the terms of </w:t>
      </w:r>
      <w:r>
        <w:rPr>
          <w:rFonts w:ascii="Times New Roman" w:cs="Times New Roman" w:eastAsia="Times New Roman" w:hAnsi="Times New Roman"/>
          <w:sz w:val="19"/>
          <w:szCs w:val="19"/>
          <w:b w:val="1"/>
          <w:bCs w:val="1"/>
          <w:i w:val="1"/>
          <w:iCs w:val="1"/>
          <w:color w:val="auto"/>
        </w:rPr>
        <w:t>Section 15.9</w:t>
      </w:r>
      <w:r>
        <w:rPr>
          <w:rFonts w:ascii="Times New Roman" w:cs="Times New Roman" w:eastAsia="Times New Roman" w:hAnsi="Times New Roman"/>
          <w:sz w:val="19"/>
          <w:szCs w:val="19"/>
          <w:color w:val="auto"/>
        </w:rPr>
        <w:t xml:space="preserve"> and (b) has been approved by the Required Lenders.</w:t>
      </w:r>
    </w:p>
    <w:p>
      <w:pPr>
        <w:spacing w:after="0" w:line="156" w:lineRule="exact"/>
        <w:rPr>
          <w:sz w:val="20"/>
          <w:szCs w:val="20"/>
          <w:color w:val="auto"/>
        </w:rPr>
      </w:pPr>
    </w:p>
    <w:p>
      <w:pPr>
        <w:jc w:val="both"/>
        <w:ind w:firstLine="618"/>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Non-Recourse Debt </w:t>
      </w:r>
      <w:r>
        <w:rPr>
          <w:rFonts w:ascii="Times New Roman" w:cs="Times New Roman" w:eastAsia="Times New Roman" w:hAnsi="Times New Roman"/>
          <w:sz w:val="19"/>
          <w:szCs w:val="19"/>
          <w:color w:val="auto"/>
        </w:rPr>
        <w:t>means, for any Unrestricted Subsidiary, any Debt of such Unrestricted Subsidiary with respect to which the holder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such Debt (a) may not look to such Unrestricted Subsidiary directly for repayment, other than to the extent of any security therefor, or (b) may look to such Unrestricted Subsidiary directly for repayment (but not to any direct or indirect constituent equity holder of such Unrestricted Subsidiary, </w:t>
      </w:r>
      <w:r>
        <w:rPr>
          <w:rFonts w:ascii="Times New Roman" w:cs="Times New Roman" w:eastAsia="Times New Roman" w:hAnsi="Times New Roman"/>
          <w:sz w:val="19"/>
          <w:szCs w:val="19"/>
          <w:i w:val="1"/>
          <w:iCs w:val="1"/>
          <w:color w:val="auto"/>
        </w:rPr>
        <w:t xml:space="preserve">other than </w:t>
      </w:r>
      <w:r>
        <w:rPr>
          <w:rFonts w:ascii="Times New Roman" w:cs="Times New Roman" w:eastAsia="Times New Roman" w:hAnsi="Times New Roman"/>
          <w:sz w:val="19"/>
          <w:szCs w:val="19"/>
          <w:color w:val="auto"/>
        </w:rPr>
        <w:t>with respect to Permitted Recourse Obligations entered into by such direct or indirect constituent equity holder).</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Nonextension Notice Date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2.3(b)(iii)</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Northstar Leases </w:t>
      </w:r>
      <w:r>
        <w:rPr>
          <w:rFonts w:ascii="Times New Roman" w:cs="Times New Roman" w:eastAsia="Times New Roman" w:hAnsi="Times New Roman"/>
          <w:sz w:val="19"/>
          <w:szCs w:val="19"/>
          <w:color w:val="auto"/>
        </w:rPr>
        <w:t>means, collectively, (a) that certain Amended and Restated Lease Agreement, dated as of October 25, 2010, by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between CNL Income Northstar, LLC, as lessor, and Trimont Land Company, a California corporation, as lessee, (b) that certain Amended and Restated Personal Property Lease Agreement by and between CNL Income Northstar TRS Corp., a Delaware corporation, as lessor, and Trimont Land Company, a California corporation, as lessee, dated as of October 25, 2010, and (c) that certain Amended and Restated Lease Agreement, dated as of October 25, 2010, by and between CNL Income Northstar Commercial, LLC, a Delaware limited liability company, as lessor, and Northstar Group Commercial Properties, LLC, a Delaware limited liability company, as lessee, each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21</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16"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Northstar Subsidiaries </w:t>
      </w:r>
      <w:r>
        <w:rPr>
          <w:rFonts w:ascii="Times New Roman" w:cs="Times New Roman" w:eastAsia="Times New Roman" w:hAnsi="Times New Roman"/>
          <w:sz w:val="19"/>
          <w:szCs w:val="19"/>
          <w:color w:val="auto"/>
        </w:rPr>
        <w:t>means, collectively, VR Acquisition, Inc., a California corporation, BCRP, Inc., a Delaware corporation, Booth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Creek Ski Holdings, Inc., a Delaware corporation, Trimont Land Company, a California corporation, Northstar Group Commercial Properties, LLC, a Delaware limited liability company, and Northstar Group Restaurant Properties, LLC, a Delaware limited liability company.</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Notes </w:t>
      </w:r>
      <w:r>
        <w:rPr>
          <w:rFonts w:ascii="Times New Roman" w:cs="Times New Roman" w:eastAsia="Times New Roman" w:hAnsi="Times New Roman"/>
          <w:sz w:val="19"/>
          <w:szCs w:val="19"/>
          <w:color w:val="auto"/>
        </w:rPr>
        <w:t>means, collectively, the Revolver Notes and the Term Loan Notes, and</w:t>
      </w:r>
      <w:r>
        <w:rPr>
          <w:rFonts w:ascii="Times New Roman" w:cs="Times New Roman" w:eastAsia="Times New Roman" w:hAnsi="Times New Roman"/>
          <w:sz w:val="19"/>
          <w:szCs w:val="19"/>
          <w:b w:val="1"/>
          <w:bCs w:val="1"/>
          <w:i w:val="1"/>
          <w:iCs w:val="1"/>
          <w:color w:val="auto"/>
        </w:rPr>
        <w:t xml:space="preserve"> Note </w:t>
      </w:r>
      <w:r>
        <w:rPr>
          <w:rFonts w:ascii="Times New Roman" w:cs="Times New Roman" w:eastAsia="Times New Roman" w:hAnsi="Times New Roman"/>
          <w:sz w:val="19"/>
          <w:szCs w:val="19"/>
          <w:color w:val="auto"/>
        </w:rPr>
        <w:t>means any of the Notes.</w:t>
      </w:r>
    </w:p>
    <w:p>
      <w:pPr>
        <w:spacing w:after="0" w:line="206"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Obligation </w:t>
      </w:r>
      <w:r>
        <w:rPr>
          <w:rFonts w:ascii="Times New Roman" w:cs="Times New Roman" w:eastAsia="Times New Roman" w:hAnsi="Times New Roman"/>
          <w:sz w:val="19"/>
          <w:szCs w:val="19"/>
          <w:color w:val="auto"/>
        </w:rPr>
        <w:t>means all present and future indebtedness and obligations, and all renewals, increases, and extensions thereof, or any part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thereof, now or hereafter owed to Administrative Agent, the L/C Issuers, and any Lender by the Companies under the Loan Papers, </w:t>
      </w:r>
      <w:r>
        <w:rPr>
          <w:rFonts w:ascii="Times New Roman" w:cs="Times New Roman" w:eastAsia="Times New Roman" w:hAnsi="Times New Roman"/>
          <w:sz w:val="19"/>
          <w:szCs w:val="19"/>
          <w:i w:val="1"/>
          <w:iCs w:val="1"/>
          <w:color w:val="auto"/>
        </w:rPr>
        <w:t>together with</w:t>
      </w:r>
      <w:r>
        <w:rPr>
          <w:rFonts w:ascii="Times New Roman" w:cs="Times New Roman" w:eastAsia="Times New Roman" w:hAnsi="Times New Roman"/>
          <w:sz w:val="19"/>
          <w:szCs w:val="19"/>
          <w:color w:val="auto"/>
        </w:rPr>
        <w:t xml:space="preserve"> all interest accruing thereon, fees, costs, and expenses (including, without limitation, all attorneys’ fees and expenses incurred in the enforcement or collection thereof) payable under the Loan Papers or in connection with the protection of Rights under the Loan Papers;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all references to the </w:t>
      </w:r>
      <w:r>
        <w:rPr>
          <w:rFonts w:ascii="Times New Roman" w:cs="Times New Roman" w:eastAsia="Times New Roman" w:hAnsi="Times New Roman"/>
          <w:sz w:val="19"/>
          <w:szCs w:val="19"/>
          <w:b w:val="1"/>
          <w:bCs w:val="1"/>
          <w:i w:val="1"/>
          <w:iCs w:val="1"/>
          <w:color w:val="auto"/>
        </w:rPr>
        <w:t>Obligation</w:t>
      </w:r>
      <w:r>
        <w:rPr>
          <w:rFonts w:ascii="Times New Roman" w:cs="Times New Roman" w:eastAsia="Times New Roman" w:hAnsi="Times New Roman"/>
          <w:sz w:val="19"/>
          <w:szCs w:val="19"/>
          <w:color w:val="auto"/>
        </w:rPr>
        <w:t xml:space="preserve"> in the Security Documents, the Guaranty, and </w:t>
      </w:r>
      <w:r>
        <w:rPr>
          <w:rFonts w:ascii="Times New Roman" w:cs="Times New Roman" w:eastAsia="Times New Roman" w:hAnsi="Times New Roman"/>
          <w:sz w:val="19"/>
          <w:szCs w:val="19"/>
          <w:b w:val="1"/>
          <w:bCs w:val="1"/>
          <w:i w:val="1"/>
          <w:iCs w:val="1"/>
          <w:color w:val="auto"/>
        </w:rPr>
        <w:t>Section 3.10</w:t>
      </w:r>
      <w:r>
        <w:rPr>
          <w:rFonts w:ascii="Times New Roman" w:cs="Times New Roman" w:eastAsia="Times New Roman" w:hAnsi="Times New Roman"/>
          <w:sz w:val="19"/>
          <w:szCs w:val="19"/>
          <w:color w:val="auto"/>
        </w:rPr>
        <w:t xml:space="preserve"> herein shall, in addition to the foregoing, also include all present and future indebtedness, liabilities, and obligations (and all renewals and extensions thereof or any part thereof) now or hereafter owed to any Lender or any Affiliate of a Lender arising from, by virtue of, or pursuant to any Financial Hedge entered into by any Restricted Company;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 </w:t>
      </w:r>
      <w:r>
        <w:rPr>
          <w:rFonts w:ascii="Times New Roman" w:cs="Times New Roman" w:eastAsia="Times New Roman" w:hAnsi="Times New Roman"/>
          <w:sz w:val="19"/>
          <w:szCs w:val="19"/>
          <w:color w:val="auto"/>
        </w:rPr>
        <w:t>Obligation shall exclude any Excluded Swap Obligations.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OFAC </w:t>
      </w:r>
      <w:r>
        <w:rPr>
          <w:rFonts w:ascii="Times New Roman" w:cs="Times New Roman" w:eastAsia="Times New Roman" w:hAnsi="Times New Roman"/>
          <w:sz w:val="19"/>
          <w:szCs w:val="19"/>
          <w:color w:val="auto"/>
        </w:rPr>
        <w:t>means the Office of Foreign Assets Control of the United States Department of the Treasury.</w:t>
      </w:r>
    </w:p>
    <w:p>
      <w:pPr>
        <w:spacing w:after="0" w:line="219"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Other Connection Taxes </w:t>
      </w:r>
      <w:r>
        <w:rPr>
          <w:rFonts w:ascii="Times New Roman" w:cs="Times New Roman" w:eastAsia="Times New Roman" w:hAnsi="Times New Roman"/>
          <w:sz w:val="19"/>
          <w:szCs w:val="19"/>
          <w:color w:val="auto"/>
        </w:rPr>
        <w:t>means, with respect to any Recipient, Taxes imposed as a result of a present or former connection between such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Paper, or sold or assigned an interest in any Loan or Loan Papers).</w:t>
      </w:r>
    </w:p>
    <w:p>
      <w:pPr>
        <w:spacing w:after="0" w:line="157"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Other Taxes </w:t>
      </w:r>
      <w:r>
        <w:rPr>
          <w:rFonts w:ascii="Times New Roman" w:cs="Times New Roman" w:eastAsia="Times New Roman" w:hAnsi="Times New Roman"/>
          <w:sz w:val="19"/>
          <w:szCs w:val="19"/>
          <w:color w:val="auto"/>
        </w:rPr>
        <w:t>means all present or future stamp, court or documentary, intangible, recording, filing or similar Taxes that arise from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payment made under, from the execution, delivery, performance, enforcement or registration of, from the receipt or perfection of a security interest under, or otherwise with respect to, any Loan Papers, except any such Taxes that are Other Connection Taxes imposed with respect to an assignment (other than an assignment made pursuant to </w:t>
      </w:r>
      <w:r>
        <w:rPr>
          <w:rFonts w:ascii="Times New Roman" w:cs="Times New Roman" w:eastAsia="Times New Roman" w:hAnsi="Times New Roman"/>
          <w:sz w:val="19"/>
          <w:szCs w:val="19"/>
          <w:b w:val="1"/>
          <w:bCs w:val="1"/>
          <w:i w:val="1"/>
          <w:iCs w:val="1"/>
          <w:color w:val="auto"/>
        </w:rPr>
        <w:t>Section 4.6</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Outstanding Amount </w:t>
      </w:r>
      <w:r>
        <w:rPr>
          <w:rFonts w:ascii="Times New Roman" w:cs="Times New Roman" w:eastAsia="Times New Roman" w:hAnsi="Times New Roman"/>
          <w:sz w:val="19"/>
          <w:szCs w:val="19"/>
          <w:color w:val="auto"/>
        </w:rPr>
        <w:t>means (a) with respect to Term Loans and Revolver Loans on any date, the aggregate outstanding principal amount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thereof after giving effect to any borrowings and prepayments or repayments of Term Loans and Revolver Loans, as the case may be, occurring on such date; and (b) with respect to any L/C Exposure on any date, the Dollar Equivalent amount of the aggregate outstanding amount of such L/C Exposure on such date after giving effect to any L/C Credit Extension occurring on such date and any other changes in the aggregate amount of the L/C Exposure as of such date, including as a result of any reimbursements by Borrower of Unreimbursed Amounts.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Participant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15.11(d)</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Participant Register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15.11(d)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PBGC </w:t>
      </w:r>
      <w:r>
        <w:rPr>
          <w:rFonts w:ascii="Times New Roman" w:cs="Times New Roman" w:eastAsia="Times New Roman" w:hAnsi="Times New Roman"/>
          <w:sz w:val="19"/>
          <w:szCs w:val="19"/>
          <w:color w:val="auto"/>
        </w:rPr>
        <w:t>means the Pension Benefit Guaranty Corporation, or any successor thereof, established under ERISA.</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Peak Resorts </w:t>
      </w:r>
      <w:r>
        <w:rPr>
          <w:rFonts w:ascii="Times New Roman" w:cs="Times New Roman" w:eastAsia="Times New Roman" w:hAnsi="Times New Roman"/>
          <w:sz w:val="19"/>
          <w:szCs w:val="19"/>
          <w:color w:val="auto"/>
        </w:rPr>
        <w:t>means Peak Resorts, Inc., a corporation existing under the Laws of the State of Missouri.</w:t>
      </w:r>
    </w:p>
    <w:p>
      <w:pPr>
        <w:spacing w:after="0" w:line="206" w:lineRule="exact"/>
        <w:rPr>
          <w:sz w:val="20"/>
          <w:szCs w:val="20"/>
          <w:color w:val="auto"/>
        </w:rPr>
      </w:pPr>
    </w:p>
    <w:p>
      <w:pPr>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Peak Resorts Acquisition </w:t>
      </w:r>
      <w:r>
        <w:rPr>
          <w:rFonts w:ascii="Times New Roman" w:cs="Times New Roman" w:eastAsia="Times New Roman" w:hAnsi="Times New Roman"/>
          <w:sz w:val="19"/>
          <w:szCs w:val="19"/>
          <w:color w:val="auto"/>
        </w:rPr>
        <w:t>means the acquisition of the Peak Resorts Acquisition Subsidiaries by the Company pursuant to the Peak Resorts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Acquisition Agreement and repayment of certain indebtedness of the Peak Resorts Acquisition Subsidiaries.</w:t>
      </w:r>
    </w:p>
    <w:p>
      <w:pPr>
        <w:spacing w:after="0" w:line="131" w:lineRule="exact"/>
        <w:rPr>
          <w:sz w:val="20"/>
          <w:szCs w:val="20"/>
          <w:color w:val="auto"/>
        </w:rPr>
      </w:pPr>
    </w:p>
    <w:p>
      <w:pPr>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Peak Resorts Acquisition Agreement </w:t>
      </w:r>
      <w:r>
        <w:rPr>
          <w:rFonts w:ascii="Times New Roman" w:cs="Times New Roman" w:eastAsia="Times New Roman" w:hAnsi="Times New Roman"/>
          <w:sz w:val="19"/>
          <w:szCs w:val="19"/>
          <w:color w:val="auto"/>
        </w:rPr>
        <w:t>means the Agreement and Plan of Merger, dated as of July 20, 2019, by and among the Company,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VRAD Holdings, Inc., Peak Resorts and, solely with respect to Section 9.14 thereof, VRI.</w:t>
      </w:r>
    </w:p>
    <w:p>
      <w:pPr>
        <w:spacing w:after="0" w:line="143" w:lineRule="exact"/>
        <w:rPr>
          <w:sz w:val="20"/>
          <w:szCs w:val="20"/>
          <w:color w:val="auto"/>
        </w:rPr>
      </w:pPr>
    </w:p>
    <w:p>
      <w:pPr>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Peak Resorts Acquisition Subsidiaries </w:t>
      </w:r>
      <w:r>
        <w:rPr>
          <w:rFonts w:ascii="Times New Roman" w:cs="Times New Roman" w:eastAsia="Times New Roman" w:hAnsi="Times New Roman"/>
          <w:sz w:val="19"/>
          <w:szCs w:val="19"/>
          <w:color w:val="auto"/>
        </w:rPr>
        <w:t>means, collectively, Peak Resorts and any direct or indirect Subsidiary of Peak Resorts existing 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September 23, 2019.</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Permitted Debt </w:t>
      </w:r>
      <w:r>
        <w:rPr>
          <w:rFonts w:ascii="Times New Roman" w:cs="Times New Roman" w:eastAsia="Times New Roman" w:hAnsi="Times New Roman"/>
          <w:sz w:val="19"/>
          <w:szCs w:val="19"/>
          <w:color w:val="auto"/>
        </w:rPr>
        <w:t>means:</w:t>
      </w:r>
    </w:p>
    <w:p>
      <w:pPr>
        <w:spacing w:after="0" w:line="212" w:lineRule="exact"/>
        <w:rPr>
          <w:sz w:val="20"/>
          <w:szCs w:val="20"/>
          <w:color w:val="auto"/>
        </w:rPr>
      </w:pPr>
    </w:p>
    <w:p>
      <w:pPr>
        <w:ind w:left="1640" w:hanging="401"/>
        <w:spacing w:after="0"/>
        <w:tabs>
          <w:tab w:leader="none" w:pos="164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w:t>
      </w:r>
    </w:p>
    <w:p>
      <w:pPr>
        <w:spacing w:after="0" w:line="213" w:lineRule="exact"/>
        <w:rPr>
          <w:rFonts w:ascii="Times New Roman" w:cs="Times New Roman" w:eastAsia="Times New Roman" w:hAnsi="Times New Roman"/>
          <w:sz w:val="19"/>
          <w:szCs w:val="19"/>
          <w:color w:val="auto"/>
        </w:rPr>
      </w:pPr>
    </w:p>
    <w:p>
      <w:pPr>
        <w:ind w:left="1640" w:hanging="401"/>
        <w:spacing w:after="0"/>
        <w:tabs>
          <w:tab w:leader="none" w:pos="164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any Restricted Company which is listed on </w:t>
      </w:r>
      <w:r>
        <w:rPr>
          <w:rFonts w:ascii="Times New Roman" w:cs="Times New Roman" w:eastAsia="Times New Roman" w:hAnsi="Times New Roman"/>
          <w:sz w:val="19"/>
          <w:szCs w:val="19"/>
          <w:b w:val="1"/>
          <w:bCs w:val="1"/>
          <w:i w:val="1"/>
          <w:iCs w:val="1"/>
          <w:color w:val="auto"/>
        </w:rPr>
        <w:t>Part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i w:val="1"/>
          <w:iCs w:val="1"/>
          <w:color w:val="auto"/>
        </w:rPr>
        <w:t>Schedule 2.3</w:t>
      </w:r>
      <w:r>
        <w:rPr>
          <w:rFonts w:ascii="Times New Roman" w:cs="Times New Roman" w:eastAsia="Times New Roman" w:hAnsi="Times New Roman"/>
          <w:sz w:val="19"/>
          <w:szCs w:val="19"/>
          <w:color w:val="auto"/>
        </w:rPr>
        <w:t>;</w:t>
      </w:r>
    </w:p>
    <w:p>
      <w:pPr>
        <w:spacing w:after="0" w:line="225" w:lineRule="exact"/>
        <w:rPr>
          <w:rFonts w:ascii="Times New Roman" w:cs="Times New Roman" w:eastAsia="Times New Roman" w:hAnsi="Times New Roman"/>
          <w:sz w:val="19"/>
          <w:szCs w:val="19"/>
          <w:color w:val="auto"/>
        </w:rPr>
      </w:pPr>
    </w:p>
    <w:p>
      <w:pPr>
        <w:ind w:left="1760" w:hanging="521"/>
        <w:spacing w:after="0"/>
        <w:tabs>
          <w:tab w:leader="none" w:pos="176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of any Restricted Company arising from endorsing negotiable instruments for collection in the ordinary course of</w:t>
      </w:r>
    </w:p>
    <w:p>
      <w:pPr>
        <w:spacing w:after="0" w:line="20"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w:t>
      </w:r>
    </w:p>
    <w:p>
      <w:pPr>
        <w:spacing w:after="0" w:line="199" w:lineRule="exact"/>
        <w:rPr>
          <w:rFonts w:ascii="Times New Roman" w:cs="Times New Roman" w:eastAsia="Times New Roman" w:hAnsi="Times New Roman"/>
          <w:sz w:val="19"/>
          <w:szCs w:val="19"/>
          <w:color w:val="auto"/>
        </w:rPr>
      </w:pPr>
    </w:p>
    <w:p>
      <w:pPr>
        <w:jc w:val="both"/>
        <w:ind w:left="620" w:firstLine="619"/>
        <w:spacing w:after="0" w:line="254" w:lineRule="auto"/>
        <w:tabs>
          <w:tab w:leader="none" w:pos="1731"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Subordinated Debt (and guaranties by Restricted Companies of Subordinated Debt of other Restricted Companies, if such guaranties are subordinated to the payment and collection of the Obligation on the same terms as such Subordinated Debt or otherwise upon terms satisfactory to Administrative Agent),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after giving effect to the incurrence of such Debt, the Companies are in pro forma compliance with the financial covenants set forth in </w:t>
      </w:r>
      <w:r>
        <w:rPr>
          <w:rFonts w:ascii="Times New Roman" w:cs="Times New Roman" w:eastAsia="Times New Roman" w:hAnsi="Times New Roman"/>
          <w:sz w:val="19"/>
          <w:szCs w:val="19"/>
          <w:b w:val="1"/>
          <w:bCs w:val="1"/>
          <w:i w:val="1"/>
          <w:iCs w:val="1"/>
          <w:color w:val="auto"/>
        </w:rPr>
        <w:t>Section 11</w:t>
      </w:r>
      <w:r>
        <w:rPr>
          <w:rFonts w:ascii="Times New Roman" w:cs="Times New Roman" w:eastAsia="Times New Roman" w:hAnsi="Times New Roman"/>
          <w:sz w:val="19"/>
          <w:szCs w:val="19"/>
          <w:color w:val="auto"/>
        </w:rPr>
        <w:t xml:space="preserve"> herein and no Default or Potential Default exists or would result after giving effect thereto;</w:t>
      </w:r>
    </w:p>
    <w:p>
      <w:pPr>
        <w:spacing w:after="0" w:line="183" w:lineRule="exact"/>
        <w:rPr>
          <w:rFonts w:ascii="Times New Roman" w:cs="Times New Roman" w:eastAsia="Times New Roman" w:hAnsi="Times New Roman"/>
          <w:sz w:val="19"/>
          <w:szCs w:val="19"/>
          <w:color w:val="auto"/>
        </w:rPr>
      </w:pPr>
    </w:p>
    <w:p>
      <w:pPr>
        <w:ind w:left="620" w:firstLine="619"/>
        <w:spacing w:after="0" w:line="268" w:lineRule="auto"/>
        <w:tabs>
          <w:tab w:leader="none" w:pos="1742"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of any Restricted Company arising under or pursuant to the Existing Housing Bonds to which any such Restricted Company is a party;</w:t>
      </w:r>
    </w:p>
    <w:p>
      <w:pPr>
        <w:spacing w:after="0" w:line="168" w:lineRule="exact"/>
        <w:rPr>
          <w:rFonts w:ascii="Times New Roman" w:cs="Times New Roman" w:eastAsia="Times New Roman" w:hAnsi="Times New Roman"/>
          <w:sz w:val="19"/>
          <w:szCs w:val="19"/>
          <w:color w:val="auto"/>
        </w:rPr>
      </w:pPr>
    </w:p>
    <w:p>
      <w:pPr>
        <w:jc w:val="both"/>
        <w:ind w:left="620" w:firstLine="619"/>
        <w:spacing w:after="0" w:line="259" w:lineRule="auto"/>
        <w:tabs>
          <w:tab w:leader="none" w:pos="1656"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any Restricted Company arising under or pursuant to Bonds (other than Existing Housing Bonds) to which any such Restricted Company is a party,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after giving effect to the incurrence of such Debt and, without duplication, Debt incurred by Borrower or any other Restricted Company in support thereof, (i) the Restricted Companies are in pro forma compliance with the financial covenants set forth in </w:t>
      </w:r>
      <w:r>
        <w:rPr>
          <w:rFonts w:ascii="Times New Roman" w:cs="Times New Roman" w:eastAsia="Times New Roman" w:hAnsi="Times New Roman"/>
          <w:sz w:val="19"/>
          <w:szCs w:val="19"/>
          <w:b w:val="1"/>
          <w:bCs w:val="1"/>
          <w:i w:val="1"/>
          <w:iCs w:val="1"/>
          <w:color w:val="auto"/>
        </w:rPr>
        <w:t>Section 11</w:t>
      </w:r>
      <w:r>
        <w:rPr>
          <w:rFonts w:ascii="Times New Roman" w:cs="Times New Roman" w:eastAsia="Times New Roman" w:hAnsi="Times New Roman"/>
          <w:sz w:val="19"/>
          <w:szCs w:val="19"/>
          <w:color w:val="auto"/>
        </w:rPr>
        <w:t xml:space="preserve"> herein, and (ii) no Default or Potential Default exists or would result after giving effect thereto;</w:t>
      </w:r>
    </w:p>
    <w:p>
      <w:pPr>
        <w:spacing w:after="0" w:line="164" w:lineRule="exact"/>
        <w:rPr>
          <w:rFonts w:ascii="Times New Roman" w:cs="Times New Roman" w:eastAsia="Times New Roman" w:hAnsi="Times New Roman"/>
          <w:sz w:val="19"/>
          <w:szCs w:val="19"/>
          <w:color w:val="auto"/>
        </w:rPr>
      </w:pPr>
    </w:p>
    <w:p>
      <w:pPr>
        <w:ind w:left="1640" w:hanging="401"/>
        <w:spacing w:after="0"/>
        <w:tabs>
          <w:tab w:leader="none" w:pos="164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9" w:lineRule="exact"/>
        <w:rPr>
          <w:rFonts w:ascii="Times New Roman" w:cs="Times New Roman" w:eastAsia="Times New Roman" w:hAnsi="Times New Roman"/>
          <w:sz w:val="19"/>
          <w:szCs w:val="19"/>
          <w:color w:val="auto"/>
        </w:rPr>
      </w:pPr>
    </w:p>
    <w:p>
      <w:pPr>
        <w:jc w:val="both"/>
        <w:ind w:left="620" w:firstLine="619"/>
        <w:spacing w:after="0" w:line="261" w:lineRule="auto"/>
        <w:tabs>
          <w:tab w:leader="none" w:pos="172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guaranties and other contingent obligations of Restricted Companies with respect to (i) Debt of Restricted Companies, (ii) Debt of Unrestricted Subsidiaries in an amount not to exceed the Investment Limit (Similar Businesses), and (iii) Debt of joint ventures in which 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23</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1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9"/>
          <w:szCs w:val="19"/>
          <w:color w:val="auto"/>
        </w:rPr>
        <w:t xml:space="preserve">Restricted Company has made an investment permitted under </w:t>
      </w:r>
      <w:r>
        <w:rPr>
          <w:rFonts w:ascii="Times New Roman" w:cs="Times New Roman" w:eastAsia="Times New Roman" w:hAnsi="Times New Roman"/>
          <w:sz w:val="19"/>
          <w:szCs w:val="19"/>
          <w:b w:val="1"/>
          <w:bCs w:val="1"/>
          <w:i w:val="1"/>
          <w:iCs w:val="1"/>
          <w:color w:val="auto"/>
        </w:rPr>
        <w:t>Section 10.8(m)</w:t>
      </w:r>
      <w:r>
        <w:rPr>
          <w:rFonts w:ascii="Times New Roman" w:cs="Times New Roman" w:eastAsia="Times New Roman" w:hAnsi="Times New Roman"/>
          <w:sz w:val="19"/>
          <w:szCs w:val="19"/>
          <w:color w:val="auto"/>
        </w:rPr>
        <w:t xml:space="preserve"> in an amount not to exceed the Investment Limit (Joint Ventures);</w:t>
      </w:r>
    </w:p>
    <w:p>
      <w:pPr>
        <w:spacing w:after="0" w:line="137" w:lineRule="exact"/>
        <w:rPr>
          <w:sz w:val="20"/>
          <w:szCs w:val="20"/>
          <w:color w:val="auto"/>
        </w:rPr>
      </w:pPr>
    </w:p>
    <w:p>
      <w:pPr>
        <w:ind w:left="980" w:hanging="361"/>
        <w:spacing w:after="0"/>
        <w:tabs>
          <w:tab w:leader="none" w:pos="98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fees and other amounts payable under the Forest Service Permits in the ordinary course of business;</w:t>
      </w:r>
    </w:p>
    <w:p>
      <w:pPr>
        <w:spacing w:after="0" w:line="219" w:lineRule="exact"/>
        <w:rPr>
          <w:rFonts w:ascii="Times New Roman" w:cs="Times New Roman" w:eastAsia="Times New Roman" w:hAnsi="Times New Roman"/>
          <w:sz w:val="19"/>
          <w:szCs w:val="19"/>
          <w:color w:val="auto"/>
        </w:rPr>
      </w:pPr>
    </w:p>
    <w:p>
      <w:pPr>
        <w:ind w:left="980" w:hanging="361"/>
        <w:spacing w:after="0"/>
        <w:tabs>
          <w:tab w:leader="none" w:pos="98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inter-company Debt between Restricted Companies;</w:t>
      </w:r>
    </w:p>
    <w:p>
      <w:pPr>
        <w:spacing w:after="0" w:line="206" w:lineRule="exact"/>
        <w:rPr>
          <w:rFonts w:ascii="Times New Roman" w:cs="Times New Roman" w:eastAsia="Times New Roman" w:hAnsi="Times New Roman"/>
          <w:sz w:val="19"/>
          <w:szCs w:val="19"/>
          <w:color w:val="auto"/>
        </w:rPr>
      </w:pPr>
    </w:p>
    <w:p>
      <w:pPr>
        <w:jc w:val="both"/>
        <w:ind w:firstLine="619"/>
        <w:spacing w:after="0" w:line="268" w:lineRule="auto"/>
        <w:tabs>
          <w:tab w:leader="none" w:pos="1027"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the Restricted Companies in a maximum aggregate amount not to exceed 5% of Total Assets at any time for (i) Capital Lease obligations (excluding, for the avoidance of doubt, Capital Lease obligations permitted under </w:t>
      </w:r>
      <w:r>
        <w:rPr>
          <w:rFonts w:ascii="Times New Roman" w:cs="Times New Roman" w:eastAsia="Times New Roman" w:hAnsi="Times New Roman"/>
          <w:sz w:val="19"/>
          <w:szCs w:val="19"/>
          <w:b w:val="1"/>
          <w:bCs w:val="1"/>
          <w:i w:val="1"/>
          <w:iCs w:val="1"/>
          <w:color w:val="auto"/>
        </w:rPr>
        <w:t>clause (m)</w:t>
      </w:r>
      <w:r>
        <w:rPr>
          <w:rFonts w:ascii="Times New Roman" w:cs="Times New Roman" w:eastAsia="Times New Roman" w:hAnsi="Times New Roman"/>
          <w:sz w:val="19"/>
          <w:szCs w:val="19"/>
          <w:color w:val="auto"/>
        </w:rPr>
        <w:t xml:space="preserve"> below), (ii) obligations to pay the deferred purchase price of property or services, and (iii) obligations under surety bonds or similar instruments;</w:t>
      </w:r>
    </w:p>
    <w:p>
      <w:pPr>
        <w:spacing w:after="0" w:line="156" w:lineRule="exact"/>
        <w:rPr>
          <w:rFonts w:ascii="Times New Roman" w:cs="Times New Roman" w:eastAsia="Times New Roman" w:hAnsi="Times New Roman"/>
          <w:sz w:val="19"/>
          <w:szCs w:val="19"/>
          <w:color w:val="auto"/>
        </w:rPr>
      </w:pPr>
    </w:p>
    <w:p>
      <w:pPr>
        <w:jc w:val="both"/>
        <w:ind w:firstLine="619"/>
        <w:spacing w:after="0" w:line="259" w:lineRule="auto"/>
        <w:tabs>
          <w:tab w:leader="none" w:pos="1004"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Secured Debt in a maximum aggregate amount (after giving effect to any such Debt previously incurred and then outstanding) not to exceed the difference between the Maximum Facility Amount and the Facility Amount when incurred,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Borrower, Administrative Agent, and the lender thereof (or applicable agent or trustee therefor) have entered into intercreditor arrangements in form and substance reasonably satisfactory to Administrative Agent;</w:t>
      </w:r>
    </w:p>
    <w:p>
      <w:pPr>
        <w:spacing w:after="0" w:line="177" w:lineRule="exact"/>
        <w:rPr>
          <w:rFonts w:ascii="Times New Roman" w:cs="Times New Roman" w:eastAsia="Times New Roman" w:hAnsi="Times New Roman"/>
          <w:sz w:val="19"/>
          <w:szCs w:val="19"/>
          <w:color w:val="auto"/>
        </w:rPr>
      </w:pPr>
    </w:p>
    <w:p>
      <w:pPr>
        <w:jc w:val="both"/>
        <w:ind w:firstLine="619"/>
        <w:spacing w:after="0" w:line="254" w:lineRule="auto"/>
        <w:tabs>
          <w:tab w:leader="none" w:pos="1103"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if the Northstar Leases and Canyons-Park City Lease are Capital Leases, the obligations of the Northstar Subsidiaries and VR CPC Holdings, Inc., respectively, thereunder, and (ii) obligations of Restricted Subsidiaries under other Capital Leases of assets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properties owned by any Restricted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 such Restricted Subsidiary has complied with the terms of </w:t>
      </w:r>
      <w:r>
        <w:rPr>
          <w:rFonts w:ascii="Times New Roman" w:cs="Times New Roman" w:eastAsia="Times New Roman" w:hAnsi="Times New Roman"/>
          <w:sz w:val="19"/>
          <w:szCs w:val="19"/>
          <w:b w:val="1"/>
          <w:bCs w:val="1"/>
          <w:i w:val="1"/>
          <w:iCs w:val="1"/>
          <w:color w:val="auto"/>
        </w:rPr>
        <w:t>Section 9.10</w:t>
      </w:r>
      <w:r>
        <w:rPr>
          <w:rFonts w:ascii="Times New Roman" w:cs="Times New Roman" w:eastAsia="Times New Roman" w:hAnsi="Times New Roman"/>
          <w:sz w:val="19"/>
          <w:szCs w:val="19"/>
          <w:color w:val="auto"/>
        </w:rPr>
        <w:t>,</w:t>
      </w:r>
    </w:p>
    <w:p>
      <w:pPr>
        <w:spacing w:after="0" w:line="8" w:lineRule="exact"/>
        <w:rPr>
          <w:sz w:val="20"/>
          <w:szCs w:val="20"/>
          <w:color w:val="auto"/>
        </w:rPr>
      </w:pPr>
    </w:p>
    <w:p>
      <w:pPr>
        <w:jc w:val="both"/>
        <w:ind w:firstLine="1"/>
        <w:spacing w:after="0" w:line="257" w:lineRule="auto"/>
        <w:tabs>
          <w:tab w:leader="none" w:pos="31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Default or Potential Default exists or would result after giving effect thereto, (C) the Companies are in pro forma compliance with the financial covenants set forth in </w:t>
      </w:r>
      <w:r>
        <w:rPr>
          <w:rFonts w:ascii="Times New Roman" w:cs="Times New Roman" w:eastAsia="Times New Roman" w:hAnsi="Times New Roman"/>
          <w:sz w:val="19"/>
          <w:szCs w:val="19"/>
          <w:b w:val="1"/>
          <w:bCs w:val="1"/>
          <w:i w:val="1"/>
          <w:iCs w:val="1"/>
          <w:color w:val="auto"/>
        </w:rPr>
        <w:t>Section 11</w:t>
      </w:r>
      <w:r>
        <w:rPr>
          <w:rFonts w:ascii="Times New Roman" w:cs="Times New Roman" w:eastAsia="Times New Roman" w:hAnsi="Times New Roman"/>
          <w:sz w:val="19"/>
          <w:szCs w:val="19"/>
          <w:color w:val="auto"/>
        </w:rPr>
        <w:t>, and (D) such Restricted Subsidiary did not own such assets or property or Critical Assets on the Closing Date;</w:t>
      </w:r>
    </w:p>
    <w:p>
      <w:pPr>
        <w:spacing w:after="0" w:line="166" w:lineRule="exact"/>
        <w:rPr>
          <w:rFonts w:ascii="Times New Roman" w:cs="Times New Roman" w:eastAsia="Times New Roman" w:hAnsi="Times New Roman"/>
          <w:sz w:val="19"/>
          <w:szCs w:val="19"/>
          <w:color w:val="auto"/>
        </w:rPr>
      </w:pPr>
    </w:p>
    <w:p>
      <w:pPr>
        <w:jc w:val="both"/>
        <w:ind w:firstLine="619"/>
        <w:spacing w:after="0" w:line="261" w:lineRule="auto"/>
        <w:tabs>
          <w:tab w:leader="none" w:pos="1050"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the Restricted Companies in connection with the acquisition of assets or a new Restricted Subsidiary (including Debt that was incurred by the prior owner of such assets or by such Restricted Subsidiary prior to such acquisition by the Restricted Companies);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 </w:t>
      </w:r>
      <w:r>
        <w:rPr>
          <w:rFonts w:ascii="Times New Roman" w:cs="Times New Roman" w:eastAsia="Times New Roman" w:hAnsi="Times New Roman"/>
          <w:sz w:val="19"/>
          <w:szCs w:val="19"/>
          <w:color w:val="auto"/>
        </w:rPr>
        <w:t>the aggregate principal amount of Debt pursuant to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clause (n)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does not exceed $100,000,000 at any time outstanding;</w:t>
      </w:r>
    </w:p>
    <w:p>
      <w:pPr>
        <w:spacing w:after="0" w:line="175" w:lineRule="exact"/>
        <w:rPr>
          <w:rFonts w:ascii="Times New Roman" w:cs="Times New Roman" w:eastAsia="Times New Roman" w:hAnsi="Times New Roman"/>
          <w:sz w:val="19"/>
          <w:szCs w:val="19"/>
          <w:color w:val="auto"/>
        </w:rPr>
      </w:pPr>
    </w:p>
    <w:p>
      <w:pPr>
        <w:ind w:firstLine="619"/>
        <w:spacing w:after="0" w:line="268" w:lineRule="auto"/>
        <w:tabs>
          <w:tab w:leader="none" w:pos="1046"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of any Restricted Company organized outside the United States in an aggregate principal amount which does not exceed $50,000,000 at any time outstanding; and</w:t>
      </w:r>
    </w:p>
    <w:p>
      <w:pPr>
        <w:spacing w:after="0" w:line="162" w:lineRule="exact"/>
        <w:rPr>
          <w:rFonts w:ascii="Times New Roman" w:cs="Times New Roman" w:eastAsia="Times New Roman" w:hAnsi="Times New Roman"/>
          <w:sz w:val="19"/>
          <w:szCs w:val="19"/>
          <w:color w:val="auto"/>
        </w:rPr>
      </w:pPr>
    </w:p>
    <w:p>
      <w:pPr>
        <w:jc w:val="both"/>
        <w:ind w:firstLine="619"/>
        <w:spacing w:after="0" w:line="256" w:lineRule="auto"/>
        <w:tabs>
          <w:tab w:leader="none" w:pos="1099"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Debt permitted under </w:t>
      </w:r>
      <w:r>
        <w:rPr>
          <w:rFonts w:ascii="Times New Roman" w:cs="Times New Roman" w:eastAsia="Times New Roman" w:hAnsi="Times New Roman"/>
          <w:sz w:val="19"/>
          <w:szCs w:val="19"/>
          <w:b w:val="1"/>
          <w:bCs w:val="1"/>
          <w:i w:val="1"/>
          <w:iCs w:val="1"/>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b w:val="1"/>
          <w:bCs w:val="1"/>
          <w:i w:val="1"/>
          <w:iCs w:val="1"/>
          <w:color w:val="auto"/>
        </w:rPr>
        <w:t>(o)</w:t>
      </w:r>
      <w:r>
        <w:rPr>
          <w:rFonts w:ascii="Times New Roman" w:cs="Times New Roman" w:eastAsia="Times New Roman" w:hAnsi="Times New Roman"/>
          <w:sz w:val="19"/>
          <w:szCs w:val="19"/>
          <w:color w:val="auto"/>
        </w:rPr>
        <w:t xml:space="preserve"> above, the 2020 VRI Senior Notes, the 2020 VRI Convertible Notes and other senior unsecured Debt (including High-Yield Debt and Convertible Debt Securities) of the Restricted Companies;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that </w:t>
      </w:r>
      <w:r>
        <w:rPr>
          <w:rFonts w:ascii="Times New Roman" w:cs="Times New Roman" w:eastAsia="Times New Roman" w:hAnsi="Times New Roman"/>
          <w:sz w:val="19"/>
          <w:szCs w:val="19"/>
          <w:color w:val="auto"/>
        </w:rPr>
        <w:t>(x) the maximum aggregate amount of such Debt (other than Debt evidenced by the 2020 VRI Senior Notes) that has a stated maturity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prior to the Termination Date for the Revolver Facility shall not exceed $600,000,000 at any time; and </w:t>
      </w:r>
      <w:r>
        <w:rPr>
          <w:rFonts w:ascii="Times New Roman" w:cs="Times New Roman" w:eastAsia="Times New Roman" w:hAnsi="Times New Roman"/>
          <w:sz w:val="19"/>
          <w:szCs w:val="19"/>
          <w:i w:val="1"/>
          <w:iCs w:val="1"/>
          <w:color w:val="auto"/>
        </w:rPr>
        <w:t>(y)</w:t>
      </w:r>
      <w:r>
        <w:rPr>
          <w:rFonts w:ascii="Times New Roman" w:cs="Times New Roman" w:eastAsia="Times New Roman" w:hAnsi="Times New Roman"/>
          <w:sz w:val="19"/>
          <w:szCs w:val="19"/>
          <w:color w:val="auto"/>
        </w:rPr>
        <w:t xml:space="preserve"> the maximum aggregate amount of such Debt incurred by Restricted Subsidiaries other than Borrower shall not exceed $50,000,000 at any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Permitted Liens </w:t>
      </w:r>
      <w:r>
        <w:rPr>
          <w:rFonts w:ascii="Times New Roman" w:cs="Times New Roman" w:eastAsia="Times New Roman" w:hAnsi="Times New Roman"/>
          <w:sz w:val="19"/>
          <w:szCs w:val="19"/>
          <w:color w:val="auto"/>
        </w:rPr>
        <w:t>means: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24</w:t>
      </w:r>
    </w:p>
    <w:p>
      <w:pPr>
        <w:sectPr>
          <w:pgSz w:w="11900" w:h="16838" w:orient="portrait"/>
          <w:cols w:equalWidth="0" w:num="1">
            <w:col w:w="10620"/>
          </w:cols>
          <w:pgMar w:left="940" w:top="1440" w:right="339" w:bottom="1440" w:gutter="0" w:footer="0" w:header="0"/>
        </w:sectPr>
      </w:pPr>
    </w:p>
    <w:bookmarkStart w:id="75" w:name="page76"/>
    <w:bookmarkEnd w:id="75"/>
    <w:p>
      <w:pPr>
        <w:spacing w:after="0" w:line="118" w:lineRule="exact"/>
        <w:rPr>
          <w:sz w:val="20"/>
          <w:szCs w:val="20"/>
          <w:color w:val="auto"/>
        </w:rPr>
      </w:pPr>
    </w:p>
    <w:p>
      <w:pPr>
        <w:jc w:val="both"/>
        <w:ind w:firstLine="619"/>
        <w:spacing w:after="0" w:line="263" w:lineRule="auto"/>
        <w:tabs>
          <w:tab w:leader="none" w:pos="1104"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created by the Security Documents or other Liens securing the Obligation, and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the Obligation is ratably secured therewith, Liens securing Debt incurred by any Company under any Financial Hedge with any Lender or an Affiliate of any Lender to the extent permitted under </w:t>
      </w:r>
      <w:r>
        <w:rPr>
          <w:rFonts w:ascii="Times New Roman" w:cs="Times New Roman" w:eastAsia="Times New Roman" w:hAnsi="Times New Roman"/>
          <w:sz w:val="19"/>
          <w:szCs w:val="19"/>
          <w:b w:val="1"/>
          <w:bCs w:val="1"/>
          <w:i w:val="1"/>
          <w:iCs w:val="1"/>
          <w:color w:val="auto"/>
        </w:rPr>
        <w:t>Section 10.8(i)</w:t>
      </w:r>
      <w:r>
        <w:rPr>
          <w:rFonts w:ascii="Times New Roman" w:cs="Times New Roman" w:eastAsia="Times New Roman" w:hAnsi="Times New Roman"/>
          <w:sz w:val="19"/>
          <w:szCs w:val="19"/>
          <w:color w:val="auto"/>
        </w:rPr>
        <w:t>;</w:t>
      </w:r>
    </w:p>
    <w:p>
      <w:pPr>
        <w:spacing w:after="0" w:line="174" w:lineRule="exact"/>
        <w:rPr>
          <w:rFonts w:ascii="Times New Roman" w:cs="Times New Roman" w:eastAsia="Times New Roman" w:hAnsi="Times New Roman"/>
          <w:sz w:val="19"/>
          <w:szCs w:val="19"/>
          <w:color w:val="auto"/>
        </w:rPr>
      </w:pPr>
    </w:p>
    <w:p>
      <w:pPr>
        <w:jc w:val="both"/>
        <w:ind w:firstLine="619"/>
        <w:spacing w:after="0" w:line="259" w:lineRule="auto"/>
        <w:tabs>
          <w:tab w:leader="none" w:pos="1085"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created by, or pursuant to, the Forest Service Permit Agreements for the benefit of the holders of the Vail Bonds and Liens on the amounts in the “</w:t>
      </w:r>
      <w:r>
        <w:rPr>
          <w:rFonts w:ascii="Times New Roman" w:cs="Times New Roman" w:eastAsia="Times New Roman" w:hAnsi="Times New Roman"/>
          <w:sz w:val="19"/>
          <w:szCs w:val="19"/>
          <w:i w:val="1"/>
          <w:iCs w:val="1"/>
          <w:color w:val="auto"/>
        </w:rPr>
        <w:t>Bond Fund</w:t>
      </w:r>
      <w:r>
        <w:rPr>
          <w:rFonts w:ascii="Times New Roman" w:cs="Times New Roman" w:eastAsia="Times New Roman" w:hAnsi="Times New Roman"/>
          <w:sz w:val="19"/>
          <w:szCs w:val="19"/>
          <w:color w:val="auto"/>
        </w:rPr>
        <w:t>” established and maintained in accordance with the provisions of the documents executed in connection with the issuance of the Vail Bonds (and Liens created on all or any portion of the same assets in connection with any refinancing of such bonds in accordance with the terms of this Agreement);</w:t>
      </w:r>
    </w:p>
    <w:p>
      <w:pPr>
        <w:spacing w:after="0" w:line="164" w:lineRule="exact"/>
        <w:rPr>
          <w:rFonts w:ascii="Times New Roman" w:cs="Times New Roman" w:eastAsia="Times New Roman" w:hAnsi="Times New Roman"/>
          <w:sz w:val="19"/>
          <w:szCs w:val="19"/>
          <w:color w:val="auto"/>
        </w:rPr>
      </w:pPr>
    </w:p>
    <w:p>
      <w:pPr>
        <w:ind w:left="1020" w:hanging="401"/>
        <w:spacing w:after="0"/>
        <w:tabs>
          <w:tab w:leader="none" w:pos="102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3" w:lineRule="exact"/>
        <w:rPr>
          <w:rFonts w:ascii="Times New Roman" w:cs="Times New Roman" w:eastAsia="Times New Roman" w:hAnsi="Times New Roman"/>
          <w:sz w:val="19"/>
          <w:szCs w:val="19"/>
          <w:color w:val="auto"/>
        </w:rPr>
      </w:pPr>
    </w:p>
    <w:p>
      <w:pPr>
        <w:ind w:left="1020" w:hanging="401"/>
        <w:spacing w:after="0"/>
        <w:tabs>
          <w:tab w:leader="none" w:pos="102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the Collateral securing Debt of Borrower permitted by </w:t>
      </w:r>
      <w:r>
        <w:rPr>
          <w:rFonts w:ascii="Times New Roman" w:cs="Times New Roman" w:eastAsia="Times New Roman" w:hAnsi="Times New Roman"/>
          <w:sz w:val="19"/>
          <w:szCs w:val="19"/>
          <w:b w:val="1"/>
          <w:bCs w:val="1"/>
          <w:i w:val="1"/>
          <w:iCs w:val="1"/>
          <w:color w:val="auto"/>
        </w:rPr>
        <w:t>clause (l)</w:t>
      </w:r>
      <w:r>
        <w:rPr>
          <w:rFonts w:ascii="Times New Roman" w:cs="Times New Roman" w:eastAsia="Times New Roman" w:hAnsi="Times New Roman"/>
          <w:sz w:val="19"/>
          <w:szCs w:val="19"/>
          <w:color w:val="auto"/>
        </w:rPr>
        <w:t xml:space="preserve"> of the definition of “</w:t>
      </w:r>
      <w:r>
        <w:rPr>
          <w:rFonts w:ascii="Times New Roman" w:cs="Times New Roman" w:eastAsia="Times New Roman" w:hAnsi="Times New Roman"/>
          <w:sz w:val="19"/>
          <w:szCs w:val="19"/>
          <w:i w:val="1"/>
          <w:iCs w:val="1"/>
          <w:color w:val="auto"/>
        </w:rPr>
        <w:t>Permitted Debt</w:t>
      </w:r>
      <w:r>
        <w:rPr>
          <w:rFonts w:ascii="Times New Roman" w:cs="Times New Roman" w:eastAsia="Times New Roman" w:hAnsi="Times New Roman"/>
          <w:sz w:val="19"/>
          <w:szCs w:val="19"/>
          <w:color w:val="auto"/>
        </w:rPr>
        <w:t>”;</w:t>
      </w:r>
    </w:p>
    <w:p>
      <w:pPr>
        <w:spacing w:after="0" w:line="212" w:lineRule="exact"/>
        <w:rPr>
          <w:rFonts w:ascii="Times New Roman" w:cs="Times New Roman" w:eastAsia="Times New Roman" w:hAnsi="Times New Roman"/>
          <w:sz w:val="19"/>
          <w:szCs w:val="19"/>
          <w:color w:val="auto"/>
        </w:rPr>
      </w:pPr>
    </w:p>
    <w:p>
      <w:pPr>
        <w:ind w:firstLine="619"/>
        <w:spacing w:after="0" w:line="282" w:lineRule="auto"/>
        <w:tabs>
          <w:tab w:leader="none" w:pos="1023"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assets of any Company securing Permitted Debt arising under or pursuant to any Bond Documents to which any such Company is a party, but only to the extent such Liens secure the assets financed by such Permitted Debt (and proceeds thereof);</w:t>
      </w:r>
    </w:p>
    <w:p>
      <w:pPr>
        <w:spacing w:after="0" w:line="156" w:lineRule="exact"/>
        <w:rPr>
          <w:rFonts w:ascii="Times New Roman" w:cs="Times New Roman" w:eastAsia="Times New Roman" w:hAnsi="Times New Roman"/>
          <w:sz w:val="19"/>
          <w:szCs w:val="19"/>
          <w:color w:val="auto"/>
        </w:rPr>
      </w:pPr>
    </w:p>
    <w:p>
      <w:pPr>
        <w:ind w:left="1000" w:hanging="381"/>
        <w:spacing w:after="0"/>
        <w:tabs>
          <w:tab w:leader="none" w:pos="10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 money liens which encumber only the assets acquired;</w:t>
      </w:r>
    </w:p>
    <w:p>
      <w:pPr>
        <w:spacing w:after="0" w:line="206" w:lineRule="exact"/>
        <w:rPr>
          <w:rFonts w:ascii="Times New Roman" w:cs="Times New Roman" w:eastAsia="Times New Roman" w:hAnsi="Times New Roman"/>
          <w:sz w:val="19"/>
          <w:szCs w:val="19"/>
          <w:color w:val="auto"/>
        </w:rPr>
      </w:pPr>
    </w:p>
    <w:p>
      <w:pPr>
        <w:jc w:val="both"/>
        <w:ind w:firstLine="619"/>
        <w:spacing w:after="0" w:line="261" w:lineRule="auto"/>
        <w:tabs>
          <w:tab w:leader="none" w:pos="1222"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pledges or deposits made to secure payment of workers’ compensation, unemployment insurance or other forms of governmental insurance or benefits (other than ERISA) or to participate in any fund in connection with workers’ compensation, unemployment insurance, pensions (other than ERISA) or other social security programs;</w:t>
      </w:r>
    </w:p>
    <w:p>
      <w:pPr>
        <w:spacing w:after="0" w:line="171" w:lineRule="exact"/>
        <w:rPr>
          <w:rFonts w:ascii="Times New Roman" w:cs="Times New Roman" w:eastAsia="Times New Roman" w:hAnsi="Times New Roman"/>
          <w:sz w:val="19"/>
          <w:szCs w:val="19"/>
          <w:color w:val="auto"/>
        </w:rPr>
      </w:pPr>
    </w:p>
    <w:p>
      <w:pPr>
        <w:jc w:val="both"/>
        <w:ind w:firstLine="619"/>
        <w:spacing w:after="0" w:line="263" w:lineRule="auto"/>
        <w:tabs>
          <w:tab w:leader="none" w:pos="1152"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good-faith pledges or deposits made to secure performance of bids, tenders, contracts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for the repayment of borrowed money), or leases, or to secure statutory obligations, surety or appeal bonds, or indemnity, performance, or other similar bonds in the ordinary course of business;</w:t>
      </w:r>
    </w:p>
    <w:p>
      <w:pPr>
        <w:spacing w:after="0" w:line="174" w:lineRule="exact"/>
        <w:rPr>
          <w:rFonts w:ascii="Times New Roman" w:cs="Times New Roman" w:eastAsia="Times New Roman" w:hAnsi="Times New Roman"/>
          <w:sz w:val="19"/>
          <w:szCs w:val="19"/>
          <w:color w:val="auto"/>
        </w:rPr>
      </w:pPr>
    </w:p>
    <w:p>
      <w:pPr>
        <w:ind w:left="980" w:hanging="361"/>
        <w:spacing w:after="0"/>
        <w:tabs>
          <w:tab w:leader="none" w:pos="98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encumbrances and restrictions on the use of real property which do not materially impair the use thereof;</w:t>
      </w:r>
    </w:p>
    <w:p>
      <w:pPr>
        <w:spacing w:after="0" w:line="206" w:lineRule="exact"/>
        <w:rPr>
          <w:rFonts w:ascii="Times New Roman" w:cs="Times New Roman" w:eastAsia="Times New Roman" w:hAnsi="Times New Roman"/>
          <w:sz w:val="19"/>
          <w:szCs w:val="19"/>
          <w:color w:val="auto"/>
        </w:rPr>
      </w:pPr>
    </w:p>
    <w:p>
      <w:pPr>
        <w:jc w:val="both"/>
        <w:ind w:firstLine="619"/>
        <w:spacing w:after="0" w:line="254" w:lineRule="auto"/>
        <w:tabs>
          <w:tab w:leader="none" w:pos="1068"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if either (1) no amounts are due and payable and no Lien has been filed or agreed to, or (2) the validity or amount thereof is being contested in good faith by lawful proceedings diligently conducted, reserve or other provision required by GAAP has been made, levy and execution thereon have been (and continue to be) stayed or payment thereof is covered in full (subject to the customary deductible) by insurance: (i) Liens for Taxes; (ii) Liens upon, and defects of title to, property, including any attachment of property or other legal process prior to adjudication of a dispute on the merits; (iii) Liens imposed by operation of Law (including, without limitation, Liens of mechanics, materialmen, warehousemen, carriers, and landlords, and similar Liens); and (iv) adverse judgments on appeal;</w:t>
      </w:r>
    </w:p>
    <w:p>
      <w:pPr>
        <w:spacing w:after="0" w:line="171" w:lineRule="exact"/>
        <w:rPr>
          <w:rFonts w:ascii="Times New Roman" w:cs="Times New Roman" w:eastAsia="Times New Roman" w:hAnsi="Times New Roman"/>
          <w:sz w:val="19"/>
          <w:szCs w:val="19"/>
          <w:color w:val="auto"/>
        </w:rPr>
      </w:pPr>
    </w:p>
    <w:p>
      <w:pPr>
        <w:ind w:left="1020" w:hanging="401"/>
        <w:spacing w:after="0"/>
        <w:tabs>
          <w:tab w:leader="none" w:pos="102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or title of a lessor or licensor in assets being leased or licensed to a Company;</w:t>
      </w:r>
    </w:p>
    <w:p>
      <w:pPr>
        <w:spacing w:after="0" w:line="219" w:lineRule="exact"/>
        <w:rPr>
          <w:rFonts w:ascii="Times New Roman" w:cs="Times New Roman" w:eastAsia="Times New Roman" w:hAnsi="Times New Roman"/>
          <w:sz w:val="19"/>
          <w:szCs w:val="19"/>
          <w:color w:val="auto"/>
        </w:rPr>
      </w:pPr>
    </w:p>
    <w:p>
      <w:pPr>
        <w:ind w:firstLine="619"/>
        <w:spacing w:after="0" w:line="282" w:lineRule="auto"/>
        <w:tabs>
          <w:tab w:leader="none" w:pos="1132"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licenses, leases, or subleases granted to third Persons which do not interfere in any material respect with the business conducted by the Companies;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25</w:t>
      </w:r>
    </w:p>
    <w:p>
      <w:pPr>
        <w:sectPr>
          <w:pgSz w:w="11900" w:h="16838" w:orient="portrait"/>
          <w:cols w:equalWidth="0" w:num="1">
            <w:col w:w="10620"/>
          </w:cols>
          <w:pgMar w:left="940" w:top="1440" w:right="339" w:bottom="1440" w:gutter="0" w:footer="0" w:header="0"/>
        </w:sectPr>
      </w:pPr>
    </w:p>
    <w:bookmarkStart w:id="76" w:name="page77"/>
    <w:bookmarkEnd w:id="76"/>
    <w:p>
      <w:pPr>
        <w:spacing w:after="0" w:line="121" w:lineRule="exact"/>
        <w:rPr>
          <w:sz w:val="20"/>
          <w:szCs w:val="20"/>
          <w:color w:val="auto"/>
        </w:rPr>
      </w:pPr>
    </w:p>
    <w:p>
      <w:pPr>
        <w:jc w:val="both"/>
        <w:ind w:left="620" w:firstLine="619"/>
        <w:spacing w:after="0" w:line="259" w:lineRule="auto"/>
        <w:tabs>
          <w:tab w:leader="none" w:pos="1747"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Lien on any asset of any entity that becomes a Subsidiary of VRI, which Lien exists at the time such entity becomes a Subsidiary of VRI,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(i) any such Lien was not created in contemplation of such acquisition, merger, or consolidation, and (ii) any such Lien does not and shall not extend to any asset other than the assets secured immediately prior to the acquisition in formation of such Subsidiary;</w:t>
      </w:r>
    </w:p>
    <w:p>
      <w:pPr>
        <w:spacing w:after="0" w:line="164" w:lineRule="exact"/>
        <w:rPr>
          <w:rFonts w:ascii="Times New Roman" w:cs="Times New Roman" w:eastAsia="Times New Roman" w:hAnsi="Times New Roman"/>
          <w:sz w:val="19"/>
          <w:szCs w:val="19"/>
          <w:color w:val="auto"/>
        </w:rPr>
      </w:pPr>
    </w:p>
    <w:p>
      <w:pPr>
        <w:jc w:val="both"/>
        <w:ind w:left="620" w:firstLine="619"/>
        <w:spacing w:after="0" w:line="258" w:lineRule="auto"/>
        <w:tabs>
          <w:tab w:leader="none" w:pos="1733"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Water Rights, the provisions of the instruments evidencing such Water Rights and any matter affecting such Water Rights which does not affect the Companies’ rights to sufficient quantity and quality of water to conduct business as in effect on the date hereof or any expansion planned as of the date hereof (including, without limitation, any Lien of the Colorado Water Conservation Board, or its successors and assigns, on stock owned by any Company in a Colorado ditch and reservoir company formed in accordance with the Colorado Corporation Code, as amended);</w:t>
      </w:r>
    </w:p>
    <w:p>
      <w:pPr>
        <w:spacing w:after="0" w:line="164" w:lineRule="exact"/>
        <w:rPr>
          <w:rFonts w:ascii="Times New Roman" w:cs="Times New Roman" w:eastAsia="Times New Roman" w:hAnsi="Times New Roman"/>
          <w:sz w:val="19"/>
          <w:szCs w:val="19"/>
          <w:color w:val="auto"/>
        </w:rPr>
      </w:pPr>
    </w:p>
    <w:p>
      <w:pPr>
        <w:ind w:left="620" w:firstLine="619"/>
        <w:spacing w:after="0" w:line="282" w:lineRule="auto"/>
        <w:tabs>
          <w:tab w:leader="none" w:pos="1692"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the Forest Service Permits, the provisions of the instruments evidencing such permits and all rights of the U.S. and its agencies with respect thereto or with respect to the land affected thereby;</w:t>
      </w:r>
    </w:p>
    <w:p>
      <w:pPr>
        <w:spacing w:after="0" w:line="156" w:lineRule="exact"/>
        <w:rPr>
          <w:rFonts w:ascii="Times New Roman" w:cs="Times New Roman" w:eastAsia="Times New Roman" w:hAnsi="Times New Roman"/>
          <w:sz w:val="19"/>
          <w:szCs w:val="19"/>
          <w:color w:val="auto"/>
        </w:rPr>
      </w:pPr>
    </w:p>
    <w:p>
      <w:pPr>
        <w:jc w:val="both"/>
        <w:ind w:left="620" w:firstLine="619"/>
        <w:spacing w:after="0" w:line="261" w:lineRule="auto"/>
        <w:tabs>
          <w:tab w:leader="none" w:pos="1759"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cash accounts not to exceed $250,000 in the aggregate at the FirstBank of Vail established in connection with collateralizing a portion, if any, of certain second mortgage loans made by such bank, and guaranteed by Borrower, as part of the Vail Associates Home Mortgage Program for Borrower’s employees; and</w:t>
      </w:r>
    </w:p>
    <w:p>
      <w:pPr>
        <w:spacing w:after="0" w:line="156" w:lineRule="exact"/>
        <w:rPr>
          <w:rFonts w:ascii="Times New Roman" w:cs="Times New Roman" w:eastAsia="Times New Roman" w:hAnsi="Times New Roman"/>
          <w:sz w:val="19"/>
          <w:szCs w:val="19"/>
          <w:color w:val="auto"/>
        </w:rPr>
      </w:pPr>
    </w:p>
    <w:p>
      <w:pPr>
        <w:ind w:left="620" w:firstLine="619"/>
        <w:spacing w:after="0" w:line="289" w:lineRule="auto"/>
        <w:tabs>
          <w:tab w:leader="none" w:pos="1693"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assets of any Restricted Company organized outside the United States securing Debt permitted under </w:t>
      </w:r>
      <w:r>
        <w:rPr>
          <w:rFonts w:ascii="Times New Roman" w:cs="Times New Roman" w:eastAsia="Times New Roman" w:hAnsi="Times New Roman"/>
          <w:sz w:val="19"/>
          <w:szCs w:val="19"/>
          <w:b w:val="1"/>
          <w:bCs w:val="1"/>
          <w:i w:val="1"/>
          <w:iCs w:val="1"/>
          <w:color w:val="auto"/>
        </w:rPr>
        <w:t>clause (o)</w:t>
      </w:r>
      <w:r>
        <w:rPr>
          <w:rFonts w:ascii="Times New Roman" w:cs="Times New Roman" w:eastAsia="Times New Roman" w:hAnsi="Times New Roman"/>
          <w:sz w:val="19"/>
          <w:szCs w:val="19"/>
          <w:color w:val="auto"/>
        </w:rPr>
        <w:t xml:space="preserve"> of the definition of “</w:t>
      </w:r>
      <w:r>
        <w:rPr>
          <w:rFonts w:ascii="Times New Roman" w:cs="Times New Roman" w:eastAsia="Times New Roman" w:hAnsi="Times New Roman"/>
          <w:sz w:val="19"/>
          <w:szCs w:val="19"/>
          <w:b w:val="1"/>
          <w:bCs w:val="1"/>
          <w:i w:val="1"/>
          <w:iCs w:val="1"/>
          <w:color w:val="auto"/>
        </w:rPr>
        <w:t>Permitted Debt</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Permitted Recourse Obligations </w:t>
      </w:r>
      <w:r>
        <w:rPr>
          <w:rFonts w:ascii="Times New Roman" w:cs="Times New Roman" w:eastAsia="Times New Roman" w:hAnsi="Times New Roman"/>
          <w:sz w:val="19"/>
          <w:szCs w:val="19"/>
          <w:color w:val="auto"/>
        </w:rPr>
        <w:t>means, collectively, for any Restricted Company, obligations or liabilities arising with respect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Customary Recourse Exceptions, Completion Guaranties, and letters of credit or similar arrangements entered into in support of obligations of an Unrestricted Subsidiary with respect to its Real Estate Project.</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Person </w:t>
      </w:r>
      <w:r>
        <w:rPr>
          <w:rFonts w:ascii="Times New Roman" w:cs="Times New Roman" w:eastAsia="Times New Roman" w:hAnsi="Times New Roman"/>
          <w:sz w:val="19"/>
          <w:szCs w:val="19"/>
          <w:color w:val="auto"/>
        </w:rPr>
        <w:t>means any individual, partnership, joint venture, other entity, or Governmental Authority.</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Platform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9.1</w:t>
      </w:r>
    </w:p>
    <w:p>
      <w:pPr>
        <w:spacing w:after="0" w:line="206" w:lineRule="exact"/>
        <w:rPr>
          <w:sz w:val="20"/>
          <w:szCs w:val="20"/>
          <w:color w:val="auto"/>
        </w:rPr>
      </w:pPr>
    </w:p>
    <w:p>
      <w:pPr>
        <w:jc w:val="both"/>
        <w:ind w:firstLine="618"/>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Pledge Agreement </w:t>
      </w:r>
      <w:r>
        <w:rPr>
          <w:rFonts w:ascii="Times New Roman" w:cs="Times New Roman" w:eastAsia="Times New Roman" w:hAnsi="Times New Roman"/>
          <w:sz w:val="19"/>
          <w:szCs w:val="19"/>
          <w:color w:val="auto"/>
        </w:rPr>
        <w:t>means, a pledge agreement substantially in the form of</w:t>
      </w:r>
      <w:r>
        <w:rPr>
          <w:rFonts w:ascii="Times New Roman" w:cs="Times New Roman" w:eastAsia="Times New Roman" w:hAnsi="Times New Roman"/>
          <w:sz w:val="19"/>
          <w:szCs w:val="19"/>
          <w:b w:val="1"/>
          <w:bCs w:val="1"/>
          <w:i w:val="1"/>
          <w:iCs w:val="1"/>
          <w:color w:val="auto"/>
        </w:rPr>
        <w:t xml:space="preserve"> Exhibit F</w:t>
      </w:r>
      <w:r>
        <w:rPr>
          <w:rFonts w:ascii="Times New Roman" w:cs="Times New Roman" w:eastAsia="Times New Roman" w:hAnsi="Times New Roman"/>
          <w:sz w:val="19"/>
          <w:szCs w:val="19"/>
          <w:color w:val="auto"/>
        </w:rPr>
        <w:t>, executed and delivered by any Person pursuant to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requirements of the Loan Papers, and any amendment, modification, supplement, restatement, ratification, or reaffirmation of any Pledge Agreement made in accordance with the Loan Papers.</w:t>
      </w:r>
    </w:p>
    <w:p>
      <w:pPr>
        <w:spacing w:after="0" w:line="146"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Potential Default </w:t>
      </w:r>
      <w:r>
        <w:rPr>
          <w:rFonts w:ascii="Times New Roman" w:cs="Times New Roman" w:eastAsia="Times New Roman" w:hAnsi="Times New Roman"/>
          <w:sz w:val="19"/>
          <w:szCs w:val="19"/>
          <w:color w:val="auto"/>
        </w:rPr>
        <w:t>means the occurrence of any event or existence of any circumstance that would, upon notice or lapse of time or both,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become a Default.</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Principal Debt </w:t>
      </w:r>
      <w:r>
        <w:rPr>
          <w:rFonts w:ascii="Times New Roman" w:cs="Times New Roman" w:eastAsia="Times New Roman" w:hAnsi="Times New Roman"/>
          <w:sz w:val="19"/>
          <w:szCs w:val="19"/>
          <w:color w:val="auto"/>
        </w:rPr>
        <w:t>means, at any time, the sum of the Revolver Principal Debt and Term Loan Principal Debt.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Public Lender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9.1</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Purchase Price </w:t>
      </w:r>
      <w:r>
        <w:rPr>
          <w:rFonts w:ascii="Times New Roman" w:cs="Times New Roman" w:eastAsia="Times New Roman" w:hAnsi="Times New Roman"/>
          <w:sz w:val="19"/>
          <w:szCs w:val="19"/>
          <w:color w:val="auto"/>
        </w:rPr>
        <w:t>means, with respect to any acquisition or merger consummated in accordance with the provisions of</w:t>
      </w:r>
      <w:r>
        <w:rPr>
          <w:rFonts w:ascii="Times New Roman" w:cs="Times New Roman" w:eastAsia="Times New Roman" w:hAnsi="Times New Roman"/>
          <w:sz w:val="19"/>
          <w:szCs w:val="19"/>
          <w:b w:val="1"/>
          <w:bCs w:val="1"/>
          <w:i w:val="1"/>
          <w:iCs w:val="1"/>
          <w:color w:val="auto"/>
        </w:rPr>
        <w:t xml:space="preserve"> Section 10.11 </w:t>
      </w:r>
      <w:r>
        <w:rPr>
          <w:rFonts w:ascii="Times New Roman" w:cs="Times New Roman" w:eastAsia="Times New Roman" w:hAnsi="Times New Roman"/>
          <w:sz w:val="19"/>
          <w:szCs w:val="19"/>
          <w:color w:val="auto"/>
        </w:rPr>
        <w:t>herein,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all (a) direct and indirect cash payments, and (b) deferred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26</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cash payments determined by Borrower to be reasonably likely to be payable following the closing date of such acquisition or merger, which payments pursuant to </w:t>
      </w:r>
      <w:r>
        <w:rPr>
          <w:rFonts w:ascii="Times New Roman" w:cs="Times New Roman" w:eastAsia="Times New Roman" w:hAnsi="Times New Roman"/>
          <w:sz w:val="19"/>
          <w:szCs w:val="19"/>
          <w:b w:val="1"/>
          <w:bCs w:val="1"/>
          <w:i w:val="1"/>
          <w:iCs w:val="1"/>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herein are made to or for the benefit of the Person being acquired (or whose assets are being acquired), its shareholders, or its Affiliates in connection with such acquisition or merger, including, without limitation, the amount of any Debt being assumed in connection with such acquisition or merger (and subject to the limitations on Permitted Debt hereunder) or seller financing, and excluding, without limitation, payments to Affiliates of the Person being acquired (or whose assets are being acquired) for usual and customary transitional services or other operating services provided by such Affiliates of the Person being acquired (or whose assets are being acquired) pursuant to agreements that have been entered into in good faith by the parties thereto.</w:t>
      </w:r>
    </w:p>
    <w:p>
      <w:pPr>
        <w:spacing w:after="0" w:line="165"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Qualified ECP Guarantor </w:t>
      </w:r>
      <w:r>
        <w:rPr>
          <w:rFonts w:ascii="Times New Roman" w:cs="Times New Roman" w:eastAsia="Times New Roman" w:hAnsi="Times New Roman"/>
          <w:sz w:val="19"/>
          <w:szCs w:val="19"/>
          <w:color w:val="auto"/>
        </w:rPr>
        <w:t>means, in respect of any Swap Obligation, Borrower and each Guarantor with total assets exceeding $10,000,000</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at the time the relevant guaranty or grant of the relevant security interest became effective with respect to such Swap Obligation or that qualifies at such time as an “</w:t>
      </w:r>
      <w:r>
        <w:rPr>
          <w:rFonts w:ascii="Times New Roman" w:cs="Times New Roman" w:eastAsia="Times New Roman" w:hAnsi="Times New Roman"/>
          <w:sz w:val="19"/>
          <w:szCs w:val="19"/>
          <w:i w:val="1"/>
          <w:iCs w:val="1"/>
          <w:color w:val="auto"/>
        </w:rPr>
        <w:t>eligible contract participant</w:t>
      </w:r>
      <w:r>
        <w:rPr>
          <w:rFonts w:ascii="Times New Roman" w:cs="Times New Roman" w:eastAsia="Times New Roman" w:hAnsi="Times New Roman"/>
          <w:sz w:val="19"/>
          <w:szCs w:val="19"/>
          <w:color w:val="auto"/>
        </w:rPr>
        <w:t>” under the Commodity Exchange Act or any regulation promulgated thereunder and can cause another person to qualify as an “</w:t>
      </w:r>
      <w:r>
        <w:rPr>
          <w:rFonts w:ascii="Times New Roman" w:cs="Times New Roman" w:eastAsia="Times New Roman" w:hAnsi="Times New Roman"/>
          <w:sz w:val="19"/>
          <w:szCs w:val="19"/>
          <w:i w:val="1"/>
          <w:iCs w:val="1"/>
          <w:color w:val="auto"/>
        </w:rPr>
        <w:t>eligible contract participant</w:t>
      </w:r>
      <w:r>
        <w:rPr>
          <w:rFonts w:ascii="Times New Roman" w:cs="Times New Roman" w:eastAsia="Times New Roman" w:hAnsi="Times New Roman"/>
          <w:sz w:val="19"/>
          <w:szCs w:val="19"/>
          <w:color w:val="auto"/>
        </w:rPr>
        <w:t xml:space="preserve">” at such time by entering into a keepwell under </w:t>
      </w:r>
      <w:r>
        <w:rPr>
          <w:rFonts w:ascii="Times New Roman" w:cs="Times New Roman" w:eastAsia="Times New Roman" w:hAnsi="Times New Roman"/>
          <w:sz w:val="19"/>
          <w:szCs w:val="19"/>
          <w:i w:val="1"/>
          <w:iCs w:val="1"/>
          <w:color w:val="auto"/>
        </w:rPr>
        <w:t>§1a(18)(A)(v)(II)</w:t>
      </w:r>
      <w:r>
        <w:rPr>
          <w:rFonts w:ascii="Times New Roman" w:cs="Times New Roman" w:eastAsia="Times New Roman" w:hAnsi="Times New Roman"/>
          <w:sz w:val="19"/>
          <w:szCs w:val="19"/>
          <w:color w:val="auto"/>
        </w:rPr>
        <w:t xml:space="preserve"> of the Commodity Exchange Act.</w:t>
      </w:r>
    </w:p>
    <w:p>
      <w:pPr>
        <w:spacing w:after="0" w:line="160"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Quarterly Date </w:t>
      </w:r>
      <w:r>
        <w:rPr>
          <w:rFonts w:ascii="Times New Roman" w:cs="Times New Roman" w:eastAsia="Times New Roman" w:hAnsi="Times New Roman"/>
          <w:sz w:val="19"/>
          <w:szCs w:val="19"/>
          <w:color w:val="auto"/>
        </w:rPr>
        <w:t>means each January 31, April 30, July 31, and October 31;</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if any such Quarterly Date is not a Business Day,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the provisions of </w:t>
      </w:r>
      <w:r>
        <w:rPr>
          <w:rFonts w:ascii="Times New Roman" w:cs="Times New Roman" w:eastAsia="Times New Roman" w:hAnsi="Times New Roman"/>
          <w:sz w:val="19"/>
          <w:szCs w:val="19"/>
          <w:b w:val="1"/>
          <w:bCs w:val="1"/>
          <w:i w:val="1"/>
          <w:iCs w:val="1"/>
          <w:color w:val="auto"/>
        </w:rPr>
        <w:t>Section 15.2</w:t>
      </w:r>
      <w:r>
        <w:rPr>
          <w:rFonts w:ascii="Times New Roman" w:cs="Times New Roman" w:eastAsia="Times New Roman" w:hAnsi="Times New Roman"/>
          <w:sz w:val="19"/>
          <w:szCs w:val="19"/>
          <w:color w:val="auto"/>
        </w:rPr>
        <w:t xml:space="preserve"> shall apply to payments required on such day.</w:t>
      </w:r>
    </w:p>
    <w:p>
      <w:pPr>
        <w:spacing w:after="0" w:line="131"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Real Estate Project </w:t>
      </w:r>
      <w:r>
        <w:rPr>
          <w:rFonts w:ascii="Times New Roman" w:cs="Times New Roman" w:eastAsia="Times New Roman" w:hAnsi="Times New Roman"/>
          <w:sz w:val="19"/>
          <w:szCs w:val="19"/>
          <w:color w:val="auto"/>
        </w:rPr>
        <w:t>means the acquisition, development, and operation or resale of any real estate asset or group of related real estate assets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directly related activities) by any Unrestricted Subsidiary.</w:t>
      </w:r>
    </w:p>
    <w:p>
      <w:pPr>
        <w:spacing w:after="0" w:line="143"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Recipient </w:t>
      </w:r>
      <w:r>
        <w:rPr>
          <w:rFonts w:ascii="Times New Roman" w:cs="Times New Roman" w:eastAsia="Times New Roman" w:hAnsi="Times New Roman"/>
          <w:sz w:val="19"/>
          <w:szCs w:val="19"/>
          <w:color w:val="auto"/>
        </w:rPr>
        <w:t>means Administrative Agent, any Lender, any L/C Issuer or any other recipient of any payment to be made by or on account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any obligation of any Restricted Company hereunder.</w:t>
      </w:r>
    </w:p>
    <w:p>
      <w:pPr>
        <w:spacing w:after="0" w:line="156"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Related Parties </w:t>
      </w:r>
      <w:r>
        <w:rPr>
          <w:rFonts w:ascii="Times New Roman" w:cs="Times New Roman" w:eastAsia="Times New Roman" w:hAnsi="Times New Roman"/>
          <w:sz w:val="19"/>
          <w:szCs w:val="19"/>
          <w:color w:val="auto"/>
        </w:rPr>
        <w:t>means, with respect to any Person, such Person’s Affiliates and the partners, directors, officers, employees, agents, trustees,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advisors of such Person and of such Person’s Affiliates.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Representatives </w:t>
      </w:r>
      <w:r>
        <w:rPr>
          <w:rFonts w:ascii="Times New Roman" w:cs="Times New Roman" w:eastAsia="Times New Roman" w:hAnsi="Times New Roman"/>
          <w:sz w:val="19"/>
          <w:szCs w:val="19"/>
          <w:color w:val="auto"/>
        </w:rPr>
        <w:t>means representatives, officers, directors, employees, attorneys, and agents.</w:t>
      </w:r>
    </w:p>
    <w:p>
      <w:pPr>
        <w:spacing w:after="0" w:line="206"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Required Lenders </w:t>
      </w:r>
      <w:r>
        <w:rPr>
          <w:rFonts w:ascii="Times New Roman" w:cs="Times New Roman" w:eastAsia="Times New Roman" w:hAnsi="Times New Roman"/>
          <w:sz w:val="19"/>
          <w:szCs w:val="19"/>
          <w:color w:val="auto"/>
        </w:rPr>
        <w:t>means Lenders holding more than (a) 50% of the Total Commitment, prior to the termination of the Total Commitment,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 (b) 50% of the Principal Debt, after the termination of the Total Commitment (with the aggregate amount of each Revolver Lender’s risk participation and funded participation in L/Cs being deemed “</w:t>
      </w:r>
      <w:r>
        <w:rPr>
          <w:rFonts w:ascii="Times New Roman" w:cs="Times New Roman" w:eastAsia="Times New Roman" w:hAnsi="Times New Roman"/>
          <w:sz w:val="19"/>
          <w:szCs w:val="19"/>
          <w:i w:val="1"/>
          <w:iCs w:val="1"/>
          <w:color w:val="auto"/>
        </w:rPr>
        <w:t>held</w:t>
      </w:r>
      <w:r>
        <w:rPr>
          <w:rFonts w:ascii="Times New Roman" w:cs="Times New Roman" w:eastAsia="Times New Roman" w:hAnsi="Times New Roman"/>
          <w:sz w:val="19"/>
          <w:szCs w:val="19"/>
          <w:color w:val="auto"/>
        </w:rPr>
        <w:t xml:space="preserve">” by such Revolver Lender for purposes of this definition);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the Commitment of, and the portion of the Principal Debt held or deemed held by, any Defaulting Lender shall be excluded for purposes of making a determination of Required Lenders.</w:t>
      </w:r>
    </w:p>
    <w:p>
      <w:pPr>
        <w:spacing w:after="0" w:line="160"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Required Revolver Lenders </w:t>
      </w:r>
      <w:r>
        <w:rPr>
          <w:rFonts w:ascii="Times New Roman" w:cs="Times New Roman" w:eastAsia="Times New Roman" w:hAnsi="Times New Roman"/>
          <w:sz w:val="19"/>
          <w:szCs w:val="19"/>
          <w:color w:val="auto"/>
        </w:rPr>
        <w:t>means Revolver Lenders holding more than (a) 50% of the Revolver Commitment, prior to the termination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Revolver Commitment, or (b) 50% of the Revolver Principal Debt, after the termination of the Revolver Commitment (with the aggregate amount of each Revolver Lender’s risk participation and funded participation in L/Cs being deemed “</w:t>
      </w:r>
      <w:r>
        <w:rPr>
          <w:rFonts w:ascii="Times New Roman" w:cs="Times New Roman" w:eastAsia="Times New Roman" w:hAnsi="Times New Roman"/>
          <w:sz w:val="19"/>
          <w:szCs w:val="19"/>
          <w:i w:val="1"/>
          <w:iCs w:val="1"/>
          <w:color w:val="auto"/>
        </w:rPr>
        <w:t>held</w:t>
      </w:r>
      <w:r>
        <w:rPr>
          <w:rFonts w:ascii="Times New Roman" w:cs="Times New Roman" w:eastAsia="Times New Roman" w:hAnsi="Times New Roman"/>
          <w:sz w:val="19"/>
          <w:szCs w:val="19"/>
          <w:color w:val="auto"/>
        </w:rPr>
        <w:t xml:space="preserve">” by such Revolver Lender for purposes of this definition);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the Revolver Commitment of, and the portion of the Revolver Principal Debt held or deemed held by, any Defaulting Lender shall be excluded for purposes of making a determination of Required Revolver Lenders.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27</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15"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Required Term Loan Lenders </w:t>
      </w:r>
      <w:r>
        <w:rPr>
          <w:rFonts w:ascii="Times New Roman" w:cs="Times New Roman" w:eastAsia="Times New Roman" w:hAnsi="Times New Roman"/>
          <w:sz w:val="19"/>
          <w:szCs w:val="19"/>
          <w:color w:val="auto"/>
        </w:rPr>
        <w:t>means at least two (2) Term Loan Lenders holding more than 50% of the Term Loan Principal Debt;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 </w:t>
      </w:r>
      <w:r>
        <w:rPr>
          <w:rFonts w:ascii="Times New Roman" w:cs="Times New Roman" w:eastAsia="Times New Roman" w:hAnsi="Times New Roman"/>
          <w:sz w:val="19"/>
          <w:szCs w:val="19"/>
          <w:color w:val="auto"/>
        </w:rPr>
        <w:t>the Term Loan Commitment of, and the portion of the Term Loan Principal Debt held or deemed held by, any Defaulting Lender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 excluded for purposes of making a determination of Required Term Loan Lenders.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Rescindable Amount </w:t>
      </w:r>
      <w:r>
        <w:rPr>
          <w:rFonts w:ascii="Times New Roman" w:cs="Times New Roman" w:eastAsia="Times New Roman" w:hAnsi="Times New Roman"/>
          <w:sz w:val="19"/>
          <w:szCs w:val="19"/>
          <w:color w:val="auto"/>
        </w:rPr>
        <w:t>has the meaning as defined in</w:t>
      </w:r>
      <w:r>
        <w:rPr>
          <w:rFonts w:ascii="Times New Roman" w:cs="Times New Roman" w:eastAsia="Times New Roman" w:hAnsi="Times New Roman"/>
          <w:sz w:val="19"/>
          <w:szCs w:val="19"/>
          <w:b w:val="1"/>
          <w:bCs w:val="1"/>
          <w:i w:val="1"/>
          <w:iCs w:val="1"/>
          <w:color w:val="auto"/>
        </w:rPr>
        <w:t xml:space="preserve"> Section 2.2(d)</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Resolution Authority </w:t>
      </w:r>
      <w:r>
        <w:rPr>
          <w:rFonts w:ascii="Times New Roman" w:cs="Times New Roman" w:eastAsia="Times New Roman" w:hAnsi="Times New Roman"/>
          <w:sz w:val="19"/>
          <w:szCs w:val="19"/>
          <w:color w:val="auto"/>
        </w:rPr>
        <w:t>means an EEA Resolution Authority or, with respect to any UK Financial Institution, a UK Resolution Authority.</w:t>
      </w:r>
    </w:p>
    <w:p>
      <w:pPr>
        <w:spacing w:after="0" w:line="219"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Responsible Officer </w:t>
      </w:r>
      <w:r>
        <w:rPr>
          <w:rFonts w:ascii="Times New Roman" w:cs="Times New Roman" w:eastAsia="Times New Roman" w:hAnsi="Times New Roman"/>
          <w:sz w:val="19"/>
          <w:szCs w:val="19"/>
          <w:color w:val="auto"/>
        </w:rPr>
        <w:t>means (a) the Chairman, President, Chief Executive Officer, Chief Financial Officer or Executive Vice President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Chief Financial Officer, Executive Vice President, General Counsel and Secretary, or Senior Vice President, Controller and Chief Accounting Officer of Borrower (including any person holding any such position on an interim basis), (b) solely for purposes of the delivery of Loan Notices or L/C Agreements pursuant to </w:t>
      </w:r>
      <w:r>
        <w:rPr>
          <w:rFonts w:ascii="Times New Roman" w:cs="Times New Roman" w:eastAsia="Times New Roman" w:hAnsi="Times New Roman"/>
          <w:sz w:val="19"/>
          <w:szCs w:val="19"/>
          <w:b w:val="1"/>
          <w:bCs w:val="1"/>
          <w:i w:val="1"/>
          <w:iCs w:val="1"/>
          <w:color w:val="auto"/>
        </w:rPr>
        <w:t>Section 2</w:t>
      </w:r>
      <w:r>
        <w:rPr>
          <w:rFonts w:ascii="Times New Roman" w:cs="Times New Roman" w:eastAsia="Times New Roman" w:hAnsi="Times New Roman"/>
          <w:sz w:val="19"/>
          <w:szCs w:val="19"/>
          <w:color w:val="auto"/>
        </w:rPr>
        <w:t xml:space="preserve">, any officer of Borrower so designated by any officer referenced in </w:t>
      </w:r>
      <w:r>
        <w:rPr>
          <w:rFonts w:ascii="Times New Roman" w:cs="Times New Roman" w:eastAsia="Times New Roman" w:hAnsi="Times New Roman"/>
          <w:sz w:val="19"/>
          <w:szCs w:val="19"/>
          <w:b w:val="1"/>
          <w:bCs w:val="1"/>
          <w:i w:val="1"/>
          <w:iCs w:val="1"/>
          <w:color w:val="auto"/>
        </w:rPr>
        <w:t>clause (a)</w:t>
      </w:r>
      <w:r>
        <w:rPr>
          <w:rFonts w:ascii="Times New Roman" w:cs="Times New Roman" w:eastAsia="Times New Roman" w:hAnsi="Times New Roman"/>
          <w:sz w:val="19"/>
          <w:szCs w:val="19"/>
          <w:color w:val="auto"/>
        </w:rPr>
        <w:t xml:space="preserve"> above in a notice to Administrative Agent, and (c) solely for purposes of the delivery of any incumbency certificates, any Secretary or Assistant Secretary of the applicable Restricted Company.</w:t>
      </w:r>
    </w:p>
    <w:p>
      <w:pPr>
        <w:spacing w:after="0" w:line="178"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Restricted Companies </w:t>
      </w:r>
      <w:r>
        <w:rPr>
          <w:rFonts w:ascii="Times New Roman" w:cs="Times New Roman" w:eastAsia="Times New Roman" w:hAnsi="Times New Roman"/>
          <w:sz w:val="19"/>
          <w:szCs w:val="19"/>
          <w:color w:val="auto"/>
        </w:rPr>
        <w:t>means VRI and all of VRI’s Restricted Subsidiaries; and</w:t>
      </w:r>
      <w:r>
        <w:rPr>
          <w:rFonts w:ascii="Times New Roman" w:cs="Times New Roman" w:eastAsia="Times New Roman" w:hAnsi="Times New Roman"/>
          <w:sz w:val="19"/>
          <w:szCs w:val="19"/>
          <w:b w:val="1"/>
          <w:bCs w:val="1"/>
          <w:i w:val="1"/>
          <w:iCs w:val="1"/>
          <w:color w:val="auto"/>
        </w:rPr>
        <w:t xml:space="preserve"> Restricted Company </w:t>
      </w:r>
      <w:r>
        <w:rPr>
          <w:rFonts w:ascii="Times New Roman" w:cs="Times New Roman" w:eastAsia="Times New Roman" w:hAnsi="Times New Roman"/>
          <w:sz w:val="19"/>
          <w:szCs w:val="19"/>
          <w:color w:val="auto"/>
        </w:rPr>
        <w:t>means any of the Restricted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Companies.</w:t>
      </w:r>
    </w:p>
    <w:p>
      <w:pPr>
        <w:spacing w:after="0" w:line="156"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Restricted Subsidiaries </w:t>
      </w:r>
      <w:r>
        <w:rPr>
          <w:rFonts w:ascii="Times New Roman" w:cs="Times New Roman" w:eastAsia="Times New Roman" w:hAnsi="Times New Roman"/>
          <w:sz w:val="19"/>
          <w:szCs w:val="19"/>
          <w:color w:val="auto"/>
        </w:rPr>
        <w:t>means (a) Gillett, (b) Borrower and (c) all of Borrower’s Subsidiaries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Unrestricted Subsidiaries); and</w:t>
      </w:r>
      <w:r>
        <w:rPr>
          <w:rFonts w:ascii="Times New Roman" w:cs="Times New Roman" w:eastAsia="Times New Roman" w:hAnsi="Times New Roman"/>
          <w:sz w:val="19"/>
          <w:szCs w:val="19"/>
          <w:b w:val="1"/>
          <w:bCs w:val="1"/>
          <w:i w:val="1"/>
          <w:iCs w:val="1"/>
          <w:color w:val="auto"/>
        </w:rPr>
        <w:t xml:space="preserve"> Restricted Subsidiary </w:t>
      </w:r>
      <w:r>
        <w:rPr>
          <w:rFonts w:ascii="Times New Roman" w:cs="Times New Roman" w:eastAsia="Times New Roman" w:hAnsi="Times New Roman"/>
          <w:sz w:val="19"/>
          <w:szCs w:val="19"/>
          <w:color w:val="auto"/>
        </w:rPr>
        <w:t>means any of the Restricted Subsidiaries.</w:t>
      </w:r>
    </w:p>
    <w:p>
      <w:pPr>
        <w:spacing w:after="0" w:line="156"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Revaluation Date </w:t>
      </w:r>
      <w:r>
        <w:rPr>
          <w:rFonts w:ascii="Times New Roman" w:cs="Times New Roman" w:eastAsia="Times New Roman" w:hAnsi="Times New Roman"/>
          <w:sz w:val="19"/>
          <w:szCs w:val="19"/>
          <w:color w:val="auto"/>
        </w:rPr>
        <w:t>means (a) with respect to any L/C, each of the following: (i) each date of issuance, amendment and/or extension of a L/C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denominated in the Alternative Currency, (ii) each date of any payment by the Australian L/C Issuer under any L/C denominated in the Alternative Currency, and (iii) such additional dates as Administrative Agent or the Australian L/C Issuer shall determine or the Required Revolver Lenders shall require, and (b) with respect to any Term Loan, each of the following: (i) each date of a borrowing of a Term Reference Rate Loan denominated in an Alternative Currency, (ii) each date of a continuation of a Term Reference Rate Loan denominated in an Alternative Currency pursuant to </w:t>
      </w:r>
      <w:r>
        <w:rPr>
          <w:rFonts w:ascii="Times New Roman" w:cs="Times New Roman" w:eastAsia="Times New Roman" w:hAnsi="Times New Roman"/>
          <w:sz w:val="19"/>
          <w:szCs w:val="19"/>
          <w:b w:val="1"/>
          <w:bCs w:val="1"/>
          <w:i w:val="1"/>
          <w:iCs w:val="1"/>
          <w:color w:val="auto"/>
        </w:rPr>
        <w:t>Section 2.2</w:t>
      </w:r>
      <w:r>
        <w:rPr>
          <w:rFonts w:ascii="Times New Roman" w:cs="Times New Roman" w:eastAsia="Times New Roman" w:hAnsi="Times New Roman"/>
          <w:sz w:val="19"/>
          <w:szCs w:val="19"/>
          <w:color w:val="auto"/>
        </w:rPr>
        <w:t>, and (iii) such additional dates as Administrative Agent shall determine or the Required Lenders shall require.</w:t>
      </w:r>
    </w:p>
    <w:p>
      <w:pPr>
        <w:spacing w:after="0" w:line="165"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Revolver Commitment </w:t>
      </w:r>
      <w:r>
        <w:rPr>
          <w:rFonts w:ascii="Times New Roman" w:cs="Times New Roman" w:eastAsia="Times New Roman" w:hAnsi="Times New Roman"/>
          <w:sz w:val="19"/>
          <w:szCs w:val="19"/>
          <w:color w:val="auto"/>
        </w:rPr>
        <w:t>means, as to each Revolver Lender, its obligation to (a) make Revolver Loans to Borrower pursuant to</w:t>
      </w:r>
      <w:r>
        <w:rPr>
          <w:rFonts w:ascii="Times New Roman" w:cs="Times New Roman" w:eastAsia="Times New Roman" w:hAnsi="Times New Roman"/>
          <w:sz w:val="19"/>
          <w:szCs w:val="19"/>
          <w:b w:val="1"/>
          <w:bCs w:val="1"/>
          <w:i w:val="1"/>
          <w:iCs w:val="1"/>
          <w:color w:val="auto"/>
        </w:rPr>
        <w:t xml:space="preserve"> Section 2.1</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and (b) purchase participations in the L/C Exposure, in an aggregate principal amount at any one time outstanding not to exceed the amount set forth opposite such Revolver Lender’s name on </w:t>
      </w:r>
      <w:r>
        <w:rPr>
          <w:rFonts w:ascii="Times New Roman" w:cs="Times New Roman" w:eastAsia="Times New Roman" w:hAnsi="Times New Roman"/>
          <w:sz w:val="19"/>
          <w:szCs w:val="19"/>
          <w:b w:val="1"/>
          <w:bCs w:val="1"/>
          <w:i w:val="1"/>
          <w:iCs w:val="1"/>
          <w:color w:val="auto"/>
        </w:rPr>
        <w:t>Schedule 1</w:t>
      </w:r>
      <w:r>
        <w:rPr>
          <w:rFonts w:ascii="Times New Roman" w:cs="Times New Roman" w:eastAsia="Times New Roman" w:hAnsi="Times New Roman"/>
          <w:sz w:val="19"/>
          <w:szCs w:val="19"/>
          <w:color w:val="auto"/>
        </w:rPr>
        <w:t xml:space="preserve"> under the caption “</w:t>
      </w:r>
      <w:r>
        <w:rPr>
          <w:rFonts w:ascii="Times New Roman" w:cs="Times New Roman" w:eastAsia="Times New Roman" w:hAnsi="Times New Roman"/>
          <w:sz w:val="19"/>
          <w:szCs w:val="19"/>
          <w:i w:val="1"/>
          <w:iCs w:val="1"/>
          <w:color w:val="auto"/>
        </w:rPr>
        <w:t>Revolver Commitment</w:t>
      </w:r>
      <w:r>
        <w:rPr>
          <w:rFonts w:ascii="Times New Roman" w:cs="Times New Roman" w:eastAsia="Times New Roman" w:hAnsi="Times New Roman"/>
          <w:sz w:val="19"/>
          <w:szCs w:val="19"/>
          <w:color w:val="auto"/>
        </w:rPr>
        <w:t>” or opposite such caption in the Assignment and Assumption pursuant to which such Revolver Lender becomes a party hereto, as applicable (which amount is subject to increase, reduction, or cancellation in accordance with the Loan Papers).</w:t>
      </w:r>
    </w:p>
    <w:p>
      <w:pPr>
        <w:spacing w:after="0" w:line="160"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Revolver Commitment Usage </w:t>
      </w:r>
      <w:r>
        <w:rPr>
          <w:rFonts w:ascii="Times New Roman" w:cs="Times New Roman" w:eastAsia="Times New Roman" w:hAnsi="Times New Roman"/>
          <w:sz w:val="19"/>
          <w:szCs w:val="19"/>
          <w:color w:val="auto"/>
        </w:rPr>
        <w:t>means, at the time of any determination thereof,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sum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(a) the aggregate Outstanding Amount of all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Revolver Loans,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without duplication</w:t>
      </w:r>
      <w:r>
        <w:rPr>
          <w:rFonts w:ascii="Times New Roman" w:cs="Times New Roman" w:eastAsia="Times New Roman" w:hAnsi="Times New Roman"/>
          <w:sz w:val="19"/>
          <w:szCs w:val="19"/>
          <w:color w:val="auto"/>
        </w:rPr>
        <w:t>, (b) the L/C Exposure.</w:t>
      </w:r>
    </w:p>
    <w:p>
      <w:pPr>
        <w:spacing w:after="0" w:line="143"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Revolver Facility </w:t>
      </w:r>
      <w:r>
        <w:rPr>
          <w:rFonts w:ascii="Times New Roman" w:cs="Times New Roman" w:eastAsia="Times New Roman" w:hAnsi="Times New Roman"/>
          <w:sz w:val="19"/>
          <w:szCs w:val="19"/>
          <w:color w:val="auto"/>
        </w:rPr>
        <w:t>means the credit facility as described in and subject to the limitations set forth in</w:t>
      </w:r>
      <w:r>
        <w:rPr>
          <w:rFonts w:ascii="Times New Roman" w:cs="Times New Roman" w:eastAsia="Times New Roman" w:hAnsi="Times New Roman"/>
          <w:sz w:val="19"/>
          <w:szCs w:val="19"/>
          <w:b w:val="1"/>
          <w:bCs w:val="1"/>
          <w:i w:val="1"/>
          <w:iCs w:val="1"/>
          <w:color w:val="auto"/>
        </w:rPr>
        <w:t xml:space="preserve"> Section 2.1(a) </w:t>
      </w:r>
      <w:r>
        <w:rPr>
          <w:rFonts w:ascii="Times New Roman" w:cs="Times New Roman" w:eastAsia="Times New Roman" w:hAnsi="Times New Roman"/>
          <w:sz w:val="19"/>
          <w:szCs w:val="19"/>
          <w:color w:val="auto"/>
        </w:rPr>
        <w:t>hereof, including the L/C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Subfacility.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28</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16"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Revolver Lenders </w:t>
      </w:r>
      <w:r>
        <w:rPr>
          <w:rFonts w:ascii="Times New Roman" w:cs="Times New Roman" w:eastAsia="Times New Roman" w:hAnsi="Times New Roman"/>
          <w:sz w:val="19"/>
          <w:szCs w:val="19"/>
          <w:color w:val="auto"/>
        </w:rPr>
        <w:t>means, collectively, on any date of determination, Lenders having a Revolver Commitment under the Revolver Facility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that are owed Revolver Principal Debt, and </w:t>
      </w:r>
      <w:r>
        <w:rPr>
          <w:rFonts w:ascii="Times New Roman" w:cs="Times New Roman" w:eastAsia="Times New Roman" w:hAnsi="Times New Roman"/>
          <w:sz w:val="19"/>
          <w:szCs w:val="19"/>
          <w:b w:val="1"/>
          <w:bCs w:val="1"/>
          <w:i w:val="1"/>
          <w:iCs w:val="1"/>
          <w:color w:val="auto"/>
        </w:rPr>
        <w:t>Revolver Lender</w:t>
      </w:r>
      <w:r>
        <w:rPr>
          <w:rFonts w:ascii="Times New Roman" w:cs="Times New Roman" w:eastAsia="Times New Roman" w:hAnsi="Times New Roman"/>
          <w:sz w:val="19"/>
          <w:szCs w:val="19"/>
          <w:color w:val="auto"/>
        </w:rPr>
        <w:t xml:space="preserve"> means any one of the Revolver Lenders.</w:t>
      </w:r>
    </w:p>
    <w:p>
      <w:pPr>
        <w:spacing w:after="0" w:line="131"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Revolver Loan </w:t>
      </w:r>
      <w:r>
        <w:rPr>
          <w:rFonts w:ascii="Times New Roman" w:cs="Times New Roman" w:eastAsia="Times New Roman" w:hAnsi="Times New Roman"/>
          <w:sz w:val="19"/>
          <w:szCs w:val="19"/>
          <w:color w:val="auto"/>
        </w:rPr>
        <w:t>means any Loan made under the Revolver Facility,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 L/C Borrowing. All Revolver Loans shall be denominated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Dollars.</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Revolver Note </w:t>
      </w:r>
      <w:r>
        <w:rPr>
          <w:rFonts w:ascii="Times New Roman" w:cs="Times New Roman" w:eastAsia="Times New Roman" w:hAnsi="Times New Roman"/>
          <w:sz w:val="19"/>
          <w:szCs w:val="19"/>
          <w:color w:val="auto"/>
        </w:rPr>
        <w:t>means a promissory note in substantially the form of</w:t>
      </w:r>
      <w:r>
        <w:rPr>
          <w:rFonts w:ascii="Times New Roman" w:cs="Times New Roman" w:eastAsia="Times New Roman" w:hAnsi="Times New Roman"/>
          <w:sz w:val="19"/>
          <w:szCs w:val="19"/>
          <w:b w:val="1"/>
          <w:bCs w:val="1"/>
          <w:i w:val="1"/>
          <w:iCs w:val="1"/>
          <w:color w:val="auto"/>
        </w:rPr>
        <w:t xml:space="preserve"> Exhibit A-1</w:t>
      </w:r>
      <w:r>
        <w:rPr>
          <w:rFonts w:ascii="Times New Roman" w:cs="Times New Roman" w:eastAsia="Times New Roman" w:hAnsi="Times New Roman"/>
          <w:sz w:val="19"/>
          <w:szCs w:val="19"/>
          <w:color w:val="auto"/>
        </w:rPr>
        <w:t>, and all renewals and extensions of all or any part thereof.</w:t>
      </w:r>
    </w:p>
    <w:p>
      <w:pPr>
        <w:spacing w:after="0" w:line="219"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Revolver Principal Debt </w:t>
      </w:r>
      <w:r>
        <w:rPr>
          <w:rFonts w:ascii="Times New Roman" w:cs="Times New Roman" w:eastAsia="Times New Roman" w:hAnsi="Times New Roman"/>
          <w:sz w:val="19"/>
          <w:szCs w:val="19"/>
          <w:color w:val="auto"/>
        </w:rPr>
        <w:t>means, at any time, the aggregate unpaid principal balance of all Revolver Loans, together with the aggregate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unpaid reimbursement obligations of Borrower in respect of drawings under any L/C (including, without limitation, any L/C Borrowing).</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Rights </w:t>
      </w:r>
      <w:r>
        <w:rPr>
          <w:rFonts w:ascii="Times New Roman" w:cs="Times New Roman" w:eastAsia="Times New Roman" w:hAnsi="Times New Roman"/>
          <w:sz w:val="19"/>
          <w:szCs w:val="19"/>
          <w:color w:val="auto"/>
        </w:rPr>
        <w:t>means rights, remedies, powers, privileges, and benefits.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S&amp;P </w:t>
      </w:r>
      <w:r>
        <w:rPr>
          <w:rFonts w:ascii="Times New Roman" w:cs="Times New Roman" w:eastAsia="Times New Roman" w:hAnsi="Times New Roman"/>
          <w:sz w:val="19"/>
          <w:szCs w:val="19"/>
          <w:color w:val="auto"/>
        </w:rPr>
        <w:t>means Standard &amp; Poor’s Ratings Group (a division of The McGraw Hill Companies, Inc.).</w:t>
      </w:r>
    </w:p>
    <w:p>
      <w:pPr>
        <w:spacing w:after="0" w:line="206"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Same Day Funds </w:t>
      </w:r>
      <w:r>
        <w:rPr>
          <w:rFonts w:ascii="Times New Roman" w:cs="Times New Roman" w:eastAsia="Times New Roman" w:hAnsi="Times New Roman"/>
          <w:sz w:val="19"/>
          <w:szCs w:val="19"/>
          <w:color w:val="auto"/>
        </w:rPr>
        <w:t>means (a) with respect to disbursements and payments in Dollars, immediately available funds, and (b) with respect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disbursements and payments in an Alternative Currency, same day or other funds as may be determined by Administrative Agent or the L/C Issuer, as the case may be, to be customary in the place of disbursement or payment for the settlement of international banking transactions in the relevant Alternative Currency.</w:t>
      </w:r>
    </w:p>
    <w:p>
      <w:pPr>
        <w:spacing w:after="0" w:line="170"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Sanction </w:t>
      </w:r>
      <w:r>
        <w:rPr>
          <w:rFonts w:ascii="Times New Roman" w:cs="Times New Roman" w:eastAsia="Times New Roman" w:hAnsi="Times New Roman"/>
          <w:sz w:val="19"/>
          <w:szCs w:val="19"/>
          <w:color w:val="auto"/>
        </w:rPr>
        <w:t>means any international economic sanction administered or enforced by a United States Governmental Authority (including,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without limitation, OFAC), a Canadian Governmental Authority, an Australian Governmental Authority, the United Nations Security Council, the European Union, His Majesty’s Treasury (“</w:t>
      </w:r>
      <w:r>
        <w:rPr>
          <w:rFonts w:ascii="Times New Roman" w:cs="Times New Roman" w:eastAsia="Times New Roman" w:hAnsi="Times New Roman"/>
          <w:sz w:val="19"/>
          <w:szCs w:val="19"/>
          <w:b w:val="1"/>
          <w:bCs w:val="1"/>
          <w:i w:val="1"/>
          <w:iCs w:val="1"/>
          <w:color w:val="auto"/>
        </w:rPr>
        <w:t>HMT</w:t>
      </w:r>
      <w:r>
        <w:rPr>
          <w:rFonts w:ascii="Times New Roman" w:cs="Times New Roman" w:eastAsia="Times New Roman" w:hAnsi="Times New Roman"/>
          <w:sz w:val="19"/>
          <w:szCs w:val="19"/>
          <w:color w:val="auto"/>
        </w:rPr>
        <w:t>”), the Hong Kong Monetary Authority or other relevant sanctions authority.</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Scheduled Unavailability Date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4.3</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Section 10.9 Capital Lease Obligation </w:t>
      </w:r>
      <w:r>
        <w:rPr>
          <w:rFonts w:ascii="Times New Roman" w:cs="Times New Roman" w:eastAsia="Times New Roman" w:hAnsi="Times New Roman"/>
          <w:sz w:val="19"/>
          <w:szCs w:val="19"/>
          <w:color w:val="auto"/>
        </w:rPr>
        <w:t>means, at the time any determination thereof is to be made, the amount of the liability in respect of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capital lease that would at such time be required to be capitalized on a balance sheet in accordance with GAAP.</w:t>
      </w:r>
    </w:p>
    <w:p>
      <w:pPr>
        <w:spacing w:after="0" w:line="131"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Section 10.9 Capital Stock </w:t>
      </w:r>
      <w:r>
        <w:rPr>
          <w:rFonts w:ascii="Times New Roman" w:cs="Times New Roman" w:eastAsia="Times New Roman" w:hAnsi="Times New Roman"/>
          <w:sz w:val="19"/>
          <w:szCs w:val="19"/>
          <w:color w:val="auto"/>
        </w:rPr>
        <w:t>means (a) in the case of a corporation, corporate stock, (b) in the case of an association or business entity,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all shares, interests, participations, rights or other equivalents (however designated) of corporate stock, (c) in the case of a partnership or limited liability company, partnership or membership interests (whether general or limited) and (d) any other interest or participation that confers on a Person the right to receive a share of the profits and losses of, or distributions of assets of, the issuing Person.</w:t>
      </w:r>
    </w:p>
    <w:p>
      <w:pPr>
        <w:spacing w:after="0" w:line="170"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Section 10.9 Guarantee </w:t>
      </w:r>
      <w:r>
        <w:rPr>
          <w:rFonts w:ascii="Times New Roman" w:cs="Times New Roman" w:eastAsia="Times New Roman" w:hAnsi="Times New Roman"/>
          <w:sz w:val="19"/>
          <w:szCs w:val="19"/>
          <w:color w:val="auto"/>
        </w:rPr>
        <w:t>means a guarantee (other than by endorsement of negotiable instruments for collection in the ordinary course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business), direct or indirect, in any manner (including, without limitation, letters of credit and reimbursement agreements in respect thereof), of all or any part of any Section 10.9 Indebtedness.</w:t>
      </w:r>
    </w:p>
    <w:p>
      <w:pPr>
        <w:spacing w:after="0" w:line="155"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Section 10.9 Hedging Obligations </w:t>
      </w:r>
      <w:r>
        <w:rPr>
          <w:rFonts w:ascii="Times New Roman" w:cs="Times New Roman" w:eastAsia="Times New Roman" w:hAnsi="Times New Roman"/>
          <w:sz w:val="19"/>
          <w:szCs w:val="19"/>
          <w:color w:val="auto"/>
        </w:rPr>
        <w:t>means, with respect to any Person, the obligations of such Person under (a) currency exchange or interest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rate swap, cap or collar agreements and (b) other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29</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agreements or arrangements designed to protect such Person against fluctuations in currency exchange or interest rates.</w:t>
      </w:r>
    </w:p>
    <w:p>
      <w:pPr>
        <w:spacing w:after="0" w:line="213"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Section 10.9 Indebtedness </w:t>
      </w:r>
      <w:r>
        <w:rPr>
          <w:rFonts w:ascii="Times New Roman" w:cs="Times New Roman" w:eastAsia="Times New Roman" w:hAnsi="Times New Roman"/>
          <w:sz w:val="18"/>
          <w:szCs w:val="18"/>
          <w:color w:val="auto"/>
        </w:rPr>
        <w:t>means, with respect to any Person, without duplication, (a) any indebtedness of such Person, whether or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contingent, in respect of borrowed money or evidenced by bonds, notes, debentures or similar instruments or letters of credit (or reimbursement agreements in respect thereof) or bankers’ acceptances or representing Section 10.9 Capital Lease Obligations or the balance deferred and unpaid of the purchase price of any property (which purchase price is due more than one year after taking title to such property) or services or representing any Section 10.9 Hedging Obligations, except any such balance that constitutes an accrued expense or trade payable, if and to the extent any of the foregoing indebtedness (other than letters of credit and Section 10.9 Hedging Obligations) would appear as a liability upon a balance sheet of such Person prepared in accordance with GAAP; (b) all indebtedness of others secured by a Lien on any asset of such Person (whether or not such indebtedness is assumed by such Person the amount of such obligation, to the extent it is without recourse to such Person, being deemed to be the lesser of the value of such property or assets or the amount of the obligation so secured); (c) to the extent not otherwise included, the Section 10.9 Guarantee by such Person of any Section 10.9 Indebtedness of any other Person;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the amount outstanding at any time of any Section 10.9 Indebtedness issued with original issue discount is the face amount of such indebtedness less the remaining unamortized portion of the original issue discount of such Section 10.9 Indebtedness at such time as determined in conformity with GAAP; (ii) Section 10.9 Indebtedness shall not include any liability for federal, state, local or other taxes; and (iii) obligations of VRI or any Restricted Subsidiary with respect to Permitted Recourse Obligations shall not constitute Section 10.9 Indebtedness unless and until an event or circumstance occurs that triggers VRI’s or a Restricted Subsidiary’s direct payment liability or reimbursement obligation (as opposed to contingent or performance obligations) to the lender or other party to whom such Permitted Recourse Obligation is actually owed, in which case the amount of such direct payment liability to such lender or other party shall constitute Section 10.9 Indebtedness; and (d) with respect to any Restricted Subsidiary of VRI, Section 10.9 Preferred Stock of such Person (in an amount equal to the greater of (x) the sum of all obligations of such Person with respect to redemption, repayment or repurchase thereof and (y) the book value of such Section 10.9 Preferred Stock as reflected on the most recent financial statements of such Person).</w:t>
      </w:r>
    </w:p>
    <w:p>
      <w:pPr>
        <w:spacing w:after="0" w:line="181"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Section 10.9 Net Income </w:t>
      </w:r>
      <w:r>
        <w:rPr>
          <w:rFonts w:ascii="Times New Roman" w:cs="Times New Roman" w:eastAsia="Times New Roman" w:hAnsi="Times New Roman"/>
          <w:sz w:val="19"/>
          <w:szCs w:val="19"/>
          <w:color w:val="auto"/>
        </w:rPr>
        <w:t>means, with respect to any Person, the net income (or loss) of such Person, determined in accordance with GAAP</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before any reduction in respect of Section 10.9 Preferred Stock dividends, excluding, however, (a) any gain (or loss), together with any related provision for taxes on such gain (or loss), realized in connection with (i) any disposition of assets (including, without limitation, dispositions pursuant to Section 10.9 Sale and Leaseback Transactions) or (ii) the disposition of any securities by such Person or any of its Subsidiaries or the extinguishment of any Section 10.9 Indebtedness of such Person or any of its Subsidiaries and (b) any extraordinary or nonrecurring gain or income (or loss, expense or charge), together with any related provision for taxes on such extraordinary or nonrecurring gain or income (or loss, expense or charge).</w:t>
      </w:r>
    </w:p>
    <w:p>
      <w:pPr>
        <w:spacing w:after="0" w:line="178"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Section 10.9 Preferred Stock </w:t>
      </w:r>
      <w:r>
        <w:rPr>
          <w:rFonts w:ascii="Times New Roman" w:cs="Times New Roman" w:eastAsia="Times New Roman" w:hAnsi="Times New Roman"/>
          <w:sz w:val="19"/>
          <w:szCs w:val="19"/>
          <w:color w:val="auto"/>
        </w:rPr>
        <w:t>of any Person means Section 10.9 Capital Stock of such Person of any class or classes (however designated)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ranks prior, as to the payment of dividends or as to the distribution of assets upon any voluntary or involuntary liquidation, dissolution or winding up of such Person, to shares of Section 10.9 Capital Stock of any other class of such Person.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30</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16"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Section 10.9 Sale and Leaseback Transaction </w:t>
      </w:r>
      <w:r>
        <w:rPr>
          <w:rFonts w:ascii="Times New Roman" w:cs="Times New Roman" w:eastAsia="Times New Roman" w:hAnsi="Times New Roman"/>
          <w:sz w:val="19"/>
          <w:szCs w:val="19"/>
          <w:color w:val="auto"/>
        </w:rPr>
        <w:t>means an arrangement relating to property now owned or hereafter acquired whereby VRI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 Restricted Subsidiary transfers such property to a Person and VRI or a Restricted Subsidiary leases it from such Person.</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Secured Debt </w:t>
      </w:r>
      <w:r>
        <w:rPr>
          <w:rFonts w:ascii="Times New Roman" w:cs="Times New Roman" w:eastAsia="Times New Roman" w:hAnsi="Times New Roman"/>
          <w:sz w:val="19"/>
          <w:szCs w:val="19"/>
          <w:color w:val="auto"/>
        </w:rPr>
        <w:t>means Debt of a Restricted Company that is secured by the Collateral on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basis.</w:t>
      </w:r>
    </w:p>
    <w:p>
      <w:pPr>
        <w:spacing w:after="0" w:line="219"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Securities Laws </w:t>
      </w:r>
      <w:r>
        <w:rPr>
          <w:rFonts w:ascii="Times New Roman" w:cs="Times New Roman" w:eastAsia="Times New Roman" w:hAnsi="Times New Roman"/>
          <w:sz w:val="19"/>
          <w:szCs w:val="19"/>
          <w:color w:val="auto"/>
        </w:rPr>
        <w:t>means the Securities Act of 1933, the Securities Exchange Act of 1934, and the applicable accounting and auditing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principles, rules, standards, and practices promulgated, approved, or incorporated by the Securities and Exchange Commission, or any Governmental Authority succeeding to any of its principal functions, or the Public Company Accounting Oversight Board, as each of the foregoing may be amended and in effect on any applicable date hereunder.</w:t>
      </w:r>
    </w:p>
    <w:p>
      <w:pPr>
        <w:spacing w:after="0" w:line="157"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Security Documents </w:t>
      </w:r>
      <w:r>
        <w:rPr>
          <w:rFonts w:ascii="Times New Roman" w:cs="Times New Roman" w:eastAsia="Times New Roman" w:hAnsi="Times New Roman"/>
          <w:sz w:val="19"/>
          <w:szCs w:val="19"/>
          <w:color w:val="auto"/>
        </w:rPr>
        <w:t>means, collectively, (a) each Pledge Agreement, any security agreement, mortgage, deed of trust, control agreement,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other agreement or document, together with all related financing statements and stock powers, in form and substance reasonably satisfactory to Administrative Agent and its legal counsel, executed and delivered by any Person in connection with this Agreement to create a Lien in favor of Lenders on any of its real or personal property, as amended, modified, supplemented, restated, ratified, or reaffirmed; and (b) with respect to each Bond L/C, the trust indenture entered into in connection with such Bond L/C, and such other agreements and documents delivered by the Issuer (as defined in the applicable Bond L/C) and the applicable Trustee, pursuant to which such Issuer’s interest in the Trust Estate (as defined in the applicable trust indenture) and, upon payment in full of the applicable Bonds, such Trustee’s interest in the applicable Bond Documents, are assigned to the applicable L/C Issuer as security for payment of such Bonds.</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Service </w:t>
      </w:r>
      <w:r>
        <w:rPr>
          <w:rFonts w:ascii="Times New Roman" w:cs="Times New Roman" w:eastAsia="Times New Roman" w:hAnsi="Times New Roman"/>
          <w:sz w:val="19"/>
          <w:szCs w:val="19"/>
          <w:color w:val="auto"/>
        </w:rPr>
        <w:t>means the U.S. Department of Agriculture Forest Service or any successor agency.</w:t>
      </w:r>
    </w:p>
    <w:p>
      <w:pPr>
        <w:spacing w:after="0" w:line="219"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Similar Business </w:t>
      </w:r>
      <w:r>
        <w:rPr>
          <w:rFonts w:ascii="Times New Roman" w:cs="Times New Roman" w:eastAsia="Times New Roman" w:hAnsi="Times New Roman"/>
          <w:sz w:val="19"/>
          <w:szCs w:val="19"/>
          <w:color w:val="auto"/>
        </w:rPr>
        <w:t>means any business conducted by VRI or any of its Subsidiaries on the Closing Date or any other recreation, leisure,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and/or hospitality business, including, without limitation, ski mountain resort operations or any business or activity that is reasonably similar thereto, a reasonable extension, development, or expansion thereof, or reasonably ancillary thereto.</w:t>
      </w:r>
    </w:p>
    <w:p>
      <w:pPr>
        <w:spacing w:after="0" w:line="155"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SOFR </w:t>
      </w:r>
      <w:r>
        <w:rPr>
          <w:rFonts w:ascii="Times New Roman" w:cs="Times New Roman" w:eastAsia="Times New Roman" w:hAnsi="Times New Roman"/>
          <w:sz w:val="19"/>
          <w:szCs w:val="19"/>
          <w:color w:val="auto"/>
        </w:rPr>
        <w:t>means the Secured Overnight Financing Rate as administered by the Federal Reserve Bank of New York (or a successor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administrator).</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SOFR Adjustment </w:t>
      </w:r>
      <w:r>
        <w:rPr>
          <w:rFonts w:ascii="Times New Roman" w:cs="Times New Roman" w:eastAsia="Times New Roman" w:hAnsi="Times New Roman"/>
          <w:sz w:val="19"/>
          <w:szCs w:val="19"/>
          <w:color w:val="auto"/>
        </w:rPr>
        <w:t>means 0.10%.</w:t>
      </w:r>
    </w:p>
    <w:p>
      <w:pPr>
        <w:spacing w:after="0" w:line="219"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SOFR Administrator </w:t>
      </w:r>
      <w:r>
        <w:rPr>
          <w:rFonts w:ascii="Times New Roman" w:cs="Times New Roman" w:eastAsia="Times New Roman" w:hAnsi="Times New Roman"/>
          <w:sz w:val="19"/>
          <w:szCs w:val="19"/>
          <w:color w:val="auto"/>
        </w:rPr>
        <w:t>means the Federal Reserve Bank of New York, as the administrator of SOFR, or any successor administrator of SOFR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designated by the Federal Reserve Bank of New York or other person acting as the SOFR Administrator at such time.</w:t>
      </w:r>
    </w:p>
    <w:p>
      <w:pPr>
        <w:spacing w:after="0" w:line="131"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Solvent </w:t>
      </w:r>
      <w:r>
        <w:rPr>
          <w:rFonts w:ascii="Times New Roman" w:cs="Times New Roman" w:eastAsia="Times New Roman" w:hAnsi="Times New Roman"/>
          <w:sz w:val="19"/>
          <w:szCs w:val="19"/>
          <w:color w:val="auto"/>
        </w:rPr>
        <w:t>means, as to a Person, that (a) the aggregate fair market value of its assets exceeds its liabilities (whether contingent, subordinated,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unmatured, unliquidated, or otherwise), (b) it has sufficient cash flow to enable it to pay its Debts as they mature, and (c) it does not have unreasonably small capital to conduct its businesses.</w:t>
      </w:r>
    </w:p>
    <w:p>
      <w:pPr>
        <w:spacing w:after="0" w:line="168"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Spot Rate </w:t>
      </w:r>
      <w:r>
        <w:rPr>
          <w:rFonts w:ascii="Times New Roman" w:cs="Times New Roman" w:eastAsia="Times New Roman" w:hAnsi="Times New Roman"/>
          <w:sz w:val="19"/>
          <w:szCs w:val="19"/>
          <w:color w:val="auto"/>
        </w:rPr>
        <w:t>for a currency means the rate determined by Administrative Agent or Australian L/C Issuer, as the case may be, to be the rate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quoted by the Person acting in such capacity as the spot rate for the purchase by such Person of such currency with another currency through its principal foreign exchange trading office at approximately 11:00 a.m. on the date two (2) Business Days prior to the date as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31</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of which the foreign exchange computation is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Administrative Agent or Australian L/C Issuer, as the case may be, may obtain such spot rate from another financial institution designated by Administrative Agent or Australian L/C Issuer, as the case may be, if the Person acting in such capacity does not have as of the date of determination a spot buying rate for any such currency;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Administrative Agent or Australian L/C Issuer, as the case may be, may use such spot rate quoted on the date as of which the foreign exchange computation is made in the case of any Term Loan or L/C denominated in the Alternative Currency.</w:t>
      </w:r>
    </w:p>
    <w:p>
      <w:pPr>
        <w:spacing w:after="0" w:line="177"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Springing Termination Date </w:t>
      </w:r>
      <w:r>
        <w:rPr>
          <w:rFonts w:ascii="Times New Roman" w:cs="Times New Roman" w:eastAsia="Times New Roman" w:hAnsi="Times New Roman"/>
          <w:sz w:val="19"/>
          <w:szCs w:val="19"/>
          <w:color w:val="auto"/>
        </w:rPr>
        <w:t>means, at any time, so long as the 2020 VRI Senior Notes are outstanding, the date that is 90 days prior to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maturity 2020 VRI Senior Notes. For the avoidance of doubt, if the 2020 VRI Senior Notes have been discharged under the provisions of the indenture governing the 2020 VRI Senior Notes, they shall not be considered to be outstanding.</w:t>
      </w:r>
    </w:p>
    <w:p>
      <w:pPr>
        <w:spacing w:after="0" w:line="168"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Subordinated Debt </w:t>
      </w:r>
      <w:r>
        <w:rPr>
          <w:rFonts w:ascii="Times New Roman" w:cs="Times New Roman" w:eastAsia="Times New Roman" w:hAnsi="Times New Roman"/>
          <w:sz w:val="19"/>
          <w:szCs w:val="19"/>
          <w:color w:val="auto"/>
        </w:rPr>
        <w:t>means any unsecured indebtedness for borrowed money for which a Company is directly and primarily obligated,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 xml:space="preserve">long as </w:t>
      </w:r>
      <w:r>
        <w:rPr>
          <w:rFonts w:ascii="Times New Roman" w:cs="Times New Roman" w:eastAsia="Times New Roman" w:hAnsi="Times New Roman"/>
          <w:sz w:val="19"/>
          <w:szCs w:val="19"/>
          <w:color w:val="auto"/>
        </w:rPr>
        <w:t>such Debt (a) does not have any stated maturity before the latest maturity of any part of the Obligation, and (b) is subordinated, upon terms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satisfactory to Administrative Agent, to the payment and collection of the Obligation.</w:t>
      </w:r>
    </w:p>
    <w:p>
      <w:pPr>
        <w:spacing w:after="0" w:line="168"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Subsidiary </w:t>
      </w:r>
      <w:r>
        <w:rPr>
          <w:rFonts w:ascii="Times New Roman" w:cs="Times New Roman" w:eastAsia="Times New Roman" w:hAnsi="Times New Roman"/>
          <w:sz w:val="19"/>
          <w:szCs w:val="19"/>
          <w:color w:val="auto"/>
        </w:rPr>
        <w:t>means, with respect to any Person, any corporation, or other entity of which securities or other ownership interests having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ordinary voting power to elect a majority of the board of directors or other persons performing similar functions are at the time directly or indirectly owned by such Person.</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Successor Rate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4.3</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Swap Obligations </w:t>
      </w:r>
      <w:r>
        <w:rPr>
          <w:rFonts w:ascii="Times New Roman" w:cs="Times New Roman" w:eastAsia="Times New Roman" w:hAnsi="Times New Roman"/>
          <w:sz w:val="19"/>
          <w:szCs w:val="19"/>
          <w:color w:val="auto"/>
        </w:rPr>
        <w:t>means with respect to any Guarantor any obligation to pay or perform under any agreement, contract or transaction that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constitutes a “</w:t>
      </w:r>
      <w:r>
        <w:rPr>
          <w:rFonts w:ascii="Times New Roman" w:cs="Times New Roman" w:eastAsia="Times New Roman" w:hAnsi="Times New Roman"/>
          <w:sz w:val="19"/>
          <w:szCs w:val="19"/>
          <w:i w:val="1"/>
          <w:iCs w:val="1"/>
          <w:color w:val="auto"/>
        </w:rPr>
        <w:t>swap</w:t>
      </w:r>
      <w:r>
        <w:rPr>
          <w:rFonts w:ascii="Times New Roman" w:cs="Times New Roman" w:eastAsia="Times New Roman" w:hAnsi="Times New Roman"/>
          <w:sz w:val="19"/>
          <w:szCs w:val="19"/>
          <w:color w:val="auto"/>
        </w:rPr>
        <w:t xml:space="preserve">” within the meaning of </w:t>
      </w:r>
      <w:r>
        <w:rPr>
          <w:rFonts w:ascii="Times New Roman" w:cs="Times New Roman" w:eastAsia="Times New Roman" w:hAnsi="Times New Roman"/>
          <w:sz w:val="19"/>
          <w:szCs w:val="19"/>
          <w:i w:val="1"/>
          <w:iCs w:val="1"/>
          <w:color w:val="auto"/>
        </w:rPr>
        <w:t>Section 1a(47)</w:t>
      </w:r>
      <w:r>
        <w:rPr>
          <w:rFonts w:ascii="Times New Roman" w:cs="Times New Roman" w:eastAsia="Times New Roman" w:hAnsi="Times New Roman"/>
          <w:sz w:val="19"/>
          <w:szCs w:val="19"/>
          <w:color w:val="auto"/>
        </w:rPr>
        <w:t xml:space="preserve"> of the Commodity Exchange Act.</w:t>
      </w:r>
    </w:p>
    <w:p>
      <w:pPr>
        <w:spacing w:after="0" w:line="131"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Taxes </w:t>
      </w:r>
      <w:r>
        <w:rPr>
          <w:rFonts w:ascii="Times New Roman" w:cs="Times New Roman" w:eastAsia="Times New Roman" w:hAnsi="Times New Roman"/>
          <w:sz w:val="19"/>
          <w:szCs w:val="19"/>
          <w:color w:val="auto"/>
        </w:rPr>
        <w:t>means all present or future taxes, levies, imposts, duties, deductions, withholdings (including backup withholding), assessments, fees,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 other charges imposed by any Governmental Authority, including any interest, additions to tax, or penalties applicable thereto.</w:t>
      </w:r>
    </w:p>
    <w:p>
      <w:pPr>
        <w:spacing w:after="0" w:line="131"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Temporary Cash Investments </w:t>
      </w:r>
      <w:r>
        <w:rPr>
          <w:rFonts w:ascii="Times New Roman" w:cs="Times New Roman" w:eastAsia="Times New Roman" w:hAnsi="Times New Roman"/>
          <w:sz w:val="19"/>
          <w:szCs w:val="19"/>
          <w:color w:val="auto"/>
        </w:rPr>
        <w:t>means investments of the Restricted Companies permitted under</w:t>
      </w:r>
      <w:r>
        <w:rPr>
          <w:rFonts w:ascii="Times New Roman" w:cs="Times New Roman" w:eastAsia="Times New Roman" w:hAnsi="Times New Roman"/>
          <w:sz w:val="19"/>
          <w:szCs w:val="19"/>
          <w:b w:val="1"/>
          <w:bCs w:val="1"/>
          <w:i w:val="1"/>
          <w:iCs w:val="1"/>
          <w:color w:val="auto"/>
        </w:rPr>
        <w:t xml:space="preserve"> clauses (b) </w:t>
      </w:r>
      <w:r>
        <w:rPr>
          <w:rFonts w:ascii="Times New Roman" w:cs="Times New Roman" w:eastAsia="Times New Roman" w:hAnsi="Times New Roman"/>
          <w:sz w:val="19"/>
          <w:szCs w:val="19"/>
          <w:color w:val="auto"/>
        </w:rPr>
        <w:t>through</w:t>
      </w:r>
      <w:r>
        <w:rPr>
          <w:rFonts w:ascii="Times New Roman" w:cs="Times New Roman" w:eastAsia="Times New Roman" w:hAnsi="Times New Roman"/>
          <w:sz w:val="19"/>
          <w:szCs w:val="19"/>
          <w:b w:val="1"/>
          <w:bCs w:val="1"/>
          <w:i w:val="1"/>
          <w:iCs w:val="1"/>
          <w:color w:val="auto"/>
        </w:rPr>
        <w:t xml:space="preserve"> (g)</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(p)</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b w:val="1"/>
          <w:bCs w:val="1"/>
          <w:i w:val="1"/>
          <w:iCs w:val="1"/>
          <w:color w:val="auto"/>
        </w:rPr>
        <w:t xml:space="preserve"> (q) </w:t>
      </w:r>
      <w:r>
        <w:rPr>
          <w:rFonts w:ascii="Times New Roman" w:cs="Times New Roman" w:eastAsia="Times New Roman" w:hAnsi="Times New Roman"/>
          <w:sz w:val="19"/>
          <w:szCs w:val="19"/>
          <w:color w:val="auto"/>
        </w:rPr>
        <w:t>of</w:t>
      </w:r>
      <w:r>
        <w:rPr>
          <w:rFonts w:ascii="Times New Roman" w:cs="Times New Roman" w:eastAsia="Times New Roman" w:hAnsi="Times New Roman"/>
          <w:sz w:val="19"/>
          <w:szCs w:val="19"/>
          <w:b w:val="1"/>
          <w:bCs w:val="1"/>
          <w:i w:val="1"/>
          <w:iCs w:val="1"/>
          <w:color w:val="auto"/>
        </w:rPr>
        <w:t xml:space="preserve"> Section 10.8 </w:t>
      </w:r>
      <w:r>
        <w:rPr>
          <w:rFonts w:ascii="Times New Roman" w:cs="Times New Roman" w:eastAsia="Times New Roman" w:hAnsi="Times New Roman"/>
          <w:sz w:val="19"/>
          <w:szCs w:val="19"/>
          <w:color w:val="auto"/>
        </w:rPr>
        <w:t>hereof.</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Term Loan </w:t>
      </w:r>
      <w:r>
        <w:rPr>
          <w:rFonts w:ascii="Times New Roman" w:cs="Times New Roman" w:eastAsia="Times New Roman" w:hAnsi="Times New Roman"/>
          <w:sz w:val="19"/>
          <w:szCs w:val="19"/>
          <w:color w:val="auto"/>
        </w:rPr>
        <w:t>means any Loan made under the Term Loan Facility. All Term Loans shall be denominated in Dollars.</w:t>
      </w:r>
    </w:p>
    <w:p>
      <w:pPr>
        <w:spacing w:after="0" w:line="219"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Term Loan Borrowing </w:t>
      </w:r>
      <w:r>
        <w:rPr>
          <w:rFonts w:ascii="Times New Roman" w:cs="Times New Roman" w:eastAsia="Times New Roman" w:hAnsi="Times New Roman"/>
          <w:sz w:val="19"/>
          <w:szCs w:val="19"/>
          <w:color w:val="auto"/>
        </w:rPr>
        <w:t>means a borrowing consisting of simultaneous Term Loans of the same Type and, in the case of Term Reference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Rate Loans, having the same Interest Period made by each of the Term Loan Lenders pursuant to </w:t>
      </w:r>
      <w:r>
        <w:rPr>
          <w:rFonts w:ascii="Times New Roman" w:cs="Times New Roman" w:eastAsia="Times New Roman" w:hAnsi="Times New Roman"/>
          <w:sz w:val="19"/>
          <w:szCs w:val="19"/>
          <w:b w:val="1"/>
          <w:bCs w:val="1"/>
          <w:i w:val="1"/>
          <w:iCs w:val="1"/>
          <w:color w:val="auto"/>
        </w:rPr>
        <w:t>Section 2.1(b)</w:t>
      </w:r>
      <w:r>
        <w:rPr>
          <w:rFonts w:ascii="Times New Roman" w:cs="Times New Roman" w:eastAsia="Times New Roman" w:hAnsi="Times New Roman"/>
          <w:sz w:val="19"/>
          <w:szCs w:val="19"/>
          <w:color w:val="auto"/>
        </w:rPr>
        <w:t>.</w:t>
      </w:r>
    </w:p>
    <w:p>
      <w:pPr>
        <w:spacing w:after="0" w:line="131"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Term Loan Commitment </w:t>
      </w:r>
      <w:r>
        <w:rPr>
          <w:rFonts w:ascii="Times New Roman" w:cs="Times New Roman" w:eastAsia="Times New Roman" w:hAnsi="Times New Roman"/>
          <w:sz w:val="19"/>
          <w:szCs w:val="19"/>
          <w:color w:val="auto"/>
        </w:rPr>
        <w:t>means, as to each Term Loan Lender, its obligation to make Term Loans to Borrower pursuant to</w:t>
      </w:r>
      <w:r>
        <w:rPr>
          <w:rFonts w:ascii="Times New Roman" w:cs="Times New Roman" w:eastAsia="Times New Roman" w:hAnsi="Times New Roman"/>
          <w:sz w:val="19"/>
          <w:szCs w:val="19"/>
          <w:b w:val="1"/>
          <w:bCs w:val="1"/>
          <w:i w:val="1"/>
          <w:iCs w:val="1"/>
          <w:color w:val="auto"/>
        </w:rPr>
        <w:t xml:space="preserve"> Section 2.1(b) </w:t>
      </w:r>
      <w:r>
        <w:rPr>
          <w:rFonts w:ascii="Times New Roman" w:cs="Times New Roman" w:eastAsia="Times New Roman" w:hAnsi="Times New Roman"/>
          <w:sz w:val="19"/>
          <w:szCs w:val="19"/>
          <w:color w:val="auto"/>
        </w:rPr>
        <w:t>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an aggregate principal amount at any one time outstanding not to exceed the amount set forth opposite such Term Loan Lender’s name on </w:t>
      </w:r>
      <w:r>
        <w:rPr>
          <w:rFonts w:ascii="Times New Roman" w:cs="Times New Roman" w:eastAsia="Times New Roman" w:hAnsi="Times New Roman"/>
          <w:sz w:val="19"/>
          <w:szCs w:val="19"/>
          <w:b w:val="1"/>
          <w:bCs w:val="1"/>
          <w:i w:val="1"/>
          <w:iCs w:val="1"/>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1 </w:t>
      </w:r>
      <w:r>
        <w:rPr>
          <w:rFonts w:ascii="Times New Roman" w:cs="Times New Roman" w:eastAsia="Times New Roman" w:hAnsi="Times New Roman"/>
          <w:sz w:val="19"/>
          <w:szCs w:val="19"/>
          <w:color w:val="auto"/>
        </w:rPr>
        <w:t>under the caption “</w:t>
      </w:r>
      <w:r>
        <w:rPr>
          <w:rFonts w:ascii="Times New Roman" w:cs="Times New Roman" w:eastAsia="Times New Roman" w:hAnsi="Times New Roman"/>
          <w:sz w:val="19"/>
          <w:szCs w:val="19"/>
          <w:i w:val="1"/>
          <w:iCs w:val="1"/>
          <w:color w:val="auto"/>
        </w:rPr>
        <w:t>Term Loan Commitment</w:t>
      </w:r>
      <w:r>
        <w:rPr>
          <w:rFonts w:ascii="Times New Roman" w:cs="Times New Roman" w:eastAsia="Times New Roman" w:hAnsi="Times New Roman"/>
          <w:sz w:val="19"/>
          <w:szCs w:val="19"/>
          <w:color w:val="auto"/>
        </w:rPr>
        <w:t>” or opposite such caption in the Assignment and Assumption pursuant to which such Term Loan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Lender becomes a party hereto, as applicable, as such amount may be adjusted from time to time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32</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Term Loan Facility </w:t>
      </w:r>
      <w:r>
        <w:rPr>
          <w:rFonts w:ascii="Times New Roman" w:cs="Times New Roman" w:eastAsia="Times New Roman" w:hAnsi="Times New Roman"/>
          <w:sz w:val="19"/>
          <w:szCs w:val="19"/>
          <w:color w:val="auto"/>
        </w:rPr>
        <w:t>means the credit facility as described in and subject to the limitations set forth in</w:t>
      </w:r>
      <w:r>
        <w:rPr>
          <w:rFonts w:ascii="Times New Roman" w:cs="Times New Roman" w:eastAsia="Times New Roman" w:hAnsi="Times New Roman"/>
          <w:sz w:val="19"/>
          <w:szCs w:val="19"/>
          <w:b w:val="1"/>
          <w:bCs w:val="1"/>
          <w:i w:val="1"/>
          <w:iCs w:val="1"/>
          <w:color w:val="auto"/>
        </w:rPr>
        <w:t xml:space="preserve"> Section 2.1(b) </w:t>
      </w:r>
      <w:r>
        <w:rPr>
          <w:rFonts w:ascii="Times New Roman" w:cs="Times New Roman" w:eastAsia="Times New Roman" w:hAnsi="Times New Roman"/>
          <w:sz w:val="19"/>
          <w:szCs w:val="19"/>
          <w:color w:val="auto"/>
        </w:rPr>
        <w:t>hereof.</w:t>
      </w:r>
    </w:p>
    <w:p>
      <w:pPr>
        <w:spacing w:after="0" w:line="219" w:lineRule="exact"/>
        <w:rPr>
          <w:sz w:val="20"/>
          <w:szCs w:val="20"/>
          <w:color w:val="auto"/>
        </w:rPr>
      </w:pPr>
    </w:p>
    <w:p>
      <w:pPr>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Term Loan Lenders </w:t>
      </w:r>
      <w:r>
        <w:rPr>
          <w:rFonts w:ascii="Times New Roman" w:cs="Times New Roman" w:eastAsia="Times New Roman" w:hAnsi="Times New Roman"/>
          <w:sz w:val="19"/>
          <w:szCs w:val="19"/>
          <w:color w:val="auto"/>
        </w:rPr>
        <w:t>means, collectively, on any date of determination, Lenders having a Term Loan Commitment under the Term Loan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Facility or that are owed any Term Loan Principal Debt, and </w:t>
      </w:r>
      <w:r>
        <w:rPr>
          <w:rFonts w:ascii="Times New Roman" w:cs="Times New Roman" w:eastAsia="Times New Roman" w:hAnsi="Times New Roman"/>
          <w:sz w:val="19"/>
          <w:szCs w:val="19"/>
          <w:b w:val="1"/>
          <w:bCs w:val="1"/>
          <w:i w:val="1"/>
          <w:iCs w:val="1"/>
          <w:color w:val="auto"/>
        </w:rPr>
        <w:t>Term Loan Lender</w:t>
      </w:r>
      <w:r>
        <w:rPr>
          <w:rFonts w:ascii="Times New Roman" w:cs="Times New Roman" w:eastAsia="Times New Roman" w:hAnsi="Times New Roman"/>
          <w:sz w:val="19"/>
          <w:szCs w:val="19"/>
          <w:color w:val="auto"/>
        </w:rPr>
        <w:t xml:space="preserve"> means any one of the Term Loan Lenders.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Term Loan Note </w:t>
      </w:r>
      <w:r>
        <w:rPr>
          <w:rFonts w:ascii="Times New Roman" w:cs="Times New Roman" w:eastAsia="Times New Roman" w:hAnsi="Times New Roman"/>
          <w:sz w:val="19"/>
          <w:szCs w:val="19"/>
          <w:color w:val="auto"/>
        </w:rPr>
        <w:t>means a promissory note substantially in the form of</w:t>
      </w:r>
      <w:r>
        <w:rPr>
          <w:rFonts w:ascii="Times New Roman" w:cs="Times New Roman" w:eastAsia="Times New Roman" w:hAnsi="Times New Roman"/>
          <w:sz w:val="19"/>
          <w:szCs w:val="19"/>
          <w:b w:val="1"/>
          <w:bCs w:val="1"/>
          <w:i w:val="1"/>
          <w:iCs w:val="1"/>
          <w:color w:val="auto"/>
        </w:rPr>
        <w:t xml:space="preserve"> Exhibit A-2</w:t>
      </w:r>
      <w:r>
        <w:rPr>
          <w:rFonts w:ascii="Times New Roman" w:cs="Times New Roman" w:eastAsia="Times New Roman" w:hAnsi="Times New Roman"/>
          <w:sz w:val="19"/>
          <w:szCs w:val="19"/>
          <w:color w:val="auto"/>
        </w:rPr>
        <w:t>, and all renewals and extensions of all or any part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thereof.</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Term Loan Principal Debt </w:t>
      </w:r>
      <w:r>
        <w:rPr>
          <w:rFonts w:ascii="Times New Roman" w:cs="Times New Roman" w:eastAsia="Times New Roman" w:hAnsi="Times New Roman"/>
          <w:sz w:val="19"/>
          <w:szCs w:val="19"/>
          <w:color w:val="auto"/>
        </w:rPr>
        <w:t>means, at any time, the aggregate unpaid principal balance of all Loans under the Term Loan Facility.</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Term Reference Rate </w:t>
      </w:r>
      <w:r>
        <w:rPr>
          <w:rFonts w:ascii="Times New Roman" w:cs="Times New Roman" w:eastAsia="Times New Roman" w:hAnsi="Times New Roman"/>
          <w:sz w:val="19"/>
          <w:szCs w:val="19"/>
          <w:color w:val="auto"/>
        </w:rPr>
        <w:t>means:</w:t>
      </w:r>
    </w:p>
    <w:p>
      <w:pPr>
        <w:spacing w:after="0" w:line="212" w:lineRule="exact"/>
        <w:rPr>
          <w:sz w:val="20"/>
          <w:szCs w:val="20"/>
          <w:color w:val="auto"/>
        </w:rPr>
      </w:pPr>
    </w:p>
    <w:p>
      <w:pPr>
        <w:jc w:val="both"/>
        <w:ind w:firstLine="621"/>
        <w:spacing w:after="0" w:line="259" w:lineRule="auto"/>
        <w:tabs>
          <w:tab w:leader="none" w:pos="1227"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Interest Period with respect to a Term SOFR Rate Loan, the rate per annum equal to the Term SOFR Screen Rate two U.S. Government Securities Business Days (“</w:t>
      </w:r>
      <w:r>
        <w:rPr>
          <w:rFonts w:ascii="Times New Roman" w:cs="Times New Roman" w:eastAsia="Times New Roman" w:hAnsi="Times New Roman"/>
          <w:sz w:val="19"/>
          <w:szCs w:val="19"/>
          <w:b w:val="1"/>
          <w:bCs w:val="1"/>
          <w:i w:val="1"/>
          <w:iCs w:val="1"/>
          <w:color w:val="auto"/>
        </w:rPr>
        <w:t>Term SOFR</w:t>
      </w:r>
      <w:r>
        <w:rPr>
          <w:rFonts w:ascii="Times New Roman" w:cs="Times New Roman" w:eastAsia="Times New Roman" w:hAnsi="Times New Roman"/>
          <w:sz w:val="19"/>
          <w:szCs w:val="19"/>
          <w:color w:val="auto"/>
        </w:rPr>
        <w:t xml:space="preserve">”) prior to the commencement of such Interest Period with a term equivalent to such Interest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rate is not published prior to 11:00 a.m. Eastern Time on such determination date then Term SOFR means the Term SOFR Screen Rate on the first U.S. Government Securities Business Day immediately prior thereto, in each case, plus the SOFR Adjustment; and</w:t>
      </w:r>
    </w:p>
    <w:p>
      <w:pPr>
        <w:spacing w:after="0" w:line="177" w:lineRule="exact"/>
        <w:rPr>
          <w:rFonts w:ascii="Times New Roman" w:cs="Times New Roman" w:eastAsia="Times New Roman" w:hAnsi="Times New Roman"/>
          <w:sz w:val="19"/>
          <w:szCs w:val="19"/>
          <w:color w:val="auto"/>
        </w:rPr>
      </w:pPr>
    </w:p>
    <w:p>
      <w:pPr>
        <w:jc w:val="both"/>
        <w:ind w:firstLine="621"/>
        <w:spacing w:after="0" w:line="254" w:lineRule="auto"/>
        <w:tabs>
          <w:tab w:leader="none" w:pos="1224"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any interest calculation with respect to a Base Rate Loan on any date, the rate per annum equal to the Term SOFR Screen Rate two U.S. Government Securities Business Days with a term of one month commencing that day;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rate is not published prior to 11:00 a.m. on such determination date then Term SOFR means the Term SOFR Screen Rate on the first U.S. Government Securities Business Day immediately prior thereto, in each case, plus the SOFR Adjustment;</w:t>
      </w:r>
    </w:p>
    <w:p>
      <w:pPr>
        <w:spacing w:after="0" w:line="179"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 </w:t>
      </w:r>
      <w:r>
        <w:rPr>
          <w:rFonts w:ascii="Times New Roman" w:cs="Times New Roman" w:eastAsia="Times New Roman" w:hAnsi="Times New Roman"/>
          <w:sz w:val="19"/>
          <w:szCs w:val="19"/>
          <w:color w:val="auto"/>
        </w:rPr>
        <w:t>to the extent a comparable or successor rate is approved by Administrative Agent in connection herewith, the approved rate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shall be applied in a manner consistent with market practice;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that to the extent such market practice is not administratively feasible for Administrative Agent, such approved rate shall be applied in a manner as otherwise reasonably determined by Administrative Agent and disclosed to Borrower;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if the Term Reference Rate shall be less than 0.00%, such rate shall be deemed to be 0.00% for purposes of this Agreement.</w:t>
      </w:r>
    </w:p>
    <w:p>
      <w:pPr>
        <w:spacing w:after="0" w:line="177"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Term Reference Rate Loan </w:t>
      </w:r>
      <w:r>
        <w:rPr>
          <w:rFonts w:ascii="Times New Roman" w:cs="Times New Roman" w:eastAsia="Times New Roman" w:hAnsi="Times New Roman"/>
          <w:sz w:val="19"/>
          <w:szCs w:val="19"/>
          <w:color w:val="auto"/>
        </w:rPr>
        <w:t>means a Loan bearing interest at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sum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Term Reference Rate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Applicable Margin. All Loans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denominated in an Alternative Currency must be Term Reference Rate Loans.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Term SOFR </w:t>
      </w:r>
      <w:r>
        <w:rPr>
          <w:rFonts w:ascii="Times New Roman" w:cs="Times New Roman" w:eastAsia="Times New Roman" w:hAnsi="Times New Roman"/>
          <w:sz w:val="19"/>
          <w:szCs w:val="19"/>
          <w:color w:val="auto"/>
        </w:rPr>
        <w:t>has the meaning specified in the definition of “</w:t>
      </w:r>
      <w:r>
        <w:rPr>
          <w:rFonts w:ascii="Times New Roman" w:cs="Times New Roman" w:eastAsia="Times New Roman" w:hAnsi="Times New Roman"/>
          <w:sz w:val="19"/>
          <w:szCs w:val="19"/>
          <w:i w:val="1"/>
          <w:iCs w:val="1"/>
          <w:color w:val="auto"/>
        </w:rPr>
        <w:t>Term Reference Rate</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Term SOFR Rate Loan </w:t>
      </w:r>
      <w:r>
        <w:rPr>
          <w:rFonts w:ascii="Times New Roman" w:cs="Times New Roman" w:eastAsia="Times New Roman" w:hAnsi="Times New Roman"/>
          <w:sz w:val="19"/>
          <w:szCs w:val="19"/>
          <w:color w:val="auto"/>
        </w:rPr>
        <w:t>means a Loan made hereunder with respect to which the interest rate is calculated by reference to clause (a)(i)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definition of “</w:t>
      </w:r>
      <w:r>
        <w:rPr>
          <w:rFonts w:ascii="Times New Roman" w:cs="Times New Roman" w:eastAsia="Times New Roman" w:hAnsi="Times New Roman"/>
          <w:sz w:val="19"/>
          <w:szCs w:val="19"/>
          <w:i w:val="1"/>
          <w:iCs w:val="1"/>
          <w:color w:val="auto"/>
        </w:rPr>
        <w:t>Term Reference Rate</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Term SOFR Replacement Date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4.3</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618"/>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Term SOFR Screen Rate </w:t>
      </w:r>
      <w:r>
        <w:rPr>
          <w:rFonts w:ascii="Times New Roman" w:cs="Times New Roman" w:eastAsia="Times New Roman" w:hAnsi="Times New Roman"/>
          <w:sz w:val="19"/>
          <w:szCs w:val="19"/>
          <w:color w:val="auto"/>
        </w:rPr>
        <w:t>means the forward-looking SOFR term rate administered by CME (or any successor administrator satisfactory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Administrative Agent) and published on the applicable Reuters screen page (or such other commercially available source providing such quotations as may be designated by Administrative Agent from time to time).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33</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15"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Termination Date </w:t>
      </w:r>
      <w:r>
        <w:rPr>
          <w:rFonts w:ascii="Times New Roman" w:cs="Times New Roman" w:eastAsia="Times New Roman" w:hAnsi="Times New Roman"/>
          <w:sz w:val="19"/>
          <w:szCs w:val="19"/>
          <w:color w:val="auto"/>
        </w:rPr>
        <w:t>means (a) for purposes of the Revolver Facility, the earliest of (i) April 24, 2029; (ii) the effective date upon which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Revolver Lenders’ Revolver Commitments are otherwise canceled or terminated; and (iii) the Springing Termination Date, and (b) for purposes of the Term Loan Facility, the earliest of (i) April 24, 2029, (ii) the effective date of any other termination, cancellation or acceleration of the Term Loan Facility; and (iii) the Springing Termination Date.</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Threshold Amount </w:t>
      </w:r>
      <w:r>
        <w:rPr>
          <w:rFonts w:ascii="Times New Roman" w:cs="Times New Roman" w:eastAsia="Times New Roman" w:hAnsi="Times New Roman"/>
          <w:sz w:val="19"/>
          <w:szCs w:val="19"/>
          <w:color w:val="auto"/>
        </w:rPr>
        <w:t>means $25,000,000.</w:t>
      </w:r>
    </w:p>
    <w:p>
      <w:pPr>
        <w:spacing w:after="0" w:line="219"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Total Assets </w:t>
      </w:r>
      <w:r>
        <w:rPr>
          <w:rFonts w:ascii="Times New Roman" w:cs="Times New Roman" w:eastAsia="Times New Roman" w:hAnsi="Times New Roman"/>
          <w:sz w:val="19"/>
          <w:szCs w:val="19"/>
          <w:color w:val="auto"/>
        </w:rPr>
        <w:t>means, as of any date of determination for the Restricted Companies on a consolidated basis, the book value of all assets of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Restricted Companies (as determined in accordance with GAAP).</w:t>
      </w:r>
    </w:p>
    <w:p>
      <w:pPr>
        <w:spacing w:after="0" w:line="131"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Total Commitment </w:t>
      </w:r>
      <w:r>
        <w:rPr>
          <w:rFonts w:ascii="Times New Roman" w:cs="Times New Roman" w:eastAsia="Times New Roman" w:hAnsi="Times New Roman"/>
          <w:sz w:val="19"/>
          <w:szCs w:val="19"/>
          <w:color w:val="auto"/>
        </w:rPr>
        <w:t>means, at any time,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sum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all Commitments in effect for all Lenders in respect of the Revolver Facility and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Term Loan Facility (as reduced or canceled under this Agreement).</w:t>
      </w:r>
    </w:p>
    <w:p>
      <w:pPr>
        <w:spacing w:after="0" w:line="131" w:lineRule="exact"/>
        <w:rPr>
          <w:sz w:val="20"/>
          <w:szCs w:val="20"/>
          <w:color w:val="auto"/>
        </w:rPr>
      </w:pPr>
    </w:p>
    <w:p>
      <w:pPr>
        <w:jc w:val="both"/>
        <w:ind w:firstLine="618"/>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Total Leverage Ratio </w:t>
      </w:r>
      <w:r>
        <w:rPr>
          <w:rFonts w:ascii="Times New Roman" w:cs="Times New Roman" w:eastAsia="Times New Roman" w:hAnsi="Times New Roman"/>
          <w:sz w:val="19"/>
          <w:szCs w:val="19"/>
          <w:color w:val="auto"/>
        </w:rPr>
        <w:t>means, as of any date of determination, the ratio of (a) Funded Debt on the last day of the fiscal quarter immediately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preceding such date,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proceeds from the issuance of Permitted Debt held by the trustee of the 2020 VRI Senior Notes for purposes of their redemption, to (b) Adjusted EBITDA for the four fiscal quarters ending on such last day.</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Trustee </w:t>
      </w:r>
      <w:r>
        <w:rPr>
          <w:rFonts w:ascii="Times New Roman" w:cs="Times New Roman" w:eastAsia="Times New Roman" w:hAnsi="Times New Roman"/>
          <w:sz w:val="19"/>
          <w:szCs w:val="19"/>
          <w:color w:val="auto"/>
        </w:rPr>
        <w:t>means any Trustee designated as the beneficiary of a Bond L/C.</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Type </w:t>
      </w:r>
      <w:r>
        <w:rPr>
          <w:rFonts w:ascii="Times New Roman" w:cs="Times New Roman" w:eastAsia="Times New Roman" w:hAnsi="Times New Roman"/>
          <w:sz w:val="19"/>
          <w:szCs w:val="19"/>
          <w:color w:val="auto"/>
        </w:rPr>
        <w:t>means any type of Loan determined with respect to the applicable interest option.</w:t>
      </w:r>
    </w:p>
    <w:p>
      <w:pPr>
        <w:spacing w:after="0" w:line="206"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UK Financial Institution </w:t>
      </w:r>
      <w:r>
        <w:rPr>
          <w:rFonts w:ascii="Times New Roman" w:cs="Times New Roman" w:eastAsia="Times New Roman" w:hAnsi="Times New Roman"/>
          <w:sz w:val="19"/>
          <w:szCs w:val="19"/>
          <w:color w:val="auto"/>
        </w:rPr>
        <w:t>means any BRRD Undertaking (as such term is defined under the PRA Rulebook (as amended form time to time)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0"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 xml:space="preserve">UK Resolution Authority </w:t>
      </w:r>
      <w:r>
        <w:rPr>
          <w:rFonts w:ascii="Times New Roman" w:cs="Times New Roman" w:eastAsia="Times New Roman" w:hAnsi="Times New Roman"/>
          <w:sz w:val="19"/>
          <w:szCs w:val="19"/>
          <w:color w:val="auto"/>
        </w:rPr>
        <w:t>means the Bank of England or any other public administrative authority having responsibility for the resolution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any UK Financial Institution.</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Unreimbursed Amount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i w:val="1"/>
          <w:iCs w:val="1"/>
          <w:color w:val="auto"/>
        </w:rPr>
        <w:t xml:space="preserve"> Section 2.3(c)(i)</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Unrestricted Cash </w:t>
      </w:r>
      <w:r>
        <w:rPr>
          <w:rFonts w:ascii="Times New Roman" w:cs="Times New Roman" w:eastAsia="Times New Roman" w:hAnsi="Times New Roman"/>
          <w:sz w:val="19"/>
          <w:szCs w:val="19"/>
          <w:color w:val="auto"/>
        </w:rPr>
        <w:t>means, on any date of determination, the aggregate amount of all cash and Temporary Cash Investments of the Restricted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Companies not subject to any Lien or restriction (except for Liens of depository institutions securing payment of customary service charges, transfer fees, account maintenance fees, and charges for returned or dishonored items, and restrictions with respect to compensating balances). For purposes hereof, proceeds from the issuance of Permitted Debt held by the trustee of the 2020 VRI Senior Notes for purpose of their redemption shall be deemed Unrestricted Cash.</w:t>
      </w:r>
    </w:p>
    <w:p>
      <w:pPr>
        <w:spacing w:after="0" w:line="160"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Unrestricted Subsidiary </w:t>
      </w:r>
      <w:r>
        <w:rPr>
          <w:rFonts w:ascii="Times New Roman" w:cs="Times New Roman" w:eastAsia="Times New Roman" w:hAnsi="Times New Roman"/>
          <w:sz w:val="19"/>
          <w:szCs w:val="19"/>
          <w:color w:val="auto"/>
        </w:rPr>
        <w:t>means any existing Subsidiary or newly-formed Subsidiary created by Borrower pursuant to</w:t>
      </w:r>
      <w:r>
        <w:rPr>
          <w:rFonts w:ascii="Times New Roman" w:cs="Times New Roman" w:eastAsia="Times New Roman" w:hAnsi="Times New Roman"/>
          <w:sz w:val="19"/>
          <w:szCs w:val="19"/>
          <w:b w:val="1"/>
          <w:bCs w:val="1"/>
          <w:i w:val="1"/>
          <w:iCs w:val="1"/>
          <w:color w:val="auto"/>
        </w:rPr>
        <w:t xml:space="preserve"> Section 9.10 </w:t>
      </w:r>
      <w:r>
        <w:rPr>
          <w:rFonts w:ascii="Times New Roman" w:cs="Times New Roman" w:eastAsia="Times New Roman" w:hAnsi="Times New Roman"/>
          <w:sz w:val="19"/>
          <w:szCs w:val="19"/>
          <w:color w:val="auto"/>
        </w:rPr>
        <w:t>(which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may be a partnership, joint venture, corporation, limited liability company, or other entity) (a) which does not own any Forest Service Permit, the stock of any Restricted Company, or any Critical Assets (except as permitted under </w:t>
      </w:r>
      <w:r>
        <w:rPr>
          <w:rFonts w:ascii="Times New Roman" w:cs="Times New Roman" w:eastAsia="Times New Roman" w:hAnsi="Times New Roman"/>
          <w:sz w:val="19"/>
          <w:szCs w:val="19"/>
          <w:b w:val="1"/>
          <w:bCs w:val="1"/>
          <w:i w:val="1"/>
          <w:iCs w:val="1"/>
          <w:color w:val="auto"/>
        </w:rPr>
        <w:t>Section 9.7(b)</w:t>
      </w:r>
      <w:r>
        <w:rPr>
          <w:rFonts w:ascii="Times New Roman" w:cs="Times New Roman" w:eastAsia="Times New Roman" w:hAnsi="Times New Roman"/>
          <w:sz w:val="19"/>
          <w:szCs w:val="19"/>
          <w:color w:val="auto"/>
        </w:rPr>
        <w:t xml:space="preserve"> hereof), (b) which has (and whose other partners, joint venturers, members, or shareholders have) no Debt or other material obligation which is recourse to any Restricted Company or to the assets of any Restricted Company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(i) pursuant to Permitted Recourse Obligations and (ii) as otherwise permitted in </w:t>
      </w:r>
      <w:r>
        <w:rPr>
          <w:rFonts w:ascii="Times New Roman" w:cs="Times New Roman" w:eastAsia="Times New Roman" w:hAnsi="Times New Roman"/>
          <w:sz w:val="19"/>
          <w:szCs w:val="19"/>
          <w:b w:val="1"/>
          <w:bCs w:val="1"/>
          <w:i w:val="1"/>
          <w:iCs w:val="1"/>
          <w:color w:val="auto"/>
        </w:rPr>
        <w:t>clause (g)</w:t>
      </w:r>
      <w:r>
        <w:rPr>
          <w:rFonts w:ascii="Times New Roman" w:cs="Times New Roman" w:eastAsia="Times New Roman" w:hAnsi="Times New Roman"/>
          <w:sz w:val="19"/>
          <w:szCs w:val="19"/>
          <w:color w:val="auto"/>
        </w:rPr>
        <w:t xml:space="preserve"> of the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34</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definition of “</w:t>
      </w:r>
      <w:r>
        <w:rPr>
          <w:rFonts w:ascii="Times New Roman" w:cs="Times New Roman" w:eastAsia="Times New Roman" w:hAnsi="Times New Roman"/>
          <w:sz w:val="19"/>
          <w:szCs w:val="19"/>
          <w:i w:val="1"/>
          <w:iCs w:val="1"/>
          <w:color w:val="auto"/>
        </w:rPr>
        <w:t>Permitted Debt</w:t>
      </w:r>
      <w:r>
        <w:rPr>
          <w:rFonts w:ascii="Times New Roman" w:cs="Times New Roman" w:eastAsia="Times New Roman" w:hAnsi="Times New Roman"/>
          <w:sz w:val="19"/>
          <w:szCs w:val="19"/>
          <w:color w:val="auto"/>
        </w:rPr>
        <w:t xml:space="preserve">”), and (c) which is specifically identified in this definition or has been designated by Borrower as an Unrestricted Subsidiary by notice to Administrative Agent under </w:t>
      </w:r>
      <w:r>
        <w:rPr>
          <w:rFonts w:ascii="Times New Roman" w:cs="Times New Roman" w:eastAsia="Times New Roman" w:hAnsi="Times New Roman"/>
          <w:sz w:val="19"/>
          <w:szCs w:val="19"/>
          <w:b w:val="1"/>
          <w:bCs w:val="1"/>
          <w:i w:val="1"/>
          <w:iCs w:val="1"/>
          <w:color w:val="auto"/>
        </w:rPr>
        <w:t>Section 9.11</w:t>
      </w:r>
      <w:r>
        <w:rPr>
          <w:rFonts w:ascii="Times New Roman" w:cs="Times New Roman" w:eastAsia="Times New Roman" w:hAnsi="Times New Roman"/>
          <w:sz w:val="19"/>
          <w:szCs w:val="19"/>
          <w:color w:val="auto"/>
        </w:rPr>
        <w:t xml:space="preserve"> hereof. The Unrestricted Subsidiaries are reflected on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hereto (as the same may be updated from time to time).</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U.S. </w:t>
      </w:r>
      <w:r>
        <w:rPr>
          <w:rFonts w:ascii="Times New Roman" w:cs="Times New Roman" w:eastAsia="Times New Roman" w:hAnsi="Times New Roman"/>
          <w:sz w:val="19"/>
          <w:szCs w:val="19"/>
          <w:color w:val="auto"/>
        </w:rPr>
        <w:t>means the United States of America.</w:t>
      </w:r>
    </w:p>
    <w:p>
      <w:pPr>
        <w:spacing w:after="0" w:line="206" w:lineRule="exact"/>
        <w:rPr>
          <w:sz w:val="20"/>
          <w:szCs w:val="20"/>
          <w:color w:val="auto"/>
        </w:rPr>
      </w:pPr>
    </w:p>
    <w:p>
      <w:pPr>
        <w:jc w:val="both"/>
        <w:ind w:firstLine="618"/>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U.S. Government Securities Business Day </w:t>
      </w:r>
      <w:r>
        <w:rPr>
          <w:rFonts w:ascii="Times New Roman" w:cs="Times New Roman" w:eastAsia="Times New Roman" w:hAnsi="Times New Roman"/>
          <w:sz w:val="19"/>
          <w:szCs w:val="19"/>
          <w:color w:val="auto"/>
        </w:rPr>
        <w:t>means any day except for (a) a Saturday, (b) a Sunday or (c) a day on which the Securities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Industry and Financial Markets Association recommends that the fixed income departments of its members be closed for the entire day for purposes of trading in United States government securities.</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U.S. Person </w:t>
      </w:r>
      <w:r>
        <w:rPr>
          <w:rFonts w:ascii="Times New Roman" w:cs="Times New Roman" w:eastAsia="Times New Roman" w:hAnsi="Times New Roman"/>
          <w:sz w:val="19"/>
          <w:szCs w:val="19"/>
          <w:color w:val="auto"/>
        </w:rPr>
        <w:t>means any Person that is a “</w:t>
      </w:r>
      <w:r>
        <w:rPr>
          <w:rFonts w:ascii="Times New Roman" w:cs="Times New Roman" w:eastAsia="Times New Roman" w:hAnsi="Times New Roman"/>
          <w:sz w:val="19"/>
          <w:szCs w:val="19"/>
          <w:i w:val="1"/>
          <w:iCs w:val="1"/>
          <w:color w:val="auto"/>
        </w:rPr>
        <w:t>United States Person</w:t>
      </w:r>
      <w:r>
        <w:rPr>
          <w:rFonts w:ascii="Times New Roman" w:cs="Times New Roman" w:eastAsia="Times New Roman" w:hAnsi="Times New Roman"/>
          <w:sz w:val="19"/>
          <w:szCs w:val="19"/>
          <w:color w:val="auto"/>
        </w:rPr>
        <w:t>” as defined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Section 7701(a)(30)</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 Code</w:t>
      </w:r>
      <w:r>
        <w:rPr>
          <w:rFonts w:ascii="Times New Roman" w:cs="Times New Roman" w:eastAsia="Times New Roman" w:hAnsi="Times New Roman"/>
          <w:sz w:val="19"/>
          <w:szCs w:val="19"/>
          <w:i w:val="1"/>
          <w:iCs w:val="1"/>
          <w:color w:val="auto"/>
        </w:rPr>
        <w: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U.S. Tax Compliance Certificate </w:t>
      </w:r>
      <w:r>
        <w:rPr>
          <w:rFonts w:ascii="Times New Roman" w:cs="Times New Roman" w:eastAsia="Times New Roman" w:hAnsi="Times New Roman"/>
          <w:sz w:val="19"/>
          <w:szCs w:val="19"/>
          <w:color w:val="auto"/>
        </w:rPr>
        <w:t>has the meaning specified in</w:t>
      </w:r>
      <w:r>
        <w:rPr>
          <w:rFonts w:ascii="Times New Roman" w:cs="Times New Roman" w:eastAsia="Times New Roman" w:hAnsi="Times New Roman"/>
          <w:sz w:val="19"/>
          <w:szCs w:val="19"/>
          <w:b w:val="1"/>
          <w:bCs w:val="1"/>
          <w:i w:val="1"/>
          <w:iCs w:val="1"/>
          <w:color w:val="auto"/>
        </w:rPr>
        <w:t xml:space="preserve"> Section 4.1(e)(ii)(B)(III)</w:t>
      </w:r>
      <w:r>
        <w:rPr>
          <w:rFonts w:ascii="Times New Roman" w:cs="Times New Roman" w:eastAsia="Times New Roman" w:hAnsi="Times New Roman"/>
          <w:sz w:val="19"/>
          <w:szCs w:val="19"/>
          <w:i w:val="1"/>
          <w:iCs w:val="1"/>
          <w:color w:val="auto"/>
        </w:rPr>
        <w:t>.</w:t>
      </w:r>
    </w:p>
    <w:p>
      <w:pPr>
        <w:spacing w:after="0" w:line="206" w:lineRule="exact"/>
        <w:rPr>
          <w:sz w:val="20"/>
          <w:szCs w:val="20"/>
          <w:color w:val="auto"/>
        </w:rPr>
      </w:pPr>
    </w:p>
    <w:p>
      <w:pPr>
        <w:jc w:val="both"/>
        <w:ind w:firstLine="618"/>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Vail Bonds </w:t>
      </w:r>
      <w:r>
        <w:rPr>
          <w:rFonts w:ascii="Times New Roman" w:cs="Times New Roman" w:eastAsia="Times New Roman" w:hAnsi="Times New Roman"/>
          <w:sz w:val="19"/>
          <w:szCs w:val="19"/>
          <w:color w:val="auto"/>
        </w:rPr>
        <w:t>means the Eagle County, Colorado Sports Facilities Revenue Refunding Bonds Series 1998, in the original principal amount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$41,200,000, and any refinancing thereof to the extent the structure of any such refinancing is substantially similar to the structure of the Debt refinanced thereby, and the principal amount refinanced does not exceed the original principal amount of such Debt.</w:t>
      </w:r>
    </w:p>
    <w:p>
      <w:pPr>
        <w:spacing w:after="0" w:line="146"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Vail Summit Resorts </w:t>
      </w:r>
      <w:r>
        <w:rPr>
          <w:rFonts w:ascii="Times New Roman" w:cs="Times New Roman" w:eastAsia="Times New Roman" w:hAnsi="Times New Roman"/>
          <w:sz w:val="19"/>
          <w:szCs w:val="19"/>
          <w:color w:val="auto"/>
        </w:rPr>
        <w:t>means Vail Summit Resorts, Inc. (f/k/a “</w:t>
      </w:r>
      <w:r>
        <w:rPr>
          <w:rFonts w:ascii="Times New Roman" w:cs="Times New Roman" w:eastAsia="Times New Roman" w:hAnsi="Times New Roman"/>
          <w:sz w:val="19"/>
          <w:szCs w:val="19"/>
          <w:i w:val="1"/>
          <w:iCs w:val="1"/>
          <w:color w:val="auto"/>
        </w:rPr>
        <w:t>Ralston Resorts, Inc.</w:t>
      </w:r>
      <w:r>
        <w:rPr>
          <w:rFonts w:ascii="Times New Roman" w:cs="Times New Roman" w:eastAsia="Times New Roman" w:hAnsi="Times New Roman"/>
          <w:sz w:val="19"/>
          <w:szCs w:val="19"/>
          <w:color w:val="auto"/>
        </w:rPr>
        <w:t>”), a Colorado corporation and a Wholly Owned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Subsidiary of Borrower.</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VHF B.V. </w:t>
      </w:r>
      <w:r>
        <w:rPr>
          <w:rFonts w:ascii="Times New Roman" w:cs="Times New Roman" w:eastAsia="Times New Roman" w:hAnsi="Times New Roman"/>
          <w:sz w:val="19"/>
          <w:szCs w:val="19"/>
          <w:color w:val="auto"/>
        </w:rPr>
        <w:t>means Vail Holdings Finance, B.V., a besloten vennootschap existing under the Laws of The Netherlands.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VRI </w:t>
      </w:r>
      <w:r>
        <w:rPr>
          <w:rFonts w:ascii="Times New Roman" w:cs="Times New Roman" w:eastAsia="Times New Roman" w:hAnsi="Times New Roman"/>
          <w:sz w:val="19"/>
          <w:szCs w:val="19"/>
          <w:color w:val="auto"/>
        </w:rPr>
        <w:t>means Vail Resorts, Inc., a Delaware corporation and the direct owner of Borrower.</w:t>
      </w:r>
    </w:p>
    <w:p>
      <w:pPr>
        <w:spacing w:after="0" w:line="219"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Water Rights </w:t>
      </w:r>
      <w:r>
        <w:rPr>
          <w:rFonts w:ascii="Times New Roman" w:cs="Times New Roman" w:eastAsia="Times New Roman" w:hAnsi="Times New Roman"/>
          <w:sz w:val="19"/>
          <w:szCs w:val="19"/>
          <w:color w:val="auto"/>
        </w:rPr>
        <w:t>means all water rights and conditional water rights that are appurtenant to real property owned by the Companies or that have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been used or are intended for use in connection with the conduct of the business of the Companies, including but not limited to (a) ditch, well, pipeline, spring, and reservoir rights, whether or not adjudicated or evidenced by any well or other permit, (b) all rights with respect to groundwater underlying any real property owned by the Companies, (c) any permit to construct any water well, water from which is intended to be used in connection with such real property, and (d) all right, title, and interest of the Companies under any decreed or pending plan of augmentation or water exchange plan.</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WBHI </w:t>
      </w:r>
      <w:r>
        <w:rPr>
          <w:rFonts w:ascii="Times New Roman" w:cs="Times New Roman" w:eastAsia="Times New Roman" w:hAnsi="Times New Roman"/>
          <w:sz w:val="19"/>
          <w:szCs w:val="19"/>
          <w:color w:val="auto"/>
        </w:rPr>
        <w:t>means Whistler Blackcomb Holdings Inc., a corporation existing under the Laws of the Province of British Columbia.</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Whistler Acquisition </w:t>
      </w:r>
      <w:r>
        <w:rPr>
          <w:rFonts w:ascii="Times New Roman" w:cs="Times New Roman" w:eastAsia="Times New Roman" w:hAnsi="Times New Roman"/>
          <w:sz w:val="19"/>
          <w:szCs w:val="19"/>
          <w:color w:val="auto"/>
        </w:rPr>
        <w:t>means the acquisition of WBHI by VRI pursuant to the Whistler Acquisition Agreement.</w:t>
      </w:r>
    </w:p>
    <w:p>
      <w:pPr>
        <w:spacing w:after="0" w:line="206"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Whistler Acquisition Agreement </w:t>
      </w:r>
      <w:r>
        <w:rPr>
          <w:rFonts w:ascii="Times New Roman" w:cs="Times New Roman" w:eastAsia="Times New Roman" w:hAnsi="Times New Roman"/>
          <w:sz w:val="19"/>
          <w:szCs w:val="19"/>
          <w:color w:val="auto"/>
        </w:rPr>
        <w:t>means the Arrangement Agreement, dated as of August 5, 2016 by and among WBHI, VRI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Exchangeco.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35</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15" w:lineRule="exact"/>
        <w:rPr>
          <w:sz w:val="20"/>
          <w:szCs w:val="20"/>
          <w:color w:val="auto"/>
        </w:rPr>
      </w:pPr>
    </w:p>
    <w:p>
      <w:pPr>
        <w:jc w:val="both"/>
        <w:ind w:firstLine="618"/>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 xml:space="preserve">Whistler Acquisition Subsidiaries </w:t>
      </w:r>
      <w:r>
        <w:rPr>
          <w:rFonts w:ascii="Times New Roman" w:cs="Times New Roman" w:eastAsia="Times New Roman" w:hAnsi="Times New Roman"/>
          <w:sz w:val="19"/>
          <w:szCs w:val="19"/>
          <w:color w:val="auto"/>
        </w:rPr>
        <w:t>means, collectively, VHF B.V. and any direct or indirect Subsidiary of Borrower not organized under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Laws of the United States that owns a direct or indirect Equity Interest in WBHI.</w:t>
      </w:r>
    </w:p>
    <w:p>
      <w:pPr>
        <w:spacing w:after="0" w:line="131"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Wholly Owned </w:t>
      </w:r>
      <w:r>
        <w:rPr>
          <w:rFonts w:ascii="Times New Roman" w:cs="Times New Roman" w:eastAsia="Times New Roman" w:hAnsi="Times New Roman"/>
          <w:sz w:val="19"/>
          <w:szCs w:val="19"/>
          <w:color w:val="auto"/>
        </w:rPr>
        <w:t>when used in connection with any Subsidiary means any corporation, partnership, limited liability company, or other entity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which all of the equity securities or other ownership interests are owned, directly or indirectly, by VRI, Borrower, or one or more of their Wholly Owned Restricted Subsidiaries.</w:t>
      </w:r>
    </w:p>
    <w:p>
      <w:pPr>
        <w:spacing w:after="0" w:line="168"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Write-Down and Conversion Powers </w:t>
      </w:r>
      <w:r>
        <w:rPr>
          <w:rFonts w:ascii="Times New Roman" w:cs="Times New Roman" w:eastAsia="Times New Roman" w:hAnsi="Times New Roman"/>
          <w:sz w:val="19"/>
          <w:szCs w:val="19"/>
          <w:color w:val="auto"/>
        </w:rPr>
        <w:t>means, (a) with respect to any EEA Resolution Authority, the write-down and conversion powers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1.2</w:t>
      </w:r>
      <w:r>
        <w:rPr>
          <w:sz w:val="20"/>
          <w:szCs w:val="20"/>
          <w:color w:val="auto"/>
        </w:rPr>
        <w:tab/>
      </w:r>
      <w:r>
        <w:rPr>
          <w:rFonts w:ascii="Times New Roman" w:cs="Times New Roman" w:eastAsia="Times New Roman" w:hAnsi="Times New Roman"/>
          <w:sz w:val="18"/>
          <w:szCs w:val="18"/>
          <w:u w:val="single" w:color="auto"/>
          <w:color w:val="auto"/>
        </w:rPr>
        <w:t>Number and Gender of Words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1640" w:hanging="401"/>
        <w:spacing w:after="0"/>
        <w:tabs>
          <w:tab w:leader="none" w:pos="16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meanings of defined terms are equally applicable to the singular and plural forms of the defined terms.</w:t>
      </w:r>
    </w:p>
    <w:p>
      <w:pPr>
        <w:spacing w:after="0" w:line="202" w:lineRule="exact"/>
        <w:rPr>
          <w:rFonts w:ascii="Times New Roman" w:cs="Times New Roman" w:eastAsia="Times New Roman" w:hAnsi="Times New Roman"/>
          <w:sz w:val="19"/>
          <w:szCs w:val="19"/>
          <w:color w:val="auto"/>
        </w:rPr>
      </w:pPr>
    </w:p>
    <w:p>
      <w:pPr>
        <w:ind w:left="620" w:firstLine="619"/>
        <w:spacing w:after="0" w:line="287" w:lineRule="auto"/>
        <w:tabs>
          <w:tab w:leader="none" w:pos="1657"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words “</w:t>
      </w:r>
      <w:r>
        <w:rPr>
          <w:rFonts w:ascii="Times New Roman" w:cs="Times New Roman" w:eastAsia="Times New Roman" w:hAnsi="Times New Roman"/>
          <w:sz w:val="19"/>
          <w:szCs w:val="19"/>
          <w:i w:val="1"/>
          <w:iCs w:val="1"/>
          <w:color w:val="auto"/>
        </w:rPr>
        <w:t>herein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hereto</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hereof,</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hereunder</w:t>
      </w:r>
      <w:r>
        <w:rPr>
          <w:rFonts w:ascii="Times New Roman" w:cs="Times New Roman" w:eastAsia="Times New Roman" w:hAnsi="Times New Roman"/>
          <w:sz w:val="19"/>
          <w:szCs w:val="19"/>
          <w:color w:val="auto"/>
        </w:rPr>
        <w:t>” and words of similar import when used in any Loan Paper shall refer to such Loan Paper as a whole and not to any particular provision thereof.</w:t>
      </w:r>
    </w:p>
    <w:p>
      <w:pPr>
        <w:spacing w:after="0" w:line="151" w:lineRule="exact"/>
        <w:rPr>
          <w:rFonts w:ascii="Times New Roman" w:cs="Times New Roman" w:eastAsia="Times New Roman" w:hAnsi="Times New Roman"/>
          <w:sz w:val="19"/>
          <w:szCs w:val="19"/>
          <w:color w:val="auto"/>
        </w:rPr>
      </w:pPr>
    </w:p>
    <w:p>
      <w:pPr>
        <w:ind w:left="2260" w:hanging="403"/>
        <w:spacing w:after="0"/>
        <w:tabs>
          <w:tab w:leader="none" w:pos="2260"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Article, Section, Exhibit, and Schedule references are to the Loan Papers in which such reference appears.</w:t>
      </w:r>
    </w:p>
    <w:p>
      <w:pPr>
        <w:spacing w:after="0" w:line="202" w:lineRule="exact"/>
        <w:rPr>
          <w:rFonts w:ascii="Times New Roman" w:cs="Times New Roman" w:eastAsia="Times New Roman" w:hAnsi="Times New Roman"/>
          <w:sz w:val="19"/>
          <w:szCs w:val="19"/>
          <w:color w:val="auto"/>
        </w:rPr>
      </w:pPr>
    </w:p>
    <w:p>
      <w:pPr>
        <w:ind w:left="2320" w:hanging="463"/>
        <w:spacing w:after="0"/>
        <w:tabs>
          <w:tab w:leader="none" w:pos="2320"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i w:val="1"/>
          <w:iCs w:val="1"/>
          <w:color w:val="auto"/>
        </w:rPr>
        <w:t>including</w:t>
      </w:r>
      <w:r>
        <w:rPr>
          <w:rFonts w:ascii="Times New Roman" w:cs="Times New Roman" w:eastAsia="Times New Roman" w:hAnsi="Times New Roman"/>
          <w:sz w:val="19"/>
          <w:szCs w:val="19"/>
          <w:color w:val="auto"/>
        </w:rPr>
        <w:t>” is by way of example and not limitation.</w:t>
      </w:r>
    </w:p>
    <w:p>
      <w:pPr>
        <w:spacing w:after="0" w:line="219" w:lineRule="exact"/>
        <w:rPr>
          <w:rFonts w:ascii="Times New Roman" w:cs="Times New Roman" w:eastAsia="Times New Roman" w:hAnsi="Times New Roman"/>
          <w:sz w:val="19"/>
          <w:szCs w:val="19"/>
          <w:color w:val="auto"/>
        </w:rPr>
      </w:pPr>
    </w:p>
    <w:p>
      <w:pPr>
        <w:ind w:left="1240" w:firstLine="617"/>
        <w:spacing w:after="0" w:line="273" w:lineRule="auto"/>
        <w:tabs>
          <w:tab w:leader="none" w:pos="2350"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w:t>
      </w:r>
      <w:r>
        <w:rPr>
          <w:rFonts w:ascii="Times New Roman" w:cs="Times New Roman" w:eastAsia="Times New Roman" w:hAnsi="Times New Roman"/>
          <w:sz w:val="19"/>
          <w:szCs w:val="19"/>
          <w:i w:val="1"/>
          <w:iCs w:val="1"/>
          <w:color w:val="auto"/>
        </w:rPr>
        <w:t>documents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papers</w:t>
      </w:r>
      <w:r>
        <w:rPr>
          <w:rFonts w:ascii="Times New Roman" w:cs="Times New Roman" w:eastAsia="Times New Roman" w:hAnsi="Times New Roman"/>
          <w:sz w:val="19"/>
          <w:szCs w:val="19"/>
          <w:color w:val="auto"/>
        </w:rPr>
        <w:t>” includes any and all instruments, documents, agreements, certificates, notices, reports, financial statements, and other writings, however evidenced, whether in physical or electronic form.</w:t>
      </w:r>
    </w:p>
    <w:p>
      <w:pPr>
        <w:spacing w:after="0" w:line="159" w:lineRule="exact"/>
        <w:rPr>
          <w:rFonts w:ascii="Times New Roman" w:cs="Times New Roman" w:eastAsia="Times New Roman" w:hAnsi="Times New Roman"/>
          <w:sz w:val="19"/>
          <w:szCs w:val="19"/>
          <w:color w:val="auto"/>
        </w:rPr>
      </w:pPr>
    </w:p>
    <w:p>
      <w:pPr>
        <w:ind w:left="620" w:firstLine="619"/>
        <w:spacing w:after="0" w:line="273" w:lineRule="auto"/>
        <w:tabs>
          <w:tab w:leader="none" w:pos="1746"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computation of periods of time from a specified date to a later specified date, the word “</w:t>
      </w:r>
      <w:r>
        <w:rPr>
          <w:rFonts w:ascii="Times New Roman" w:cs="Times New Roman" w:eastAsia="Times New Roman" w:hAnsi="Times New Roman"/>
          <w:sz w:val="19"/>
          <w:szCs w:val="19"/>
          <w:i w:val="1"/>
          <w:iCs w:val="1"/>
          <w:color w:val="auto"/>
        </w:rPr>
        <w:t>from</w:t>
      </w:r>
      <w:r>
        <w:rPr>
          <w:rFonts w:ascii="Times New Roman" w:cs="Times New Roman" w:eastAsia="Times New Roman" w:hAnsi="Times New Roman"/>
          <w:sz w:val="19"/>
          <w:szCs w:val="19"/>
          <w:color w:val="auto"/>
        </w:rPr>
        <w:t>” means “</w:t>
      </w:r>
      <w:r>
        <w:rPr>
          <w:rFonts w:ascii="Times New Roman" w:cs="Times New Roman" w:eastAsia="Times New Roman" w:hAnsi="Times New Roman"/>
          <w:sz w:val="19"/>
          <w:szCs w:val="19"/>
          <w:i w:val="1"/>
          <w:iCs w:val="1"/>
          <w:color w:val="auto"/>
        </w:rPr>
        <w:t>from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including</w:t>
      </w:r>
      <w:r>
        <w:rPr>
          <w:rFonts w:ascii="Times New Roman" w:cs="Times New Roman" w:eastAsia="Times New Roman" w:hAnsi="Times New Roman"/>
          <w:sz w:val="19"/>
          <w:szCs w:val="19"/>
          <w:color w:val="auto"/>
        </w:rPr>
        <w:t>”; the words “</w:t>
      </w:r>
      <w:r>
        <w:rPr>
          <w:rFonts w:ascii="Times New Roman" w:cs="Times New Roman" w:eastAsia="Times New Roman" w:hAnsi="Times New Roman"/>
          <w:sz w:val="19"/>
          <w:szCs w:val="19"/>
          <w:i w:val="1"/>
          <w:iCs w:val="1"/>
          <w:color w:val="auto"/>
        </w:rPr>
        <w:t>to</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until</w:t>
      </w:r>
      <w:r>
        <w:rPr>
          <w:rFonts w:ascii="Times New Roman" w:cs="Times New Roman" w:eastAsia="Times New Roman" w:hAnsi="Times New Roman"/>
          <w:sz w:val="19"/>
          <w:szCs w:val="19"/>
          <w:color w:val="auto"/>
        </w:rPr>
        <w:t>” each mean “</w:t>
      </w:r>
      <w:r>
        <w:rPr>
          <w:rFonts w:ascii="Times New Roman" w:cs="Times New Roman" w:eastAsia="Times New Roman" w:hAnsi="Times New Roman"/>
          <w:sz w:val="19"/>
          <w:szCs w:val="19"/>
          <w:i w:val="1"/>
          <w:iCs w:val="1"/>
          <w:color w:val="auto"/>
        </w:rPr>
        <w:t>to but excluding</w:t>
      </w:r>
      <w:r>
        <w:rPr>
          <w:rFonts w:ascii="Times New Roman" w:cs="Times New Roman" w:eastAsia="Times New Roman" w:hAnsi="Times New Roman"/>
          <w:sz w:val="19"/>
          <w:szCs w:val="19"/>
          <w:color w:val="auto"/>
        </w:rPr>
        <w:t>”; and the word “</w:t>
      </w:r>
      <w:r>
        <w:rPr>
          <w:rFonts w:ascii="Times New Roman" w:cs="Times New Roman" w:eastAsia="Times New Roman" w:hAnsi="Times New Roman"/>
          <w:sz w:val="19"/>
          <w:szCs w:val="19"/>
          <w:i w:val="1"/>
          <w:iCs w:val="1"/>
          <w:color w:val="auto"/>
        </w:rPr>
        <w:t>through</w:t>
      </w:r>
      <w:r>
        <w:rPr>
          <w:rFonts w:ascii="Times New Roman" w:cs="Times New Roman" w:eastAsia="Times New Roman" w:hAnsi="Times New Roman"/>
          <w:sz w:val="19"/>
          <w:szCs w:val="19"/>
          <w:color w:val="auto"/>
        </w:rPr>
        <w:t>” means “</w:t>
      </w:r>
      <w:r>
        <w:rPr>
          <w:rFonts w:ascii="Times New Roman" w:cs="Times New Roman" w:eastAsia="Times New Roman" w:hAnsi="Times New Roman"/>
          <w:sz w:val="19"/>
          <w:szCs w:val="19"/>
          <w:i w:val="1"/>
          <w:iCs w:val="1"/>
          <w:color w:val="auto"/>
        </w:rPr>
        <w:t>to and including</w:t>
      </w: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ind w:left="620" w:firstLine="619"/>
        <w:spacing w:after="0" w:line="282" w:lineRule="auto"/>
        <w:tabs>
          <w:tab w:leader="none" w:pos="1688"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headings herein and in the other Loan Papers are included for convenience of reference only and shall not affect the interpretation of this Agreement or any other Loan Papers.</w:t>
      </w:r>
    </w:p>
    <w:p>
      <w:pPr>
        <w:spacing w:after="0" w:line="14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1.3</w:t>
      </w:r>
      <w:r>
        <w:rPr>
          <w:sz w:val="20"/>
          <w:szCs w:val="20"/>
          <w:color w:val="auto"/>
        </w:rPr>
        <w:tab/>
      </w:r>
      <w:r>
        <w:rPr>
          <w:rFonts w:ascii="Times New Roman" w:cs="Times New Roman" w:eastAsia="Times New Roman" w:hAnsi="Times New Roman"/>
          <w:sz w:val="18"/>
          <w:szCs w:val="18"/>
          <w:u w:val="single" w:color="auto"/>
          <w:color w:val="auto"/>
        </w:rPr>
        <w:t>Accounting Principles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20" w:firstLine="619"/>
        <w:spacing w:after="0" w:line="268" w:lineRule="auto"/>
        <w:tabs>
          <w:tab w:leader="none" w:pos="1796"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the Loan Papers and any documents delivered thereunder, unless otherwise stated, (i) all accounting terms not specifically or completely defined herein shall be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36</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22" w:lineRule="exact"/>
        <w:rPr>
          <w:sz w:val="20"/>
          <w:szCs w:val="20"/>
          <w:color w:val="auto"/>
        </w:rPr>
      </w:pPr>
    </w:p>
    <w:p>
      <w:pPr>
        <w:jc w:val="both"/>
        <w:ind w:left="620"/>
        <w:spacing w:after="0" w:line="252" w:lineRule="auto"/>
        <w:rPr>
          <w:sz w:val="20"/>
          <w:szCs w:val="20"/>
          <w:color w:val="auto"/>
        </w:rPr>
      </w:pPr>
      <w:r>
        <w:rPr>
          <w:rFonts w:ascii="Times New Roman" w:cs="Times New Roman" w:eastAsia="Times New Roman" w:hAnsi="Times New Roman"/>
          <w:sz w:val="19"/>
          <w:szCs w:val="19"/>
          <w:color w:val="auto"/>
        </w:rPr>
        <w:t xml:space="preserve">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delivered pursuant to </w:t>
      </w:r>
      <w:r>
        <w:rPr>
          <w:rFonts w:ascii="Times New Roman" w:cs="Times New Roman" w:eastAsia="Times New Roman" w:hAnsi="Times New Roman"/>
          <w:sz w:val="19"/>
          <w:szCs w:val="19"/>
          <w:b w:val="1"/>
          <w:bCs w:val="1"/>
          <w:i w:val="1"/>
          <w:iCs w:val="1"/>
          <w:color w:val="auto"/>
        </w:rPr>
        <w:t>Section 9.1</w:t>
      </w:r>
      <w:r>
        <w:rPr>
          <w:rFonts w:ascii="Times New Roman" w:cs="Times New Roman" w:eastAsia="Times New Roman" w:hAnsi="Times New Roman"/>
          <w:sz w:val="19"/>
          <w:szCs w:val="19"/>
          <w:color w:val="auto"/>
        </w:rPr>
        <w:t>, (ii) all accounting principles applied in a current period must be comparable in all material respects to those applied during the preceding comparable period, and (iii) while VRI has any consolidated Restricted Subsidiaries, all accounting and financial terms and compliance with financial covenants must be on a consolidating and consolidated basis, as applicable. Notwithstanding the foregoing, for purposes of determining compliance with any covenant (including the computation of any financial covenant) contained herein, Debt of the Companies shall be deemed to be carried at 100% of the outstanding principal amount thereof, and the effects of FASB ASC 825 and FASB ASC 470-20 on financial liabilities shall be disregarded.</w:t>
      </w:r>
    </w:p>
    <w:p>
      <w:pPr>
        <w:spacing w:after="0" w:line="176" w:lineRule="exact"/>
        <w:rPr>
          <w:sz w:val="20"/>
          <w:szCs w:val="20"/>
          <w:color w:val="auto"/>
        </w:rPr>
      </w:pPr>
    </w:p>
    <w:p>
      <w:pPr>
        <w:jc w:val="both"/>
        <w:ind w:left="620" w:firstLine="619"/>
        <w:spacing w:after="0" w:line="254" w:lineRule="auto"/>
        <w:tabs>
          <w:tab w:leader="none" w:pos="168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at any time any change in GAAP would affect the computation of any financial ratio or requirement set forth in any Loan Paper, and either Borrower or Required Lenders shall so request, Administrative Agent, Lenders, and Borrower shall negotiate in good faith to amend such ratio or requirement to preserve the original intent thereof in light of such change in GAAP (subject to the approval of Required Lenders);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until so amended, (i) such ratio or requirement shall continue to be computed in accordance with GAAP prior to such change therein, and (ii) Borrower shall provide to Administrative Agent and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4" w:lineRule="exact"/>
        <w:rPr>
          <w:rFonts w:ascii="Times New Roman" w:cs="Times New Roman" w:eastAsia="Times New Roman" w:hAnsi="Times New Roman"/>
          <w:sz w:val="19"/>
          <w:szCs w:val="19"/>
          <w:color w:val="auto"/>
        </w:rPr>
      </w:pPr>
    </w:p>
    <w:p>
      <w:pPr>
        <w:jc w:val="both"/>
        <w:ind w:left="620" w:firstLine="619"/>
        <w:spacing w:after="0" w:line="252" w:lineRule="auto"/>
        <w:tabs>
          <w:tab w:leader="none" w:pos="1673"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references herein to consolidated financial statements of VRI and its Subsidiaries or its Restricted Subsidiaries, or to the determination of “</w:t>
      </w:r>
      <w:r>
        <w:rPr>
          <w:rFonts w:ascii="Times New Roman" w:cs="Times New Roman" w:eastAsia="Times New Roman" w:hAnsi="Times New Roman"/>
          <w:sz w:val="19"/>
          <w:szCs w:val="19"/>
          <w:i w:val="1"/>
          <w:iCs w:val="1"/>
          <w:color w:val="auto"/>
        </w:rPr>
        <w:t>Adjusted EBITDA</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i w:val="1"/>
          <w:iCs w:val="1"/>
          <w:color w:val="auto"/>
        </w:rPr>
        <w:t>Funded Debt</w:t>
      </w:r>
      <w:r>
        <w:rPr>
          <w:rFonts w:ascii="Times New Roman" w:cs="Times New Roman" w:eastAsia="Times New Roman" w:hAnsi="Times New Roman"/>
          <w:sz w:val="19"/>
          <w:szCs w:val="19"/>
          <w:color w:val="auto"/>
        </w:rPr>
        <w:t xml:space="preserve">” for VRI and its Subsidiaries or its Restricted Subsidiaries on a consolidated basis, or any similar reference, shall, in each case, be deemed to include each variable interest entity that VRI is required to consolidate pursuant to FASB Interpretation No. 46 – Consolidation of Variable Interest Entities: an interpretation of ARB No. 51 (January 2003) or is otherwise required to consolidate in accordance with GAAP;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in determining such amounts, (i) the Funded Debt and Adjusted EBITDA of the Existing Housing Districts in respect of the Existing Housing Bonds shall be excluded, and (ii) the Funded Debt and Adjusted EBITDA of the Existing Metro Districts in respect of any Bonds issued prior to January 28, 2005 (the date of the Existing Agreement) shall be excluded.</w:t>
      </w:r>
    </w:p>
    <w:p>
      <w:pPr>
        <w:spacing w:after="0" w:line="173" w:lineRule="exact"/>
        <w:rPr>
          <w:rFonts w:ascii="Times New Roman" w:cs="Times New Roman" w:eastAsia="Times New Roman" w:hAnsi="Times New Roman"/>
          <w:sz w:val="19"/>
          <w:szCs w:val="19"/>
          <w:color w:val="auto"/>
        </w:rPr>
      </w:pPr>
    </w:p>
    <w:p>
      <w:pPr>
        <w:jc w:val="both"/>
        <w:ind w:left="620" w:firstLine="619"/>
        <w:spacing w:after="0" w:line="261" w:lineRule="auto"/>
        <w:tabs>
          <w:tab w:leader="none" w:pos="1677"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non-cash reduction in Net Income as a result of an increase in the liability of participating rent under the Canyons-Park City Lease will be treated as a Non-Cash Operating Charge for purposes of the calculation of “</w:t>
      </w:r>
      <w:r>
        <w:rPr>
          <w:rFonts w:ascii="Times New Roman" w:cs="Times New Roman" w:eastAsia="Times New Roman" w:hAnsi="Times New Roman"/>
          <w:sz w:val="19"/>
          <w:szCs w:val="19"/>
          <w:i w:val="1"/>
          <w:iCs w:val="1"/>
          <w:color w:val="auto"/>
        </w:rPr>
        <w:t>EBITDA</w:t>
      </w:r>
      <w:r>
        <w:rPr>
          <w:rFonts w:ascii="Times New Roman" w:cs="Times New Roman" w:eastAsia="Times New Roman" w:hAnsi="Times New Roman"/>
          <w:sz w:val="19"/>
          <w:szCs w:val="19"/>
          <w:color w:val="auto"/>
        </w:rPr>
        <w:t>” and shall not be considered interest expense for any purpose under this Agreement.</w:t>
      </w:r>
    </w:p>
    <w:p>
      <w:pPr>
        <w:spacing w:after="0" w:line="176"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1.4 </w:t>
      </w:r>
      <w:r>
        <w:rPr>
          <w:rFonts w:ascii="Times New Roman" w:cs="Times New Roman" w:eastAsia="Times New Roman" w:hAnsi="Times New Roman"/>
          <w:sz w:val="19"/>
          <w:szCs w:val="19"/>
          <w:u w:val="single" w:color="auto"/>
          <w:color w:val="auto"/>
        </w:rPr>
        <w:t>Rounding</w:t>
      </w:r>
      <w:r>
        <w:rPr>
          <w:rFonts w:ascii="Times New Roman" w:cs="Times New Roman" w:eastAsia="Times New Roman" w:hAnsi="Times New Roman"/>
          <w:sz w:val="19"/>
          <w:szCs w:val="19"/>
          <w:color w:val="auto"/>
        </w:rPr>
        <w:t>. Any financial ratios required to be maintained by the Companies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 xml:space="preserve">1.5 </w:t>
      </w:r>
      <w:r>
        <w:rPr>
          <w:rFonts w:ascii="Times New Roman" w:cs="Times New Roman" w:eastAsia="Times New Roman" w:hAnsi="Times New Roman"/>
          <w:sz w:val="19"/>
          <w:szCs w:val="19"/>
          <w:u w:val="single" w:color="auto"/>
          <w:color w:val="auto"/>
        </w:rPr>
        <w:t>References to Agreements and Laws</w:t>
      </w:r>
      <w:r>
        <w:rPr>
          <w:rFonts w:ascii="Times New Roman" w:cs="Times New Roman" w:eastAsia="Times New Roman" w:hAnsi="Times New Roman"/>
          <w:sz w:val="19"/>
          <w:szCs w:val="19"/>
          <w:color w:val="auto"/>
        </w:rPr>
        <w:t>. Unless otherwise expressly provided herein, (a) references to organization documents, agreements (including the Loan Papers), and other contractual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37</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instruments shall be deemed to include all subsequent amendments, restatements, extensions, supplements, and other modifications thereto, but only to the extent that such amendments, restatements, extensions, supplements, and other modifications are not prohibited by any Loan Papers, and (b) references to any Law shall include all statutory and regulatory provisions consolidating, amending, replacing, supplementing, or interpreting such Law.</w:t>
      </w:r>
    </w:p>
    <w:p>
      <w:pPr>
        <w:spacing w:after="0" w:line="164"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1.6 </w:t>
      </w:r>
      <w:r>
        <w:rPr>
          <w:rFonts w:ascii="Times New Roman" w:cs="Times New Roman" w:eastAsia="Times New Roman" w:hAnsi="Times New Roman"/>
          <w:sz w:val="19"/>
          <w:szCs w:val="19"/>
          <w:u w:val="single" w:color="auto"/>
          <w:color w:val="auto"/>
        </w:rPr>
        <w:t>Times of Day</w:t>
      </w:r>
      <w:r>
        <w:rPr>
          <w:rFonts w:ascii="Times New Roman" w:cs="Times New Roman" w:eastAsia="Times New Roman" w:hAnsi="Times New Roman"/>
          <w:sz w:val="19"/>
          <w:szCs w:val="19"/>
          <w:color w:val="auto"/>
        </w:rPr>
        <w:t>. Unless otherwise specified, all references herein to times of day shall be references to Central time (daylight or standard, as applicable).</w:t>
      </w:r>
    </w:p>
    <w:p>
      <w:pPr>
        <w:spacing w:after="0" w:line="156"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1.7 </w:t>
      </w:r>
      <w:r>
        <w:rPr>
          <w:rFonts w:ascii="Times New Roman" w:cs="Times New Roman" w:eastAsia="Times New Roman" w:hAnsi="Times New Roman"/>
          <w:sz w:val="19"/>
          <w:szCs w:val="19"/>
          <w:u w:val="single" w:color="auto"/>
          <w:color w:val="auto"/>
        </w:rPr>
        <w:t>L/C Amounts</w:t>
      </w:r>
      <w:r>
        <w:rPr>
          <w:rFonts w:ascii="Times New Roman" w:cs="Times New Roman" w:eastAsia="Times New Roman" w:hAnsi="Times New Roman"/>
          <w:sz w:val="19"/>
          <w:szCs w:val="19"/>
          <w:color w:val="auto"/>
        </w:rPr>
        <w:t xml:space="preserve">. Unless otherwise specified, all references herein to the amount of an L/C at any time shall be deemed to mean the Dollar Equivalent of the stated amount of such L/C in effect at such time;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with respect to any L/C that, by its terms or the terms of any Issuer Document related thereto, provides for one or more automatic increases in the stated amount thereof, the amount of such L/C shall be deemed to be the Dollar Equivalent of the maximum stated amount of such L/C after giving effect to all such increases, whether or not such maximum stated amount is in effect at such time.</w:t>
      </w:r>
    </w:p>
    <w:p>
      <w:pPr>
        <w:spacing w:after="0" w:line="183"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19"/>
          <w:szCs w:val="19"/>
          <w:color w:val="auto"/>
        </w:rPr>
        <w:t xml:space="preserve">1.8 </w:t>
      </w:r>
      <w:r>
        <w:rPr>
          <w:rFonts w:ascii="Times New Roman" w:cs="Times New Roman" w:eastAsia="Times New Roman" w:hAnsi="Times New Roman"/>
          <w:sz w:val="19"/>
          <w:szCs w:val="19"/>
          <w:u w:val="single" w:color="auto"/>
          <w:color w:val="auto"/>
        </w:rPr>
        <w:t>Whistler Acquisition Subsidiaries and Peak Acquisition Subsidiaries</w:t>
      </w:r>
      <w:r>
        <w:rPr>
          <w:rFonts w:ascii="Times New Roman" w:cs="Times New Roman" w:eastAsia="Times New Roman" w:hAnsi="Times New Roman"/>
          <w:sz w:val="19"/>
          <w:szCs w:val="19"/>
          <w:color w:val="auto"/>
        </w:rPr>
        <w:t>. Notwithstanding any requirement to the contrary in this Agreement, the Whistler Acquisition Subsidiaries and the Peak Resorts Acquisition Subsidiaries shall be deemed “</w:t>
      </w:r>
      <w:r>
        <w:rPr>
          <w:rFonts w:ascii="Times New Roman" w:cs="Times New Roman" w:eastAsia="Times New Roman" w:hAnsi="Times New Roman"/>
          <w:sz w:val="19"/>
          <w:szCs w:val="19"/>
          <w:i w:val="1"/>
          <w:iCs w:val="1"/>
          <w:color w:val="auto"/>
        </w:rPr>
        <w:t>Unrestricted Subsidiaries</w:t>
      </w:r>
      <w:r>
        <w:rPr>
          <w:rFonts w:ascii="Times New Roman" w:cs="Times New Roman" w:eastAsia="Times New Roman" w:hAnsi="Times New Roman"/>
          <w:sz w:val="19"/>
          <w:szCs w:val="19"/>
          <w:color w:val="auto"/>
        </w:rPr>
        <w:t>”; provided that the Whistler Acquisition Subsidiaries and the Peak Resorts Acquisition Subsidiaries shall be treated as “</w:t>
      </w:r>
      <w:r>
        <w:rPr>
          <w:rFonts w:ascii="Times New Roman" w:cs="Times New Roman" w:eastAsia="Times New Roman" w:hAnsi="Times New Roman"/>
          <w:sz w:val="19"/>
          <w:szCs w:val="19"/>
          <w:i w:val="1"/>
          <w:iCs w:val="1"/>
          <w:color w:val="auto"/>
        </w:rPr>
        <w:t>Restricted Subsidiaries</w:t>
      </w:r>
      <w:r>
        <w:rPr>
          <w:rFonts w:ascii="Times New Roman" w:cs="Times New Roman" w:eastAsia="Times New Roman" w:hAnsi="Times New Roman"/>
          <w:sz w:val="19"/>
          <w:szCs w:val="19"/>
          <w:color w:val="auto"/>
        </w:rPr>
        <w:t xml:space="preserve">” for the purposes of the definition of Adjusted EBITDA for all purposes under this Agreement and Net Funded Debt and interest on Funded Debt attributable to the Whistler Acquisition Subsidiaries and the Peak Resorts Acquisition Subsidiaries shall be included in the calculation of the financial covenants set forth in </w:t>
      </w:r>
      <w:r>
        <w:rPr>
          <w:rFonts w:ascii="Times New Roman" w:cs="Times New Roman" w:eastAsia="Times New Roman" w:hAnsi="Times New Roman"/>
          <w:sz w:val="19"/>
          <w:szCs w:val="19"/>
          <w:b w:val="1"/>
          <w:bCs w:val="1"/>
          <w:i w:val="1"/>
          <w:iCs w:val="1"/>
          <w:color w:val="auto"/>
        </w:rPr>
        <w:t>Sections 11.1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11.2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11.3</w:t>
      </w:r>
      <w:r>
        <w:rPr>
          <w:rFonts w:ascii="Times New Roman" w:cs="Times New Roman" w:eastAsia="Times New Roman" w:hAnsi="Times New Roman"/>
          <w:sz w:val="19"/>
          <w:szCs w:val="19"/>
          <w:color w:val="auto"/>
        </w:rPr>
        <w:t xml:space="preserve"> (provided, in each case, only Borrower’s equity ownership percentage of Adjusted EBITDA, Net Funded Debt and interest on Funded Debt attributable to the Whistler Acquisition Subsidiaries shall be included in such calculation). Borrower shall pledge 65% of the Equity Interest of VHF B.V. and 100% of the Equity Interests of Peak Resorts to Administrative Agent, for the benefit of Lenders.</w:t>
      </w:r>
    </w:p>
    <w:p>
      <w:pPr>
        <w:spacing w:after="0" w:line="18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1.9</w:t>
      </w:r>
      <w:r>
        <w:rPr>
          <w:sz w:val="20"/>
          <w:szCs w:val="20"/>
          <w:color w:val="auto"/>
        </w:rPr>
        <w:tab/>
      </w:r>
      <w:r>
        <w:rPr>
          <w:rFonts w:ascii="Times New Roman" w:cs="Times New Roman" w:eastAsia="Times New Roman" w:hAnsi="Times New Roman"/>
          <w:sz w:val="18"/>
          <w:szCs w:val="18"/>
          <w:u w:val="single" w:color="auto"/>
          <w:color w:val="auto"/>
        </w:rPr>
        <w:t>Rates; Currency Equivalents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firstLine="853"/>
        <w:spacing w:after="0" w:line="254" w:lineRule="auto"/>
        <w:tabs>
          <w:tab w:leader="none" w:pos="1273"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Australian L/C Issuer shall determine the Spot Rates as of each Revaluation Date to be used for calculating Dollar Equivalent amounts of L/C Credit Extensions and Outstanding Amounts denominated in the Alternative Currency. Such Spot Rates shall become effective as of such Revaluation Date and shall be the Spot Rates employed in converting any amounts between the applicable currencies until the next Revaluation Date to occur. Except for purposes of financial statements delivered by Borrower hereunder or calculating financial covenants hereunder or except as otherwise provided herein, the applicable amount of any currency (other than Dollars) for purposes of the Loan Papers shall be such Dollar Equivalent amount as so determined by the Australian L/C Issuer.</w:t>
      </w:r>
    </w:p>
    <w:p>
      <w:pPr>
        <w:spacing w:after="0" w:line="183" w:lineRule="exact"/>
        <w:rPr>
          <w:rFonts w:ascii="Times New Roman" w:cs="Times New Roman" w:eastAsia="Times New Roman" w:hAnsi="Times New Roman"/>
          <w:sz w:val="19"/>
          <w:szCs w:val="19"/>
          <w:color w:val="auto"/>
        </w:rPr>
      </w:pPr>
    </w:p>
    <w:p>
      <w:pPr>
        <w:jc w:val="both"/>
        <w:ind w:firstLine="853"/>
        <w:spacing w:after="0" w:line="259" w:lineRule="auto"/>
        <w:tabs>
          <w:tab w:leader="none" w:pos="1315"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Wherever in this Agreement in connection with the issuance, amendment or extension of an L/C, an amount, such as a required minimum or multiple amount, is expressed in Dollars, but such L/C is denominated in the Alternative Currency, such amount shall be the relevant Alternative Currency Equivalent of such Dollar amount (rounded to the nearest unit of the Alternative Currency, with 0.5 of a unit being rounded upward), as determined by the Australian L/C Issuer.</w:t>
      </w:r>
    </w:p>
    <w:p>
      <w:pPr>
        <w:spacing w:after="0" w:line="164" w:lineRule="exact"/>
        <w:rPr>
          <w:sz w:val="20"/>
          <w:szCs w:val="20"/>
          <w:color w:val="auto"/>
        </w:rPr>
      </w:pPr>
    </w:p>
    <w:p>
      <w:pPr>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1.10 </w:t>
      </w:r>
      <w:r>
        <w:rPr>
          <w:rFonts w:ascii="Times New Roman" w:cs="Times New Roman" w:eastAsia="Times New Roman" w:hAnsi="Times New Roman"/>
          <w:sz w:val="19"/>
          <w:szCs w:val="19"/>
          <w:u w:val="single" w:color="auto"/>
          <w:color w:val="auto"/>
        </w:rPr>
        <w:t>Interest Rates</w:t>
      </w:r>
      <w:r>
        <w:rPr>
          <w:rFonts w:ascii="Times New Roman" w:cs="Times New Roman" w:eastAsia="Times New Roman" w:hAnsi="Times New Roman"/>
          <w:sz w:val="19"/>
          <w:szCs w:val="19"/>
          <w:color w:val="auto"/>
        </w:rPr>
        <w:t>. Administrative Agent does not warrant, nor accept responsibility, nor shall Administrative Agent have any liability with respect to the administration, submission or any other matter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38</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related to any reference rate referred to herein or with respect to any rate (including, for the avoidance of doubt, the selection of such rate and any related spread or other adjustment) that is an alternative or replacement for or successor to any such rate (including any Successor Rate) (or any component of any of the foregoing) or the effect of any of the foregoing, or of any Conforming Changes. Administrative Agent and its affiliates or other related entities may engage in transactions or other activities that affect any reference rate referred to herein, or any alternative, successor or replacement rate (including any Successor Rate) (or any component of any of the foregoing) or any related spread or other adjustments thereto, in each case, in a manner adverse to Borrower. Administrative Agent may select information sources or services in its reasonable discretion to ascertain any reference rate referred to herein or any alternative, successor or replacement rate (including any Successor Rate)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or any component of any of the foregoing), in each case pursuant to the terms of this Agreement, and shall have no liability to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200" w:lineRule="exact"/>
        <w:rPr>
          <w:sz w:val="20"/>
          <w:szCs w:val="20"/>
          <w:color w:val="auto"/>
        </w:rPr>
      </w:pPr>
    </w:p>
    <w:p>
      <w:pPr>
        <w:spacing w:after="0" w:line="21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b w:val="1"/>
          <w:bCs w:val="1"/>
          <w:u w:val="single" w:color="auto"/>
          <w:color w:val="auto"/>
        </w:rPr>
        <w:t>SECTION 2</w:t>
      </w:r>
      <w:r>
        <w:rPr>
          <w:sz w:val="20"/>
          <w:szCs w:val="20"/>
          <w:color w:val="auto"/>
        </w:rPr>
        <w:tab/>
      </w:r>
      <w:r>
        <w:rPr>
          <w:rFonts w:ascii="Times New Roman" w:cs="Times New Roman" w:eastAsia="Times New Roman" w:hAnsi="Times New Roman"/>
          <w:sz w:val="18"/>
          <w:szCs w:val="18"/>
          <w:b w:val="1"/>
          <w:bCs w:val="1"/>
          <w:u w:val="single" w:color="auto"/>
          <w:color w:val="auto"/>
        </w:rPr>
        <w:t>COMMITMENT.</w:t>
      </w:r>
    </w:p>
    <w:p>
      <w:pPr>
        <w:spacing w:after="0" w:line="210"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left="620" w:firstLine="619"/>
        <w:spacing w:after="0" w:line="251" w:lineRule="auto"/>
        <w:tabs>
          <w:tab w:leader="none" w:pos="1638"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provisions in the Loan Papers, each Revolver Lender hereby severally and not jointly agrees to lend to Borrower its Commitment Percentage of one or more Revolver Loans in an aggregate principal amount outstanding at any time up to such Revolver Lender’s Revolver Commitment;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(i) each Revolver Loan must occur on a Business Day and no later than the Business Day immediately preceding the Termination Date for the Revolver Facility; (ii) each Revolver Loan must be in an amount not less than (A) $500,000 or a greater integral multiple of $100,000 (if a Daily SOFR Rate Loan), or (B) $1,000,000 or a greater integral multiple of $100,000 (if a Term Reference Rate Loan); and (iii) on any date of determination, after giving effect to the requested Revolver Loan, (A) the Revolver Commitment Usage may not exceed the Revolver Commitment then in effect, and (B) the aggregate Outstanding Amount of the Revolver Loans of any Revolver Lender,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such Revolver Lender’s Commitment Percentage of the Outstanding Amount of all L/C Exposure shall not exceed such Revolver Lender’s Revolver Commitment. Revolver Loans may be repaid or reborrowed from time to time in accordance with the terms and provisions of the Loan Papers.</w:t>
      </w:r>
    </w:p>
    <w:p>
      <w:pPr>
        <w:spacing w:after="0" w:line="187" w:lineRule="exact"/>
        <w:rPr>
          <w:rFonts w:ascii="Times New Roman" w:cs="Times New Roman" w:eastAsia="Times New Roman" w:hAnsi="Times New Roman"/>
          <w:sz w:val="19"/>
          <w:szCs w:val="19"/>
          <w:color w:val="auto"/>
        </w:rPr>
      </w:pPr>
    </w:p>
    <w:p>
      <w:pPr>
        <w:jc w:val="both"/>
        <w:ind w:left="620" w:firstLine="619"/>
        <w:spacing w:after="0" w:line="254" w:lineRule="auto"/>
        <w:tabs>
          <w:tab w:leader="none" w:pos="1722"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and in reliance upon the terms, conditions, representations, and warranties in the Loan Papers, each Term Loan Lender severally, but not jointly, made one or more Term Loans in Dollars to Borrower on the Closing Date, in an aggregate amount not to exceed such Term Loan Lender’s Commitment Percentage of the Term Loan Facility. Each Term Loan Borrowing shall consist of Term Loans made simultaneously by the Term Loan Lenders in accordance with their respective Commitment Percentage of the Term Loan Facility. Amounts borrowed under this </w:t>
      </w:r>
      <w:r>
        <w:rPr>
          <w:rFonts w:ascii="Times New Roman" w:cs="Times New Roman" w:eastAsia="Times New Roman" w:hAnsi="Times New Roman"/>
          <w:sz w:val="19"/>
          <w:szCs w:val="19"/>
          <w:b w:val="1"/>
          <w:bCs w:val="1"/>
          <w:i w:val="1"/>
          <w:iCs w:val="1"/>
          <w:color w:val="auto"/>
        </w:rPr>
        <w:t>Section 2.1(b)</w:t>
      </w:r>
      <w:r>
        <w:rPr>
          <w:rFonts w:ascii="Times New Roman" w:cs="Times New Roman" w:eastAsia="Times New Roman" w:hAnsi="Times New Roman"/>
          <w:sz w:val="19"/>
          <w:szCs w:val="19"/>
          <w:color w:val="auto"/>
        </w:rPr>
        <w:t xml:space="preserve"> and repaid or prepaid may not be reborrowed.</w:t>
      </w:r>
    </w:p>
    <w:p>
      <w:pPr>
        <w:spacing w:after="0" w:line="18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8"/>
          <w:szCs w:val="18"/>
          <w:u w:val="single" w:color="auto"/>
          <w:color w:val="auto"/>
        </w:rPr>
        <w:t>Loan Procedure</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620" w:firstLine="619"/>
        <w:spacing w:after="0" w:line="282" w:lineRule="auto"/>
        <w:tabs>
          <w:tab w:leader="none" w:pos="1656"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borrowing of Revolver Loans or Term Loans hereunder, conversion of Revolver Loans or Term Loans from one Type to the other, and continuation of Revolver Loans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39</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 xml:space="preserve">or Term Loans that are Term Reference Rate Loans shall be made upon Borrower’s irrevocable notice to Administrative Agent, which may be given by (A) telephone or (B) a Loan Notice; provided that any telephone notice must be confirmed immediately by delivery to Administrative Agent of a Loan Notice. Each Loan Notice must be received by Administrative Agent not later than 11:00 a.m. (i) three Business Days prior to the requested date of any Revolver Loans or Term Loans of, conversion to, or continuation of Revolver Loans or Term Loans that are Term Reference Rate Loans or of any conversion of Revolver Loans or Term Loans that are Term Reference Rate Loans to Daily SOFR Rate Loans, and (ii) on the requested date of any Daily SOFR Rate Loan. Each borrowing of, conversion to, or continuation of Revolver Loans or Term Loans that are Term Reference Rate Loans shall be in amounts set forth in </w:t>
      </w:r>
      <w:r>
        <w:rPr>
          <w:rFonts w:ascii="Times New Roman" w:cs="Times New Roman" w:eastAsia="Times New Roman" w:hAnsi="Times New Roman"/>
          <w:sz w:val="19"/>
          <w:szCs w:val="19"/>
          <w:b w:val="1"/>
          <w:bCs w:val="1"/>
          <w:i w:val="1"/>
          <w:iCs w:val="1"/>
          <w:color w:val="auto"/>
        </w:rPr>
        <w:t>Section 2.1</w:t>
      </w:r>
      <w:r>
        <w:rPr>
          <w:rFonts w:ascii="Times New Roman" w:cs="Times New Roman" w:eastAsia="Times New Roman" w:hAnsi="Times New Roman"/>
          <w:sz w:val="19"/>
          <w:szCs w:val="19"/>
          <w:color w:val="auto"/>
        </w:rPr>
        <w:t>. Each Loan Notice shall specify (i) whether Borrower is requesting a Revolver Loan or a Term Loan, (ii) whether Borrower is requesting a Loan, a conversion of Loans from one Type to the other, or a continuation of Loans as either Term Reference Rate Loans or Daily SOFR Rate Loans, (iii) the requested date of the borrowing (such date, a “</w:t>
      </w:r>
      <w:r>
        <w:rPr>
          <w:rFonts w:ascii="Times New Roman" w:cs="Times New Roman" w:eastAsia="Times New Roman" w:hAnsi="Times New Roman"/>
          <w:sz w:val="19"/>
          <w:szCs w:val="19"/>
          <w:b w:val="1"/>
          <w:bCs w:val="1"/>
          <w:i w:val="1"/>
          <w:iCs w:val="1"/>
          <w:color w:val="auto"/>
        </w:rPr>
        <w:t>Loan Date</w:t>
      </w:r>
      <w:r>
        <w:rPr>
          <w:rFonts w:ascii="Times New Roman" w:cs="Times New Roman" w:eastAsia="Times New Roman" w:hAnsi="Times New Roman"/>
          <w:sz w:val="19"/>
          <w:szCs w:val="19"/>
          <w:color w:val="auto"/>
        </w:rPr>
        <w:t xml:space="preserve">”), conversion, or continuation, as the case may be (which shall be a Business Day), (iv) the principal amount of Loans to be borrowed, converted, or continued, (v) the Type of Loans to be borrowed or to which existing Revolver Loans or Term Loans are to be converted, and (vi) if applicable, the duration of the Interest Period with respect thereto. If Borrower fails to specify a Type of Loan in a Loan Notice or if Borrower fails to give a timely notice requesting a conversion or continuation, then the applicable Revolver Loans or Term Loans shall be made as, or converted to, Daily SOFR Rate Loans;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the case of a failure to timely request a continuation of Loans denominated in an Alternative Currency, such Loans shall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continued as Term Reference Rate Loans in their original currency with an Interest Period of one month. Any such automatic conversion to Daily SOFR Rate Loans shall be effective as of the last day of the Interest Period then in effect with respect to the applicable Revolver Loans that are Term Reference Rate Loans. If Borrower requests a borrowing of, conversion to, or continuation of Loans that are Term Reference Rate Loans in any such Loan Notice, but fails to specify an Interest Period, it will be deemed to have specified an Interest Period of one month. Administrative Agent shall promptly notify each Lender of its receipt of any Loan Notice and its contents.</w:t>
      </w:r>
    </w:p>
    <w:p>
      <w:pPr>
        <w:spacing w:after="0" w:line="187" w:lineRule="exact"/>
        <w:rPr>
          <w:sz w:val="20"/>
          <w:szCs w:val="20"/>
          <w:color w:val="auto"/>
        </w:rPr>
      </w:pPr>
    </w:p>
    <w:p>
      <w:pPr>
        <w:jc w:val="both"/>
        <w:ind w:firstLine="619"/>
        <w:spacing w:after="0" w:line="252" w:lineRule="auto"/>
        <w:tabs>
          <w:tab w:leader="none" w:pos="102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shall remit its Commitment Percentage of each requested Revolver Loan or Term Loan to Administrative Agent’s principal office in Dallas, Texas, in funds that are available for immediate use by Administrative Agent by 12:00 noon on the applicable Loan Date, in the case of any Loan denominated in Dollars, and not later than the Applicable Time specified by Administrative Agent in the case of any Loan in an Alternative Currency, in each case on the Business Day specified in the applicable Loan Notice. Subject to receipt of such funds, Administrative Agent shall (unless to its actual knowledge any of the applicable conditions precedent have not been satisfied by Borrower or waived by Required Lenders, Required Revolver Lenders or Required Term Loan Lenders, as applicable) make such funds available to Borrower as directed in the Loan Notice;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if on the date of such Loan Notice with respect to a Revolver Loan, there are L/C Borrowings outstanding, then the proceeds of such Revolver Loans shall be provided,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to the payment in full of any such L/C Borrowing, and </w:t>
      </w:r>
      <w:r>
        <w:rPr>
          <w:rFonts w:ascii="Times New Roman" w:cs="Times New Roman" w:eastAsia="Times New Roman" w:hAnsi="Times New Roman"/>
          <w:sz w:val="19"/>
          <w:szCs w:val="19"/>
          <w:i w:val="1"/>
          <w:iCs w:val="1"/>
          <w:color w:val="auto"/>
        </w:rPr>
        <w:t>then</w:t>
      </w:r>
      <w:r>
        <w:rPr>
          <w:rFonts w:ascii="Times New Roman" w:cs="Times New Roman" w:eastAsia="Times New Roman" w:hAnsi="Times New Roman"/>
          <w:sz w:val="19"/>
          <w:szCs w:val="19"/>
          <w:color w:val="auto"/>
        </w:rPr>
        <w:t>, to Borrower as provided herein.</w:t>
      </w:r>
    </w:p>
    <w:p>
      <w:pPr>
        <w:spacing w:after="0" w:line="176" w:lineRule="exact"/>
        <w:rPr>
          <w:rFonts w:ascii="Times New Roman" w:cs="Times New Roman" w:eastAsia="Times New Roman" w:hAnsi="Times New Roman"/>
          <w:sz w:val="19"/>
          <w:szCs w:val="19"/>
          <w:color w:val="auto"/>
        </w:rPr>
      </w:pPr>
    </w:p>
    <w:p>
      <w:pPr>
        <w:jc w:val="both"/>
        <w:ind w:firstLine="619"/>
        <w:spacing w:after="0" w:line="259" w:lineRule="auto"/>
        <w:tabs>
          <w:tab w:leader="none" w:pos="1021"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Administrative Agent shall have received notice from a Lender prior to the proposed date of any Loan that such Lender will not make available to Administrative Agent such Lender’s share of such Loan (or, in the case of any Daily SOFR Rate Loan, prior to 12:00 noon on the date of such Daily SOFR Rate Loan), Administrative Agent may assume that such Lender has made such share available on such date in accordance with </w:t>
      </w:r>
      <w:r>
        <w:rPr>
          <w:rFonts w:ascii="Times New Roman" w:cs="Times New Roman" w:eastAsia="Times New Roman" w:hAnsi="Times New Roman"/>
          <w:sz w:val="19"/>
          <w:szCs w:val="19"/>
          <w:b w:val="1"/>
          <w:bCs w:val="1"/>
          <w:i w:val="1"/>
          <w:iCs w:val="1"/>
          <w:color w:val="auto"/>
        </w:rPr>
        <w:t>Section 2.2(b)</w:t>
      </w:r>
      <w:r>
        <w:rPr>
          <w:rFonts w:ascii="Times New Roman" w:cs="Times New Roman" w:eastAsia="Times New Roman" w:hAnsi="Times New Roman"/>
          <w:sz w:val="19"/>
          <w:szCs w:val="19"/>
          <w:color w:val="auto"/>
        </w:rPr>
        <w:t xml:space="preserve"> and may, in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40</w:t>
      </w:r>
    </w:p>
    <w:p>
      <w:pPr>
        <w:sectPr>
          <w:pgSz w:w="11900" w:h="16838" w:orient="portrait"/>
          <w:cols w:equalWidth="0" w:num="1">
            <w:col w:w="10620"/>
          </w:cols>
          <w:pgMar w:left="940" w:top="1440" w:right="339" w:bottom="1440" w:gutter="0" w:footer="0" w:header="0"/>
        </w:sectPr>
      </w:pPr>
    </w:p>
    <w:bookmarkStart w:id="91" w:name="page92"/>
    <w:bookmarkEnd w:id="91"/>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reliance upon such assumption, make available to Borrower a corresponding amount. In such event, if a Lender has not in fact made its share of the applicable Loan available to Administrative Agent, then the applicable Lender and Borrower severally agree to pay to Administrative Agent forthwith on demand such corresponding amount in immediately available funds with interest thereon, for each day from and including the date such amount is made available to Borrower to but excluding the date of payment to Administrative Agent, at</w:t>
      </w:r>
    </w:p>
    <w:p>
      <w:pPr>
        <w:jc w:val="both"/>
        <w:ind w:firstLine="1"/>
        <w:spacing w:after="0" w:line="250" w:lineRule="auto"/>
        <w:tabs>
          <w:tab w:leader="none" w:pos="326"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payment to be made by such Lender, the greater of the Federal Funds Rate and a rate determined by Administrative Agent in accordance with banking industry rules on interbank compensation, plus any administrative, processing, or similar fees customarily charged by Administrative Agent in connection with the foregoing, and (B) in the case of a payment to be made by Borrower, the interest rate applicable to Daily SOFR Rate Loans. If Borrower and such Lender shall pay such interest to Administrative Agent for the same or an overlapping period, Administrative Agent shall promptly remit to Borrower the amount of such interest paid by Borrower for such period. If such Lender pays its share of the applicable Revolver Loan or Term Loan to Administrative Agent, then the amount so paid shall constitute such Lender’s Loan included in such Loan. Any payment by Borrower shall be without prejudice to any claim Borrower may have against a Lender that shall have failed to make such payment to Administrative Agent. A notice of Administrative Agent to any Lender or Borrower with respect to any amount owing under this </w:t>
      </w:r>
      <w:r>
        <w:rPr>
          <w:rFonts w:ascii="Times New Roman" w:cs="Times New Roman" w:eastAsia="Times New Roman" w:hAnsi="Times New Roman"/>
          <w:sz w:val="19"/>
          <w:szCs w:val="19"/>
          <w:b w:val="1"/>
          <w:bCs w:val="1"/>
          <w:i w:val="1"/>
          <w:iCs w:val="1"/>
          <w:color w:val="auto"/>
        </w:rPr>
        <w:t>subsection (c)</w:t>
      </w:r>
      <w:r>
        <w:rPr>
          <w:rFonts w:ascii="Times New Roman" w:cs="Times New Roman" w:eastAsia="Times New Roman" w:hAnsi="Times New Roman"/>
          <w:sz w:val="19"/>
          <w:szCs w:val="19"/>
          <w:color w:val="auto"/>
        </w:rPr>
        <w:t xml:space="preserve"> shall be conclusive, absent manifest error.</w:t>
      </w:r>
    </w:p>
    <w:p>
      <w:pPr>
        <w:spacing w:after="0" w:line="185" w:lineRule="exact"/>
        <w:rPr>
          <w:rFonts w:ascii="Times New Roman" w:cs="Times New Roman" w:eastAsia="Times New Roman" w:hAnsi="Times New Roman"/>
          <w:sz w:val="19"/>
          <w:szCs w:val="19"/>
          <w:color w:val="auto"/>
        </w:rPr>
      </w:pPr>
    </w:p>
    <w:p>
      <w:pPr>
        <w:jc w:val="both"/>
        <w:ind w:firstLine="619"/>
        <w:spacing w:after="0" w:line="266" w:lineRule="auto"/>
        <w:tabs>
          <w:tab w:leader="none" w:pos="111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Administrative Agent shall have received notice from Borrower prior to the date on which any payment is due to Administrative Agent for the account of Lenders or any L/C Issuer hereunder that Borrower will not make such payment, Administrative Agent may assume that Borrower has made such payment on such date in accordance herewith and may, in reliance upon such assumption, distribute to Lenders or the applicable L/C Issuer, as the case may be, the amount due. With respect to any payment that Administrative Agent makes for the account of the Lenders or any L/C Issuer hereunder as to which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b w:val="1"/>
          <w:bCs w:val="1"/>
          <w:i w:val="1"/>
          <w:iCs w:val="1"/>
          <w:color w:val="auto"/>
        </w:rPr>
        <w:t>Rescindable Amount</w:t>
      </w:r>
      <w:r>
        <w:rPr>
          <w:rFonts w:ascii="Times New Roman" w:cs="Times New Roman" w:eastAsia="Times New Roman" w:hAnsi="Times New Roman"/>
          <w:sz w:val="18"/>
          <w:szCs w:val="18"/>
          <w:color w:val="auto"/>
        </w:rPr>
        <w:t xml:space="preserve">”): (1) Borrower has not in fact made such payment; (2) Administrative Agent has made a payment in excess of the amount so paid by Borrower (whether or not then owed); or (3) Administrative agent has for any reason otherwise erroneously made such payment; then each Lender or such L/C Issuer, as the case may be, severally agrees to repay to Administrative Agent forthwith on demand the Rescindable Amount so distributed to such Lender or such L/C Issuer, in immediately available funds with interest thereon, for each day from and including the date such amount is distributed to it to but excluding the date of payment to Administrative Agent, at the greater of the Federal Funds Rate and a rate determined by Administrative Agent in accordance with banking industry rules on interbank compensation. A notice of Administrative Agent to any Lender or Borrower with respect to any amount owing under this </w:t>
      </w:r>
      <w:r>
        <w:rPr>
          <w:rFonts w:ascii="Times New Roman" w:cs="Times New Roman" w:eastAsia="Times New Roman" w:hAnsi="Times New Roman"/>
          <w:sz w:val="18"/>
          <w:szCs w:val="18"/>
          <w:b w:val="1"/>
          <w:bCs w:val="1"/>
          <w:i w:val="1"/>
          <w:iCs w:val="1"/>
          <w:color w:val="auto"/>
        </w:rPr>
        <w:t>subsection (d)</w:t>
      </w:r>
      <w:r>
        <w:rPr>
          <w:rFonts w:ascii="Times New Roman" w:cs="Times New Roman" w:eastAsia="Times New Roman" w:hAnsi="Times New Roman"/>
          <w:sz w:val="18"/>
          <w:szCs w:val="18"/>
          <w:color w:val="auto"/>
        </w:rPr>
        <w:t xml:space="preserve"> shall be conclusive, absent manifest error.</w:t>
      </w:r>
    </w:p>
    <w:p>
      <w:pPr>
        <w:spacing w:after="0" w:line="159" w:lineRule="exact"/>
        <w:rPr>
          <w:rFonts w:ascii="Times New Roman" w:cs="Times New Roman" w:eastAsia="Times New Roman" w:hAnsi="Times New Roman"/>
          <w:sz w:val="18"/>
          <w:szCs w:val="18"/>
          <w:color w:val="auto"/>
        </w:rPr>
      </w:pPr>
    </w:p>
    <w:p>
      <w:pPr>
        <w:jc w:val="both"/>
        <w:ind w:firstLine="619"/>
        <w:spacing w:after="0" w:line="258" w:lineRule="auto"/>
        <w:tabs>
          <w:tab w:leader="none" w:pos="1067"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obligations of Lenders hereunder to make Revolver Loans and Term Loans, to fund participations in L/Cs and to make payments pursuant to </w:t>
      </w:r>
      <w:r>
        <w:rPr>
          <w:rFonts w:ascii="Times New Roman" w:cs="Times New Roman" w:eastAsia="Times New Roman" w:hAnsi="Times New Roman"/>
          <w:sz w:val="19"/>
          <w:szCs w:val="19"/>
          <w:b w:val="1"/>
          <w:bCs w:val="1"/>
          <w:i w:val="1"/>
          <w:iCs w:val="1"/>
          <w:color w:val="auto"/>
        </w:rPr>
        <w:t>Section 15.4(c)</w:t>
      </w:r>
      <w:r>
        <w:rPr>
          <w:rFonts w:ascii="Times New Roman" w:cs="Times New Roman" w:eastAsia="Times New Roman" w:hAnsi="Times New Roman"/>
          <w:sz w:val="19"/>
          <w:szCs w:val="19"/>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19"/>
          <w:szCs w:val="19"/>
          <w:b w:val="1"/>
          <w:bCs w:val="1"/>
          <w:i w:val="1"/>
          <w:iCs w:val="1"/>
          <w:color w:val="auto"/>
        </w:rPr>
        <w:t>Section 15.4(c)</w:t>
      </w:r>
      <w:r>
        <w:rPr>
          <w:rFonts w:ascii="Times New Roman" w:cs="Times New Roman" w:eastAsia="Times New Roman" w:hAnsi="Times New Roman"/>
          <w:sz w:val="19"/>
          <w:szCs w:val="19"/>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19"/>
          <w:szCs w:val="19"/>
          <w:b w:val="1"/>
          <w:bCs w:val="1"/>
          <w:i w:val="1"/>
          <w:iCs w:val="1"/>
          <w:color w:val="auto"/>
        </w:rPr>
        <w:t>Section 15.4(c)</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41</w:t>
      </w:r>
    </w:p>
    <w:p>
      <w:pPr>
        <w:sectPr>
          <w:pgSz w:w="11900" w:h="16838" w:orient="portrait"/>
          <w:cols w:equalWidth="0" w:num="1">
            <w:col w:w="10620"/>
          </w:cols>
          <w:pgMar w:left="940" w:top="1440" w:right="339" w:bottom="1440" w:gutter="0" w:footer="0" w:header="0"/>
        </w:sectPr>
      </w:pPr>
    </w:p>
    <w:bookmarkStart w:id="92" w:name="page93"/>
    <w:bookmarkEnd w:id="92"/>
    <w:p>
      <w:pPr>
        <w:spacing w:after="0" w:line="121" w:lineRule="exact"/>
        <w:rPr>
          <w:sz w:val="20"/>
          <w:szCs w:val="20"/>
          <w:color w:val="auto"/>
        </w:rPr>
      </w:pPr>
    </w:p>
    <w:p>
      <w:pPr>
        <w:ind w:left="420" w:firstLine="619"/>
        <w:spacing w:after="0" w:line="282" w:lineRule="auto"/>
        <w:tabs>
          <w:tab w:leader="none" w:pos="1425"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limitation of any other conditions herein, a Loan or continuation of or conversion to Term SOFR Rate Loans shall not be permitted if:</w:t>
      </w:r>
    </w:p>
    <w:p>
      <w:pPr>
        <w:spacing w:after="0" w:line="143" w:lineRule="exact"/>
        <w:rPr>
          <w:rFonts w:ascii="Times New Roman" w:cs="Times New Roman" w:eastAsia="Times New Roman" w:hAnsi="Times New Roman"/>
          <w:sz w:val="19"/>
          <w:szCs w:val="19"/>
          <w:color w:val="auto"/>
        </w:rPr>
      </w:pPr>
    </w:p>
    <w:p>
      <w:pPr>
        <w:ind w:left="1040" w:firstLine="617"/>
        <w:spacing w:after="0" w:line="282" w:lineRule="auto"/>
        <w:tabs>
          <w:tab w:leader="none" w:pos="2274"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Event of Default or a Default has occurred and is continuing and has not been waived by the Required Lenders or all Lenders, as applicable;</w:t>
      </w:r>
    </w:p>
    <w:p>
      <w:pPr>
        <w:spacing w:after="0" w:line="143" w:lineRule="exact"/>
        <w:rPr>
          <w:rFonts w:ascii="Times New Roman" w:cs="Times New Roman" w:eastAsia="Times New Roman" w:hAnsi="Times New Roman"/>
          <w:sz w:val="19"/>
          <w:szCs w:val="19"/>
          <w:color w:val="auto"/>
        </w:rPr>
      </w:pPr>
    </w:p>
    <w:p>
      <w:pPr>
        <w:jc w:val="both"/>
        <w:ind w:left="1040" w:firstLine="617"/>
        <w:spacing w:after="0" w:line="268" w:lineRule="auto"/>
        <w:tabs>
          <w:tab w:leader="none" w:pos="2275"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the requested Loan or continuation of or conversion to Term SOFR Rate Loans under the Revolver Facility or Term Loan Facility, as applicable, the sum of all Loans under such facility would exceed the Commitments under such facility;</w:t>
      </w:r>
    </w:p>
    <w:p>
      <w:pPr>
        <w:spacing w:after="0" w:line="156" w:lineRule="exact"/>
        <w:rPr>
          <w:rFonts w:ascii="Times New Roman" w:cs="Times New Roman" w:eastAsia="Times New Roman" w:hAnsi="Times New Roman"/>
          <w:sz w:val="19"/>
          <w:szCs w:val="19"/>
          <w:color w:val="auto"/>
        </w:rPr>
      </w:pPr>
    </w:p>
    <w:p>
      <w:pPr>
        <w:ind w:left="2280" w:hanging="623"/>
        <w:spacing w:after="0"/>
        <w:tabs>
          <w:tab w:leader="none" w:pos="2280"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all Loans, no more than ten (10) Term Reference Rate Interest Periods may be in effect at one</w:t>
      </w:r>
    </w:p>
    <w:p>
      <w:pPr>
        <w:spacing w:after="0" w:line="25" w:lineRule="exact"/>
        <w:rPr>
          <w:rFonts w:ascii="Times New Roman" w:cs="Times New Roman" w:eastAsia="Times New Roman" w:hAnsi="Times New Roman"/>
          <w:sz w:val="19"/>
          <w:szCs w:val="19"/>
          <w:color w:val="auto"/>
        </w:rPr>
      </w:pPr>
    </w:p>
    <w:p>
      <w:pPr>
        <w:ind w:left="10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time;</w:t>
      </w:r>
    </w:p>
    <w:p>
      <w:pPr>
        <w:spacing w:after="0" w:line="194" w:lineRule="exact"/>
        <w:rPr>
          <w:rFonts w:ascii="Times New Roman" w:cs="Times New Roman" w:eastAsia="Times New Roman" w:hAnsi="Times New Roman"/>
          <w:sz w:val="19"/>
          <w:szCs w:val="19"/>
          <w:color w:val="auto"/>
        </w:rPr>
      </w:pPr>
    </w:p>
    <w:p>
      <w:pPr>
        <w:ind w:left="1040" w:firstLine="617"/>
        <w:spacing w:after="0" w:line="282" w:lineRule="auto"/>
        <w:tabs>
          <w:tab w:leader="none" w:pos="2265"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Term SOFR Rate Loans requested in the request for Borrowing or continuation of or conversion to Term SOFR Rate Loans is not in a principal amount of at least $1,000,000 or a whole multiple of $100,000 in excess thereof;</w:t>
      </w:r>
    </w:p>
    <w:p>
      <w:pPr>
        <w:spacing w:after="0" w:line="156" w:lineRule="exact"/>
        <w:rPr>
          <w:rFonts w:ascii="Times New Roman" w:cs="Times New Roman" w:eastAsia="Times New Roman" w:hAnsi="Times New Roman"/>
          <w:sz w:val="19"/>
          <w:szCs w:val="19"/>
          <w:color w:val="auto"/>
        </w:rPr>
      </w:pPr>
    </w:p>
    <w:p>
      <w:pPr>
        <w:ind w:left="2260" w:hanging="603"/>
        <w:spacing w:after="0"/>
        <w:tabs>
          <w:tab w:leader="none" w:pos="2260"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requested interest period does not conform to the definition of Interest Period herein; or</w:t>
      </w:r>
    </w:p>
    <w:p>
      <w:pPr>
        <w:spacing w:after="0" w:line="206" w:lineRule="exact"/>
        <w:rPr>
          <w:rFonts w:ascii="Times New Roman" w:cs="Times New Roman" w:eastAsia="Times New Roman" w:hAnsi="Times New Roman"/>
          <w:sz w:val="19"/>
          <w:szCs w:val="19"/>
          <w:color w:val="auto"/>
        </w:rPr>
      </w:pPr>
    </w:p>
    <w:p>
      <w:pPr>
        <w:ind w:left="1040" w:firstLine="617"/>
        <w:spacing w:after="0" w:line="282" w:lineRule="auto"/>
        <w:tabs>
          <w:tab w:leader="none" w:pos="2265"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circumstances referred to in Section 4.3 hereof shall apply with respect to the requested Loan or continuation of or conversion to Term SOFR Rate Loans.</w:t>
      </w:r>
    </w:p>
    <w:p>
      <w:pPr>
        <w:spacing w:after="0" w:line="143" w:lineRule="exact"/>
        <w:rPr>
          <w:rFonts w:ascii="Times New Roman" w:cs="Times New Roman" w:eastAsia="Times New Roman" w:hAnsi="Times New Roman"/>
          <w:sz w:val="19"/>
          <w:szCs w:val="19"/>
          <w:color w:val="auto"/>
        </w:rPr>
      </w:pPr>
    </w:p>
    <w:p>
      <w:pPr>
        <w:ind w:left="-200" w:firstLine="1239"/>
        <w:spacing w:after="0" w:line="282" w:lineRule="auto"/>
        <w:tabs>
          <w:tab w:leader="none" w:pos="1471"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may not request an advance of, or conversion to, Base Rate Loans unless Daily SOFR Rate Loans and Term SOFR Rate Loans are unavailable, as further provided herein.</w:t>
      </w:r>
    </w:p>
    <w:p>
      <w:pPr>
        <w:spacing w:after="0" w:line="156" w:lineRule="exact"/>
        <w:rPr>
          <w:sz w:val="20"/>
          <w:szCs w:val="20"/>
          <w:color w:val="auto"/>
        </w:rPr>
      </w:pPr>
    </w:p>
    <w:p>
      <w:pPr>
        <w:jc w:val="both"/>
        <w:ind w:left="420" w:firstLine="619"/>
        <w:spacing w:after="0" w:line="261" w:lineRule="auto"/>
        <w:tabs>
          <w:tab w:leader="none" w:pos="1647"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Borrower, Administrative Agent, and such Lender.</w:t>
      </w:r>
    </w:p>
    <w:p>
      <w:pPr>
        <w:spacing w:after="0" w:line="162" w:lineRule="exact"/>
        <w:rPr>
          <w:rFonts w:ascii="Times New Roman" w:cs="Times New Roman" w:eastAsia="Times New Roman" w:hAnsi="Times New Roman"/>
          <w:sz w:val="19"/>
          <w:szCs w:val="19"/>
          <w:color w:val="auto"/>
        </w:rPr>
      </w:pPr>
    </w:p>
    <w:p>
      <w:pPr>
        <w:jc w:val="both"/>
        <w:ind w:left="420" w:firstLine="619"/>
        <w:spacing w:after="0" w:line="275" w:lineRule="auto"/>
        <w:tabs>
          <w:tab w:leader="none" w:pos="1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Daily Simple SOFR and Term SOFR, Administrative Agent will have the right to make Conforming Changes from time to time and, notwithstanding anything to the contrary herein or in any other Loan Paper, any amendments implementing such Conforming Changes will become effective without any further action or consent of any other party to this Agreement or any other Loan Paper; provided that, with respect to any such amendment effected, Administrative Agent shall post each such amendment implementing such Conforming Changes to Borrower and the Lenders reasonably promptly after such amendment becomes effective.</w:t>
      </w:r>
    </w:p>
    <w:p>
      <w:pPr>
        <w:spacing w:after="0" w:line="153" w:lineRule="exact"/>
        <w:rPr>
          <w:sz w:val="20"/>
          <w:szCs w:val="20"/>
          <w:color w:val="auto"/>
        </w:rPr>
      </w:pPr>
    </w:p>
    <w:p>
      <w:pPr>
        <w:ind w:left="420"/>
        <w:spacing w:after="0"/>
        <w:tabs>
          <w:tab w:leader="none" w:pos="1020" w:val="left"/>
        </w:tabs>
        <w:rPr>
          <w:sz w:val="20"/>
          <w:szCs w:val="20"/>
          <w:color w:val="auto"/>
        </w:rPr>
      </w:pPr>
      <w:r>
        <w:rPr>
          <w:rFonts w:ascii="Times New Roman" w:cs="Times New Roman" w:eastAsia="Times New Roman" w:hAnsi="Times New Roman"/>
          <w:sz w:val="19"/>
          <w:szCs w:val="19"/>
          <w:color w:val="auto"/>
        </w:rPr>
        <w:t>2.3</w:t>
      </w:r>
      <w:r>
        <w:rPr>
          <w:sz w:val="20"/>
          <w:szCs w:val="20"/>
          <w:color w:val="auto"/>
        </w:rPr>
        <w:tab/>
      </w:r>
      <w:r>
        <w:rPr>
          <w:rFonts w:ascii="Times New Roman" w:cs="Times New Roman" w:eastAsia="Times New Roman" w:hAnsi="Times New Roman"/>
          <w:sz w:val="18"/>
          <w:szCs w:val="18"/>
          <w:u w:val="single" w:color="auto"/>
          <w:color w:val="auto"/>
        </w:rPr>
        <w:t>L/C Subfacility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1440" w:hanging="401"/>
        <w:spacing w:after="0"/>
        <w:tabs>
          <w:tab w:leader="none" w:pos="144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The L/C Commitment</w:t>
      </w:r>
      <w:r>
        <w:rPr>
          <w:rFonts w:ascii="Times New Roman" w:cs="Times New Roman" w:eastAsia="Times New Roman" w:hAnsi="Times New Roman"/>
          <w:sz w:val="19"/>
          <w:szCs w:val="19"/>
          <w:color w:val="auto"/>
        </w:rPr>
        <w:t>.</w:t>
      </w:r>
    </w:p>
    <w:p>
      <w:pPr>
        <w:spacing w:after="0" w:line="212" w:lineRule="exact"/>
        <w:rPr>
          <w:rFonts w:ascii="Times New Roman" w:cs="Times New Roman" w:eastAsia="Times New Roman" w:hAnsi="Times New Roman"/>
          <w:sz w:val="19"/>
          <w:szCs w:val="19"/>
          <w:color w:val="auto"/>
        </w:rPr>
      </w:pPr>
    </w:p>
    <w:p>
      <w:pPr>
        <w:ind w:left="1040" w:firstLine="617"/>
        <w:spacing w:after="0" w:line="282" w:lineRule="auto"/>
        <w:tabs>
          <w:tab w:leader="none" w:pos="2038"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set forth herein, (A) each L/C Issuer agrees, in reliance upon the agreements of the other Revolver Lenders set forth in this </w:t>
      </w:r>
      <w:r>
        <w:rPr>
          <w:rFonts w:ascii="Times New Roman" w:cs="Times New Roman" w:eastAsia="Times New Roman" w:hAnsi="Times New Roman"/>
          <w:sz w:val="19"/>
          <w:szCs w:val="19"/>
          <w:b w:val="1"/>
          <w:bCs w:val="1"/>
          <w:i w:val="1"/>
          <w:iCs w:val="1"/>
          <w:color w:val="auto"/>
        </w:rPr>
        <w:t>Section 2.3</w:t>
      </w:r>
      <w:r>
        <w:rPr>
          <w:rFonts w:ascii="Times New Roman" w:cs="Times New Roman" w:eastAsia="Times New Roman" w:hAnsi="Times New Roman"/>
          <w:sz w:val="19"/>
          <w:szCs w:val="19"/>
          <w:color w:val="auto"/>
        </w:rPr>
        <w:t>, (1) from time to time on any Business Day during the period from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1900" w:h="16838" w:orient="portrait"/>
          <w:cols w:equalWidth="0" w:num="1">
            <w:col w:w="11040"/>
          </w:cols>
          <w:pgMar w:left="520" w:top="1440" w:right="339" w:bottom="1440" w:gutter="0" w:footer="0" w:header="0"/>
        </w:sectPr>
      </w:pPr>
    </w:p>
    <w:bookmarkStart w:id="93" w:name="page94"/>
    <w:bookmarkEnd w:id="93"/>
    <w:p>
      <w:pPr>
        <w:spacing w:after="0" w:line="121" w:lineRule="exact"/>
        <w:rPr>
          <w:sz w:val="20"/>
          <w:szCs w:val="20"/>
          <w:color w:val="auto"/>
        </w:rPr>
      </w:pPr>
    </w:p>
    <w:p>
      <w:pPr>
        <w:jc w:val="both"/>
        <w:ind w:left="120"/>
        <w:spacing w:after="0" w:line="265" w:lineRule="auto"/>
        <w:rPr>
          <w:sz w:val="20"/>
          <w:szCs w:val="20"/>
          <w:color w:val="auto"/>
        </w:rPr>
      </w:pPr>
      <w:r>
        <w:rPr>
          <w:rFonts w:ascii="Times New Roman" w:cs="Times New Roman" w:eastAsia="Times New Roman" w:hAnsi="Times New Roman"/>
          <w:sz w:val="18"/>
          <w:szCs w:val="18"/>
          <w:color w:val="auto"/>
        </w:rPr>
        <w:t xml:space="preserve">Closing Date until the L/C Expiration Date, to issue L/Cs in Dollars or with respect to the Australian L/C Issuer, the Alternative Currency, for the account of Borrower or its Subsidiaries in an aggregate amount not to exceed such L/C Issuer’s L/C Commitment, and to amend or renew L/Cs previously issued by it, in accordance with </w:t>
      </w:r>
      <w:r>
        <w:rPr>
          <w:rFonts w:ascii="Times New Roman" w:cs="Times New Roman" w:eastAsia="Times New Roman" w:hAnsi="Times New Roman"/>
          <w:sz w:val="18"/>
          <w:szCs w:val="18"/>
          <w:b w:val="1"/>
          <w:bCs w:val="1"/>
          <w:i w:val="1"/>
          <w:iCs w:val="1"/>
          <w:color w:val="auto"/>
        </w:rPr>
        <w:t>subsection (b)</w:t>
      </w:r>
      <w:r>
        <w:rPr>
          <w:rFonts w:ascii="Times New Roman" w:cs="Times New Roman" w:eastAsia="Times New Roman" w:hAnsi="Times New Roman"/>
          <w:sz w:val="18"/>
          <w:szCs w:val="18"/>
          <w:color w:val="auto"/>
        </w:rPr>
        <w:t xml:space="preserve"> below, and (2) to honor sight drafts under the L/Cs; and (B) Revolver Lenders severally agree to participate in L/Cs issued for the account of Borrower;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L/C Issuer shall be obligated to make any L/C Credit Extension with respect to any L/C, and no Revolver Lender shall be obligated to participate in any L/C, if as of the date of such L/C Credit Extension (after giving effect to any proposed L/C Credit Extension on such date), (x) the Revolver Commitment Usage would exceed the Revolver Commitment, (y) the aggregate Outstanding Amount of the Revolver Loans of such Revolving Lender,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such Revolver Lender’s Commitment Percentage of the Outstanding Amount of all L/C Exposure, would exceed such Revolver Lender’s Revolver Commitment, or (z) the Outstanding Amount of the L/C Exposure would exceed the L/C Sublimit. Each request by Borrower for the issuance or amendment of an L/C shall be deemed to be a representation by Borrower that the L/C Credit Extension so requested complies with the conditions set forth in the proviso to the preceding sentence. Within the foregoing limits, and subject to the terms and conditions hereof, Borrower’s ability to obtain L/Cs shall be fully revolving; accordingly Borrower may, during the foregoing period, obtain L/Cs to replace L/Cs that have expired or that have been drawn upon and reimbursed. All Existing L/Cs shall be deemed to have been issued pursuant hereto, and from and after the Closing Date shall be subject to and governed by the terms and conditions hereof.</w:t>
      </w:r>
    </w:p>
    <w:p>
      <w:pPr>
        <w:spacing w:after="0" w:line="177" w:lineRule="exact"/>
        <w:rPr>
          <w:sz w:val="20"/>
          <w:szCs w:val="20"/>
          <w:color w:val="auto"/>
        </w:rPr>
      </w:pPr>
    </w:p>
    <w:p>
      <w:pPr>
        <w:ind w:left="1160" w:hanging="423"/>
        <w:spacing w:after="0"/>
        <w:tabs>
          <w:tab w:leader="none" w:pos="116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L/C Issuers shall not issue any L/C if:</w:t>
      </w:r>
    </w:p>
    <w:p>
      <w:pPr>
        <w:spacing w:after="0" w:line="213" w:lineRule="exact"/>
        <w:rPr>
          <w:rFonts w:ascii="Times New Roman" w:cs="Times New Roman" w:eastAsia="Times New Roman" w:hAnsi="Times New Roman"/>
          <w:sz w:val="19"/>
          <w:szCs w:val="19"/>
          <w:color w:val="auto"/>
        </w:rPr>
      </w:pPr>
    </w:p>
    <w:p>
      <w:pPr>
        <w:jc w:val="both"/>
        <w:ind w:left="740" w:firstLine="615"/>
        <w:spacing w:after="0" w:line="256" w:lineRule="auto"/>
        <w:tabs>
          <w:tab w:leader="none" w:pos="1869"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b w:val="1"/>
          <w:bCs w:val="1"/>
          <w:i w:val="1"/>
          <w:iCs w:val="1"/>
          <w:color w:val="auto"/>
        </w:rPr>
        <w:t>Section 2.3(b)(iii)</w:t>
      </w:r>
      <w:r>
        <w:rPr>
          <w:rFonts w:ascii="Times New Roman" w:cs="Times New Roman" w:eastAsia="Times New Roman" w:hAnsi="Times New Roman"/>
          <w:sz w:val="19"/>
          <w:szCs w:val="19"/>
          <w:color w:val="auto"/>
        </w:rPr>
        <w:t xml:space="preserve">, the expiry date of such requested L/C would occur more than twelve months after the date of issuance or last renewal, unless Required Revolver Lenders have approved such expiry date or unless the requested L/C is a Bond L/C, in which case the Bond L/C will expire in accordance with the terms set forth in the applicable Bond L/C as approved by the applicable L/C Issuer and Administrative Agent in accordance with </w:t>
      </w:r>
      <w:r>
        <w:rPr>
          <w:rFonts w:ascii="Times New Roman" w:cs="Times New Roman" w:eastAsia="Times New Roman" w:hAnsi="Times New Roman"/>
          <w:sz w:val="19"/>
          <w:szCs w:val="19"/>
          <w:b w:val="1"/>
          <w:bCs w:val="1"/>
          <w:i w:val="1"/>
          <w:iCs w:val="1"/>
          <w:color w:val="auto"/>
        </w:rPr>
        <w:t>Section 2.3(i)</w:t>
      </w:r>
      <w:r>
        <w:rPr>
          <w:rFonts w:ascii="Times New Roman" w:cs="Times New Roman" w:eastAsia="Times New Roman" w:hAnsi="Times New Roman"/>
          <w:sz w:val="19"/>
          <w:szCs w:val="19"/>
          <w:color w:val="auto"/>
        </w:rPr>
        <w:t>; or</w:t>
      </w:r>
    </w:p>
    <w:p>
      <w:pPr>
        <w:spacing w:after="0" w:line="167" w:lineRule="exact"/>
        <w:rPr>
          <w:rFonts w:ascii="Times New Roman" w:cs="Times New Roman" w:eastAsia="Times New Roman" w:hAnsi="Times New Roman"/>
          <w:sz w:val="19"/>
          <w:szCs w:val="19"/>
          <w:color w:val="auto"/>
        </w:rPr>
      </w:pPr>
    </w:p>
    <w:p>
      <w:pPr>
        <w:jc w:val="both"/>
        <w:ind w:left="740" w:firstLine="615"/>
        <w:spacing w:after="0" w:line="268" w:lineRule="auto"/>
        <w:tabs>
          <w:tab w:leader="none" w:pos="1850"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expiry date of the requested L/C would occur after the L/C Expiration Date, unless (x) all the Revolver Lenders and the applicable L/C Issuer have approved such expiry date or (y) such L/C is cash collateralized on terms and pursuant to arrangements satisfactory to the applicable L/C Issuer.</w:t>
      </w:r>
    </w:p>
    <w:p>
      <w:pPr>
        <w:spacing w:after="0" w:line="156" w:lineRule="exact"/>
        <w:rPr>
          <w:rFonts w:ascii="Times New Roman" w:cs="Times New Roman" w:eastAsia="Times New Roman" w:hAnsi="Times New Roman"/>
          <w:sz w:val="19"/>
          <w:szCs w:val="19"/>
          <w:color w:val="auto"/>
        </w:rPr>
      </w:pPr>
    </w:p>
    <w:p>
      <w:pPr>
        <w:ind w:left="1200" w:hanging="463"/>
        <w:spacing w:after="0"/>
        <w:tabs>
          <w:tab w:leader="none" w:pos="12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L/C Issuers shall not be under any obligation to issue any L/C if:</w:t>
      </w:r>
    </w:p>
    <w:p>
      <w:pPr>
        <w:spacing w:after="0" w:line="219" w:lineRule="exact"/>
        <w:rPr>
          <w:rFonts w:ascii="Times New Roman" w:cs="Times New Roman" w:eastAsia="Times New Roman" w:hAnsi="Times New Roman"/>
          <w:sz w:val="19"/>
          <w:szCs w:val="19"/>
          <w:color w:val="auto"/>
        </w:rPr>
      </w:pPr>
    </w:p>
    <w:p>
      <w:pPr>
        <w:jc w:val="both"/>
        <w:ind w:left="740" w:firstLine="615"/>
        <w:spacing w:after="0" w:line="254" w:lineRule="auto"/>
        <w:tabs>
          <w:tab w:leader="none" w:pos="1907"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order, judgment, or decree of any Governmental Authority or arbitrator shall by its terms purport to enjoin or restrain the applicable L/C Issuer from issuing such L/C, or any Law applicable to the applicable L/C Issuer or any request or directive (whether or not having the force of Law) from any Governmental Authority with jurisdiction over the applicable L/C Issuer shall prohibit, or request that such L/C Issuer refrain from, the issuance of letters of credit generally or such L/C in particular or shall impose upon the applicable L/C Issuer with respect to such L/C any restriction, reserve, or capital requirement (for which such L/C Issuer is not otherwise compensated hereunder) not in effect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43</w:t>
      </w:r>
    </w:p>
    <w:p>
      <w:pPr>
        <w:sectPr>
          <w:pgSz w:w="11900" w:h="16838" w:orient="portrait"/>
          <w:cols w:equalWidth="0" w:num="1">
            <w:col w:w="10120"/>
          </w:cols>
          <w:pgMar w:left="1440" w:top="1440" w:right="339" w:bottom="1440" w:gutter="0" w:footer="0" w:header="0"/>
        </w:sectPr>
      </w:pPr>
    </w:p>
    <w:bookmarkStart w:id="94" w:name="page95"/>
    <w:bookmarkEnd w:id="94"/>
    <w:p>
      <w:pPr>
        <w:spacing w:after="0" w:line="121" w:lineRule="exact"/>
        <w:rPr>
          <w:sz w:val="20"/>
          <w:szCs w:val="20"/>
          <w:color w:val="auto"/>
        </w:rPr>
      </w:pPr>
    </w:p>
    <w:p>
      <w:pPr>
        <w:ind w:left="740"/>
        <w:spacing w:after="0" w:line="282" w:lineRule="auto"/>
        <w:rPr>
          <w:sz w:val="20"/>
          <w:szCs w:val="20"/>
          <w:color w:val="auto"/>
        </w:rPr>
      </w:pPr>
      <w:r>
        <w:rPr>
          <w:rFonts w:ascii="Times New Roman" w:cs="Times New Roman" w:eastAsia="Times New Roman" w:hAnsi="Times New Roman"/>
          <w:sz w:val="19"/>
          <w:szCs w:val="19"/>
          <w:color w:val="auto"/>
        </w:rPr>
        <w:t>on the Closing Date, or shall impose upon the applicable L/C Issuer any unreimbursed loss, cost or expense which was not applicable on the Closing Date and which such L/C Issuer in good faith deems material to it;</w:t>
      </w:r>
    </w:p>
    <w:p>
      <w:pPr>
        <w:spacing w:after="0" w:line="143" w:lineRule="exact"/>
        <w:rPr>
          <w:sz w:val="20"/>
          <w:szCs w:val="20"/>
          <w:color w:val="auto"/>
        </w:rPr>
      </w:pPr>
    </w:p>
    <w:p>
      <w:pPr>
        <w:ind w:left="740" w:firstLine="615"/>
        <w:spacing w:after="0" w:line="282" w:lineRule="auto"/>
        <w:tabs>
          <w:tab w:leader="none" w:pos="1822" w:val="left"/>
        </w:tabs>
        <w:numPr>
          <w:ilvl w:val="2"/>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issuance of such L/C would violate one or more policies of the applicable L/C Issuer applicable to letters of credit generally;</w:t>
      </w:r>
    </w:p>
    <w:p>
      <w:pPr>
        <w:spacing w:after="0" w:line="143" w:lineRule="exact"/>
        <w:rPr>
          <w:rFonts w:ascii="Times New Roman" w:cs="Times New Roman" w:eastAsia="Times New Roman" w:hAnsi="Times New Roman"/>
          <w:sz w:val="19"/>
          <w:szCs w:val="19"/>
          <w:color w:val="auto"/>
        </w:rPr>
      </w:pPr>
    </w:p>
    <w:p>
      <w:pPr>
        <w:ind w:left="740" w:firstLine="615"/>
        <w:spacing w:after="0" w:line="282" w:lineRule="auto"/>
        <w:tabs>
          <w:tab w:leader="none" w:pos="1841" w:val="left"/>
        </w:tabs>
        <w:numPr>
          <w:ilvl w:val="2"/>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L/C is to be denominated in a currency other than Dollars (or the Alternative Currency with respect to L/Cs issued by the Australian L/C Issuer);</w:t>
      </w:r>
    </w:p>
    <w:p>
      <w:pPr>
        <w:spacing w:after="0" w:line="156" w:lineRule="exact"/>
        <w:rPr>
          <w:rFonts w:ascii="Times New Roman" w:cs="Times New Roman" w:eastAsia="Times New Roman" w:hAnsi="Times New Roman"/>
          <w:sz w:val="19"/>
          <w:szCs w:val="19"/>
          <w:color w:val="auto"/>
        </w:rPr>
      </w:pPr>
    </w:p>
    <w:p>
      <w:pPr>
        <w:jc w:val="both"/>
        <w:ind w:left="740" w:firstLine="615"/>
        <w:spacing w:after="0" w:line="254" w:lineRule="auto"/>
        <w:tabs>
          <w:tab w:leader="none" w:pos="1875" w:val="left"/>
        </w:tabs>
        <w:numPr>
          <w:ilvl w:val="2"/>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Revolver Lender is at that time a Defaulting Lender, unless the applicable L/C Issuer has entered into arrangements, including the delivery of Cash Collateral, satisfactory to such L/C Issuer (in its sole discretion) with Borrower or such Revolver Lender to eliminate such L/C Issuer’s actual or potential Fronting Exposure (after giving effect to </w:t>
      </w:r>
      <w:r>
        <w:rPr>
          <w:rFonts w:ascii="Times New Roman" w:cs="Times New Roman" w:eastAsia="Times New Roman" w:hAnsi="Times New Roman"/>
          <w:sz w:val="19"/>
          <w:szCs w:val="19"/>
          <w:b w:val="1"/>
          <w:bCs w:val="1"/>
          <w:i w:val="1"/>
          <w:iCs w:val="1"/>
          <w:color w:val="auto"/>
        </w:rPr>
        <w:t>Section 3.15(a)(iv)</w:t>
      </w:r>
      <w:r>
        <w:rPr>
          <w:rFonts w:ascii="Times New Roman" w:cs="Times New Roman" w:eastAsia="Times New Roman" w:hAnsi="Times New Roman"/>
          <w:sz w:val="19"/>
          <w:szCs w:val="19"/>
          <w:color w:val="auto"/>
        </w:rPr>
        <w:t>) with respect to the Defaulting Lender arising from either the L/C then proposed to be issued or that L/C and all other L/C Exposure as to which such L/C Issuer has actual or potential Fronting Exposure, as it may elect in its sole discretion; or</w:t>
      </w:r>
    </w:p>
    <w:p>
      <w:pPr>
        <w:spacing w:after="0" w:line="170" w:lineRule="exact"/>
        <w:rPr>
          <w:rFonts w:ascii="Times New Roman" w:cs="Times New Roman" w:eastAsia="Times New Roman" w:hAnsi="Times New Roman"/>
          <w:sz w:val="19"/>
          <w:szCs w:val="19"/>
          <w:color w:val="auto"/>
        </w:rPr>
      </w:pPr>
    </w:p>
    <w:p>
      <w:pPr>
        <w:ind w:left="1820" w:hanging="465"/>
        <w:spacing w:after="0"/>
        <w:tabs>
          <w:tab w:leader="none" w:pos="1820" w:val="left"/>
        </w:tabs>
        <w:numPr>
          <w:ilvl w:val="2"/>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Australian L/C Issuer does not as of the issuance date of the requested L/C issue L/Cs in the Alternative</w:t>
      </w:r>
    </w:p>
    <w:p>
      <w:pPr>
        <w:spacing w:after="0" w:line="25" w:lineRule="exact"/>
        <w:rPr>
          <w:rFonts w:ascii="Times New Roman" w:cs="Times New Roman" w:eastAsia="Times New Roman" w:hAnsi="Times New Roman"/>
          <w:sz w:val="19"/>
          <w:szCs w:val="19"/>
          <w:color w:val="auto"/>
        </w:rPr>
      </w:pPr>
    </w:p>
    <w:p>
      <w:pPr>
        <w:ind w:left="7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Currency.</w:t>
      </w:r>
    </w:p>
    <w:p>
      <w:pPr>
        <w:spacing w:after="0" w:line="194" w:lineRule="exact"/>
        <w:rPr>
          <w:rFonts w:ascii="Times New Roman" w:cs="Times New Roman" w:eastAsia="Times New Roman" w:hAnsi="Times New Roman"/>
          <w:sz w:val="19"/>
          <w:szCs w:val="19"/>
          <w:color w:val="auto"/>
        </w:rPr>
      </w:pPr>
    </w:p>
    <w:p>
      <w:pPr>
        <w:jc w:val="both"/>
        <w:ind w:left="120" w:firstLine="617"/>
        <w:spacing w:after="0" w:line="268" w:lineRule="auto"/>
        <w:tabs>
          <w:tab w:leader="none" w:pos="1263"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L/C Issuer shall be under any obligation to amend any L/C if (A) such L/C Issuer would have no obligation at such time to issue such L/C in its amended form under the terms hereof, or (B) the beneficiary of such L/C does not accept the proposed amendment to such L/C.</w:t>
      </w:r>
    </w:p>
    <w:p>
      <w:pPr>
        <w:spacing w:after="0" w:line="156" w:lineRule="exact"/>
        <w:rPr>
          <w:rFonts w:ascii="Times New Roman" w:cs="Times New Roman" w:eastAsia="Times New Roman" w:hAnsi="Times New Roman"/>
          <w:sz w:val="19"/>
          <w:szCs w:val="19"/>
          <w:color w:val="auto"/>
        </w:rPr>
      </w:pPr>
    </w:p>
    <w:p>
      <w:pPr>
        <w:ind w:left="120" w:firstLine="617"/>
        <w:spacing w:after="0" w:line="282" w:lineRule="auto"/>
        <w:tabs>
          <w:tab w:leader="none" w:pos="1262"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L/C Issuer shall amend any L/C if such L/C Issuer would not be permitted at such time to issue the L/C in its amended form under the terms hereof.</w:t>
      </w:r>
    </w:p>
    <w:p>
      <w:pPr>
        <w:spacing w:after="0" w:line="143" w:lineRule="exact"/>
        <w:rPr>
          <w:rFonts w:ascii="Times New Roman" w:cs="Times New Roman" w:eastAsia="Times New Roman" w:hAnsi="Times New Roman"/>
          <w:sz w:val="19"/>
          <w:szCs w:val="19"/>
          <w:color w:val="auto"/>
        </w:rPr>
      </w:pPr>
    </w:p>
    <w:p>
      <w:pPr>
        <w:jc w:val="both"/>
        <w:ind w:left="120" w:firstLine="617"/>
        <w:spacing w:after="0" w:line="254" w:lineRule="auto"/>
        <w:tabs>
          <w:tab w:leader="none" w:pos="1190"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L/C Issuer shall act on behalf of the Revolver Lenders with respect to any L/C issued by it and the documents associated therewith, and such L/C Issuer shall have all of the benefits and immunities (A) provided to Administrative Agent in </w:t>
      </w:r>
      <w:r>
        <w:rPr>
          <w:rFonts w:ascii="Times New Roman" w:cs="Times New Roman" w:eastAsia="Times New Roman" w:hAnsi="Times New Roman"/>
          <w:sz w:val="19"/>
          <w:szCs w:val="19"/>
          <w:b w:val="1"/>
          <w:bCs w:val="1"/>
          <w:i w:val="1"/>
          <w:iCs w:val="1"/>
          <w:color w:val="auto"/>
        </w:rPr>
        <w:t xml:space="preserve">Section 14 </w:t>
      </w:r>
      <w:r>
        <w:rPr>
          <w:rFonts w:ascii="Times New Roman" w:cs="Times New Roman" w:eastAsia="Times New Roman" w:hAnsi="Times New Roman"/>
          <w:sz w:val="19"/>
          <w:szCs w:val="19"/>
          <w:color w:val="auto"/>
        </w:rPr>
        <w:t>with respect to any acts taken or omissions suffered by such L/C Issuer in connection with each L/C issued by it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proposed to be issued by it and L/C Agreements pertaining to such L/C as fully as if the term “</w:t>
      </w:r>
      <w:r>
        <w:rPr>
          <w:rFonts w:ascii="Times New Roman" w:cs="Times New Roman" w:eastAsia="Times New Roman" w:hAnsi="Times New Roman"/>
          <w:sz w:val="19"/>
          <w:szCs w:val="19"/>
          <w:i w:val="1"/>
          <w:iCs w:val="1"/>
          <w:color w:val="auto"/>
        </w:rPr>
        <w:t>Administrative Agent</w:t>
      </w:r>
      <w:r>
        <w:rPr>
          <w:rFonts w:ascii="Times New Roman" w:cs="Times New Roman" w:eastAsia="Times New Roman" w:hAnsi="Times New Roman"/>
          <w:sz w:val="19"/>
          <w:szCs w:val="19"/>
          <w:color w:val="auto"/>
        </w:rPr>
        <w:t xml:space="preserve">” as used in </w:t>
      </w:r>
      <w:r>
        <w:rPr>
          <w:rFonts w:ascii="Times New Roman" w:cs="Times New Roman" w:eastAsia="Times New Roman" w:hAnsi="Times New Roman"/>
          <w:sz w:val="19"/>
          <w:szCs w:val="19"/>
          <w:b w:val="1"/>
          <w:bCs w:val="1"/>
          <w:i w:val="1"/>
          <w:iCs w:val="1"/>
          <w:color w:val="auto"/>
        </w:rPr>
        <w:t xml:space="preserve">Section 14 </w:t>
      </w:r>
      <w:r>
        <w:rPr>
          <w:rFonts w:ascii="Times New Roman" w:cs="Times New Roman" w:eastAsia="Times New Roman" w:hAnsi="Times New Roman"/>
          <w:sz w:val="19"/>
          <w:szCs w:val="19"/>
          <w:color w:val="auto"/>
        </w:rPr>
        <w:t>included such L/C Issuer with respect to such acts or omissions, and (B) as additionally provided herein with respect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such L/C Issuer.</w:t>
      </w:r>
    </w:p>
    <w:p>
      <w:pPr>
        <w:spacing w:after="0" w:line="177" w:lineRule="exact"/>
        <w:rPr>
          <w:rFonts w:ascii="Times New Roman" w:cs="Times New Roman" w:eastAsia="Times New Roman" w:hAnsi="Times New Roman"/>
          <w:sz w:val="19"/>
          <w:szCs w:val="19"/>
          <w:color w:val="auto"/>
        </w:rPr>
      </w:pPr>
    </w:p>
    <w:p>
      <w:pPr>
        <w:ind w:left="520" w:hanging="401"/>
        <w:spacing w:after="0"/>
        <w:tabs>
          <w:tab w:leader="none" w:pos="52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Procedures for Issuance and Amendment of Letters of Credit: Auto-Extension Letters of Credit</w:t>
      </w:r>
      <w:r>
        <w:rPr>
          <w:rFonts w:ascii="Times New Roman" w:cs="Times New Roman" w:eastAsia="Times New Roman" w:hAnsi="Times New Roman"/>
          <w:sz w:val="19"/>
          <w:szCs w:val="19"/>
          <w:color w:val="auto"/>
        </w:rPr>
        <w:t>.</w:t>
      </w:r>
    </w:p>
    <w:p>
      <w:pPr>
        <w:spacing w:after="0" w:line="212" w:lineRule="exact"/>
        <w:rPr>
          <w:rFonts w:ascii="Times New Roman" w:cs="Times New Roman" w:eastAsia="Times New Roman" w:hAnsi="Times New Roman"/>
          <w:sz w:val="19"/>
          <w:szCs w:val="19"/>
          <w:color w:val="auto"/>
        </w:rPr>
      </w:pPr>
    </w:p>
    <w:p>
      <w:pPr>
        <w:jc w:val="both"/>
        <w:ind w:left="120" w:firstLine="617"/>
        <w:spacing w:after="0" w:line="258" w:lineRule="auto"/>
        <w:tabs>
          <w:tab w:leader="none" w:pos="1107"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L/C shall be issued or amended, as the case may be, upon the request of Borrower delivered to the applicable L/C Issuer (with a copy to Administrative Agent) in the form of an L/C Agreement, appropriately completed and signed by a Responsible Officer of Borrower. Such L/C Agreement may be sent by facsimile, by United States mail, by overnight courier, by electronic transmission using the system provided by the applicable L/C Issuer, by personal delivery or by any other means acceptable to the L/C Issuer. Such L/C Agreement must be received by the applicable L/</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44</w:t>
      </w:r>
    </w:p>
    <w:p>
      <w:pPr>
        <w:sectPr>
          <w:pgSz w:w="11900" w:h="16838" w:orient="portrait"/>
          <w:cols w:equalWidth="0" w:num="1">
            <w:col w:w="10120"/>
          </w:cols>
          <w:pgMar w:left="1440" w:top="1440" w:right="339" w:bottom="1440" w:gutter="0" w:footer="0" w:header="0"/>
        </w:sectPr>
      </w:pPr>
    </w:p>
    <w:bookmarkStart w:id="95" w:name="page96"/>
    <w:bookmarkEnd w:id="95"/>
    <w:p>
      <w:pPr>
        <w:spacing w:after="0" w:line="121" w:lineRule="exact"/>
        <w:rPr>
          <w:sz w:val="20"/>
          <w:szCs w:val="20"/>
          <w:color w:val="auto"/>
        </w:rPr>
      </w:pPr>
    </w:p>
    <w:p>
      <w:pPr>
        <w:jc w:val="both"/>
        <w:ind w:left="120"/>
        <w:spacing w:after="0" w:line="264" w:lineRule="auto"/>
        <w:rPr>
          <w:sz w:val="20"/>
          <w:szCs w:val="20"/>
          <w:color w:val="auto"/>
        </w:rPr>
      </w:pPr>
      <w:r>
        <w:rPr>
          <w:rFonts w:ascii="Times New Roman" w:cs="Times New Roman" w:eastAsia="Times New Roman" w:hAnsi="Times New Roman"/>
          <w:sz w:val="18"/>
          <w:szCs w:val="18"/>
          <w:color w:val="auto"/>
        </w:rPr>
        <w:t>C Issuer and Administrative Agent not later than 11:00 a.m. at least two Business Days (or such later date and time as the applicable L/C Issuer may agree in a particular instance in its sole discretion) prior to the proposed issuance date or date of amendment, as the case may be. In the case of a request for an initial issuance of an L/C, such L/C Agreement shall specify in form and detail satisfactory to the applicable L/C Issuer: (A) the proposed issuance date of the requested L/C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the purpose and nature of the requested L/C and such other matters as the applicable L/C Issuer (or, in the case of the Bond L/Cs, the applicable L/C Issuer or Administrative Agent) may require. In the case of a request for an amendment of any outstanding L/C, such L/C Agreement shall specify in form and detail satisfactory to the applicable L/C Issuer (A) the L/C to be amended; (B) the proposed date of amendment thereof (which shall be a Business Day);</w:t>
      </w:r>
    </w:p>
    <w:p>
      <w:pPr>
        <w:spacing w:after="0" w:line="2" w:lineRule="exact"/>
        <w:rPr>
          <w:sz w:val="20"/>
          <w:szCs w:val="20"/>
          <w:color w:val="auto"/>
        </w:rPr>
      </w:pPr>
    </w:p>
    <w:p>
      <w:pPr>
        <w:jc w:val="both"/>
        <w:ind w:left="120" w:hanging="1"/>
        <w:spacing w:after="0" w:line="254" w:lineRule="auto"/>
        <w:tabs>
          <w:tab w:leader="none" w:pos="41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nature of the proposed amendment; and (D) such other matters as the applicable L/C Issuer (or, in the case of the Bond L/Cs, the applicable L/C Issuer or Administrative Agent) may require. Additionally, Borrower shall furnish to the applicable L/C Issuer and Administrative Agent such other documents and information pertaining to such requested L/C issuance or amendment, including any Issuer Documents, as such L/C Issuer or Administrative Agent may require.</w:t>
      </w:r>
    </w:p>
    <w:p>
      <w:pPr>
        <w:spacing w:after="0" w:line="170" w:lineRule="exact"/>
        <w:rPr>
          <w:rFonts w:ascii="Times New Roman" w:cs="Times New Roman" w:eastAsia="Times New Roman" w:hAnsi="Times New Roman"/>
          <w:sz w:val="19"/>
          <w:szCs w:val="19"/>
          <w:color w:val="auto"/>
        </w:rPr>
      </w:pPr>
    </w:p>
    <w:p>
      <w:pPr>
        <w:jc w:val="both"/>
        <w:ind w:left="120" w:firstLine="617"/>
        <w:spacing w:after="0" w:line="253" w:lineRule="auto"/>
        <w:tabs>
          <w:tab w:leader="none" w:pos="1201"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after receipt of any L/C Agreement, the applicable L/C Issuer will confirm with Administrative Agent (by telephone or in writing) that Administrative Agent has received a copy of such L/C Agreement from Borrower and, if not, such L/C Issuer will provide Administrative Agent with a copy thereof. Unless the applicable L/C Issuer has received written notice from any Revolver Lender, Administrative Agent or Borrower, at least one Business Day prior to the requested date of issuance or amendment of the applicable L/C, that one or more applicable conditions contained in </w:t>
      </w:r>
      <w:r>
        <w:rPr>
          <w:rFonts w:ascii="Times New Roman" w:cs="Times New Roman" w:eastAsia="Times New Roman" w:hAnsi="Times New Roman"/>
          <w:sz w:val="19"/>
          <w:szCs w:val="19"/>
          <w:b w:val="1"/>
          <w:bCs w:val="1"/>
          <w:i w:val="1"/>
          <w:iCs w:val="1"/>
          <w:color w:val="auto"/>
        </w:rPr>
        <w:t>Article VII</w:t>
      </w:r>
      <w:r>
        <w:rPr>
          <w:rFonts w:ascii="Times New Roman" w:cs="Times New Roman" w:eastAsia="Times New Roman" w:hAnsi="Times New Roman"/>
          <w:sz w:val="19"/>
          <w:szCs w:val="19"/>
          <w:color w:val="auto"/>
        </w:rPr>
        <w:t xml:space="preserve"> shall not be satisfied, then, subject to the terms and conditions hereof, such L/C Issuer shall, on the requested date, issue an L/C for the account of Borrower or enter into the applicable amendment, as the case may be, in each case in accordance with such L/C Issuer’s usual and customary business practices. Immediately upon the issuance of each L/C, each Revolver Lender shall be deemed to, and hereby irrevocably and unconditionally agrees to, purchase from the applicable L/C Issuer a risk participation in such L/C in an amount equal to the product of such Revolver Lender’s Commitment Percentage times the amount of such L/C.</w:t>
      </w:r>
    </w:p>
    <w:p>
      <w:pPr>
        <w:spacing w:after="0" w:line="169" w:lineRule="exact"/>
        <w:rPr>
          <w:rFonts w:ascii="Times New Roman" w:cs="Times New Roman" w:eastAsia="Times New Roman" w:hAnsi="Times New Roman"/>
          <w:sz w:val="19"/>
          <w:szCs w:val="19"/>
          <w:color w:val="auto"/>
        </w:rPr>
      </w:pPr>
    </w:p>
    <w:p>
      <w:pPr>
        <w:jc w:val="both"/>
        <w:ind w:left="120" w:firstLine="617"/>
        <w:spacing w:after="0" w:line="252" w:lineRule="auto"/>
        <w:tabs>
          <w:tab w:leader="none" w:pos="1285"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Borrower so requests in any applicable L/C Agreement, the applicable L/C Issuer may, in its sole and absolute discretion, agree to issue an L/C that has automatic extension provisions (each, an “</w:t>
      </w:r>
      <w:r>
        <w:rPr>
          <w:rFonts w:ascii="Times New Roman" w:cs="Times New Roman" w:eastAsia="Times New Roman" w:hAnsi="Times New Roman"/>
          <w:sz w:val="19"/>
          <w:szCs w:val="19"/>
          <w:b w:val="1"/>
          <w:bCs w:val="1"/>
          <w:i w:val="1"/>
          <w:iCs w:val="1"/>
          <w:color w:val="auto"/>
        </w:rPr>
        <w:t>Auto-Extension L/C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any such Auto-Extension L/C must permit the applicable L/C Issuer to prevent any such extension at least once in each twelve-month period (commencing with the date of issuance of such L/C) by giving prior notice to the beneficiary thereof not later than a day (the “</w:t>
      </w:r>
      <w:r>
        <w:rPr>
          <w:rFonts w:ascii="Times New Roman" w:cs="Times New Roman" w:eastAsia="Times New Roman" w:hAnsi="Times New Roman"/>
          <w:sz w:val="19"/>
          <w:szCs w:val="19"/>
          <w:b w:val="1"/>
          <w:bCs w:val="1"/>
          <w:i w:val="1"/>
          <w:iCs w:val="1"/>
          <w:color w:val="auto"/>
        </w:rPr>
        <w:t>Nonextension Notice Date</w:t>
      </w:r>
      <w:r>
        <w:rPr>
          <w:rFonts w:ascii="Times New Roman" w:cs="Times New Roman" w:eastAsia="Times New Roman" w:hAnsi="Times New Roman"/>
          <w:sz w:val="19"/>
          <w:szCs w:val="19"/>
          <w:color w:val="auto"/>
        </w:rPr>
        <w:t>”) in each such twelve-month period to be agreed upon at the time such L/C is issued. Unless otherwise directed by the applicable L/C Issuer, Borrower shall not be required to make a specific request to such L/C Issuer for any such extension. Once an Auto-Extension L/C has been issued, Revolver Lenders shall be deemed to have authorized (but may not require) the applicable L/C Issuer to permit the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45</w:t>
      </w:r>
    </w:p>
    <w:p>
      <w:pPr>
        <w:sectPr>
          <w:pgSz w:w="11900" w:h="16838" w:orient="portrait"/>
          <w:cols w:equalWidth="0" w:num="1">
            <w:col w:w="10120"/>
          </w:cols>
          <w:pgMar w:left="1440" w:top="1440" w:right="339" w:bottom="1440" w:gutter="0" w:footer="0" w:header="0"/>
        </w:sectPr>
      </w:pPr>
    </w:p>
    <w:bookmarkStart w:id="96" w:name="page97"/>
    <w:bookmarkEnd w:id="96"/>
    <w:p>
      <w:pPr>
        <w:spacing w:after="0" w:line="118"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9"/>
          <w:szCs w:val="19"/>
          <w:color w:val="auto"/>
        </w:rPr>
        <w:t xml:space="preserve">extension of such L/C at any time to an expiry date not later than the L/C Expiration Date;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applicable L/C Issuer shall not permit any such extension if (A) such L/C Issuer has determined that it would not be permitted, or would have no obligation at such time to issue such L/C in its revised form (as extended) under the terms hereof (by reason of the provisions of </w:t>
      </w:r>
      <w:r>
        <w:rPr>
          <w:rFonts w:ascii="Times New Roman" w:cs="Times New Roman" w:eastAsia="Times New Roman" w:hAnsi="Times New Roman"/>
          <w:sz w:val="19"/>
          <w:szCs w:val="19"/>
          <w:b w:val="1"/>
          <w:bCs w:val="1"/>
          <w:i w:val="1"/>
          <w:iCs w:val="1"/>
          <w:color w:val="auto"/>
        </w:rPr>
        <w:t>Section 2.3(a)(ii)</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Section 2.3(a)(iii) </w:t>
      </w:r>
      <w:r>
        <w:rPr>
          <w:rFonts w:ascii="Times New Roman" w:cs="Times New Roman" w:eastAsia="Times New Roman" w:hAnsi="Times New Roman"/>
          <w:sz w:val="19"/>
          <w:szCs w:val="19"/>
          <w:color w:val="auto"/>
        </w:rPr>
        <w:t>or otherwise), or (B) it has received notice (which may be by telephone or in writing) on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before the day that is seven Business Days before the Nonextension Notice Date (1) from Administrative Agent that Required Revolver Lenders have elected not to permit such extension or (2) from Administrative Agent, any Revolver Lender, or Borrower that one or more of the applicable conditions specified in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xml:space="preserve"> is not then satisfied, and in each such case directing the applicable L/C Issuer not to permit such extension.</w:t>
      </w:r>
    </w:p>
    <w:p>
      <w:pPr>
        <w:spacing w:after="0" w:line="183" w:lineRule="exact"/>
        <w:rPr>
          <w:sz w:val="20"/>
          <w:szCs w:val="20"/>
          <w:color w:val="auto"/>
        </w:rPr>
      </w:pPr>
    </w:p>
    <w:p>
      <w:pPr>
        <w:jc w:val="both"/>
        <w:ind w:left="120" w:firstLine="617"/>
        <w:spacing w:after="0" w:line="261" w:lineRule="auto"/>
        <w:tabs>
          <w:tab w:leader="none" w:pos="1219"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its delivery of any L/C or any amendment to an L/C to an advising bank with respect thereto or to the beneficiary thereof, the applicable L/C Issuer will also deliver to Borrower and Administrative Agent a true and complete copy of such L/C or amendment.</w:t>
      </w:r>
    </w:p>
    <w:p>
      <w:pPr>
        <w:spacing w:after="0" w:line="169" w:lineRule="exact"/>
        <w:rPr>
          <w:rFonts w:ascii="Times New Roman" w:cs="Times New Roman" w:eastAsia="Times New Roman" w:hAnsi="Times New Roman"/>
          <w:sz w:val="19"/>
          <w:szCs w:val="19"/>
          <w:color w:val="auto"/>
        </w:rPr>
      </w:pPr>
    </w:p>
    <w:p>
      <w:pPr>
        <w:ind w:left="520" w:hanging="401"/>
        <w:spacing w:after="0"/>
        <w:tabs>
          <w:tab w:leader="none" w:pos="5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Drawings and Reimbursements; Funding of Participations</w:t>
      </w:r>
      <w:r>
        <w:rPr>
          <w:rFonts w:ascii="Times New Roman" w:cs="Times New Roman" w:eastAsia="Times New Roman" w:hAnsi="Times New Roman"/>
          <w:sz w:val="19"/>
          <w:szCs w:val="19"/>
          <w:color w:val="auto"/>
        </w:rPr>
        <w:t>.</w:t>
      </w:r>
    </w:p>
    <w:p>
      <w:pPr>
        <w:spacing w:after="0" w:line="212" w:lineRule="exact"/>
        <w:rPr>
          <w:rFonts w:ascii="Times New Roman" w:cs="Times New Roman" w:eastAsia="Times New Roman" w:hAnsi="Times New Roman"/>
          <w:sz w:val="19"/>
          <w:szCs w:val="19"/>
          <w:color w:val="auto"/>
        </w:rPr>
      </w:pPr>
    </w:p>
    <w:p>
      <w:pPr>
        <w:jc w:val="both"/>
        <w:ind w:left="120" w:firstLine="617"/>
        <w:spacing w:after="0" w:line="250" w:lineRule="auto"/>
        <w:tabs>
          <w:tab w:leader="none" w:pos="1163"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receipt from the beneficiary of any L/C of any notice of a drawing under such L/C, the applicable L/C Issuer shall notify Borrower and Administrative Agent thereof. In the case of an L/C denominated in the Alternative Currency, Borrower shall reimburse the Australian L/C Issuer in the Alternative Currency, unless (A) the Australian L/C Issuer (at its option) shall have specified in such notice that it will require reimbursement in Dollars, or (B) in the absence of any such requirement for reimbursement in Dollars, Borrower shall have notified the Australian L/C Issuer promptly following receipt of the notice of drawing that Borrower will reimburse the Australian L/C Issuer in Dollars. In the case of any such reimbursement in Dollars of a drawing under an L/C denominated in the Alternative Currency, the Australian L/C Issuer shall notify Borrower of the Dollar Equivalent of the amount of the drawing promptly following the determination thereof. Not later than 11:00 a.m. on the date of any payment by the applicable L/C Issuer under an L/C to be reimbursed in Dollars, or the Applicable Time on the date of any payment by the Australian L/C Issuer under an L/C to be reimbursed in the Alternative Currency (each such date, an “</w:t>
      </w:r>
      <w:r>
        <w:rPr>
          <w:rFonts w:ascii="Times New Roman" w:cs="Times New Roman" w:eastAsia="Times New Roman" w:hAnsi="Times New Roman"/>
          <w:sz w:val="19"/>
          <w:szCs w:val="19"/>
          <w:b w:val="1"/>
          <w:bCs w:val="1"/>
          <w:i w:val="1"/>
          <w:iCs w:val="1"/>
          <w:color w:val="auto"/>
        </w:rPr>
        <w:t>Honor Date</w:t>
      </w:r>
      <w:r>
        <w:rPr>
          <w:rFonts w:ascii="Times New Roman" w:cs="Times New Roman" w:eastAsia="Times New Roman" w:hAnsi="Times New Roman"/>
          <w:sz w:val="19"/>
          <w:szCs w:val="19"/>
          <w:color w:val="auto"/>
        </w:rPr>
        <w:t xml:space="preserve">”), Borrower shall reimburse such L/C Issuer through Administrative Agent in an amount equal to the amount of such drawing and in the applicable currency. In the event that (A) a drawing denominated in the Alternative Currency is to be reimbursed in Dollars pursuant to the second sentence in this </w:t>
      </w:r>
      <w:r>
        <w:rPr>
          <w:rFonts w:ascii="Times New Roman" w:cs="Times New Roman" w:eastAsia="Times New Roman" w:hAnsi="Times New Roman"/>
          <w:sz w:val="19"/>
          <w:szCs w:val="19"/>
          <w:b w:val="1"/>
          <w:bCs w:val="1"/>
          <w:i w:val="1"/>
          <w:iCs w:val="1"/>
          <w:color w:val="auto"/>
        </w:rPr>
        <w:t>Section 2.3(c)(i)</w:t>
      </w:r>
      <w:r>
        <w:rPr>
          <w:rFonts w:ascii="Times New Roman" w:cs="Times New Roman" w:eastAsia="Times New Roman" w:hAnsi="Times New Roman"/>
          <w:sz w:val="19"/>
          <w:szCs w:val="19"/>
          <w:color w:val="auto"/>
        </w:rPr>
        <w:t xml:space="preserve"> and (B) the Dollar amount paid by Borrower, whether on or after the Honor Date, shall not be adequate on the date of that payment to purchase in accordance with normal banking procedures a sum denominated in the Alternative Currency equal to the drawing, Borrower agrees, as a separate and independent obligation, to indemnify the Australian L/C Issuer for the loss resulting from its inability on that date to purchase the Alternative Currency in the full amount of the drawing. If Borrower fails to so reimburse such L/C Issuer by such time, Administrative Agent shall promptly notify each Revolver Lender of the Honor Date, the amount of the unreimbursed drawing (expressed in Dollars in the amount of the Dollar Equivalent thereof in the case of an L/C denominated in the Alternative Currency) (the “</w:t>
      </w:r>
      <w:r>
        <w:rPr>
          <w:rFonts w:ascii="Times New Roman" w:cs="Times New Roman" w:eastAsia="Times New Roman" w:hAnsi="Times New Roman"/>
          <w:sz w:val="19"/>
          <w:szCs w:val="19"/>
          <w:b w:val="1"/>
          <w:bCs w:val="1"/>
          <w:i w:val="1"/>
          <w:iCs w:val="1"/>
          <w:color w:val="auto"/>
        </w:rPr>
        <w:t>Unreimbursed Amount</w:t>
      </w:r>
      <w:r>
        <w:rPr>
          <w:rFonts w:ascii="Times New Roman" w:cs="Times New Roman" w:eastAsia="Times New Roman" w:hAnsi="Times New Roman"/>
          <w:sz w:val="19"/>
          <w:szCs w:val="19"/>
          <w:color w:val="auto"/>
        </w:rPr>
        <w:t>”), and the amount of such Revolver Lender’s Commitment Percentage thereof. In such event, Borrower shall be deemed to have requested a Daily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46</w:t>
      </w:r>
    </w:p>
    <w:p>
      <w:pPr>
        <w:sectPr>
          <w:pgSz w:w="11900" w:h="16838" w:orient="portrait"/>
          <w:cols w:equalWidth="0" w:num="1">
            <w:col w:w="10120"/>
          </w:cols>
          <w:pgMar w:left="1440" w:top="1440" w:right="339" w:bottom="1440" w:gutter="0" w:footer="0" w:header="0"/>
        </w:sectPr>
      </w:pPr>
    </w:p>
    <w:bookmarkStart w:id="97" w:name="page98"/>
    <w:bookmarkEnd w:id="97"/>
    <w:p>
      <w:pPr>
        <w:spacing w:after="0" w:line="122"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9"/>
          <w:szCs w:val="19"/>
          <w:color w:val="auto"/>
        </w:rPr>
        <w:t xml:space="preserve">SOFR Rate Loan hereunder to be disbursed on the Honor Date in an amount equal to the Unreimbursed Amount, without regard to the minimum and multiples specified in </w:t>
      </w:r>
      <w:r>
        <w:rPr>
          <w:rFonts w:ascii="Times New Roman" w:cs="Times New Roman" w:eastAsia="Times New Roman" w:hAnsi="Times New Roman"/>
          <w:sz w:val="19"/>
          <w:szCs w:val="19"/>
          <w:b w:val="1"/>
          <w:bCs w:val="1"/>
          <w:i w:val="1"/>
          <w:iCs w:val="1"/>
          <w:color w:val="auto"/>
        </w:rPr>
        <w:t>Section 2.1</w:t>
      </w:r>
      <w:r>
        <w:rPr>
          <w:rFonts w:ascii="Times New Roman" w:cs="Times New Roman" w:eastAsia="Times New Roman" w:hAnsi="Times New Roman"/>
          <w:sz w:val="19"/>
          <w:szCs w:val="19"/>
          <w:color w:val="auto"/>
        </w:rPr>
        <w:t xml:space="preserve"> for the principal amount of Daily SOFR Rate Loans, but subject to the amount of the unutilized portion of the Revolver Commitment and the conditions set forth in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xml:space="preserve"> (other than the delivery of a Loan Notice). Any notice given by any L/C Issuer or Administrative Agent pursuant to this </w:t>
      </w:r>
      <w:r>
        <w:rPr>
          <w:rFonts w:ascii="Times New Roman" w:cs="Times New Roman" w:eastAsia="Times New Roman" w:hAnsi="Times New Roman"/>
          <w:sz w:val="19"/>
          <w:szCs w:val="19"/>
          <w:b w:val="1"/>
          <w:bCs w:val="1"/>
          <w:i w:val="1"/>
          <w:iCs w:val="1"/>
          <w:color w:val="auto"/>
        </w:rPr>
        <w:t>Section 2.3(c)(i)</w:t>
      </w:r>
      <w:r>
        <w:rPr>
          <w:rFonts w:ascii="Times New Roman" w:cs="Times New Roman" w:eastAsia="Times New Roman" w:hAnsi="Times New Roman"/>
          <w:sz w:val="19"/>
          <w:szCs w:val="19"/>
          <w:color w:val="auto"/>
        </w:rPr>
        <w:t xml:space="preserve"> may be given by telephone if immediately confirmed in writing;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the lack of such an immediate confirmation shall not affect the conclusiveness or binding effect of such notice.</w:t>
      </w:r>
    </w:p>
    <w:p>
      <w:pPr>
        <w:spacing w:after="0" w:line="184" w:lineRule="exact"/>
        <w:rPr>
          <w:sz w:val="20"/>
          <w:szCs w:val="20"/>
          <w:color w:val="auto"/>
        </w:rPr>
      </w:pPr>
    </w:p>
    <w:p>
      <w:pPr>
        <w:jc w:val="both"/>
        <w:ind w:left="120" w:firstLine="617"/>
        <w:spacing w:after="0" w:line="252" w:lineRule="auto"/>
        <w:tabs>
          <w:tab w:leader="none" w:pos="1236"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Revolver Lender (including any Revolver Lender acting as an L/C Issuer) shall upon any notice pursuant to </w:t>
      </w:r>
      <w:r>
        <w:rPr>
          <w:rFonts w:ascii="Times New Roman" w:cs="Times New Roman" w:eastAsia="Times New Roman" w:hAnsi="Times New Roman"/>
          <w:sz w:val="19"/>
          <w:szCs w:val="19"/>
          <w:b w:val="1"/>
          <w:bCs w:val="1"/>
          <w:i w:val="1"/>
          <w:iCs w:val="1"/>
          <w:color w:val="auto"/>
        </w:rPr>
        <w:t xml:space="preserve">Section 2.3(c)(i) </w:t>
      </w:r>
      <w:r>
        <w:rPr>
          <w:rFonts w:ascii="Times New Roman" w:cs="Times New Roman" w:eastAsia="Times New Roman" w:hAnsi="Times New Roman"/>
          <w:sz w:val="19"/>
          <w:szCs w:val="19"/>
          <w:color w:val="auto"/>
        </w:rPr>
        <w:t>make funds available (and Administrative Agent may apply Cash Collateral provided for this purpose) for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account of the applicable L/C Issuer in Dollars at Administrative Agent’s Office in an amount equal to its Commitment Percentage of the Unreimbursed Amount not later than 1:00 p.m. on the Business Day specified in such notice by Administrative Agent; whereupon, subject to the provisions of </w:t>
      </w:r>
      <w:r>
        <w:rPr>
          <w:rFonts w:ascii="Times New Roman" w:cs="Times New Roman" w:eastAsia="Times New Roman" w:hAnsi="Times New Roman"/>
          <w:sz w:val="19"/>
          <w:szCs w:val="19"/>
          <w:b w:val="1"/>
          <w:bCs w:val="1"/>
          <w:i w:val="1"/>
          <w:iCs w:val="1"/>
          <w:color w:val="auto"/>
        </w:rPr>
        <w:t>Section 2.3(c)(iii)</w:t>
      </w:r>
      <w:r>
        <w:rPr>
          <w:rFonts w:ascii="Times New Roman" w:cs="Times New Roman" w:eastAsia="Times New Roman" w:hAnsi="Times New Roman"/>
          <w:sz w:val="19"/>
          <w:szCs w:val="19"/>
          <w:color w:val="auto"/>
        </w:rPr>
        <w:t>, each Revolver Lender that so makes funds available shall be deemed to have made a Daily SOFR Rate Loan hereunder to Borrower in such amount. Administrative Agent shall remit the funds so received to the applicable L/C Issuer in Dollars.</w:t>
      </w:r>
    </w:p>
    <w:p>
      <w:pPr>
        <w:spacing w:after="0" w:line="184" w:lineRule="exact"/>
        <w:rPr>
          <w:rFonts w:ascii="Times New Roman" w:cs="Times New Roman" w:eastAsia="Times New Roman" w:hAnsi="Times New Roman"/>
          <w:sz w:val="19"/>
          <w:szCs w:val="19"/>
          <w:color w:val="auto"/>
        </w:rPr>
      </w:pPr>
    </w:p>
    <w:p>
      <w:pPr>
        <w:jc w:val="both"/>
        <w:ind w:left="120" w:firstLine="617"/>
        <w:spacing w:after="0" w:line="271" w:lineRule="auto"/>
        <w:tabs>
          <w:tab w:leader="none" w:pos="12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Unreimbursed Amount that is not fully refinanced by a Revolver Loan because the conditions set forth in </w:t>
      </w:r>
      <w:r>
        <w:rPr>
          <w:rFonts w:ascii="Times New Roman" w:cs="Times New Roman" w:eastAsia="Times New Roman" w:hAnsi="Times New Roman"/>
          <w:sz w:val="18"/>
          <w:szCs w:val="18"/>
          <w:b w:val="1"/>
          <w:bCs w:val="1"/>
          <w:i w:val="1"/>
          <w:iCs w:val="1"/>
          <w:color w:val="auto"/>
        </w:rPr>
        <w:t>Section 7.2</w:t>
      </w:r>
      <w:r>
        <w:rPr>
          <w:rFonts w:ascii="Times New Roman" w:cs="Times New Roman" w:eastAsia="Times New Roman" w:hAnsi="Times New Roman"/>
          <w:sz w:val="18"/>
          <w:szCs w:val="18"/>
          <w:color w:val="auto"/>
        </w:rPr>
        <w:t xml:space="preserve"> cannot be satisfied or for any other reason,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Revolver Lender’s payment to Administrative Agent for the account of the applicable L/C Issuer pursuant to </w:t>
      </w:r>
      <w:r>
        <w:rPr>
          <w:rFonts w:ascii="Times New Roman" w:cs="Times New Roman" w:eastAsia="Times New Roman" w:hAnsi="Times New Roman"/>
          <w:sz w:val="18"/>
          <w:szCs w:val="18"/>
          <w:b w:val="1"/>
          <w:bCs w:val="1"/>
          <w:i w:val="1"/>
          <w:iCs w:val="1"/>
          <w:color w:val="auto"/>
        </w:rPr>
        <w:t>Section 2.3(c)(ii)</w:t>
      </w:r>
      <w:r>
        <w:rPr>
          <w:rFonts w:ascii="Times New Roman" w:cs="Times New Roman" w:eastAsia="Times New Roman" w:hAnsi="Times New Roman"/>
          <w:sz w:val="18"/>
          <w:szCs w:val="18"/>
          <w:color w:val="auto"/>
        </w:rPr>
        <w:t xml:space="preserve"> shall be deemed payment in respect of its participation in such L/C Borrowing in satisfaction of its participation obligation under this </w:t>
      </w:r>
      <w:r>
        <w:rPr>
          <w:rFonts w:ascii="Times New Roman" w:cs="Times New Roman" w:eastAsia="Times New Roman" w:hAnsi="Times New Roman"/>
          <w:sz w:val="18"/>
          <w:szCs w:val="18"/>
          <w:b w:val="1"/>
          <w:bCs w:val="1"/>
          <w:i w:val="1"/>
          <w:iCs w:val="1"/>
          <w:color w:val="auto"/>
        </w:rPr>
        <w:t>Section 2.3</w:t>
      </w:r>
      <w:r>
        <w:rPr>
          <w:rFonts w:ascii="Times New Roman" w:cs="Times New Roman" w:eastAsia="Times New Roman" w:hAnsi="Times New Roman"/>
          <w:sz w:val="18"/>
          <w:szCs w:val="18"/>
          <w:color w:val="auto"/>
        </w:rPr>
        <w:t>.</w:t>
      </w:r>
    </w:p>
    <w:p>
      <w:pPr>
        <w:spacing w:after="0" w:line="155" w:lineRule="exact"/>
        <w:rPr>
          <w:rFonts w:ascii="Times New Roman" w:cs="Times New Roman" w:eastAsia="Times New Roman" w:hAnsi="Times New Roman"/>
          <w:sz w:val="18"/>
          <w:szCs w:val="18"/>
          <w:color w:val="auto"/>
        </w:rPr>
      </w:pPr>
    </w:p>
    <w:p>
      <w:pPr>
        <w:jc w:val="both"/>
        <w:ind w:left="120" w:firstLine="617"/>
        <w:spacing w:after="0" w:line="261" w:lineRule="auto"/>
        <w:tabs>
          <w:tab w:leader="none" w:pos="1256"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Until each Revolver Lender funds its portion of a Revolver Loan or participation in an L/C Borrowing pursuant to this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to reimburse the applicable L/C Issuer for any amount drawn under any L/C, interest in respect of such Revolver Lender’s Commitment Percentage of such amount shall be solely for the account of the applicable L/C Issuer.</w:t>
      </w:r>
    </w:p>
    <w:p>
      <w:pPr>
        <w:spacing w:after="0" w:line="175" w:lineRule="exact"/>
        <w:rPr>
          <w:rFonts w:ascii="Times New Roman" w:cs="Times New Roman" w:eastAsia="Times New Roman" w:hAnsi="Times New Roman"/>
          <w:sz w:val="19"/>
          <w:szCs w:val="19"/>
          <w:color w:val="auto"/>
        </w:rPr>
      </w:pPr>
    </w:p>
    <w:p>
      <w:pPr>
        <w:jc w:val="both"/>
        <w:ind w:left="120" w:firstLine="617"/>
        <w:spacing w:after="0" w:line="252" w:lineRule="auto"/>
        <w:tabs>
          <w:tab w:leader="none" w:pos="1162"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Revolver Lender’s obligation to reimburse the L/C Issuers for amounts drawn under L/Cs (whether by making a Revolver Loans or funding its participation in an L/C Borrowing), as contemplated by this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color w:val="auto"/>
        </w:rPr>
        <w:t xml:space="preserve">, shall be absolute and unconditional and shall not be affected by any circumstance, including (A) any set-off, counterclaim, recoupment, defense, or other right which such Revolver Lender may have against the applicable L/C Issuer, Borrower, or any other Person for any reason whatsoever; (B) the occurrence or continuance of a Default or Potential Default, or (C) any other occurrence, event or condition, whether or not similar to any of the foregoing;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each Revolver Lender’s obligation to make Revolver Loans pursuant to this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color w:val="auto"/>
        </w:rPr>
        <w:t xml:space="preserve"> is subject to the conditions set forth in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xml:space="preserve"> (other than delivery by Borrower of a Loan Notice). No funding of a participation in an L/C Borrowing shall relieve or otherwise impair the obligation of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47</w:t>
      </w:r>
    </w:p>
    <w:p>
      <w:pPr>
        <w:sectPr>
          <w:pgSz w:w="11900" w:h="16838" w:orient="portrait"/>
          <w:cols w:equalWidth="0" w:num="1">
            <w:col w:w="10120"/>
          </w:cols>
          <w:pgMar w:left="1440" w:top="1440" w:right="339" w:bottom="1440" w:gutter="0" w:footer="0" w:header="0"/>
        </w:sectPr>
      </w:pPr>
    </w:p>
    <w:bookmarkStart w:id="98" w:name="page99"/>
    <w:bookmarkEnd w:id="98"/>
    <w:p>
      <w:pPr>
        <w:spacing w:after="0" w:line="122" w:lineRule="exact"/>
        <w:rPr>
          <w:sz w:val="20"/>
          <w:szCs w:val="20"/>
          <w:color w:val="auto"/>
        </w:rPr>
      </w:pPr>
    </w:p>
    <w:p>
      <w:pPr>
        <w:ind w:left="620"/>
        <w:spacing w:after="0" w:line="282" w:lineRule="auto"/>
        <w:rPr>
          <w:sz w:val="20"/>
          <w:szCs w:val="20"/>
          <w:color w:val="auto"/>
        </w:rPr>
      </w:pPr>
      <w:r>
        <w:rPr>
          <w:rFonts w:ascii="Times New Roman" w:cs="Times New Roman" w:eastAsia="Times New Roman" w:hAnsi="Times New Roman"/>
          <w:sz w:val="19"/>
          <w:szCs w:val="19"/>
          <w:color w:val="auto"/>
        </w:rPr>
        <w:t>Borrower to reimburse the applicable L/C Issuer for the amount of any payment made by such L/C Issuer under any L/C, together with interest as provided herein.</w:t>
      </w:r>
    </w:p>
    <w:p>
      <w:pPr>
        <w:spacing w:after="0" w:line="143" w:lineRule="exact"/>
        <w:rPr>
          <w:sz w:val="20"/>
          <w:szCs w:val="20"/>
          <w:color w:val="auto"/>
        </w:rPr>
      </w:pPr>
    </w:p>
    <w:p>
      <w:pPr>
        <w:jc w:val="both"/>
        <w:ind w:left="620" w:firstLine="617"/>
        <w:spacing w:after="0" w:line="251" w:lineRule="auto"/>
        <w:tabs>
          <w:tab w:leader="none" w:pos="1735"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Revolver Lender fails to make available to Administrative Agent for the account of the applicable L/C Issuer any amount required to be paid by such Revolver Lender pursuant to the foregoing provisions of this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color w:val="auto"/>
        </w:rPr>
        <w:t xml:space="preserve"> by the time specified in </w:t>
      </w:r>
      <w:r>
        <w:rPr>
          <w:rFonts w:ascii="Times New Roman" w:cs="Times New Roman" w:eastAsia="Times New Roman" w:hAnsi="Times New Roman"/>
          <w:sz w:val="19"/>
          <w:szCs w:val="19"/>
          <w:b w:val="1"/>
          <w:bCs w:val="1"/>
          <w:i w:val="1"/>
          <w:iCs w:val="1"/>
          <w:color w:val="auto"/>
        </w:rPr>
        <w:t>Section 2.3(c)(ii)</w:t>
      </w:r>
      <w:r>
        <w:rPr>
          <w:rFonts w:ascii="Times New Roman" w:cs="Times New Roman" w:eastAsia="Times New Roman" w:hAnsi="Times New Roman"/>
          <w:sz w:val="19"/>
          <w:szCs w:val="19"/>
          <w:color w:val="auto"/>
        </w:rPr>
        <w:t xml:space="preserve">, then, without limiting the other provisions of this Agreement, the applicable L/C Issuer shall be entitled to recover from such Revolver Lender (acting through Administrative Agent), on demand, such amount with interest thereon for the period from the date such payment is required to the date on which such payment is immediately available to the applicable L/C Issuer at a rate per annum equal to the greater of the Federal Funds Rate and a rate determined by such L/C Issuer in accordance with banking industry rules on interbank compensation, plus any administrative, processing, or similar fees customarily charged by such L/C Issuer in connection with the foregoing. If such Revolver Lender pays such amount (with interest and fees as aforesaid), the amount so paid shall constitute such Revolver Lender’s participation in the L/C Borrowing, as the case may be. A certificate of the applicable L/C Issuer submitted to any Revolver Lender (through Administrative Agent) with respect to any amounts owing under this </w:t>
      </w:r>
      <w:r>
        <w:rPr>
          <w:rFonts w:ascii="Times New Roman" w:cs="Times New Roman" w:eastAsia="Times New Roman" w:hAnsi="Times New Roman"/>
          <w:sz w:val="19"/>
          <w:szCs w:val="19"/>
          <w:b w:val="1"/>
          <w:bCs w:val="1"/>
          <w:i w:val="1"/>
          <w:iCs w:val="1"/>
          <w:color w:val="auto"/>
        </w:rPr>
        <w:t>clause (vi)</w:t>
      </w:r>
      <w:r>
        <w:rPr>
          <w:rFonts w:ascii="Times New Roman" w:cs="Times New Roman" w:eastAsia="Times New Roman" w:hAnsi="Times New Roman"/>
          <w:sz w:val="19"/>
          <w:szCs w:val="19"/>
          <w:color w:val="auto"/>
        </w:rPr>
        <w:t xml:space="preserve"> shall be conclusive absent manifest error.</w:t>
      </w:r>
    </w:p>
    <w:p>
      <w:pPr>
        <w:spacing w:after="0" w:line="184" w:lineRule="exact"/>
        <w:rPr>
          <w:rFonts w:ascii="Times New Roman" w:cs="Times New Roman" w:eastAsia="Times New Roman" w:hAnsi="Times New Roman"/>
          <w:sz w:val="19"/>
          <w:szCs w:val="19"/>
          <w:color w:val="auto"/>
        </w:rPr>
      </w:pPr>
    </w:p>
    <w:p>
      <w:pPr>
        <w:ind w:left="1020" w:hanging="401"/>
        <w:spacing w:after="0"/>
        <w:tabs>
          <w:tab w:leader="none" w:pos="102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Repayment of Participations</w:t>
      </w:r>
      <w:r>
        <w:rPr>
          <w:rFonts w:ascii="Times New Roman" w:cs="Times New Roman" w:eastAsia="Times New Roman" w:hAnsi="Times New Roman"/>
          <w:sz w:val="19"/>
          <w:szCs w:val="19"/>
          <w:color w:val="auto"/>
        </w:rPr>
        <w:t>.</w:t>
      </w:r>
    </w:p>
    <w:p>
      <w:pPr>
        <w:spacing w:after="0" w:line="212" w:lineRule="exact"/>
        <w:rPr>
          <w:rFonts w:ascii="Times New Roman" w:cs="Times New Roman" w:eastAsia="Times New Roman" w:hAnsi="Times New Roman"/>
          <w:sz w:val="19"/>
          <w:szCs w:val="19"/>
          <w:color w:val="auto"/>
        </w:rPr>
      </w:pPr>
    </w:p>
    <w:p>
      <w:pPr>
        <w:jc w:val="both"/>
        <w:ind w:left="620" w:firstLine="617"/>
        <w:spacing w:after="0" w:line="254" w:lineRule="auto"/>
        <w:tabs>
          <w:tab w:leader="none" w:pos="1628"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any time after an L/C Issuer has made a payment under any L/C and has received from any Revolver Lender such Revolver Lender’s funding of its participation in the related L/C Borrowing in accordance with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color w:val="auto"/>
        </w:rPr>
        <w:t>, if Administrative Agent receives for the account of such L/C Issuer any payment in respect of the related Unreimbursed Amount or interest thereon (whether directly from Borrower or otherwise, including proceeds of Cash Collateral applied thereto by Administrative Agent), Administrative Agent will distribute to such Revolver Lender its Commitment Percentage thereof in Dollars (appropriately adjusted, in the case of interest payments, to reflect the period of time during which such Revolver Lender’s participation in the L/C Borrowing was outstanding) in the same funds as those received by Administrative Agent.</w:t>
      </w:r>
    </w:p>
    <w:p>
      <w:pPr>
        <w:spacing w:after="0" w:line="165" w:lineRule="exact"/>
        <w:rPr>
          <w:rFonts w:ascii="Times New Roman" w:cs="Times New Roman" w:eastAsia="Times New Roman" w:hAnsi="Times New Roman"/>
          <w:sz w:val="19"/>
          <w:szCs w:val="19"/>
          <w:color w:val="auto"/>
        </w:rPr>
      </w:pPr>
    </w:p>
    <w:p>
      <w:pPr>
        <w:jc w:val="both"/>
        <w:ind w:left="620" w:firstLine="617"/>
        <w:spacing w:after="0" w:line="255" w:lineRule="auto"/>
        <w:tabs>
          <w:tab w:leader="none" w:pos="1714"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payment received by Administrative Agent for the account of any L/C Issuer pursuant to </w:t>
      </w:r>
      <w:r>
        <w:rPr>
          <w:rFonts w:ascii="Times New Roman" w:cs="Times New Roman" w:eastAsia="Times New Roman" w:hAnsi="Times New Roman"/>
          <w:sz w:val="19"/>
          <w:szCs w:val="19"/>
          <w:b w:val="1"/>
          <w:bCs w:val="1"/>
          <w:i w:val="1"/>
          <w:iCs w:val="1"/>
          <w:color w:val="auto"/>
        </w:rPr>
        <w:t>Section 2.3(c)(i)</w:t>
      </w:r>
      <w:r>
        <w:rPr>
          <w:rFonts w:ascii="Times New Roman" w:cs="Times New Roman" w:eastAsia="Times New Roman" w:hAnsi="Times New Roman"/>
          <w:sz w:val="19"/>
          <w:szCs w:val="19"/>
          <w:color w:val="auto"/>
        </w:rPr>
        <w:t xml:space="preserve"> is required to be returned under any of the circumstances described in </w:t>
      </w:r>
      <w:r>
        <w:rPr>
          <w:rFonts w:ascii="Times New Roman" w:cs="Times New Roman" w:eastAsia="Times New Roman" w:hAnsi="Times New Roman"/>
          <w:sz w:val="19"/>
          <w:szCs w:val="19"/>
          <w:b w:val="1"/>
          <w:bCs w:val="1"/>
          <w:i w:val="1"/>
          <w:iCs w:val="1"/>
          <w:color w:val="auto"/>
        </w:rPr>
        <w:t>Section 15.12</w:t>
      </w:r>
      <w:r>
        <w:rPr>
          <w:rFonts w:ascii="Times New Roman" w:cs="Times New Roman" w:eastAsia="Times New Roman" w:hAnsi="Times New Roman"/>
          <w:sz w:val="19"/>
          <w:szCs w:val="19"/>
          <w:color w:val="auto"/>
        </w:rPr>
        <w:t xml:space="preserve"> (including pursuant to any settlement entered into by the applicable L/C Issuer in its discretion), each Revolver Lender shall pay to Administrative Agent for the account of the applicable L/C Issuer its Commitment Percentage thereof on demand of Administrative Agent, plus interest thereon from the date of such demand to the date such amount is returned by such Revolver Lender, at a rate per annum equal to the Federal Funds Rate from time to time in effect. The obligations of the Revolver Lenders under this </w:t>
      </w:r>
      <w:r>
        <w:rPr>
          <w:rFonts w:ascii="Times New Roman" w:cs="Times New Roman" w:eastAsia="Times New Roman" w:hAnsi="Times New Roman"/>
          <w:sz w:val="19"/>
          <w:szCs w:val="19"/>
          <w:b w:val="1"/>
          <w:bCs w:val="1"/>
          <w:i w:val="1"/>
          <w:iCs w:val="1"/>
          <w:color w:val="auto"/>
        </w:rPr>
        <w:t>clause (d)</w:t>
      </w:r>
      <w:r>
        <w:rPr>
          <w:rFonts w:ascii="Times New Roman" w:cs="Times New Roman" w:eastAsia="Times New Roman" w:hAnsi="Times New Roman"/>
          <w:sz w:val="19"/>
          <w:szCs w:val="19"/>
          <w:color w:val="auto"/>
        </w:rPr>
        <w:t xml:space="preserve"> shall survive the payment in full of the Obligations and the termination of this Agreement.</w:t>
      </w:r>
    </w:p>
    <w:p>
      <w:pPr>
        <w:spacing w:after="0" w:line="177" w:lineRule="exact"/>
        <w:rPr>
          <w:rFonts w:ascii="Times New Roman" w:cs="Times New Roman" w:eastAsia="Times New Roman" w:hAnsi="Times New Roman"/>
          <w:sz w:val="19"/>
          <w:szCs w:val="19"/>
          <w:color w:val="auto"/>
        </w:rPr>
      </w:pPr>
    </w:p>
    <w:p>
      <w:pPr>
        <w:jc w:val="both"/>
        <w:ind w:firstLine="619"/>
        <w:spacing w:after="0" w:line="264" w:lineRule="auto"/>
        <w:tabs>
          <w:tab w:leader="none" w:pos="1016"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Obligations Absolute</w:t>
      </w:r>
      <w:r>
        <w:rPr>
          <w:rFonts w:ascii="Times New Roman" w:cs="Times New Roman" w:eastAsia="Times New Roman" w:hAnsi="Times New Roman"/>
          <w:sz w:val="19"/>
          <w:szCs w:val="19"/>
          <w:color w:val="auto"/>
        </w:rPr>
        <w:t>. The obligation of Borrower to reimburse the applicable L/C Issuer for each drawing under each L/C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 repay each L/C Borrowing shall be absolute, unconditional, and irrevocable, and shall be paid strictly in accordance with the terms of this Agreement under all circumstances, including the following: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48</w:t>
      </w:r>
    </w:p>
    <w:p>
      <w:pPr>
        <w:sectPr>
          <w:pgSz w:w="11900" w:h="16838" w:orient="portrait"/>
          <w:cols w:equalWidth="0" w:num="1">
            <w:col w:w="10620"/>
          </w:cols>
          <w:pgMar w:left="940" w:top="1440" w:right="339" w:bottom="1440" w:gutter="0" w:footer="0" w:header="0"/>
        </w:sectPr>
      </w:pPr>
    </w:p>
    <w:bookmarkStart w:id="99" w:name="page100"/>
    <w:bookmarkEnd w:id="99"/>
    <w:p>
      <w:pPr>
        <w:spacing w:after="0" w:line="122" w:lineRule="exact"/>
        <w:rPr>
          <w:sz w:val="20"/>
          <w:szCs w:val="20"/>
          <w:color w:val="auto"/>
        </w:rPr>
      </w:pPr>
    </w:p>
    <w:p>
      <w:pPr>
        <w:ind w:left="2320" w:hanging="463"/>
        <w:spacing w:after="0"/>
        <w:tabs>
          <w:tab w:leader="none" w:pos="232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lack of validity or enforceability of such L/C, this Agreement, or any other agreement or instrument relating</w:t>
      </w:r>
    </w:p>
    <w:p>
      <w:pPr>
        <w:spacing w:after="0" w:line="2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thereto;</w:t>
      </w:r>
    </w:p>
    <w:p>
      <w:pPr>
        <w:spacing w:after="0" w:line="194" w:lineRule="exact"/>
        <w:rPr>
          <w:sz w:val="20"/>
          <w:szCs w:val="20"/>
          <w:color w:val="auto"/>
        </w:rPr>
      </w:pPr>
    </w:p>
    <w:p>
      <w:pPr>
        <w:jc w:val="both"/>
        <w:ind w:left="1240" w:firstLine="617"/>
        <w:spacing w:after="0" w:line="259" w:lineRule="auto"/>
        <w:tabs>
          <w:tab w:leader="none" w:pos="2317"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existence of any claim, counterclaim, set-off, defense, or other right that Borrower may have at any time against any beneficiary or any transferee of such L/C (or any Person for whom any such beneficiary or any such transferee may be acting), the applicable L/C Issuer or any other Person, whether in connection with this Agreement, the transactions contemplated hereby or by such L/C or any agreement or instrument relating thereto, or any unrelated transaction;</w:t>
      </w:r>
    </w:p>
    <w:p>
      <w:pPr>
        <w:spacing w:after="0" w:line="177" w:lineRule="exact"/>
        <w:rPr>
          <w:rFonts w:ascii="Times New Roman" w:cs="Times New Roman" w:eastAsia="Times New Roman" w:hAnsi="Times New Roman"/>
          <w:sz w:val="19"/>
          <w:szCs w:val="19"/>
          <w:color w:val="auto"/>
        </w:rPr>
      </w:pPr>
    </w:p>
    <w:p>
      <w:pPr>
        <w:jc w:val="both"/>
        <w:ind w:left="1240" w:firstLine="617"/>
        <w:spacing w:after="0" w:line="261" w:lineRule="auto"/>
        <w:tabs>
          <w:tab w:leader="none" w:pos="2351"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draft, demand, certificate, or other document presented under such L/C proving to be forged, fraudulent, invalid, or insufficient in any respect or any statement therein being untrue or inaccurate in any respect; or any loss or delay in the transmission or otherwise of any document required in order to make a drawing under such L/C;</w:t>
      </w:r>
    </w:p>
    <w:p>
      <w:pPr>
        <w:spacing w:after="0" w:line="162" w:lineRule="exact"/>
        <w:rPr>
          <w:rFonts w:ascii="Times New Roman" w:cs="Times New Roman" w:eastAsia="Times New Roman" w:hAnsi="Times New Roman"/>
          <w:sz w:val="19"/>
          <w:szCs w:val="19"/>
          <w:color w:val="auto"/>
        </w:rPr>
      </w:pPr>
    </w:p>
    <w:p>
      <w:pPr>
        <w:ind w:left="1240" w:firstLine="617"/>
        <w:spacing w:after="0" w:line="282" w:lineRule="auto"/>
        <w:tabs>
          <w:tab w:leader="none" w:pos="2384"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waiver by any L/C Issuer of any requirement that exists for such L/C Issuer’s protection and not the protection of Borrower or any waiver by such L/C Issuer which does not in fact materially prejudice Borrower;</w:t>
      </w:r>
    </w:p>
    <w:p>
      <w:pPr>
        <w:spacing w:after="0" w:line="156" w:lineRule="exact"/>
        <w:rPr>
          <w:rFonts w:ascii="Times New Roman" w:cs="Times New Roman" w:eastAsia="Times New Roman" w:hAnsi="Times New Roman"/>
          <w:sz w:val="19"/>
          <w:szCs w:val="19"/>
          <w:color w:val="auto"/>
        </w:rPr>
      </w:pPr>
    </w:p>
    <w:p>
      <w:pPr>
        <w:ind w:left="2320" w:hanging="463"/>
        <w:spacing w:after="0"/>
        <w:tabs>
          <w:tab w:leader="none" w:pos="232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honor of a demand for payment presented electronically even if such L/C requires that demand be in the form of a</w:t>
      </w:r>
    </w:p>
    <w:p>
      <w:pPr>
        <w:spacing w:after="0" w:line="20" w:lineRule="exact"/>
        <w:rPr>
          <w:rFonts w:ascii="Times New Roman" w:cs="Times New Roman" w:eastAsia="Times New Roman" w:hAnsi="Times New Roman"/>
          <w:sz w:val="19"/>
          <w:szCs w:val="19"/>
          <w:color w:val="auto"/>
        </w:rPr>
      </w:pPr>
    </w:p>
    <w:p>
      <w:pPr>
        <w:ind w:left="12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draft;</w:t>
      </w:r>
    </w:p>
    <w:p>
      <w:pPr>
        <w:spacing w:after="0" w:line="199" w:lineRule="exact"/>
        <w:rPr>
          <w:rFonts w:ascii="Times New Roman" w:cs="Times New Roman" w:eastAsia="Times New Roman" w:hAnsi="Times New Roman"/>
          <w:sz w:val="19"/>
          <w:szCs w:val="19"/>
          <w:color w:val="auto"/>
        </w:rPr>
      </w:pPr>
    </w:p>
    <w:p>
      <w:pPr>
        <w:jc w:val="both"/>
        <w:ind w:left="1240" w:firstLine="617"/>
        <w:spacing w:after="0" w:line="261" w:lineRule="auto"/>
        <w:tabs>
          <w:tab w:leader="none" w:pos="2351"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 made by the L/C Issuer in respect of an otherwise complying item presented after the date specified as the expiration date of, or the date by which documents must be received under such L/C if presentation after such date is authorized by the UCC, the ISP or the UCP, as applicable;</w:t>
      </w:r>
    </w:p>
    <w:p>
      <w:pPr>
        <w:spacing w:after="0" w:line="175" w:lineRule="exact"/>
        <w:rPr>
          <w:rFonts w:ascii="Times New Roman" w:cs="Times New Roman" w:eastAsia="Times New Roman" w:hAnsi="Times New Roman"/>
          <w:sz w:val="19"/>
          <w:szCs w:val="19"/>
          <w:color w:val="auto"/>
        </w:rPr>
      </w:pPr>
    </w:p>
    <w:p>
      <w:pPr>
        <w:jc w:val="both"/>
        <w:ind w:left="1240" w:firstLine="617"/>
        <w:spacing w:after="0" w:line="254" w:lineRule="auto"/>
        <w:tabs>
          <w:tab w:leader="none" w:pos="240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 by the applicable L/C Issuer under such L/C against presentation of a draft or certificate that does not strictly comply with the terms of such L/C; or any payment made by the applicable L/C Issuer under such L/C to any Person purporting to be a trustee in bankruptcy, debtor-in-possession, assignee for the benefit of creditors, liquidator, receiver, or other representative of or successor to any beneficiary or any transferee of such L/C, including any arising in connection with any proceeding under any Debtor Relief Law;</w:t>
      </w:r>
    </w:p>
    <w:p>
      <w:pPr>
        <w:spacing w:after="0" w:line="170" w:lineRule="exact"/>
        <w:rPr>
          <w:rFonts w:ascii="Times New Roman" w:cs="Times New Roman" w:eastAsia="Times New Roman" w:hAnsi="Times New Roman"/>
          <w:sz w:val="19"/>
          <w:szCs w:val="19"/>
          <w:color w:val="auto"/>
        </w:rPr>
      </w:pPr>
    </w:p>
    <w:p>
      <w:pPr>
        <w:ind w:left="1240" w:firstLine="617"/>
        <w:spacing w:after="0" w:line="282" w:lineRule="auto"/>
        <w:tabs>
          <w:tab w:leader="none" w:pos="242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circumstance or happening whatsoever, whether or not similar to any of the foregoing, including any other circumstance that might otherwise constitute a defense available to, or a discharge of, Borrower; or</w:t>
      </w:r>
    </w:p>
    <w:p>
      <w:pPr>
        <w:spacing w:after="0" w:line="156" w:lineRule="exact"/>
        <w:rPr>
          <w:rFonts w:ascii="Times New Roman" w:cs="Times New Roman" w:eastAsia="Times New Roman" w:hAnsi="Times New Roman"/>
          <w:sz w:val="19"/>
          <w:szCs w:val="19"/>
          <w:color w:val="auto"/>
        </w:rPr>
      </w:pPr>
    </w:p>
    <w:p>
      <w:pPr>
        <w:ind w:left="1240" w:firstLine="617"/>
        <w:spacing w:after="0" w:line="268" w:lineRule="auto"/>
        <w:tabs>
          <w:tab w:leader="none" w:pos="2371"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adverse change in the relevant exchange rates or in the availability of the Alternative Currency to Borrower or any Subsidiary or in the relevant currency markets generally.</w:t>
      </w:r>
    </w:p>
    <w:p>
      <w:pPr>
        <w:spacing w:after="0" w:line="169"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Borrower shall promptly examine a copy of each L/C and each amendment thereto that is delivered to it and, in the event of any claim of noncompliance with Borrower’s instructions or other irregularity, Borrower will immediately notify the applicable L/C Issuer. Borrower shall be conclusively deemed to have waived any such claim against the applicable L/C Issuer and its correspondents unless such notice is given as aforesaid.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49</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15" w:lineRule="exact"/>
        <w:rPr>
          <w:sz w:val="20"/>
          <w:szCs w:val="20"/>
          <w:color w:val="auto"/>
        </w:rPr>
      </w:pPr>
    </w:p>
    <w:p>
      <w:pPr>
        <w:jc w:val="both"/>
        <w:ind w:firstLine="619"/>
        <w:spacing w:after="0" w:line="250" w:lineRule="auto"/>
        <w:tabs>
          <w:tab w:leader="none" w:pos="1021"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Role of L/C Issuers </w:t>
      </w:r>
      <w:r>
        <w:rPr>
          <w:rFonts w:ascii="Times New Roman" w:cs="Times New Roman" w:eastAsia="Times New Roman" w:hAnsi="Times New Roman"/>
          <w:sz w:val="19"/>
          <w:szCs w:val="19"/>
          <w:color w:val="auto"/>
        </w:rPr>
        <w:t>Each Revolver Lender and Borrower agree that, in paying any drawing under an L/C, the applicable L/C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Issuer shall not have any responsibility to obtain any document (other than any sight draft, certificates, and documents expressly required by the L/C) or to ascertain or inquire as to the validity or accuracy of any such document or the authority of the Person executing or delivering any such document. None of the L/C Issuers, any Related Party of Administrative Agent, or any of the respective correspondents, participants, or assignees of the L/C Issuers shall be liable to any Revolver Lender for (i) any action taken or omitted in connection herewith at the request or with the approval of Revolver Lenders, Required Revolver Lenders, Required Term Loan Lenders or Required Lenders, as applicable; (ii) any action taken or omitted in the absence of gross negligence or willful misconduct; or (iii) the due execution, effectiveness, validity, or enforceability of any document or instrument related to any L/C or L/C Agreement. Borrower hereby assumes all risks of the acts or omissions of any beneficiary or transferee with respect to its use of any L/C;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this assumption is not intended to, and shall not, preclude Borrower’s pursuing such rights and remedies as it may have against the beneficiary or transferee at Law or under any other agreement. None of the L/C Issuers, any Related Party of Administrative Agent, or any of the respective correspondents, participants, or assignees of any L/C Issuer shall be liable or responsible for any of the matters described in </w:t>
      </w:r>
      <w:r>
        <w:rPr>
          <w:rFonts w:ascii="Times New Roman" w:cs="Times New Roman" w:eastAsia="Times New Roman" w:hAnsi="Times New Roman"/>
          <w:sz w:val="19"/>
          <w:szCs w:val="19"/>
          <w:b w:val="1"/>
          <w:bCs w:val="1"/>
          <w:i w:val="1"/>
          <w:iCs w:val="1"/>
          <w:color w:val="auto"/>
        </w:rPr>
        <w:t>clauses (i)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b w:val="1"/>
          <w:bCs w:val="1"/>
          <w:i w:val="1"/>
          <w:iCs w:val="1"/>
          <w:color w:val="auto"/>
        </w:rPr>
        <w:t>(v)</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i w:val="1"/>
          <w:iCs w:val="1"/>
          <w:color w:val="auto"/>
        </w:rPr>
        <w:t>Section 2.3(e)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anything in such clauses to the contrary notwithstanding, Borrower may have a claim against an L/C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Issuer, and an L/C Issuer may be liable to Borrower, to the extent, but only to the extent, of any direct, as opposed to consequential or exemplary, damages suffered by Borrower which Borrower proves were caused by such L/C Issuer’s willful misconduct or gross negligence or such L/C Issuer’s willful failure to pay under any L/C after the presentation to it by the beneficiary of a sight draft and certificate(s) strictly complying with the terms and conditions of an L/C. In furtherance and not in limitation of the foregoing, an L/C Issuer may accept documents that appear on their face to be in order, without responsibility for further investigation, regardless of any notice or information to the contrary, and an L/C Issuer shall not be responsible for the validity or sufficiency of any instrument transferring or assigning or purporting to transfer or assign an L/C or the rights or benefits thereunder or proceeds thereof, in whole or in part, which may prove to be invalid or ineffective for any reason. Each L/C Issuer may send an L/C or conduct any communication to or from the beneficiary via the Society for Worldwide Interbank Financial Telecommunication (“</w:t>
      </w:r>
      <w:r>
        <w:rPr>
          <w:rFonts w:ascii="Times New Roman" w:cs="Times New Roman" w:eastAsia="Times New Roman" w:hAnsi="Times New Roman"/>
          <w:sz w:val="19"/>
          <w:szCs w:val="19"/>
          <w:i w:val="1"/>
          <w:iCs w:val="1"/>
          <w:color w:val="auto"/>
        </w:rPr>
        <w:t>SWIFT</w:t>
      </w:r>
      <w:r>
        <w:rPr>
          <w:rFonts w:ascii="Times New Roman" w:cs="Times New Roman" w:eastAsia="Times New Roman" w:hAnsi="Times New Roman"/>
          <w:sz w:val="19"/>
          <w:szCs w:val="19"/>
          <w:color w:val="auto"/>
        </w:rPr>
        <w:t>”) message or overnight courier, or any other commercially reasonable means of communicating with a beneficiary.</w:t>
      </w:r>
    </w:p>
    <w:p>
      <w:pPr>
        <w:spacing w:after="0" w:line="187" w:lineRule="exact"/>
        <w:rPr>
          <w:rFonts w:ascii="Times New Roman" w:cs="Times New Roman" w:eastAsia="Times New Roman" w:hAnsi="Times New Roman"/>
          <w:sz w:val="19"/>
          <w:szCs w:val="19"/>
          <w:color w:val="auto"/>
        </w:rPr>
      </w:pPr>
    </w:p>
    <w:p>
      <w:pPr>
        <w:jc w:val="both"/>
        <w:ind w:firstLine="619"/>
        <w:spacing w:after="0" w:line="252" w:lineRule="auto"/>
        <w:tabs>
          <w:tab w:leader="none" w:pos="104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Applicability of ISP and UCP</w:t>
      </w:r>
      <w:r>
        <w:rPr>
          <w:rFonts w:ascii="Times New Roman" w:cs="Times New Roman" w:eastAsia="Times New Roman" w:hAnsi="Times New Roman"/>
          <w:sz w:val="19"/>
          <w:szCs w:val="19"/>
          <w:color w:val="auto"/>
        </w:rPr>
        <w:t>. Unless otherwise expressly agreed by the applicable L/C Issuer and Borrower when an L/C 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issued (including any such agreement applicable to an Existing L/C), (i) the rules of the ISP shall apply to each standby L/C and each Bond L/C, and (ii) the rules of the Uniform Customs and Practice for Documentary Credits (“</w:t>
      </w:r>
      <w:r>
        <w:rPr>
          <w:rFonts w:ascii="Times New Roman" w:cs="Times New Roman" w:eastAsia="Times New Roman" w:hAnsi="Times New Roman"/>
          <w:sz w:val="19"/>
          <w:szCs w:val="19"/>
          <w:b w:val="1"/>
          <w:bCs w:val="1"/>
          <w:i w:val="1"/>
          <w:iCs w:val="1"/>
          <w:color w:val="auto"/>
        </w:rPr>
        <w:t>UCP</w:t>
      </w:r>
      <w:r>
        <w:rPr>
          <w:rFonts w:ascii="Times New Roman" w:cs="Times New Roman" w:eastAsia="Times New Roman" w:hAnsi="Times New Roman"/>
          <w:sz w:val="19"/>
          <w:szCs w:val="19"/>
          <w:color w:val="auto"/>
        </w:rPr>
        <w:t>”), as most recently published by the International Chamber of Commerce at the time of issuance, shall apply to each commercial L/C. Notwithstanding the foregoing, each L/C Issuer shall not be responsible to Borrower for, and such L/C Issuer’s rights and remedies against Borrower shall not be impaired by, any action or inaction of such L/C Issuer required or permitted under any law, order, or practice that is required or permitted to be applied to any L/C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L/C chooses such law or practice.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50</w:t>
      </w:r>
    </w:p>
    <w:p>
      <w:pPr>
        <w:sectPr>
          <w:pgSz w:w="11900" w:h="16838" w:orient="portrait"/>
          <w:cols w:equalWidth="0" w:num="1">
            <w:col w:w="10620"/>
          </w:cols>
          <w:pgMar w:left="940" w:top="1440" w:right="339" w:bottom="1440" w:gutter="0" w:footer="0" w:header="0"/>
        </w:sectPr>
      </w:pPr>
    </w:p>
    <w:bookmarkStart w:id="101" w:name="page102"/>
    <w:bookmarkEnd w:id="101"/>
    <w:p>
      <w:pPr>
        <w:spacing w:after="0" w:line="115" w:lineRule="exact"/>
        <w:rPr>
          <w:sz w:val="20"/>
          <w:szCs w:val="20"/>
          <w:color w:val="auto"/>
        </w:rPr>
      </w:pPr>
    </w:p>
    <w:p>
      <w:pPr>
        <w:ind w:firstLine="619"/>
        <w:spacing w:after="0" w:line="289" w:lineRule="auto"/>
        <w:tabs>
          <w:tab w:leader="none" w:pos="104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Conflict with L/C Agreement</w:t>
      </w:r>
      <w:r>
        <w:rPr>
          <w:rFonts w:ascii="Times New Roman" w:cs="Times New Roman" w:eastAsia="Times New Roman" w:hAnsi="Times New Roman"/>
          <w:sz w:val="19"/>
          <w:szCs w:val="19"/>
          <w:color w:val="auto"/>
        </w:rPr>
        <w:t>. In the event of any conflict between the terms hereof and the terms of any L/C Agreement,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terms hereof shall control.</w:t>
      </w:r>
    </w:p>
    <w:p>
      <w:pPr>
        <w:spacing w:after="0" w:line="130" w:lineRule="exact"/>
        <w:rPr>
          <w:rFonts w:ascii="Times New Roman" w:cs="Times New Roman" w:eastAsia="Times New Roman" w:hAnsi="Times New Roman"/>
          <w:sz w:val="19"/>
          <w:szCs w:val="19"/>
          <w:color w:val="auto"/>
        </w:rPr>
      </w:pPr>
    </w:p>
    <w:p>
      <w:pPr>
        <w:ind w:left="980" w:hanging="361"/>
        <w:spacing w:after="0"/>
        <w:tabs>
          <w:tab w:leader="none" w:pos="98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Bond L/Cs</w:t>
      </w:r>
      <w:r>
        <w:rPr>
          <w:rFonts w:ascii="Times New Roman" w:cs="Times New Roman" w:eastAsia="Times New Roman" w:hAnsi="Times New Roman"/>
          <w:sz w:val="19"/>
          <w:szCs w:val="19"/>
          <w:color w:val="auto"/>
        </w:rPr>
        <w:t>. Notwithstanding any provision to the contrary set forth in this</w:t>
      </w:r>
      <w:r>
        <w:rPr>
          <w:rFonts w:ascii="Times New Roman" w:cs="Times New Roman" w:eastAsia="Times New Roman" w:hAnsi="Times New Roman"/>
          <w:sz w:val="19"/>
          <w:szCs w:val="19"/>
          <w:b w:val="1"/>
          <w:bCs w:val="1"/>
          <w:i w:val="1"/>
          <w:iCs w:val="1"/>
          <w:color w:val="auto"/>
        </w:rPr>
        <w:t xml:space="preserve"> Section 2.3</w:t>
      </w:r>
      <w:r>
        <w:rPr>
          <w:rFonts w:ascii="Times New Roman" w:cs="Times New Roman" w:eastAsia="Times New Roman" w:hAnsi="Times New Roman"/>
          <w:sz w:val="19"/>
          <w:szCs w:val="19"/>
          <w:color w:val="auto"/>
        </w:rPr>
        <w:t>:</w:t>
      </w:r>
    </w:p>
    <w:p>
      <w:pPr>
        <w:spacing w:after="0" w:line="221" w:lineRule="exact"/>
        <w:rPr>
          <w:rFonts w:ascii="Times New Roman" w:cs="Times New Roman" w:eastAsia="Times New Roman" w:hAnsi="Times New Roman"/>
          <w:sz w:val="19"/>
          <w:szCs w:val="19"/>
          <w:color w:val="auto"/>
        </w:rPr>
      </w:pPr>
    </w:p>
    <w:p>
      <w:pPr>
        <w:jc w:val="both"/>
        <w:ind w:left="620" w:firstLine="617"/>
        <w:spacing w:after="0" w:line="253" w:lineRule="auto"/>
        <w:tabs>
          <w:tab w:leader="none" w:pos="1669"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The Bond L/Cs shall be subject to the terms and conditions of this Agreement and applicable Law;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(1) such Bond L/Cs may have expiration dates later than thirteen months from the date of issuance, so long as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date is not later than the L/C Expiration Date; and (2) the terms of such Bond L/Cs must be acceptable to the applicable L/C Issuer and Administrative Agent, and, (I) subject to the provisions of </w:t>
      </w:r>
      <w:r>
        <w:rPr>
          <w:rFonts w:ascii="Times New Roman" w:cs="Times New Roman" w:eastAsia="Times New Roman" w:hAnsi="Times New Roman"/>
          <w:sz w:val="19"/>
          <w:szCs w:val="19"/>
          <w:b w:val="1"/>
          <w:bCs w:val="1"/>
          <w:i w:val="1"/>
          <w:iCs w:val="1"/>
          <w:color w:val="auto"/>
        </w:rPr>
        <w:t>Section 2.3(i)(ii)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2.3(i)(iii)</w:t>
      </w:r>
      <w:r>
        <w:rPr>
          <w:rFonts w:ascii="Times New Roman" w:cs="Times New Roman" w:eastAsia="Times New Roman" w:hAnsi="Times New Roman"/>
          <w:sz w:val="19"/>
          <w:szCs w:val="19"/>
          <w:color w:val="auto"/>
        </w:rPr>
        <w:t xml:space="preserve">, may provide for the reinstatement of drawn portions of the Bond L/C, whether or not reimbursement has been received (which may have the effect of increasing the amount of such Bond L/C), (II) may provide for automatic extensions thereof, so long as such terms comply with the auto extension provisions set forth in </w:t>
      </w:r>
      <w:r>
        <w:rPr>
          <w:rFonts w:ascii="Times New Roman" w:cs="Times New Roman" w:eastAsia="Times New Roman" w:hAnsi="Times New Roman"/>
          <w:sz w:val="19"/>
          <w:szCs w:val="19"/>
          <w:b w:val="1"/>
          <w:bCs w:val="1"/>
          <w:i w:val="1"/>
          <w:iCs w:val="1"/>
          <w:color w:val="auto"/>
        </w:rPr>
        <w:t>Section 2.3(b)(iii)</w:t>
      </w:r>
      <w:r>
        <w:rPr>
          <w:rFonts w:ascii="Times New Roman" w:cs="Times New Roman" w:eastAsia="Times New Roman" w:hAnsi="Times New Roman"/>
          <w:sz w:val="19"/>
          <w:szCs w:val="19"/>
          <w:color w:val="auto"/>
        </w:rPr>
        <w:t xml:space="preserve"> hereof, and (III) may contain provisions whereby the applicable L/C Issuer is granted certain Rights in collateral and voting Rights under the related Bond Documents, which Rights are expressly assigned by the applicable L/C Issuer to Administrative Agent for the benefit of Revolver Lenders pursuant to </w:t>
      </w:r>
      <w:r>
        <w:rPr>
          <w:rFonts w:ascii="Times New Roman" w:cs="Times New Roman" w:eastAsia="Times New Roman" w:hAnsi="Times New Roman"/>
          <w:sz w:val="19"/>
          <w:szCs w:val="19"/>
          <w:b w:val="1"/>
          <w:bCs w:val="1"/>
          <w:i w:val="1"/>
          <w:iCs w:val="1"/>
          <w:color w:val="auto"/>
        </w:rPr>
        <w:t>Section 2.3(i)(iv)</w:t>
      </w:r>
      <w:r>
        <w:rPr>
          <w:rFonts w:ascii="Times New Roman" w:cs="Times New Roman" w:eastAsia="Times New Roman" w:hAnsi="Times New Roman"/>
          <w:sz w:val="19"/>
          <w:szCs w:val="19"/>
          <w:color w:val="auto"/>
        </w:rPr>
        <w:t xml:space="preserve"> herein.</w:t>
      </w:r>
    </w:p>
    <w:p>
      <w:pPr>
        <w:spacing w:after="0" w:line="171" w:lineRule="exact"/>
        <w:rPr>
          <w:rFonts w:ascii="Times New Roman" w:cs="Times New Roman" w:eastAsia="Times New Roman" w:hAnsi="Times New Roman"/>
          <w:sz w:val="19"/>
          <w:szCs w:val="19"/>
          <w:color w:val="auto"/>
        </w:rPr>
      </w:pPr>
    </w:p>
    <w:p>
      <w:pPr>
        <w:jc w:val="both"/>
        <w:ind w:left="1240" w:firstLine="615"/>
        <w:spacing w:after="0" w:line="254" w:lineRule="auto"/>
        <w:tabs>
          <w:tab w:leader="none" w:pos="2301" w:val="left"/>
        </w:tabs>
        <w:numPr>
          <w:ilvl w:val="2"/>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may request that an L/C Issuer issue Bond L/Cs by providing at least 30 days prior written notice of such request to the applicable L/C Issuer, and by delivering a certificate at least 30 days prior to the issuance of any Bond L/C to Administrative Agent demonstrating the Companies’ pro forma compliance with the financial covenant set forth in </w:t>
      </w:r>
      <w:r>
        <w:rPr>
          <w:rFonts w:ascii="Times New Roman" w:cs="Times New Roman" w:eastAsia="Times New Roman" w:hAnsi="Times New Roman"/>
          <w:sz w:val="19"/>
          <w:szCs w:val="19"/>
          <w:b w:val="1"/>
          <w:bCs w:val="1"/>
          <w:i w:val="1"/>
          <w:iCs w:val="1"/>
          <w:color w:val="auto"/>
        </w:rPr>
        <w:t xml:space="preserve">Section 11.1 </w:t>
      </w:r>
      <w:r>
        <w:rPr>
          <w:rFonts w:ascii="Times New Roman" w:cs="Times New Roman" w:eastAsia="Times New Roman" w:hAnsi="Times New Roman"/>
          <w:sz w:val="19"/>
          <w:szCs w:val="19"/>
          <w:color w:val="auto"/>
        </w:rPr>
        <w:t>herein, after giving effect to the issuance of any such Bonds and, without duplication, any Debt incurred 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Borrower or any Company in support thereof, and certifying that no Default or Potential Default exists or would result after giving effect thereto.</w:t>
      </w:r>
    </w:p>
    <w:p>
      <w:pPr>
        <w:spacing w:after="0" w:line="183" w:lineRule="exact"/>
        <w:rPr>
          <w:rFonts w:ascii="Times New Roman" w:cs="Times New Roman" w:eastAsia="Times New Roman" w:hAnsi="Times New Roman"/>
          <w:sz w:val="19"/>
          <w:szCs w:val="19"/>
          <w:color w:val="auto"/>
        </w:rPr>
      </w:pPr>
    </w:p>
    <w:p>
      <w:pPr>
        <w:jc w:val="both"/>
        <w:ind w:left="620" w:firstLine="617"/>
        <w:spacing w:after="0" w:line="251" w:lineRule="auto"/>
        <w:tabs>
          <w:tab w:leader="none" w:pos="1756"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proceeds of any drawing under any Bond L/C are used to pay the purchase price of Bonds tendered or deemed tendered by the owner thereof pursuant to the related Bond Documents (such drawing, including the drawing of any accrued interest on the tendered Bonds, a “</w:t>
      </w:r>
      <w:r>
        <w:rPr>
          <w:rFonts w:ascii="Times New Roman" w:cs="Times New Roman" w:eastAsia="Times New Roman" w:hAnsi="Times New Roman"/>
          <w:sz w:val="19"/>
          <w:szCs w:val="19"/>
          <w:b w:val="1"/>
          <w:bCs w:val="1"/>
          <w:i w:val="1"/>
          <w:iCs w:val="1"/>
          <w:color w:val="auto"/>
        </w:rPr>
        <w:t>Bond Purchase Drawing</w:t>
      </w:r>
      <w:r>
        <w:rPr>
          <w:rFonts w:ascii="Times New Roman" w:cs="Times New Roman" w:eastAsia="Times New Roman" w:hAnsi="Times New Roman"/>
          <w:sz w:val="19"/>
          <w:szCs w:val="19"/>
          <w:color w:val="auto"/>
        </w:rPr>
        <w:t xml:space="preserve">”), then the stated amount of such Bond L/C will be temporarily reduced by the amount of such drawing, subject to automatic reinstatement (whether or not reimbursement for any drawings thereunder has been received or the conditions set forth in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xml:space="preserve"> have been satisfied, and without further approval from Revolver Lenders) pursuant to the provisions of the applicable Bond L/C by an amount equal to the Bond Purchase Drawing, so long as (A) the applicable L/C Issuer (or Administrative Agent, as assignee of such L/C Issuer) has been properly accounted for on the securities depository’s records as the beneficial owner of such Bonds purchased with the proceeds (or portion thereof) of the Bond L/C, or (B) such Bonds have been delivered to the appropriate custodian and registered as directed by such L/C Issuer (or Administrative Agent, as assignee of such L/C Issuer), or (C) to the extent provided for in the applicable Bond L/C, such Bonds have been remarketed in accordance with the terms of the applicable Bond Documents and released by the applicable L/C Issuer;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the repurchased Bonds are not transferred to such L/C Issuer (or Administrative Agent, as assignee of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L/C</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51</w:t>
      </w:r>
    </w:p>
    <w:p>
      <w:pPr>
        <w:sectPr>
          <w:pgSz w:w="11900" w:h="16838" w:orient="portrait"/>
          <w:cols w:equalWidth="0" w:num="1">
            <w:col w:w="10620"/>
          </w:cols>
          <w:pgMar w:left="940" w:top="1440" w:right="339" w:bottom="1440" w:gutter="0" w:footer="0" w:header="0"/>
        </w:sectPr>
      </w:pPr>
    </w:p>
    <w:bookmarkStart w:id="102" w:name="page103"/>
    <w:bookmarkEnd w:id="102"/>
    <w:p>
      <w:pPr>
        <w:spacing w:after="0" w:line="11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9"/>
          <w:szCs w:val="19"/>
          <w:color w:val="auto"/>
        </w:rPr>
        <w:t xml:space="preserve">Issuer) as required in </w:t>
      </w:r>
      <w:r>
        <w:rPr>
          <w:rFonts w:ascii="Times New Roman" w:cs="Times New Roman" w:eastAsia="Times New Roman" w:hAnsi="Times New Roman"/>
          <w:sz w:val="19"/>
          <w:szCs w:val="19"/>
          <w:b w:val="1"/>
          <w:bCs w:val="1"/>
          <w:i w:val="1"/>
          <w:iCs w:val="1"/>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preceding, then the applicable L/C Issuer shall notify Administrative Agent (who shall subsequently notify Revolver Lenders) of such failure. Unless otherwise directed by Required Revolver Lenders, the applicable L/C Issuer shall then deliver notice to the applicable Trustee prior to the fifth Business Day after any such Bond Purchase Drawing that the amount of such drawing will not be reinstated.</w:t>
      </w:r>
    </w:p>
    <w:p>
      <w:pPr>
        <w:spacing w:after="0" w:line="163" w:lineRule="exact"/>
        <w:rPr>
          <w:sz w:val="20"/>
          <w:szCs w:val="20"/>
          <w:color w:val="auto"/>
        </w:rPr>
      </w:pPr>
    </w:p>
    <w:p>
      <w:pPr>
        <w:jc w:val="both"/>
        <w:ind w:left="120" w:firstLine="617"/>
        <w:spacing w:after="0" w:line="270" w:lineRule="auto"/>
        <w:tabs>
          <w:tab w:leader="none" w:pos="121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interest portion of any Bond L/C is drawn by the applicable Trustee to make scheduled interest payments on the outstanding principal amount of the Bonds, then the stated amount of such Bond L/C will be temporarily reduced by the amount of such drawing, subject to automatic reinstatement of the interest portion of such Bond L/C (whether or not reimbursement for any drawings thereunder has been received or the conditions set forth in </w:t>
      </w:r>
      <w:r>
        <w:rPr>
          <w:rFonts w:ascii="Times New Roman" w:cs="Times New Roman" w:eastAsia="Times New Roman" w:hAnsi="Times New Roman"/>
          <w:sz w:val="18"/>
          <w:szCs w:val="18"/>
          <w:b w:val="1"/>
          <w:bCs w:val="1"/>
          <w:i w:val="1"/>
          <w:iCs w:val="1"/>
          <w:color w:val="auto"/>
        </w:rPr>
        <w:t>Section 7.2</w:t>
      </w:r>
      <w:r>
        <w:rPr>
          <w:rFonts w:ascii="Times New Roman" w:cs="Times New Roman" w:eastAsia="Times New Roman" w:hAnsi="Times New Roman"/>
          <w:sz w:val="18"/>
          <w:szCs w:val="18"/>
          <w:color w:val="auto"/>
        </w:rPr>
        <w:t xml:space="preserve"> have been satisfied, and without further approval from Revolver Lenders) pursuant to the provisions of the applicable Bond L/C. Subject to compliance with </w:t>
      </w:r>
      <w:r>
        <w:rPr>
          <w:rFonts w:ascii="Times New Roman" w:cs="Times New Roman" w:eastAsia="Times New Roman" w:hAnsi="Times New Roman"/>
          <w:sz w:val="18"/>
          <w:szCs w:val="18"/>
          <w:b w:val="1"/>
          <w:bCs w:val="1"/>
          <w:i w:val="1"/>
          <w:iCs w:val="1"/>
          <w:color w:val="auto"/>
        </w:rPr>
        <w:t>Section 2.3(b)</w:t>
      </w:r>
      <w:r>
        <w:rPr>
          <w:rFonts w:ascii="Times New Roman" w:cs="Times New Roman" w:eastAsia="Times New Roman" w:hAnsi="Times New Roman"/>
          <w:sz w:val="18"/>
          <w:szCs w:val="18"/>
          <w:color w:val="auto"/>
        </w:rPr>
        <w:t xml:space="preserve"> herein, the stated amount of the related Bond L/C may be increased as required by the related Bond Documents (to reflect an increase in the maximum rate of interest or number of days of accrued interest covered by such Bond L/C or otherwise).</w:t>
      </w:r>
    </w:p>
    <w:p>
      <w:pPr>
        <w:spacing w:after="0" w:line="172" w:lineRule="exact"/>
        <w:rPr>
          <w:rFonts w:ascii="Times New Roman" w:cs="Times New Roman" w:eastAsia="Times New Roman" w:hAnsi="Times New Roman"/>
          <w:sz w:val="18"/>
          <w:szCs w:val="18"/>
          <w:color w:val="auto"/>
        </w:rPr>
      </w:pPr>
    </w:p>
    <w:p>
      <w:pPr>
        <w:jc w:val="both"/>
        <w:ind w:left="120" w:firstLine="617"/>
        <w:spacing w:after="0" w:line="249" w:lineRule="auto"/>
        <w:tabs>
          <w:tab w:leader="none" w:pos="1224"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liens and security interests securing reimbursement obligations and other obligations owed to the applicable L/C Issuer of any Bond L/C under the related Bond Documents (including, without limitation, any L/C Borrowing), any rights in and to any Bonds or other certificates of indebtedness issued to such L/C Issuer under the related Bond Documents, and any voting rights or other rights created in favor of such L/C Issuer under or pursuant to or in connection with any related Bond Documents (collectively, the “</w:t>
      </w:r>
      <w:r>
        <w:rPr>
          <w:rFonts w:ascii="Times New Roman" w:cs="Times New Roman" w:eastAsia="Times New Roman" w:hAnsi="Times New Roman"/>
          <w:sz w:val="19"/>
          <w:szCs w:val="19"/>
          <w:b w:val="1"/>
          <w:bCs w:val="1"/>
          <w:i w:val="1"/>
          <w:iCs w:val="1"/>
          <w:color w:val="auto"/>
        </w:rPr>
        <w:t>Bond Rights</w:t>
      </w:r>
      <w:r>
        <w:rPr>
          <w:rFonts w:ascii="Times New Roman" w:cs="Times New Roman" w:eastAsia="Times New Roman" w:hAnsi="Times New Roman"/>
          <w:sz w:val="19"/>
          <w:szCs w:val="19"/>
          <w:color w:val="auto"/>
        </w:rPr>
        <w:t xml:space="preserve">”), now or hereafter existing in favor of such L/C Issuer, are hereby assigned and conveyed by the applicable L/C Issuer to Administrative Agent for the ratable benefit of Revolver Lenders. Notwithstanding anything to the contrary set forth in any Bond L/C, any Bonds, or certificates of indebtedness purchased from the owner thereof by the applicable Trustee with funds received pursuant to a drawing under any Bond L/C shall be registered in the name of Administrative Agent and shall be delivered to or held by Administrative Agent or such other entity as may be specified by the applicable L/C Issuer and approved by Administrative Agent in a written instrument delivered to the applicable Trustee, for the benefit of the applicable L/C Issuer, Administrative Agent, and the other Revolver Lenders. Each L/C Issuer of a Bond L/C agrees to execute all such other assignments, conveyances, financing statements, and other documents required by Administrative Agent to effect the requirements of this </w:t>
      </w:r>
      <w:r>
        <w:rPr>
          <w:rFonts w:ascii="Times New Roman" w:cs="Times New Roman" w:eastAsia="Times New Roman" w:hAnsi="Times New Roman"/>
          <w:sz w:val="19"/>
          <w:szCs w:val="19"/>
          <w:b w:val="1"/>
          <w:bCs w:val="1"/>
          <w:i w:val="1"/>
          <w:iCs w:val="1"/>
          <w:color w:val="auto"/>
        </w:rPr>
        <w:t>Section 2.3(i)(iv)</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Revolver Lenders, Administrative Agent, and such L/C Issuer agree that in the event any Bonds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certificates of indebtedness are issued to such L/C Issuer (or Administrative Agent as the assignee of such L/C Issuer) as a result of a drawing by the applicable Trustee under the Bond L/C for which such L/C Issuer is not immediately reimbursed, and subsequently the Bonds are remarketed and such L/C Issuer is reimbursed for all amounts so advanced (which reimbursement may be a repayment of any Revolver Loan disbursed by Revolver Lenders as payment of the related L/C reimbursement obligations under </w:t>
      </w:r>
      <w:r>
        <w:rPr>
          <w:rFonts w:ascii="Times New Roman" w:cs="Times New Roman" w:eastAsia="Times New Roman" w:hAnsi="Times New Roman"/>
          <w:sz w:val="19"/>
          <w:szCs w:val="19"/>
          <w:b w:val="1"/>
          <w:bCs w:val="1"/>
          <w:i w:val="1"/>
          <w:iCs w:val="1"/>
          <w:color w:val="auto"/>
        </w:rPr>
        <w:t xml:space="preserve">Section 2.3(c) </w:t>
      </w:r>
      <w:r>
        <w:rPr>
          <w:rFonts w:ascii="Times New Roman" w:cs="Times New Roman" w:eastAsia="Times New Roman" w:hAnsi="Times New Roman"/>
          <w:sz w:val="19"/>
          <w:szCs w:val="19"/>
          <w:color w:val="auto"/>
        </w:rPr>
        <w:t>or a repayment of an L/C Borrowing), then any Bonds or certificates of indebtedness shall be released 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Administrative Agent and delivered to such Trustee without any further authorization from Revolver Lenders or such L/C Issuer.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52</w:t>
      </w:r>
    </w:p>
    <w:p>
      <w:pPr>
        <w:sectPr>
          <w:pgSz w:w="11900" w:h="16838" w:orient="portrait"/>
          <w:cols w:equalWidth="0" w:num="1">
            <w:col w:w="10120"/>
          </w:cols>
          <w:pgMar w:left="1440" w:top="1440" w:right="339" w:bottom="1440" w:gutter="0" w:footer="0" w:header="0"/>
        </w:sectPr>
      </w:pPr>
    </w:p>
    <w:bookmarkStart w:id="103" w:name="page104"/>
    <w:bookmarkEnd w:id="103"/>
    <w:p>
      <w:pPr>
        <w:spacing w:after="0" w:line="121" w:lineRule="exact"/>
        <w:rPr>
          <w:sz w:val="20"/>
          <w:szCs w:val="20"/>
          <w:color w:val="auto"/>
        </w:rPr>
      </w:pPr>
    </w:p>
    <w:p>
      <w:pPr>
        <w:jc w:val="both"/>
        <w:ind w:left="620" w:firstLine="617"/>
        <w:spacing w:after="0" w:line="259" w:lineRule="auto"/>
        <w:tabs>
          <w:tab w:leader="none" w:pos="1734"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Rights (including, without limitation, voting rights, rights to provide notice and elect remedies, and rights to approve waivers, consents, or amendments of the related Bond Documents) are created in favor of the L/C Issuers of any Bond L/C, such Rights (other than ministerial, non discretionary Rights) may only be exercised with the consent, or in accordance with the directions, of Required Revolver Lenders.</w:t>
      </w:r>
    </w:p>
    <w:p>
      <w:pPr>
        <w:spacing w:after="0" w:line="158" w:lineRule="exact"/>
        <w:rPr>
          <w:rFonts w:ascii="Times New Roman" w:cs="Times New Roman" w:eastAsia="Times New Roman" w:hAnsi="Times New Roman"/>
          <w:sz w:val="19"/>
          <w:szCs w:val="19"/>
          <w:color w:val="auto"/>
        </w:rPr>
      </w:pPr>
    </w:p>
    <w:p>
      <w:pPr>
        <w:jc w:val="both"/>
        <w:ind w:left="620" w:firstLine="617"/>
        <w:spacing w:after="0" w:line="318" w:lineRule="auto"/>
        <w:tabs>
          <w:tab w:leader="none" w:pos="171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conflict between the terms and provisions of this </w:t>
      </w:r>
      <w:r>
        <w:rPr>
          <w:rFonts w:ascii="Times New Roman" w:cs="Times New Roman" w:eastAsia="Times New Roman" w:hAnsi="Times New Roman"/>
          <w:sz w:val="18"/>
          <w:szCs w:val="18"/>
          <w:b w:val="1"/>
          <w:bCs w:val="1"/>
          <w:i w:val="1"/>
          <w:iCs w:val="1"/>
          <w:color w:val="auto"/>
        </w:rPr>
        <w:t>Section 2.3</w:t>
      </w:r>
      <w:r>
        <w:rPr>
          <w:rFonts w:ascii="Times New Roman" w:cs="Times New Roman" w:eastAsia="Times New Roman" w:hAnsi="Times New Roman"/>
          <w:sz w:val="18"/>
          <w:szCs w:val="18"/>
          <w:color w:val="auto"/>
        </w:rPr>
        <w:t xml:space="preserve"> relating to Bond L/Cs and the terms and provisions of any Loan Paper relating to L/Cs (other than Bond L/Cs), the terms and provisions of this </w:t>
      </w:r>
      <w:r>
        <w:rPr>
          <w:rFonts w:ascii="Times New Roman" w:cs="Times New Roman" w:eastAsia="Times New Roman" w:hAnsi="Times New Roman"/>
          <w:sz w:val="18"/>
          <w:szCs w:val="18"/>
          <w:b w:val="1"/>
          <w:bCs w:val="1"/>
          <w:i w:val="1"/>
          <w:iCs w:val="1"/>
          <w:color w:val="auto"/>
        </w:rPr>
        <w:t>Section 2.3</w:t>
      </w:r>
      <w:r>
        <w:rPr>
          <w:rFonts w:ascii="Times New Roman" w:cs="Times New Roman" w:eastAsia="Times New Roman" w:hAnsi="Times New Roman"/>
          <w:sz w:val="18"/>
          <w:szCs w:val="18"/>
          <w:color w:val="auto"/>
        </w:rPr>
        <w:t xml:space="preserve"> shall control.</w:t>
      </w:r>
    </w:p>
    <w:p>
      <w:pPr>
        <w:spacing w:after="0" w:line="121" w:lineRule="exact"/>
        <w:rPr>
          <w:rFonts w:ascii="Times New Roman" w:cs="Times New Roman" w:eastAsia="Times New Roman" w:hAnsi="Times New Roman"/>
          <w:sz w:val="18"/>
          <w:szCs w:val="18"/>
          <w:color w:val="auto"/>
        </w:rPr>
      </w:pPr>
    </w:p>
    <w:p>
      <w:pPr>
        <w:jc w:val="both"/>
        <w:ind w:firstLine="619"/>
        <w:spacing w:after="0" w:line="256" w:lineRule="auto"/>
        <w:tabs>
          <w:tab w:leader="none" w:pos="998"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L/Cs Issued for Subsidiaries</w:t>
      </w:r>
      <w:r>
        <w:rPr>
          <w:rFonts w:ascii="Times New Roman" w:cs="Times New Roman" w:eastAsia="Times New Roman" w:hAnsi="Times New Roman"/>
          <w:sz w:val="19"/>
          <w:szCs w:val="19"/>
          <w:color w:val="auto"/>
        </w:rPr>
        <w:t>. Notwithstanding that an L/C issued or outstanding hereunder is in support of any obligations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 is for the account of, a Subsidiary of Borrower or a Metro District, Borrower shall be obligated to reimburse the applicable L/C Issuer hereunder for any and all drawings under such L/C. Borrower hereby acknowledges that the issuance of L/Cs for the account of Subsidiaries of Borrower or a Metro District inures to the benefit of Borrower, and that Borrower’s business derives substantial benefits from the businesses of such Subsidiaries.</w:t>
      </w:r>
    </w:p>
    <w:p>
      <w:pPr>
        <w:spacing w:after="0" w:line="18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color w:val="auto"/>
        </w:rPr>
        <w:t>2.5</w:t>
      </w:r>
      <w:r>
        <w:rPr>
          <w:sz w:val="20"/>
          <w:szCs w:val="20"/>
          <w:color w:val="auto"/>
        </w:rPr>
        <w:tab/>
      </w:r>
      <w:r>
        <w:rPr>
          <w:rFonts w:ascii="Times New Roman" w:cs="Times New Roman" w:eastAsia="Times New Roman" w:hAnsi="Times New Roman"/>
          <w:sz w:val="18"/>
          <w:szCs w:val="18"/>
          <w:u w:val="single" w:color="auto"/>
          <w:color w:val="auto"/>
        </w:rPr>
        <w:t>Increase in Revolver Commitments; Incremental Term Loan Facility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firstLine="619"/>
        <w:spacing w:after="0" w:line="253" w:lineRule="auto"/>
        <w:tabs>
          <w:tab w:leader="none" w:pos="1094"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Request for Increase in Revolver Commitments or Incremental Term Loan Facility</w:t>
      </w:r>
      <w:r>
        <w:rPr>
          <w:rFonts w:ascii="Times New Roman" w:cs="Times New Roman" w:eastAsia="Times New Roman" w:hAnsi="Times New Roman"/>
          <w:sz w:val="19"/>
          <w:szCs w:val="19"/>
          <w:color w:val="auto"/>
        </w:rPr>
        <w:t>. Provided there exists no Default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Potential Default, upon notice to Administrative Agent (which shall promptly notify Lenders), Borrower may, from time to time, request either (i) an increase in the Revolver Commitments, or (ii) the addition of one or more new term loan facilities under this Agreement (each, an “</w:t>
      </w:r>
      <w:r>
        <w:rPr>
          <w:rFonts w:ascii="Times New Roman" w:cs="Times New Roman" w:eastAsia="Times New Roman" w:hAnsi="Times New Roman"/>
          <w:sz w:val="19"/>
          <w:szCs w:val="19"/>
          <w:b w:val="1"/>
          <w:bCs w:val="1"/>
          <w:i w:val="1"/>
          <w:iCs w:val="1"/>
          <w:color w:val="auto"/>
        </w:rPr>
        <w:t>Incremental Term Loan Facility</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Incremental Term Loan Facilities</w:t>
      </w:r>
      <w:r>
        <w:rPr>
          <w:rFonts w:ascii="Times New Roman" w:cs="Times New Roman" w:eastAsia="Times New Roman" w:hAnsi="Times New Roman"/>
          <w:sz w:val="19"/>
          <w:szCs w:val="19"/>
          <w:color w:val="auto"/>
        </w:rPr>
        <w:t xml:space="preserve">”), such that, after giving effect thereto, the sum of the Total Commitment and aggregate principal amount of loans under the Incremental Term Loan Facilities do not exceed the Maximum Facility Amount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the amount of Debt incurred and outstanding pursuant to </w:t>
      </w:r>
      <w:r>
        <w:rPr>
          <w:rFonts w:ascii="Times New Roman" w:cs="Times New Roman" w:eastAsia="Times New Roman" w:hAnsi="Times New Roman"/>
          <w:sz w:val="19"/>
          <w:szCs w:val="19"/>
          <w:b w:val="1"/>
          <w:bCs w:val="1"/>
          <w:i w:val="1"/>
          <w:iCs w:val="1"/>
          <w:color w:val="auto"/>
        </w:rPr>
        <w:t>clause (l)</w:t>
      </w:r>
      <w:r>
        <w:rPr>
          <w:rFonts w:ascii="Times New Roman" w:cs="Times New Roman" w:eastAsia="Times New Roman" w:hAnsi="Times New Roman"/>
          <w:sz w:val="19"/>
          <w:szCs w:val="19"/>
          <w:color w:val="auto"/>
        </w:rPr>
        <w:t xml:space="preserve"> of the definition of “</w:t>
      </w:r>
      <w:r>
        <w:rPr>
          <w:rFonts w:ascii="Times New Roman" w:cs="Times New Roman" w:eastAsia="Times New Roman" w:hAnsi="Times New Roman"/>
          <w:sz w:val="19"/>
          <w:szCs w:val="19"/>
          <w:i w:val="1"/>
          <w:iCs w:val="1"/>
          <w:color w:val="auto"/>
        </w:rPr>
        <w:t>Permitted Debt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 </w:t>
      </w:r>
      <w:r>
        <w:rPr>
          <w:rFonts w:ascii="Times New Roman" w:cs="Times New Roman" w:eastAsia="Times New Roman" w:hAnsi="Times New Roman"/>
          <w:sz w:val="19"/>
          <w:szCs w:val="19"/>
          <w:color w:val="auto"/>
        </w:rPr>
        <w:t>any such request shall be in a minimum amount of $10,000,000, and greater integral multiples of $500,000 thereof.</w:t>
      </w:r>
    </w:p>
    <w:p>
      <w:pPr>
        <w:spacing w:after="0" w:line="177" w:lineRule="exact"/>
        <w:rPr>
          <w:rFonts w:ascii="Times New Roman" w:cs="Times New Roman" w:eastAsia="Times New Roman" w:hAnsi="Times New Roman"/>
          <w:sz w:val="19"/>
          <w:szCs w:val="19"/>
          <w:color w:val="auto"/>
        </w:rPr>
      </w:pPr>
    </w:p>
    <w:p>
      <w:pPr>
        <w:ind w:firstLine="619"/>
        <w:spacing w:after="0" w:line="275" w:lineRule="auto"/>
        <w:tabs>
          <w:tab w:leader="none" w:pos="1065"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Additional Lenders</w:t>
      </w:r>
      <w:r>
        <w:rPr>
          <w:rFonts w:ascii="Times New Roman" w:cs="Times New Roman" w:eastAsia="Times New Roman" w:hAnsi="Times New Roman"/>
          <w:sz w:val="19"/>
          <w:szCs w:val="19"/>
          <w:color w:val="auto"/>
        </w:rPr>
        <w:t>. To achieve the full amount of a requested increase and subject to the approval of Administrative Agent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each L/C Issuer (which approvals shall not be unreasonably withheld), Borrower may:</w:t>
      </w:r>
    </w:p>
    <w:p>
      <w:pPr>
        <w:spacing w:after="0" w:line="162" w:lineRule="exact"/>
        <w:rPr>
          <w:rFonts w:ascii="Times New Roman" w:cs="Times New Roman" w:eastAsia="Times New Roman" w:hAnsi="Times New Roman"/>
          <w:sz w:val="19"/>
          <w:szCs w:val="19"/>
          <w:color w:val="auto"/>
        </w:rPr>
      </w:pPr>
    </w:p>
    <w:p>
      <w:pPr>
        <w:jc w:val="both"/>
        <w:ind w:left="620" w:firstLine="617"/>
        <w:spacing w:after="0" w:line="254" w:lineRule="auto"/>
        <w:tabs>
          <w:tab w:leader="none" w:pos="1684"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increase in the Revolver Commitments, (A) invite additional Eligible Assignees to become Revolver Lenders pursuant to an agreement in form and substance satisfactory to Administrative Agent and its counsel (each, a “</w:t>
      </w:r>
      <w:r>
        <w:rPr>
          <w:rFonts w:ascii="Times New Roman" w:cs="Times New Roman" w:eastAsia="Times New Roman" w:hAnsi="Times New Roman"/>
          <w:sz w:val="19"/>
          <w:szCs w:val="19"/>
          <w:b w:val="1"/>
          <w:bCs w:val="1"/>
          <w:i w:val="1"/>
          <w:iCs w:val="1"/>
          <w:color w:val="auto"/>
        </w:rPr>
        <w:t>Joinder Agreement</w:t>
      </w:r>
      <w:r>
        <w:rPr>
          <w:rFonts w:ascii="Times New Roman" w:cs="Times New Roman" w:eastAsia="Times New Roman" w:hAnsi="Times New Roman"/>
          <w:sz w:val="19"/>
          <w:szCs w:val="19"/>
          <w:color w:val="auto"/>
        </w:rPr>
        <w:t>”), and (B) request one or more Revolver Lenders to increase their respective Revolver Commitments hereunder, but each such Revolver Lender shall not be deemed to have agreed to increase its Revolver Commitment unless such Revolver Lender notifies Administrative Agent prior to any deadline specified by Borrower (in consultation with Administrative Agent) of its agreement to increase its Revolver Commitment and the amount of the increase of such Revolver Lender’s Revolver Commitment;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53</w:t>
      </w:r>
    </w:p>
    <w:p>
      <w:pPr>
        <w:sectPr>
          <w:pgSz w:w="11900" w:h="16838" w:orient="portrait"/>
          <w:cols w:equalWidth="0" w:num="1">
            <w:col w:w="10620"/>
          </w:cols>
          <w:pgMar w:left="940" w:top="1440" w:right="339" w:bottom="1440" w:gutter="0" w:footer="0" w:header="0"/>
        </w:sectPr>
      </w:pPr>
    </w:p>
    <w:bookmarkStart w:id="104" w:name="page105"/>
    <w:bookmarkEnd w:id="104"/>
    <w:p>
      <w:pPr>
        <w:spacing w:after="0" w:line="122" w:lineRule="exact"/>
        <w:rPr>
          <w:sz w:val="20"/>
          <w:szCs w:val="20"/>
          <w:color w:val="auto"/>
        </w:rPr>
      </w:pPr>
    </w:p>
    <w:p>
      <w:pPr>
        <w:ind w:left="620" w:firstLine="617"/>
        <w:spacing w:after="0" w:line="282" w:lineRule="auto"/>
        <w:tabs>
          <w:tab w:leader="none" w:pos="1891"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the addition of any Incremental Term Loan Facility under this Agreement, invite Eligible Assignees or one or more Lenders to become lenders under such Incremental Term Loan Facility pursuant to </w:t>
      </w:r>
      <w:r>
        <w:rPr>
          <w:rFonts w:ascii="Times New Roman" w:cs="Times New Roman" w:eastAsia="Times New Roman" w:hAnsi="Times New Roman"/>
          <w:sz w:val="19"/>
          <w:szCs w:val="19"/>
          <w:b w:val="1"/>
          <w:bCs w:val="1"/>
          <w:i w:val="1"/>
          <w:iCs w:val="1"/>
          <w:color w:val="auto"/>
        </w:rPr>
        <w:t>clause (e)</w:t>
      </w:r>
      <w:r>
        <w:rPr>
          <w:rFonts w:ascii="Times New Roman" w:cs="Times New Roman" w:eastAsia="Times New Roman" w:hAnsi="Times New Roman"/>
          <w:sz w:val="19"/>
          <w:szCs w:val="19"/>
          <w:color w:val="auto"/>
        </w:rPr>
        <w:t xml:space="preserve"> below.</w:t>
      </w:r>
    </w:p>
    <w:p>
      <w:pPr>
        <w:spacing w:after="0" w:line="137" w:lineRule="exact"/>
        <w:rPr>
          <w:rFonts w:ascii="Times New Roman" w:cs="Times New Roman" w:eastAsia="Times New Roman" w:hAnsi="Times New Roman"/>
          <w:sz w:val="19"/>
          <w:szCs w:val="19"/>
          <w:color w:val="auto"/>
        </w:rPr>
      </w:pPr>
    </w:p>
    <w:p>
      <w:pPr>
        <w:jc w:val="both"/>
        <w:ind w:firstLine="619"/>
        <w:spacing w:after="0" w:line="259" w:lineRule="auto"/>
        <w:tabs>
          <w:tab w:leader="none" w:pos="1029"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Effective Date and Allocations</w:t>
      </w:r>
      <w:r>
        <w:rPr>
          <w:rFonts w:ascii="Times New Roman" w:cs="Times New Roman" w:eastAsia="Times New Roman" w:hAnsi="Times New Roman"/>
          <w:sz w:val="19"/>
          <w:szCs w:val="19"/>
          <w:color w:val="auto"/>
        </w:rPr>
        <w:t>. If the Revolver Commitments are increased or an Incremental Term Loan Facility is added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this Agreement in accordance with this Section, then Administrative Agent and Borrower shall determine the effective date (the “</w:t>
      </w:r>
      <w:r>
        <w:rPr>
          <w:rFonts w:ascii="Times New Roman" w:cs="Times New Roman" w:eastAsia="Times New Roman" w:hAnsi="Times New Roman"/>
          <w:sz w:val="19"/>
          <w:szCs w:val="19"/>
          <w:b w:val="1"/>
          <w:bCs w:val="1"/>
          <w:i w:val="1"/>
          <w:iCs w:val="1"/>
          <w:color w:val="auto"/>
        </w:rPr>
        <w:t>Increase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and the final allocation thereof. Administrative Agent shall promptly notify Borrower, Lenders (including, without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limitation, any Eligible Assignee becoming a Lender) and lenders under the Incremental Term Loan Facilities of the final allocation of such increase and the Increase Effective Date.</w:t>
      </w:r>
    </w:p>
    <w:p>
      <w:pPr>
        <w:spacing w:after="0" w:line="160" w:lineRule="exact"/>
        <w:rPr>
          <w:rFonts w:ascii="Times New Roman" w:cs="Times New Roman" w:eastAsia="Times New Roman" w:hAnsi="Times New Roman"/>
          <w:sz w:val="19"/>
          <w:szCs w:val="19"/>
          <w:color w:val="auto"/>
        </w:rPr>
      </w:pPr>
    </w:p>
    <w:p>
      <w:pPr>
        <w:ind w:firstLine="619"/>
        <w:spacing w:after="0" w:line="289" w:lineRule="auto"/>
        <w:tabs>
          <w:tab w:leader="none" w:pos="104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Conditions to Effectiveness of Increase in Revolver Commitments</w:t>
      </w:r>
      <w:r>
        <w:rPr>
          <w:rFonts w:ascii="Times New Roman" w:cs="Times New Roman" w:eastAsia="Times New Roman" w:hAnsi="Times New Roman"/>
          <w:sz w:val="19"/>
          <w:szCs w:val="19"/>
          <w:color w:val="auto"/>
        </w:rPr>
        <w:t>. As a condition precedent to any increase in the Revolver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Commitments, Borrower shall deliver to Administrative Agent:</w:t>
      </w:r>
    </w:p>
    <w:p>
      <w:pPr>
        <w:spacing w:after="0" w:line="136" w:lineRule="exact"/>
        <w:rPr>
          <w:rFonts w:ascii="Times New Roman" w:cs="Times New Roman" w:eastAsia="Times New Roman" w:hAnsi="Times New Roman"/>
          <w:sz w:val="19"/>
          <w:szCs w:val="19"/>
          <w:color w:val="auto"/>
        </w:rPr>
      </w:pPr>
    </w:p>
    <w:p>
      <w:pPr>
        <w:ind w:left="620" w:firstLine="617"/>
        <w:spacing w:after="0" w:line="282" w:lineRule="auto"/>
        <w:tabs>
          <w:tab w:leader="none" w:pos="175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Joinder Agreements executed by Borrower, Administrative Agent, and each Eligible Assignee becoming a new Revolver Lender hereunder pursuant to </w:t>
      </w:r>
      <w:r>
        <w:rPr>
          <w:rFonts w:ascii="Times New Roman" w:cs="Times New Roman" w:eastAsia="Times New Roman" w:hAnsi="Times New Roman"/>
          <w:sz w:val="19"/>
          <w:szCs w:val="19"/>
          <w:b w:val="1"/>
          <w:bCs w:val="1"/>
          <w:i w:val="1"/>
          <w:iCs w:val="1"/>
          <w:color w:val="auto"/>
        </w:rPr>
        <w:t>Section 2.5(c)</w:t>
      </w:r>
      <w:r>
        <w:rPr>
          <w:rFonts w:ascii="Times New Roman" w:cs="Times New Roman" w:eastAsia="Times New Roman" w:hAnsi="Times New Roman"/>
          <w:sz w:val="19"/>
          <w:szCs w:val="19"/>
          <w:color w:val="auto"/>
        </w:rPr>
        <w:t xml:space="preserve"> hereof, together with a completed Administrative Questionnaire;</w:t>
      </w:r>
    </w:p>
    <w:p>
      <w:pPr>
        <w:spacing w:after="0" w:line="156" w:lineRule="exact"/>
        <w:rPr>
          <w:sz w:val="20"/>
          <w:szCs w:val="20"/>
          <w:color w:val="auto"/>
        </w:rPr>
      </w:pPr>
    </w:p>
    <w:p>
      <w:pPr>
        <w:ind w:left="1660" w:hanging="423"/>
        <w:spacing w:after="0"/>
        <w:tabs>
          <w:tab w:leader="none" w:pos="1660"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Revolver Lender requesting a Note, a Note executed by Borrower; and</w:t>
      </w:r>
    </w:p>
    <w:p>
      <w:pPr>
        <w:spacing w:after="0" w:line="206" w:lineRule="exact"/>
        <w:rPr>
          <w:rFonts w:ascii="Times New Roman" w:cs="Times New Roman" w:eastAsia="Times New Roman" w:hAnsi="Times New Roman"/>
          <w:sz w:val="19"/>
          <w:szCs w:val="19"/>
          <w:color w:val="auto"/>
        </w:rPr>
      </w:pPr>
    </w:p>
    <w:p>
      <w:pPr>
        <w:jc w:val="both"/>
        <w:ind w:left="620" w:firstLine="617"/>
        <w:spacing w:after="0" w:line="252" w:lineRule="auto"/>
        <w:tabs>
          <w:tab w:leader="none" w:pos="1754"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of each Company dated as of the Increase Effective Date signed by a Responsible Officer of Borrower and each Guarantor (A) certifying and attaching the resolutions adopted by each such entity approving or consenting to such increase, and (B) in the case of Borrower, certifying that, before and after giving effect to such increase, (1) the representations and warranties contained in </w:t>
      </w:r>
      <w:r>
        <w:rPr>
          <w:rFonts w:ascii="Times New Roman" w:cs="Times New Roman" w:eastAsia="Times New Roman" w:hAnsi="Times New Roman"/>
          <w:sz w:val="19"/>
          <w:szCs w:val="19"/>
          <w:b w:val="1"/>
          <w:bCs w:val="1"/>
          <w:i w:val="1"/>
          <w:iCs w:val="1"/>
          <w:color w:val="auto"/>
        </w:rPr>
        <w:t>Section 8</w:t>
      </w:r>
      <w:r>
        <w:rPr>
          <w:rFonts w:ascii="Times New Roman" w:cs="Times New Roman" w:eastAsia="Times New Roman" w:hAnsi="Times New Roman"/>
          <w:sz w:val="19"/>
          <w:szCs w:val="19"/>
          <w:color w:val="auto"/>
        </w:rPr>
        <w:t xml:space="preserve"> and the other Loan Papers are true and correct on and as of the Increase Effective Date, except to the extent that such representations and warranties specifically refer to an earlier date, in which case they are true and correct as of such earlier date, and (2) no Default or Potential Default exists or would result therefrom. Borrower shall prepay any Loans outstanding on the Increase Effective Date (and pay any additional amounts required pursuant to </w:t>
      </w:r>
      <w:r>
        <w:rPr>
          <w:rFonts w:ascii="Times New Roman" w:cs="Times New Roman" w:eastAsia="Times New Roman" w:hAnsi="Times New Roman"/>
          <w:sz w:val="19"/>
          <w:szCs w:val="19"/>
          <w:b w:val="1"/>
          <w:bCs w:val="1"/>
          <w:i w:val="1"/>
          <w:iCs w:val="1"/>
          <w:color w:val="auto"/>
        </w:rPr>
        <w:t>Section 4.5</w:t>
      </w:r>
      <w:r>
        <w:rPr>
          <w:rFonts w:ascii="Times New Roman" w:cs="Times New Roman" w:eastAsia="Times New Roman" w:hAnsi="Times New Roman"/>
          <w:sz w:val="19"/>
          <w:szCs w:val="19"/>
          <w:color w:val="auto"/>
        </w:rPr>
        <w:t>) to the extent necessary to keep the outstanding Loans ratable with any revised Commitment Percentages arising from any non-ratable increase in the Commitments under this Section.</w:t>
      </w:r>
    </w:p>
    <w:p>
      <w:pPr>
        <w:spacing w:after="0" w:line="170" w:lineRule="exact"/>
        <w:rPr>
          <w:rFonts w:ascii="Times New Roman" w:cs="Times New Roman" w:eastAsia="Times New Roman" w:hAnsi="Times New Roman"/>
          <w:sz w:val="19"/>
          <w:szCs w:val="19"/>
          <w:color w:val="auto"/>
        </w:rPr>
      </w:pPr>
    </w:p>
    <w:p>
      <w:pPr>
        <w:ind w:firstLine="619"/>
        <w:spacing w:after="0" w:line="289" w:lineRule="auto"/>
        <w:tabs>
          <w:tab w:leader="none" w:pos="1055"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Conditions to Effectiveness of Addition of an Incremental Term Loan Facility</w:t>
      </w:r>
      <w:r>
        <w:rPr>
          <w:rFonts w:ascii="Times New Roman" w:cs="Times New Roman" w:eastAsia="Times New Roman" w:hAnsi="Times New Roman"/>
          <w:sz w:val="19"/>
          <w:szCs w:val="19"/>
          <w:color w:val="auto"/>
        </w:rPr>
        <w:t>. As a condition precedent to the addition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each Incremental Term Loan Facility, Borrower shall deliver to Administrative Agent:</w:t>
      </w:r>
    </w:p>
    <w:p>
      <w:pPr>
        <w:spacing w:after="0" w:line="149" w:lineRule="exact"/>
        <w:rPr>
          <w:rFonts w:ascii="Times New Roman" w:cs="Times New Roman" w:eastAsia="Times New Roman" w:hAnsi="Times New Roman"/>
          <w:sz w:val="19"/>
          <w:szCs w:val="19"/>
          <w:color w:val="auto"/>
        </w:rPr>
      </w:pPr>
    </w:p>
    <w:p>
      <w:pPr>
        <w:jc w:val="both"/>
        <w:ind w:left="620" w:firstLine="617"/>
        <w:spacing w:after="0" w:line="254" w:lineRule="auto"/>
        <w:tabs>
          <w:tab w:leader="none" w:pos="1670"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amendment, in form and substance satisfactory to Administrative Agent and each lender under such Incremental Term Loan Facility, executed by Borrower, Administrative Agent and each lender under such Incremental Term Loan Facility, which shall include provisions relating to the maturity, pricing, and amortization of the term loan and voting rights of the lenders under such Incremental Term Loan Facility, and such other changes as Administrative Agent and the lenders under such Incremental Term Loan Facility shall deem necessary to effect the increase requested hereby;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54</w:t>
      </w:r>
    </w:p>
    <w:p>
      <w:pPr>
        <w:sectPr>
          <w:pgSz w:w="11900" w:h="16838" w:orient="portrait"/>
          <w:cols w:equalWidth="0" w:num="1">
            <w:col w:w="10620"/>
          </w:cols>
          <w:pgMar w:left="940" w:top="1440" w:right="339" w:bottom="1440" w:gutter="0" w:footer="0" w:header="0"/>
        </w:sectPr>
      </w:pPr>
    </w:p>
    <w:bookmarkStart w:id="105" w:name="page106"/>
    <w:bookmarkEnd w:id="105"/>
    <w:p>
      <w:pPr>
        <w:spacing w:after="0" w:line="122" w:lineRule="exact"/>
        <w:rPr>
          <w:sz w:val="20"/>
          <w:szCs w:val="20"/>
          <w:color w:val="auto"/>
        </w:rPr>
      </w:pPr>
    </w:p>
    <w:p>
      <w:pPr>
        <w:ind w:left="1240" w:firstLine="617"/>
        <w:spacing w:after="0" w:line="282" w:lineRule="auto"/>
        <w:tabs>
          <w:tab w:leader="none" w:pos="2303"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lender under such Incremental Term Loan Facility requesting a promissory note, such promissory note executed by Borrower;</w:t>
      </w:r>
    </w:p>
    <w:p>
      <w:pPr>
        <w:spacing w:after="0" w:line="143" w:lineRule="exact"/>
        <w:rPr>
          <w:rFonts w:ascii="Times New Roman" w:cs="Times New Roman" w:eastAsia="Times New Roman" w:hAnsi="Times New Roman"/>
          <w:sz w:val="19"/>
          <w:szCs w:val="19"/>
          <w:color w:val="auto"/>
        </w:rPr>
      </w:pPr>
    </w:p>
    <w:p>
      <w:pPr>
        <w:ind w:left="2320" w:hanging="463"/>
        <w:spacing w:after="0"/>
        <w:tabs>
          <w:tab w:leader="none" w:pos="232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completed Administrative Questionnaire from each lender under such Incremental Term Loan Facility; and</w:t>
      </w:r>
    </w:p>
    <w:p>
      <w:pPr>
        <w:spacing w:after="0" w:line="219" w:lineRule="exact"/>
        <w:rPr>
          <w:rFonts w:ascii="Times New Roman" w:cs="Times New Roman" w:eastAsia="Times New Roman" w:hAnsi="Times New Roman"/>
          <w:sz w:val="19"/>
          <w:szCs w:val="19"/>
          <w:color w:val="auto"/>
        </w:rPr>
      </w:pPr>
    </w:p>
    <w:p>
      <w:pPr>
        <w:jc w:val="both"/>
        <w:ind w:left="1240" w:firstLine="617"/>
        <w:spacing w:after="0" w:line="252" w:lineRule="auto"/>
        <w:tabs>
          <w:tab w:leader="none" w:pos="2366"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of each Company dated as of the Increase Effective Date signed by a Responsible Officer of Borrower and each Guarantor (A) certifying and attaching the resolutions adopted by each such entity approving or consenting to such increase, and (B) in the case of Borrower, certifying that, before and after giving effect to such increase, (1) the representations and warranties contained in </w:t>
      </w:r>
      <w:r>
        <w:rPr>
          <w:rFonts w:ascii="Times New Roman" w:cs="Times New Roman" w:eastAsia="Times New Roman" w:hAnsi="Times New Roman"/>
          <w:sz w:val="19"/>
          <w:szCs w:val="19"/>
          <w:b w:val="1"/>
          <w:bCs w:val="1"/>
          <w:i w:val="1"/>
          <w:iCs w:val="1"/>
          <w:color w:val="auto"/>
        </w:rPr>
        <w:t>Section 8</w:t>
      </w:r>
      <w:r>
        <w:rPr>
          <w:rFonts w:ascii="Times New Roman" w:cs="Times New Roman" w:eastAsia="Times New Roman" w:hAnsi="Times New Roman"/>
          <w:sz w:val="19"/>
          <w:szCs w:val="19"/>
          <w:color w:val="auto"/>
        </w:rPr>
        <w:t xml:space="preserve"> and the other Loan Papers are true and correct on and as of the Increase Effective Date, except to the extent that such representations and warranties specifically refer to an earlier date, in which case they are true and correct as of such earlier date (provided, that Borrower shall only be required to make certain representations and warranties with respect to any Incremental Term Loan Facility used to consummate an acquisition permitted under </w:t>
      </w:r>
      <w:r>
        <w:rPr>
          <w:rFonts w:ascii="Times New Roman" w:cs="Times New Roman" w:eastAsia="Times New Roman" w:hAnsi="Times New Roman"/>
          <w:sz w:val="19"/>
          <w:szCs w:val="19"/>
          <w:b w:val="1"/>
          <w:bCs w:val="1"/>
          <w:i w:val="1"/>
          <w:iCs w:val="1"/>
          <w:color w:val="auto"/>
        </w:rPr>
        <w:t>Section 10.11</w:t>
      </w:r>
      <w:r>
        <w:rPr>
          <w:rFonts w:ascii="Times New Roman" w:cs="Times New Roman" w:eastAsia="Times New Roman" w:hAnsi="Times New Roman"/>
          <w:sz w:val="19"/>
          <w:szCs w:val="19"/>
          <w:color w:val="auto"/>
        </w:rPr>
        <w:t>), and (2) no Default or Potential Default exists or would result therefrom.</w:t>
      </w:r>
    </w:p>
    <w:p>
      <w:pPr>
        <w:spacing w:after="0" w:line="181" w:lineRule="exact"/>
        <w:rPr>
          <w:sz w:val="20"/>
          <w:szCs w:val="20"/>
          <w:color w:val="auto"/>
        </w:rPr>
      </w:pPr>
    </w:p>
    <w:p>
      <w:pPr>
        <w:ind w:left="1620" w:hanging="381"/>
        <w:spacing w:after="0"/>
        <w:tabs>
          <w:tab w:leader="none" w:pos="162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Conflicting Provisions</w:t>
      </w:r>
      <w:r>
        <w:rPr>
          <w:rFonts w:ascii="Times New Roman" w:cs="Times New Roman" w:eastAsia="Times New Roman" w:hAnsi="Times New Roman"/>
          <w:sz w:val="19"/>
          <w:szCs w:val="19"/>
          <w:color w:val="auto"/>
        </w:rPr>
        <w:t>. This Section shall supersede any provisions in</w:t>
      </w:r>
      <w:r>
        <w:rPr>
          <w:rFonts w:ascii="Times New Roman" w:cs="Times New Roman" w:eastAsia="Times New Roman" w:hAnsi="Times New Roman"/>
          <w:sz w:val="19"/>
          <w:szCs w:val="19"/>
          <w:b w:val="1"/>
          <w:bCs w:val="1"/>
          <w:i w:val="1"/>
          <w:iCs w:val="1"/>
          <w:color w:val="auto"/>
        </w:rPr>
        <w:t xml:space="preserve"> Sections 3.12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i w:val="1"/>
          <w:iCs w:val="1"/>
          <w:color w:val="auto"/>
        </w:rPr>
        <w:t xml:space="preserve"> 15.9 </w:t>
      </w:r>
      <w:r>
        <w:rPr>
          <w:rFonts w:ascii="Times New Roman" w:cs="Times New Roman" w:eastAsia="Times New Roman" w:hAnsi="Times New Roman"/>
          <w:sz w:val="19"/>
          <w:szCs w:val="19"/>
          <w:color w:val="auto"/>
        </w:rPr>
        <w:t>to the contrary.</w:t>
      </w:r>
    </w:p>
    <w:p>
      <w:pPr>
        <w:spacing w:after="0" w:line="20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b w:val="1"/>
          <w:bCs w:val="1"/>
          <w:u w:val="single" w:color="auto"/>
          <w:color w:val="auto"/>
        </w:rPr>
        <w:t>SECTION 3</w:t>
      </w:r>
      <w:r>
        <w:rPr>
          <w:sz w:val="20"/>
          <w:szCs w:val="20"/>
          <w:color w:val="auto"/>
        </w:rPr>
        <w:tab/>
      </w:r>
      <w:r>
        <w:rPr>
          <w:rFonts w:ascii="Times New Roman" w:cs="Times New Roman" w:eastAsia="Times New Roman" w:hAnsi="Times New Roman"/>
          <w:sz w:val="18"/>
          <w:szCs w:val="18"/>
          <w:b w:val="1"/>
          <w:bCs w:val="1"/>
          <w:u w:val="single" w:color="auto"/>
          <w:color w:val="auto"/>
        </w:rPr>
        <w:t>TERMS OF PAYMENT.</w:t>
      </w:r>
    </w:p>
    <w:p>
      <w:pPr>
        <w:spacing w:after="0" w:line="22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8"/>
          <w:szCs w:val="18"/>
          <w:u w:val="single" w:color="auto"/>
          <w:color w:val="auto"/>
        </w:rPr>
        <w:t>Notes and Payments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left="620" w:firstLine="619"/>
        <w:spacing w:after="0" w:line="253" w:lineRule="auto"/>
        <w:tabs>
          <w:tab w:leader="none" w:pos="1747"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Loans made by each Lender and any L/C Credit Extension shall be evidenced by one or more accounts or records maintained by such Lender and by Administrative Agent in the ordinary course of business. The accounts or records maintained by Administrative Agent and each Lender shall be conclusive absent manifest error of the amount of the Loans or L/C Credit Extension made by Lenders to Borrower and the interest and payments thereon. Any failure to so record or any error in doing so shall not, however, limit or otherwise affect the obligation of Borrower hereunder to pay any amount owing with respect to the Obligation. In the event of any conflict between the accounts and records maintained by any Lender and the accounts and records of Administrative Agent in respect of such matters, the accounts and records of Administrative Agent shall control in the absence of manifest error. Upon the request of any Lender made through Administrative Agent, Borrower shall promptly execute and deliver to such Lender (through Administrative Agent) a Note, which shall evidence such Lender’s Loans in addition to such account or records. Each Lender may attach schedules to its Note and endorse thereon the date, Type (if applicable), amount and maturity of its Loans and payments with respect thereto.</w:t>
      </w:r>
    </w:p>
    <w:p>
      <w:pPr>
        <w:spacing w:after="0" w:line="163" w:lineRule="exact"/>
        <w:rPr>
          <w:rFonts w:ascii="Times New Roman" w:cs="Times New Roman" w:eastAsia="Times New Roman" w:hAnsi="Times New Roman"/>
          <w:sz w:val="19"/>
          <w:szCs w:val="19"/>
          <w:color w:val="auto"/>
        </w:rPr>
      </w:pPr>
    </w:p>
    <w:p>
      <w:pPr>
        <w:jc w:val="both"/>
        <w:ind w:left="620" w:firstLine="619"/>
        <w:spacing w:after="0" w:line="259" w:lineRule="auto"/>
        <w:tabs>
          <w:tab w:leader="none" w:pos="166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the accounts and records referred to in </w:t>
      </w:r>
      <w:r>
        <w:rPr>
          <w:rFonts w:ascii="Times New Roman" w:cs="Times New Roman" w:eastAsia="Times New Roman" w:hAnsi="Times New Roman"/>
          <w:sz w:val="19"/>
          <w:szCs w:val="19"/>
          <w:b w:val="1"/>
          <w:bCs w:val="1"/>
          <w:i w:val="1"/>
          <w:iCs w:val="1"/>
          <w:color w:val="auto"/>
        </w:rPr>
        <w:t>clause (a)</w:t>
      </w:r>
      <w:r>
        <w:rPr>
          <w:rFonts w:ascii="Times New Roman" w:cs="Times New Roman" w:eastAsia="Times New Roman" w:hAnsi="Times New Roman"/>
          <w:sz w:val="19"/>
          <w:szCs w:val="19"/>
          <w:color w:val="auto"/>
        </w:rPr>
        <w:t xml:space="preserve"> herein, each Revolver Lender and Administrative Agent shall maintain in accordance with its usual practice accounts or records evidencing the purchases and sales by such Revolver Lender of participations in L/Cs. In the event of any conflict between the accounts and records maintained by Administrative Agent and the accounts and records of any Revolver Lender in respect of such matters, the accounts and records of Administrative Agent shall control in the absence of manifest error.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55</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22" w:lineRule="exact"/>
        <w:rPr>
          <w:sz w:val="20"/>
          <w:szCs w:val="20"/>
          <w:color w:val="auto"/>
        </w:rPr>
      </w:pPr>
    </w:p>
    <w:p>
      <w:pPr>
        <w:jc w:val="both"/>
        <w:ind w:firstLine="619"/>
        <w:spacing w:after="0" w:line="251" w:lineRule="auto"/>
        <w:tabs>
          <w:tab w:leader="none" w:pos="1182"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must make each payment on the Obligation, without condition or deduction for any counterclaim, defense, recoupment, or setoff. All payments except with respect to principal of and interest on Loans denominated in an Alternative Currency by Borrower hereunder shall be made in Dollars to Administrative Agent, for the account of the respective Lenders to which such payment is owed, at Administrative Agent’s principal office in Dallas, Texas, in funds that will be available for immediate use by Administrative Agent by 1:00 p.m. on the day due; otherwise, but subject to </w:t>
      </w:r>
      <w:r>
        <w:rPr>
          <w:rFonts w:ascii="Times New Roman" w:cs="Times New Roman" w:eastAsia="Times New Roman" w:hAnsi="Times New Roman"/>
          <w:sz w:val="19"/>
          <w:szCs w:val="19"/>
          <w:b w:val="1"/>
          <w:bCs w:val="1"/>
          <w:i w:val="1"/>
          <w:iCs w:val="1"/>
          <w:color w:val="auto"/>
        </w:rPr>
        <w:t>Section 3.8</w:t>
      </w:r>
      <w:r>
        <w:rPr>
          <w:rFonts w:ascii="Times New Roman" w:cs="Times New Roman" w:eastAsia="Times New Roman" w:hAnsi="Times New Roman"/>
          <w:sz w:val="19"/>
          <w:szCs w:val="19"/>
          <w:color w:val="auto"/>
        </w:rPr>
        <w:t xml:space="preserve">, those funds continue to accrue interest as if they were received on the next Business Day. All payments by Borrower with respect to principal of and interest on Loans denominated in an Alternative Currency must be made by the Applicable Time; otherwise, but subject to </w:t>
      </w:r>
      <w:r>
        <w:rPr>
          <w:rFonts w:ascii="Times New Roman" w:cs="Times New Roman" w:eastAsia="Times New Roman" w:hAnsi="Times New Roman"/>
          <w:sz w:val="19"/>
          <w:szCs w:val="19"/>
          <w:b w:val="1"/>
          <w:bCs w:val="1"/>
          <w:i w:val="1"/>
          <w:iCs w:val="1"/>
          <w:color w:val="auto"/>
        </w:rPr>
        <w:t>Section 3.8</w:t>
      </w:r>
      <w:r>
        <w:rPr>
          <w:rFonts w:ascii="Times New Roman" w:cs="Times New Roman" w:eastAsia="Times New Roman" w:hAnsi="Times New Roman"/>
          <w:sz w:val="19"/>
          <w:szCs w:val="19"/>
          <w:color w:val="auto"/>
        </w:rPr>
        <w:t>, those funds continue to accrue interest as if they are received on the next Business Day. Except as otherwise expressly provided herein, all payments by Borrower hereunder with respect to principal and interest on Loans denominated in an Alternative Currency shall be made to Administrative Agent, for the account of the respective Lenders to which such payment is owed, at the applicable Administrative Agent’s Office in such Alternative Currency and in Same Day Funds not later than the Applicable Time specified by Administrative Agent on the dates specified herein. If, for any reason, Borrower is prohibited by any Law from making any required payment hereunder in an Alternative Currency, Borrower shall make such payment in Dollars in the Dollar Equivalent of the Alternative Currency payment amount.</w:t>
      </w:r>
    </w:p>
    <w:p>
      <w:pPr>
        <w:spacing w:after="0" w:line="185"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Administrative Agent shall promptly distribute to each Lender its Commitment Percentage (or other payment share as provided herein) of such payment to which that Lender is entitled on the same day Administrative Agent receives the funds from Borrower if Administrative Agent receives the payment before 1:00 p.m., and otherwise before 1:00 p.m. on the following Business Day. If and to the extent that Administrative Agent does not make payments to Lenders when due, unpaid amounts shall accrue interest at the Federal Funds Rate from the due date until (but not including) the payment date.</w:t>
      </w:r>
    </w:p>
    <w:p>
      <w:pPr>
        <w:spacing w:after="0" w:line="18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color w:val="auto"/>
        </w:rPr>
        <w:t>3.2</w:t>
      </w:r>
      <w:r>
        <w:rPr>
          <w:sz w:val="20"/>
          <w:szCs w:val="20"/>
          <w:color w:val="auto"/>
        </w:rPr>
        <w:tab/>
      </w:r>
      <w:r>
        <w:rPr>
          <w:rFonts w:ascii="Times New Roman" w:cs="Times New Roman" w:eastAsia="Times New Roman" w:hAnsi="Times New Roman"/>
          <w:sz w:val="18"/>
          <w:szCs w:val="18"/>
          <w:u w:val="single" w:color="auto"/>
          <w:color w:val="auto"/>
        </w:rPr>
        <w:t>Interest and Principal Payments; Prepayments; Voluntary Commitment Reductions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firstLine="619"/>
        <w:spacing w:after="0" w:line="254" w:lineRule="auto"/>
        <w:tabs>
          <w:tab w:leader="none" w:pos="1033"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Accrued interest on each Revolver Loan or Term Loan that is a Term Reference Rate Loan is due and payable on the last day of its Interest Period and on the Termination Date. If any Interest Period with respect to a Revolver Loan or Term Loan that is a Term Reference Rate Loan is a period greater than three months, then accrued interest is also due and payable on the date three months after the commencement of the Interest Period. Accrued interest on each Base Rate Loan is due and payable on each Quarterly Date and on the Termination Date. Accrued interest on each Daily SOFR Rate Loan is due and payable on the last day of each calendar month and on the Termination Date</w:t>
      </w:r>
    </w:p>
    <w:p>
      <w:pPr>
        <w:spacing w:after="0" w:line="183" w:lineRule="exact"/>
        <w:rPr>
          <w:rFonts w:ascii="Times New Roman" w:cs="Times New Roman" w:eastAsia="Times New Roman" w:hAnsi="Times New Roman"/>
          <w:sz w:val="19"/>
          <w:szCs w:val="19"/>
          <w:color w:val="auto"/>
        </w:rPr>
      </w:pPr>
    </w:p>
    <w:p>
      <w:pPr>
        <w:ind w:left="1020" w:hanging="401"/>
        <w:spacing w:after="0"/>
        <w:tabs>
          <w:tab w:leader="none" w:pos="10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Revolver Principal Debt is due and payable on the Termination Date for the Revolver Facility.</w:t>
      </w:r>
    </w:p>
    <w:p>
      <w:pPr>
        <w:spacing w:after="0" w:line="206" w:lineRule="exact"/>
        <w:rPr>
          <w:rFonts w:ascii="Times New Roman" w:cs="Times New Roman" w:eastAsia="Times New Roman" w:hAnsi="Times New Roman"/>
          <w:sz w:val="19"/>
          <w:szCs w:val="19"/>
          <w:color w:val="auto"/>
        </w:rPr>
      </w:pPr>
    </w:p>
    <w:p>
      <w:pPr>
        <w:jc w:val="both"/>
        <w:ind w:firstLine="619"/>
        <w:spacing w:after="0" w:line="259" w:lineRule="auto"/>
        <w:tabs>
          <w:tab w:leader="none" w:pos="1015"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Loan Principal Debt is due and payable in equal quarterly installments, such that five percent (5%) of the Term Loan Principal Debt outstanding on the Closing Date is repaid in each consecutive period of four (4) Quarterly Dates, with the first such payment due on April 30, 2024, and continuing on each consecutive Quarterly Date thereafter. A final payment is due on the Termination Date for the Term Loan Facility in an amount equal to all Term Loan Principal Debt then outstanding.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56</w:t>
      </w:r>
    </w:p>
    <w:p>
      <w:pPr>
        <w:sectPr>
          <w:pgSz w:w="11900" w:h="16838" w:orient="portrait"/>
          <w:cols w:equalWidth="0" w:num="1">
            <w:col w:w="10620"/>
          </w:cols>
          <w:pgMar w:left="940" w:top="1440" w:right="339" w:bottom="1440" w:gutter="0" w:footer="0" w:header="0"/>
        </w:sectPr>
      </w:pPr>
    </w:p>
    <w:bookmarkStart w:id="107" w:name="page108"/>
    <w:bookmarkEnd w:id="107"/>
    <w:p>
      <w:pPr>
        <w:spacing w:after="0" w:line="122" w:lineRule="exact"/>
        <w:rPr>
          <w:sz w:val="20"/>
          <w:szCs w:val="20"/>
          <w:color w:val="auto"/>
        </w:rPr>
      </w:pPr>
    </w:p>
    <w:p>
      <w:pPr>
        <w:jc w:val="both"/>
        <w:ind w:left="620" w:firstLine="619"/>
        <w:spacing w:after="0" w:line="259" w:lineRule="auto"/>
        <w:tabs>
          <w:tab w:leader="none" w:pos="1796"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Revolver Commitment Usage ever exceeds the Revolver Commitment, then Borrower shall immediately prepay Revolver Loans and/or Cash Collateralize the L/C Exposure in an aggregate amount equal to such excess;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Borrower shall not be required to Cash Collateralize the L/C Exposure pursuant to this </w:t>
      </w:r>
      <w:r>
        <w:rPr>
          <w:rFonts w:ascii="Times New Roman" w:cs="Times New Roman" w:eastAsia="Times New Roman" w:hAnsi="Times New Roman"/>
          <w:sz w:val="19"/>
          <w:szCs w:val="19"/>
          <w:b w:val="1"/>
          <w:bCs w:val="1"/>
          <w:i w:val="1"/>
          <w:iCs w:val="1"/>
          <w:color w:val="auto"/>
        </w:rPr>
        <w:t>Section 3.2(d)</w:t>
      </w:r>
      <w:r>
        <w:rPr>
          <w:rFonts w:ascii="Times New Roman" w:cs="Times New Roman" w:eastAsia="Times New Roman" w:hAnsi="Times New Roman"/>
          <w:sz w:val="19"/>
          <w:szCs w:val="19"/>
          <w:color w:val="auto"/>
        </w:rPr>
        <w:t xml:space="preserve"> unless, after prepayment in full of the Revolver Loans, the Revolver Commitment Usage exceeds the Revolver Commitment then in effect.</w:t>
      </w:r>
    </w:p>
    <w:p>
      <w:pPr>
        <w:spacing w:after="0" w:line="164" w:lineRule="exact"/>
        <w:rPr>
          <w:rFonts w:ascii="Times New Roman" w:cs="Times New Roman" w:eastAsia="Times New Roman" w:hAnsi="Times New Roman"/>
          <w:sz w:val="19"/>
          <w:szCs w:val="19"/>
          <w:color w:val="auto"/>
        </w:rPr>
      </w:pPr>
    </w:p>
    <w:p>
      <w:pPr>
        <w:jc w:val="both"/>
        <w:ind w:left="620" w:firstLine="619"/>
        <w:spacing w:after="0" w:line="253" w:lineRule="auto"/>
        <w:tabs>
          <w:tab w:leader="none" w:pos="1638"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premium or penalty and upon giving at least two Business Days prior written and irrevocable notice to Administrative Agent (who shall promptly notify Revolver Lenders of its receipt of such notice and its contents), Borrower may terminate all or reduce part of the unused portion of the Revolver Commitment. Each partial reduction (unless the remaining portion of such commitment is less) must be in an amount of not less than $5,000,000 or a greater integral multiple of $1,000,000, and shall be ratable among all Revolver Lenders according to their respective Commitment Percentages. Once terminated or reduced, such commitments may not be reinstated or increased. Borrower shall not terminate or reduce the Revolver Commitment if, after giving effect thereto and to any concurrent prepayments hereunder, the Revolver Commitment Usage would exceed the Revolver Commitment. If, after giving effect to any reduction of the Revolver Commitment or the L/C Sublimit exceeds the amount of the Revolver Commitment, such sublimits shall be automatically reduced by the amount of such excess. Administrative Agent will promptly notify Revolver Lenders of any such notice of termination or reduction of the Revolver Commitment.</w:t>
      </w:r>
    </w:p>
    <w:p>
      <w:pPr>
        <w:spacing w:after="0" w:line="169" w:lineRule="exact"/>
        <w:rPr>
          <w:rFonts w:ascii="Times New Roman" w:cs="Times New Roman" w:eastAsia="Times New Roman" w:hAnsi="Times New Roman"/>
          <w:sz w:val="19"/>
          <w:szCs w:val="19"/>
          <w:color w:val="auto"/>
        </w:rPr>
      </w:pPr>
    </w:p>
    <w:p>
      <w:pPr>
        <w:ind w:left="620" w:firstLine="619"/>
        <w:spacing w:after="0" w:line="282" w:lineRule="auto"/>
        <w:tabs>
          <w:tab w:leader="none" w:pos="1654"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may voluntarily prepay all or any part of the Revolver Principal Debt or the Term Loan Principal Debt at any time without premium or penalty, subject to the following conditions:</w:t>
      </w:r>
    </w:p>
    <w:p>
      <w:pPr>
        <w:spacing w:after="0" w:line="156" w:lineRule="exact"/>
        <w:rPr>
          <w:rFonts w:ascii="Times New Roman" w:cs="Times New Roman" w:eastAsia="Times New Roman" w:hAnsi="Times New Roman"/>
          <w:sz w:val="19"/>
          <w:szCs w:val="19"/>
          <w:color w:val="auto"/>
        </w:rPr>
      </w:pPr>
    </w:p>
    <w:p>
      <w:pPr>
        <w:jc w:val="both"/>
        <w:ind w:left="1240" w:firstLine="617"/>
        <w:spacing w:after="0" w:line="254" w:lineRule="auto"/>
        <w:tabs>
          <w:tab w:leader="none" w:pos="2361"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Administrative Agent must receive Borrower’s written payment notice (which must be in a form acceptable to Administrative Agent and which shall specify (1) the payment date, and (2) the Type and amount of the Loan(s) to be paid; such notice shall constitute an irrevocable and binding obligation of Borrower to make a payment on the designated date) by 11:00 a.m. on (x) the third Business Day preceding the date of payment of a Revolver Loan or a Term Loan that is a Term Reference Rate Loan, and (y) the date of payment of a Daily SOFR Rate Loan or Base Rate Loan;</w:t>
      </w:r>
    </w:p>
    <w:p>
      <w:pPr>
        <w:spacing w:after="0" w:line="170" w:lineRule="exact"/>
        <w:rPr>
          <w:rFonts w:ascii="Times New Roman" w:cs="Times New Roman" w:eastAsia="Times New Roman" w:hAnsi="Times New Roman"/>
          <w:sz w:val="19"/>
          <w:szCs w:val="19"/>
          <w:color w:val="auto"/>
        </w:rPr>
      </w:pPr>
    </w:p>
    <w:p>
      <w:pPr>
        <w:jc w:val="both"/>
        <w:ind w:left="1240" w:firstLine="617"/>
        <w:spacing w:after="0" w:line="268" w:lineRule="auto"/>
        <w:tabs>
          <w:tab w:leader="none" w:pos="2337"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partial payment must be in a minimum amount of at least $500,000 if a Daily SOFR Rate Loan or Base Rate Loan or $1,000,000 if a Revolver Loan or a Term Loan that is a Term Reference Rate Loan or, in either case, a greater integral multiple of $100,000;</w:t>
      </w:r>
    </w:p>
    <w:p>
      <w:pPr>
        <w:spacing w:after="0" w:line="156" w:lineRule="exact"/>
        <w:rPr>
          <w:rFonts w:ascii="Times New Roman" w:cs="Times New Roman" w:eastAsia="Times New Roman" w:hAnsi="Times New Roman"/>
          <w:sz w:val="19"/>
          <w:szCs w:val="19"/>
          <w:color w:val="auto"/>
        </w:rPr>
      </w:pPr>
    </w:p>
    <w:p>
      <w:pPr>
        <w:ind w:left="2320" w:hanging="463"/>
        <w:spacing w:after="0"/>
        <w:tabs>
          <w:tab w:leader="none" w:pos="232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accrued interest on the principal amount so to be prepaid must also be paid in full on the date of payment;</w:t>
      </w:r>
    </w:p>
    <w:p>
      <w:pPr>
        <w:spacing w:after="0" w:line="219" w:lineRule="exact"/>
        <w:rPr>
          <w:rFonts w:ascii="Times New Roman" w:cs="Times New Roman" w:eastAsia="Times New Roman" w:hAnsi="Times New Roman"/>
          <w:sz w:val="19"/>
          <w:szCs w:val="19"/>
          <w:color w:val="auto"/>
        </w:rPr>
      </w:pPr>
    </w:p>
    <w:p>
      <w:pPr>
        <w:ind w:left="2320" w:hanging="463"/>
        <w:spacing w:after="0"/>
        <w:tabs>
          <w:tab w:leader="none" w:pos="232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shall pay any related Funding Loss upon demand; and</w:t>
      </w:r>
    </w:p>
    <w:p>
      <w:pPr>
        <w:spacing w:after="0" w:line="206" w:lineRule="exact"/>
        <w:rPr>
          <w:rFonts w:ascii="Times New Roman" w:cs="Times New Roman" w:eastAsia="Times New Roman" w:hAnsi="Times New Roman"/>
          <w:sz w:val="19"/>
          <w:szCs w:val="19"/>
          <w:color w:val="auto"/>
        </w:rPr>
      </w:pPr>
    </w:p>
    <w:p>
      <w:pPr>
        <w:jc w:val="both"/>
        <w:ind w:left="1240" w:firstLine="617"/>
        <w:spacing w:after="0" w:line="311" w:lineRule="auto"/>
        <w:tabs>
          <w:tab w:leader="none" w:pos="242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Default or Potential Default has occurred and is continuing (or would arise as a result thereof), any prepayment of the Revolver Principal Debt may be reborrowed by Borrower, subject to the terms and conditions of the Loan Papers.</w:t>
      </w:r>
    </w:p>
    <w:p>
      <w:pPr>
        <w:spacing w:after="0" w:line="1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Administrative Agent will promptly notify each Lender of its receipt of a payment notice from Borrower, and of the amount of such Lender’s Commitment Percentage of such prepayment.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57</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21"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19"/>
          <w:szCs w:val="19"/>
          <w:u w:val="single" w:color="auto"/>
          <w:color w:val="auto"/>
        </w:rPr>
        <w:t>Interest Options</w:t>
      </w:r>
      <w:r>
        <w:rPr>
          <w:rFonts w:ascii="Times New Roman" w:cs="Times New Roman" w:eastAsia="Times New Roman" w:hAnsi="Times New Roman"/>
          <w:sz w:val="19"/>
          <w:szCs w:val="19"/>
          <w:color w:val="auto"/>
        </w:rPr>
        <w:t xml:space="preserve">. Except where specifically otherwise provided, Revolver Loans and Term Loans bear interest at an annual rate equal to the lesser of (a) (i) the Base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Applicable Margin for Base Rate Loans, (ii) Daily Simple SOFR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Applicable Margin for Daily SOFR Rate Loans, (iii) the Term Reference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Applicable Margin for Term Reference Rate Loans for the Interest Period, if any, selected by Borrower (in each case as designated or deemed designated by Borrower), as the case may be, and (b) the Maximum Rate. Each change in the Base Rate, the Term Reference Rate, Daily Simple SOFR, and the Maximum Rate is effective, without notice to Borrower or any other Person, upon the effective date of change.</w:t>
      </w:r>
    </w:p>
    <w:p>
      <w:pPr>
        <w:spacing w:after="0" w:line="184"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u w:val="single" w:color="auto"/>
          <w:color w:val="auto"/>
        </w:rPr>
        <w:t>Quotation of Rates</w:t>
      </w:r>
      <w:r>
        <w:rPr>
          <w:rFonts w:ascii="Times New Roman" w:cs="Times New Roman" w:eastAsia="Times New Roman" w:hAnsi="Times New Roman"/>
          <w:sz w:val="19"/>
          <w:szCs w:val="19"/>
          <w:color w:val="auto"/>
        </w:rPr>
        <w:t>. A Responsible Officer of Borrower may call Administrative Agent before delivering a Loan Notice to receive an indication of the interest rates then in effect, but the indicated rates do not bind Administrative Agent or Lenders or affect the interest rate that is actually in effect when Borrower delivers its Loan Notice or on the Loan Date.</w:t>
      </w:r>
    </w:p>
    <w:p>
      <w:pPr>
        <w:spacing w:after="0" w:line="163"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Default Rate</w:t>
      </w:r>
      <w:r>
        <w:rPr>
          <w:rFonts w:ascii="Times New Roman" w:cs="Times New Roman" w:eastAsia="Times New Roman" w:hAnsi="Times New Roman"/>
          <w:sz w:val="19"/>
          <w:szCs w:val="19"/>
          <w:color w:val="auto"/>
        </w:rPr>
        <w:t>. While any Default exists, then upon the request of Required Lenders (except in the case of a Default resulting from the failure to pay Principal Debt when due, in which case, such increase shall be automatic), Borrower shall pay interest on the Principal Debt at a fluctuating interest rate per annum at all times equal to the Default Rate to the fullest extent permitted by applicable Law. If any amount (other than principal of any Loan) payable by Borrower under any Loan Paper is not paid when due (without regard to any applicable grace periods), whether at stated maturity, by acceleration, or otherwise, then upon the request of Required Lenders, such amount shall thereafter bear interest at a fluctuating interest rate per annum at all times equal to the Default Rate to the fullest extent permitted by applicable Laws. Accrued and unpaid interest on past due amounts (including interest on past due interest) shall be due and payable upon demand.</w:t>
      </w:r>
    </w:p>
    <w:p>
      <w:pPr>
        <w:spacing w:after="0" w:line="184"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3.6 </w:t>
      </w:r>
      <w:r>
        <w:rPr>
          <w:rFonts w:ascii="Times New Roman" w:cs="Times New Roman" w:eastAsia="Times New Roman" w:hAnsi="Times New Roman"/>
          <w:sz w:val="19"/>
          <w:szCs w:val="19"/>
          <w:u w:val="single" w:color="auto"/>
          <w:color w:val="auto"/>
        </w:rPr>
        <w:t>Interest Recapture</w:t>
      </w:r>
      <w:r>
        <w:rPr>
          <w:rFonts w:ascii="Times New Roman" w:cs="Times New Roman" w:eastAsia="Times New Roman" w:hAnsi="Times New Roman"/>
          <w:sz w:val="19"/>
          <w:szCs w:val="19"/>
          <w:color w:val="auto"/>
        </w:rPr>
        <w:t xml:space="preserve">. If the designated interest rate applicable to any Loan exceeds the Maximum Rate, the interest rate on that Loan is limited to the Maximum Rate, but any subsequent reductions in the designated rate shall not reduce the interest rate thereon below the Maximum Rate until the total amount of accrued interest equals the amount of interest that would have accrued if that designated rate had always been in effect. If at maturity (stated or by acceleration), or at final payment of the Notes, the total interest paid or accrued is less than the interest that would have accrued if the designated rates had always been in effect, then, at that time and to the extent permitted by Law, Borrower shall pay an amount equal to the difference between (a) the lesser of the amount of interest that would have accrued if the designated rates had always been in effect </w:t>
      </w:r>
      <w:r>
        <w:rPr>
          <w:rFonts w:ascii="Times New Roman" w:cs="Times New Roman" w:eastAsia="Times New Roman" w:hAnsi="Times New Roman"/>
          <w:sz w:val="19"/>
          <w:szCs w:val="19"/>
          <w:i w:val="1"/>
          <w:iCs w:val="1"/>
          <w:color w:val="auto"/>
        </w:rPr>
        <w:t>and</w:t>
      </w:r>
      <w:r>
        <w:rPr>
          <w:rFonts w:ascii="Times New Roman" w:cs="Times New Roman" w:eastAsia="Times New Roman" w:hAnsi="Times New Roman"/>
          <w:sz w:val="19"/>
          <w:szCs w:val="19"/>
          <w:color w:val="auto"/>
        </w:rPr>
        <w:t xml:space="preserve"> the amount of interest that would have accrued if the Maximum Rate had always been in effect, and (b) the amount of interest actually paid or accrued on the Notes.</w:t>
      </w:r>
    </w:p>
    <w:p>
      <w:pPr>
        <w:spacing w:after="0" w:line="17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3.7</w:t>
      </w:r>
      <w:r>
        <w:rPr>
          <w:sz w:val="20"/>
          <w:szCs w:val="20"/>
          <w:color w:val="auto"/>
        </w:rPr>
        <w:tab/>
      </w:r>
      <w:r>
        <w:rPr>
          <w:rFonts w:ascii="Times New Roman" w:cs="Times New Roman" w:eastAsia="Times New Roman" w:hAnsi="Times New Roman"/>
          <w:sz w:val="18"/>
          <w:szCs w:val="18"/>
          <w:u w:val="single" w:color="auto"/>
          <w:color w:val="auto"/>
        </w:rPr>
        <w:t>Interest Calculations; Retroactive Adjustments of Applicable Margin</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621"/>
        <w:spacing w:after="0" w:line="254" w:lineRule="auto"/>
        <w:tabs>
          <w:tab w:leader="none" w:pos="103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computations of interest for Base Rate Loans shall be made on the basis of a year of 365 or 366 days (even when those loans are determined by Term SOFR),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any Loan that is repaid on the same day on which it is made shall, subject to </w:t>
      </w:r>
      <w:r>
        <w:rPr>
          <w:rFonts w:ascii="Times New Roman" w:cs="Times New Roman" w:eastAsia="Times New Roman" w:hAnsi="Times New Roman"/>
          <w:sz w:val="19"/>
          <w:szCs w:val="19"/>
          <w:b w:val="1"/>
          <w:bCs w:val="1"/>
          <w:i w:val="1"/>
          <w:iCs w:val="1"/>
          <w:color w:val="auto"/>
        </w:rPr>
        <w:t>Section 3.1(c)</w:t>
      </w:r>
      <w:r>
        <w:rPr>
          <w:rFonts w:ascii="Times New Roman" w:cs="Times New Roman" w:eastAsia="Times New Roman" w:hAnsi="Times New Roman"/>
          <w:sz w:val="19"/>
          <w:szCs w:val="19"/>
          <w:color w:val="auto"/>
        </w:rPr>
        <w:t>, bear interest for one day.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58</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21" w:lineRule="exact"/>
        <w:rPr>
          <w:sz w:val="20"/>
          <w:szCs w:val="20"/>
          <w:color w:val="auto"/>
        </w:rPr>
      </w:pPr>
    </w:p>
    <w:p>
      <w:pPr>
        <w:jc w:val="both"/>
        <w:ind w:firstLine="621"/>
        <w:spacing w:after="0" w:line="251" w:lineRule="auto"/>
        <w:tabs>
          <w:tab w:leader="none" w:pos="1029"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as a result of any restatement of or other adjustment to the financial statements of Borrower or for any other reason, Borrower or the Lenders determine that (i) the ratio of Net Funded Debt to Adjusted EBITDA, as calculated by Borrower pursuant to </w:t>
      </w:r>
      <w:r>
        <w:rPr>
          <w:rFonts w:ascii="Times New Roman" w:cs="Times New Roman" w:eastAsia="Times New Roman" w:hAnsi="Times New Roman"/>
          <w:sz w:val="19"/>
          <w:szCs w:val="19"/>
          <w:b w:val="1"/>
          <w:bCs w:val="1"/>
          <w:i w:val="1"/>
          <w:iCs w:val="1"/>
          <w:color w:val="auto"/>
        </w:rPr>
        <w:t>Section 11.1</w:t>
      </w:r>
      <w:r>
        <w:rPr>
          <w:rFonts w:ascii="Times New Roman" w:cs="Times New Roman" w:eastAsia="Times New Roman" w:hAnsi="Times New Roman"/>
          <w:sz w:val="19"/>
          <w:szCs w:val="19"/>
          <w:color w:val="auto"/>
        </w:rPr>
        <w:t xml:space="preserve"> as of any applicable date, was inaccurate, and (ii) a proper calculation thereof would have resulted in higher pricing and fees for such period, then Borrower shall immediately and retroactively be obligated to pay to Administrative Agent for the account of the applicable Lenders or L/C Issuers, as the case may be, promptly on demand by Administrative Agent (or, after the occurrence of an actual or deemed entry of an order for relief with respect to Borrower under Debtor Relief Law, automatically and without further action by Administrative Agent, any Lender, or any L/C Issuer), an amount equal to the excess of the amount of interest and fees that should have been paid for such period over the amount of interest and fees actually paid for such period. This paragraph shall not limit the rights of Administrative Agent, any Lender, or any L/C Issuer, as the case may be, under Section </w:t>
      </w:r>
      <w:r>
        <w:rPr>
          <w:rFonts w:ascii="Times New Roman" w:cs="Times New Roman" w:eastAsia="Times New Roman" w:hAnsi="Times New Roman"/>
          <w:sz w:val="19"/>
          <w:szCs w:val="19"/>
          <w:b w:val="1"/>
          <w:bCs w:val="1"/>
          <w:i w:val="1"/>
          <w:iCs w:val="1"/>
          <w:color w:val="auto"/>
        </w:rPr>
        <w:t>2.3(c)(iii)</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5.3</w:t>
      </w:r>
      <w:r>
        <w:rPr>
          <w:rFonts w:ascii="Times New Roman" w:cs="Times New Roman" w:eastAsia="Times New Roman" w:hAnsi="Times New Roman"/>
          <w:sz w:val="19"/>
          <w:szCs w:val="19"/>
          <w:color w:val="auto"/>
        </w:rPr>
        <w:t>, or</w:t>
      </w:r>
      <w:r>
        <w:rPr>
          <w:rFonts w:ascii="Times New Roman" w:cs="Times New Roman" w:eastAsia="Times New Roman" w:hAnsi="Times New Roman"/>
          <w:sz w:val="19"/>
          <w:szCs w:val="19"/>
          <w:b w:val="1"/>
          <w:bCs w:val="1"/>
          <w:i w:val="1"/>
          <w:iCs w:val="1"/>
          <w:color w:val="auto"/>
        </w:rPr>
        <w:t xml:space="preserve"> 3.3 </w:t>
      </w:r>
      <w:r>
        <w:rPr>
          <w:rFonts w:ascii="Times New Roman" w:cs="Times New Roman" w:eastAsia="Times New Roman" w:hAnsi="Times New Roman"/>
          <w:sz w:val="19"/>
          <w:szCs w:val="19"/>
          <w:color w:val="auto"/>
        </w:rPr>
        <w:t>or under</w:t>
      </w:r>
      <w:r>
        <w:rPr>
          <w:rFonts w:ascii="Times New Roman" w:cs="Times New Roman" w:eastAsia="Times New Roman" w:hAnsi="Times New Roman"/>
          <w:sz w:val="19"/>
          <w:szCs w:val="19"/>
          <w:b w:val="1"/>
          <w:bCs w:val="1"/>
          <w:i w:val="1"/>
          <w:iCs w:val="1"/>
          <w:color w:val="auto"/>
        </w:rPr>
        <w:t xml:space="preserve"> Section 12</w:t>
      </w:r>
      <w:r>
        <w:rPr>
          <w:rFonts w:ascii="Times New Roman" w:cs="Times New Roman" w:eastAsia="Times New Roman" w:hAnsi="Times New Roman"/>
          <w:sz w:val="19"/>
          <w:szCs w:val="19"/>
          <w:color w:val="auto"/>
        </w:rPr>
        <w:t>. Borrower’s obligations under this paragraph shall survive the termination of the Total Commitment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repayment of all other Obligations hereunder.</w:t>
      </w:r>
    </w:p>
    <w:p>
      <w:pPr>
        <w:spacing w:after="0" w:line="188"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19"/>
          <w:szCs w:val="19"/>
          <w:color w:val="auto"/>
        </w:rPr>
        <w:t xml:space="preserve">3.8 </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Regardless of any provision contained in any Loan Paper or any document related thereto, no Lender is entitled to contract for, charge, take, reserve, receive, or apply, as interest on all or any part of the Obligation any amount in excess of the Maximum Rate, and, if Lenders ever do so, then any excess shall be treated as a partial payment of principal and any remaining excess shall be refunded to Borrower. In determining if the interest paid or payable exceeds the Maximum Rate, Borrower and Lenders shall, to the maximum extent permitted under applicable Law, (a) treat all Loans as but a single extension of credit (and Lenders and Borrower agree that is the case and that provision in this Agreement for multiple Loans is for convenience only), (b) characterize any nonprincipal payment as an expense, fee, or premium rather than as interest, (c) exclude voluntary payments and their effects, and (d) amortize, prorate, allocate, and spread the total amount of interest throughout the entire contemplated term of the Obligation. However, if the Obligation is paid in full before the end of its full contemplated term, and if the interest received for its actual period of existence exceeds the Maximum Amount, Lenders shall refund any excess (and Lenders shall not, to the extent permitted by Law, be subject to any penalties provided by any Laws for contracting for, charging, taking, reserving, or receiving interest in excess of the Maximum Amount).</w:t>
      </w:r>
    </w:p>
    <w:p>
      <w:pPr>
        <w:spacing w:after="0" w:line="178"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3.9 </w:t>
      </w:r>
      <w:r>
        <w:rPr>
          <w:rFonts w:ascii="Times New Roman" w:cs="Times New Roman" w:eastAsia="Times New Roman" w:hAnsi="Times New Roman"/>
          <w:sz w:val="19"/>
          <w:szCs w:val="19"/>
          <w:u w:val="single" w:color="auto"/>
          <w:color w:val="auto"/>
        </w:rPr>
        <w:t>Interest Periods</w:t>
      </w:r>
      <w:r>
        <w:rPr>
          <w:rFonts w:ascii="Times New Roman" w:cs="Times New Roman" w:eastAsia="Times New Roman" w:hAnsi="Times New Roman"/>
          <w:sz w:val="19"/>
          <w:szCs w:val="19"/>
          <w:color w:val="auto"/>
        </w:rPr>
        <w:t>. When Borrower requests any Term Reference Rate Loan, Borrower may elect the applicable Interest Period. No more than ten (10) Term Reference Rate Interest Periods may be in effect at one time.</w:t>
      </w:r>
    </w:p>
    <w:p>
      <w:pPr>
        <w:spacing w:after="0" w:line="15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3.10</w:t>
      </w:r>
      <w:r>
        <w:rPr>
          <w:sz w:val="20"/>
          <w:szCs w:val="20"/>
          <w:color w:val="auto"/>
        </w:rPr>
        <w:tab/>
      </w:r>
      <w:r>
        <w:rPr>
          <w:rFonts w:ascii="Times New Roman" w:cs="Times New Roman" w:eastAsia="Times New Roman" w:hAnsi="Times New Roman"/>
          <w:sz w:val="18"/>
          <w:szCs w:val="18"/>
          <w:u w:val="single" w:color="auto"/>
          <w:color w:val="auto"/>
        </w:rPr>
        <w:t>Order of Application</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left="620" w:firstLine="619"/>
        <w:spacing w:after="0" w:line="261" w:lineRule="auto"/>
        <w:tabs>
          <w:tab w:leader="none" w:pos="1673"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no Default or Potential Default exists, payments, and prepayments of the Obligation shall be applied first to fees then due, second to accrued interest then due and payable on the Principal Debt, and then to the remaining Obligation in the order and manner as Borrower may direct.</w:t>
      </w:r>
    </w:p>
    <w:p>
      <w:pPr>
        <w:spacing w:after="0" w:line="175" w:lineRule="exact"/>
        <w:rPr>
          <w:rFonts w:ascii="Times New Roman" w:cs="Times New Roman" w:eastAsia="Times New Roman" w:hAnsi="Times New Roman"/>
          <w:sz w:val="19"/>
          <w:szCs w:val="19"/>
          <w:color w:val="auto"/>
        </w:rPr>
      </w:pPr>
    </w:p>
    <w:p>
      <w:pPr>
        <w:jc w:val="both"/>
        <w:ind w:left="620" w:firstLine="619"/>
        <w:spacing w:after="0" w:line="254" w:lineRule="auto"/>
        <w:tabs>
          <w:tab w:leader="none" w:pos="166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Default or Potential Default exists, any payment or prepayment (including proceeds from the exercise of any Rights) shall be applied to the Obligation in the following order: (i) to the payment of all fees, expenses, and indemnities for which Administrative Agent has not been paid or reimbursed in accordance with the Loan Papers; (ii) to the ratable payment of all fees, expenses, and indemnities (other than L/C fees set forth in </w:t>
      </w:r>
      <w:r>
        <w:rPr>
          <w:rFonts w:ascii="Times New Roman" w:cs="Times New Roman" w:eastAsia="Times New Roman" w:hAnsi="Times New Roman"/>
          <w:sz w:val="19"/>
          <w:szCs w:val="19"/>
          <w:b w:val="1"/>
          <w:bCs w:val="1"/>
          <w:i w:val="1"/>
          <w:iCs w:val="1"/>
          <w:color w:val="auto"/>
        </w:rPr>
        <w:t>Section 5.3</w:t>
      </w:r>
      <w:r>
        <w:rPr>
          <w:rFonts w:ascii="Times New Roman" w:cs="Times New Roman" w:eastAsia="Times New Roman" w:hAnsi="Times New Roman"/>
          <w:sz w:val="19"/>
          <w:szCs w:val="19"/>
          <w:color w:val="auto"/>
        </w:rPr>
        <w:t xml:space="preserve"> hereof (collectively, “</w:t>
      </w:r>
      <w:r>
        <w:rPr>
          <w:rFonts w:ascii="Times New Roman" w:cs="Times New Roman" w:eastAsia="Times New Roman" w:hAnsi="Times New Roman"/>
          <w:sz w:val="19"/>
          <w:szCs w:val="19"/>
          <w:b w:val="1"/>
          <w:bCs w:val="1"/>
          <w:i w:val="1"/>
          <w:iCs w:val="1"/>
          <w:color w:val="auto"/>
        </w:rPr>
        <w:t>L/C Fees</w:t>
      </w:r>
      <w:r>
        <w:rPr>
          <w:rFonts w:ascii="Times New Roman" w:cs="Times New Roman" w:eastAsia="Times New Roman" w:hAnsi="Times New Roman"/>
          <w:sz w:val="19"/>
          <w:szCs w:val="19"/>
          <w:color w:val="auto"/>
        </w:rPr>
        <w:t xml:space="preserve">”)) for which Lenders have not been paid or reimbursed in accordance with the Loan Papers (as used in this </w:t>
      </w:r>
      <w:r>
        <w:rPr>
          <w:rFonts w:ascii="Times New Roman" w:cs="Times New Roman" w:eastAsia="Times New Roman" w:hAnsi="Times New Roman"/>
          <w:sz w:val="19"/>
          <w:szCs w:val="19"/>
          <w:b w:val="1"/>
          <w:bCs w:val="1"/>
          <w:i w:val="1"/>
          <w:iCs w:val="1"/>
          <w:color w:val="auto"/>
        </w:rPr>
        <w:t>clause (ii)</w:t>
      </w:r>
      <w:r>
        <w:rPr>
          <w:rFonts w:ascii="Times New Roman" w:cs="Times New Roman" w:eastAsia="Times New Roman" w:hAnsi="Times New Roman"/>
          <w:sz w:val="19"/>
          <w:szCs w:val="19"/>
          <w:color w:val="auto"/>
        </w:rPr>
        <w:t>, a “</w:t>
      </w:r>
      <w:r>
        <w:rPr>
          <w:rFonts w:ascii="Times New Roman" w:cs="Times New Roman" w:eastAsia="Times New Roman" w:hAnsi="Times New Roman"/>
          <w:sz w:val="19"/>
          <w:szCs w:val="19"/>
          <w:i w:val="1"/>
          <w:iCs w:val="1"/>
          <w:color w:val="auto"/>
        </w:rPr>
        <w:t>ratable payment</w:t>
      </w:r>
      <w:r>
        <w:rPr>
          <w:rFonts w:ascii="Times New Roman" w:cs="Times New Roman" w:eastAsia="Times New Roman" w:hAnsi="Times New Roman"/>
          <w:sz w:val="19"/>
          <w:szCs w:val="19"/>
          <w:color w:val="auto"/>
        </w:rPr>
        <w:t>” for any Lender shall be, 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59</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21" w:lineRule="exact"/>
        <w:rPr>
          <w:sz w:val="20"/>
          <w:szCs w:val="20"/>
          <w:color w:val="auto"/>
        </w:rPr>
      </w:pPr>
    </w:p>
    <w:p>
      <w:pPr>
        <w:jc w:val="both"/>
        <w:ind w:left="620"/>
        <w:spacing w:after="0" w:line="251" w:lineRule="auto"/>
        <w:rPr>
          <w:sz w:val="20"/>
          <w:szCs w:val="20"/>
          <w:color w:val="auto"/>
        </w:rPr>
      </w:pPr>
      <w:r>
        <w:rPr>
          <w:rFonts w:ascii="Times New Roman" w:cs="Times New Roman" w:eastAsia="Times New Roman" w:hAnsi="Times New Roman"/>
          <w:sz w:val="19"/>
          <w:szCs w:val="19"/>
          <w:color w:val="auto"/>
        </w:rPr>
        <w:t xml:space="preserve">any date of determination, that proportion which the portion of the total fees, expenses, and indemnities owed to such Lender bears to the total aggregate fees, expenses, and indemnities owed to all Lenders on such date of determination); (iii) to the ratable payment of accrued and unpaid interest on the Principal Debt and L/C Fees (as used in this </w:t>
      </w:r>
      <w:r>
        <w:rPr>
          <w:rFonts w:ascii="Times New Roman" w:cs="Times New Roman" w:eastAsia="Times New Roman" w:hAnsi="Times New Roman"/>
          <w:sz w:val="19"/>
          <w:szCs w:val="19"/>
          <w:b w:val="1"/>
          <w:bCs w:val="1"/>
          <w:i w:val="1"/>
          <w:iCs w:val="1"/>
          <w:color w:val="auto"/>
        </w:rPr>
        <w:t>clause (iii)</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ratable payment</w:t>
      </w:r>
      <w:r>
        <w:rPr>
          <w:rFonts w:ascii="Times New Roman" w:cs="Times New Roman" w:eastAsia="Times New Roman" w:hAnsi="Times New Roman"/>
          <w:sz w:val="19"/>
          <w:szCs w:val="19"/>
          <w:color w:val="auto"/>
        </w:rPr>
        <w:t xml:space="preserve">” means, for any Lender, on any date of determination, that proportion which the accrued and unpaid interest on the Principal Debt owed to such Lender bears to the total accrued and unpaid interest on the Principal Debt owed to all Lenders); (iv) to the ratable payment of the Principal Debt (as used in this </w:t>
      </w:r>
      <w:r>
        <w:rPr>
          <w:rFonts w:ascii="Times New Roman" w:cs="Times New Roman" w:eastAsia="Times New Roman" w:hAnsi="Times New Roman"/>
          <w:sz w:val="19"/>
          <w:szCs w:val="19"/>
          <w:b w:val="1"/>
          <w:bCs w:val="1"/>
          <w:i w:val="1"/>
          <w:iCs w:val="1"/>
          <w:color w:val="auto"/>
        </w:rPr>
        <w:t>clause (iv)</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ratable payment</w:t>
      </w:r>
      <w:r>
        <w:rPr>
          <w:rFonts w:ascii="Times New Roman" w:cs="Times New Roman" w:eastAsia="Times New Roman" w:hAnsi="Times New Roman"/>
          <w:sz w:val="19"/>
          <w:szCs w:val="19"/>
          <w:color w:val="auto"/>
        </w:rPr>
        <w:t>” means for any Lender, on any date of determination, that proportion which the Principal Debt owed to such Lender bears to the Principal Debt owed to all Lenders); (v) to Administrative Agent for the account of the applicable L/C Issuer, to Cash Collateralize that portion of L/C Exposure comprised of the aggregate undrawn amount of L/Cs; (vi) to the payment of the remaining Obligation in the order and manner Required Lenders deem appropriate; and (vii) the balance, if any, after all of the Obligation has been indefeasibly paid in full, to Borrower or as otherwise required by Law.</w:t>
      </w:r>
    </w:p>
    <w:p>
      <w:pPr>
        <w:spacing w:after="0" w:line="182" w:lineRule="exact"/>
        <w:rPr>
          <w:sz w:val="20"/>
          <w:szCs w:val="20"/>
          <w:color w:val="auto"/>
        </w:rPr>
      </w:pPr>
    </w:p>
    <w:p>
      <w:pPr>
        <w:jc w:val="both"/>
        <w:ind w:left="620" w:firstLine="618"/>
        <w:spacing w:after="0" w:line="264" w:lineRule="auto"/>
        <w:rPr>
          <w:sz w:val="20"/>
          <w:szCs w:val="20"/>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color w:val="auto"/>
        </w:rPr>
        <w:t xml:space="preserve">, amounts used to Cash Collateralize the aggregate undrawn amount of L/Cs pursuant to </w:t>
      </w:r>
      <w:r>
        <w:rPr>
          <w:rFonts w:ascii="Times New Roman" w:cs="Times New Roman" w:eastAsia="Times New Roman" w:hAnsi="Times New Roman"/>
          <w:sz w:val="19"/>
          <w:szCs w:val="19"/>
          <w:b w:val="1"/>
          <w:bCs w:val="1"/>
          <w:i w:val="1"/>
          <w:iCs w:val="1"/>
          <w:color w:val="auto"/>
        </w:rPr>
        <w:t>clause (v)</w:t>
      </w:r>
      <w:r>
        <w:rPr>
          <w:rFonts w:ascii="Times New Roman" w:cs="Times New Roman" w:eastAsia="Times New Roman" w:hAnsi="Times New Roman"/>
          <w:sz w:val="19"/>
          <w:szCs w:val="19"/>
          <w:color w:val="auto"/>
        </w:rPr>
        <w:t xml:space="preserve"> above shall be applied to satisfy drawings under such L/Cs as they occur. If any amount remains on deposit as Cash Collateral after all L/Cs have either been fully drawn or expired, such remaining amount shall be applied to the other Obligation, if any, in the order set forth above.</w:t>
      </w:r>
    </w:p>
    <w:p>
      <w:pPr>
        <w:spacing w:after="0" w:line="168" w:lineRule="exact"/>
        <w:rPr>
          <w:sz w:val="20"/>
          <w:szCs w:val="20"/>
          <w:color w:val="auto"/>
        </w:rPr>
      </w:pPr>
    </w:p>
    <w:p>
      <w:pPr>
        <w:jc w:val="both"/>
        <w:ind w:left="620" w:firstLine="618"/>
        <w:spacing w:after="0" w:line="273"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b w:val="1"/>
          <w:bCs w:val="1"/>
          <w:i w:val="1"/>
          <w:iCs w:val="1"/>
          <w:color w:val="auto"/>
        </w:rPr>
        <w:t>Section 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Administrative Agent shall not in any event be bound to inquire into or to determine the validity, scope, or priority of any interest or entitlement of any Lender and may suspend all payments or seek appropriate relief (including, without limitation, instructions from Required Lenders, Required Revolver Lenders or Required Term Loan Lenders or an action in the nature of interpleader) in the event of any doubt or dispute as to any apportionment or distribution contemplated hereby, Administrative Agent shall promptly distribute such amounts to each Lender in accordance with the Agreement and the related Loan Papers.</w:t>
      </w:r>
    </w:p>
    <w:p>
      <w:pPr>
        <w:spacing w:after="0" w:line="168"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9"/>
          <w:szCs w:val="19"/>
          <w:color w:val="auto"/>
        </w:rPr>
        <w:t>3.11</w:t>
      </w:r>
      <w:r>
        <w:rPr>
          <w:sz w:val="20"/>
          <w:szCs w:val="20"/>
          <w:color w:val="auto"/>
        </w:rPr>
        <w:tab/>
      </w:r>
      <w:r>
        <w:rPr>
          <w:rFonts w:ascii="Times New Roman" w:cs="Times New Roman" w:eastAsia="Times New Roman" w:hAnsi="Times New Roman"/>
          <w:sz w:val="18"/>
          <w:szCs w:val="18"/>
          <w:u w:val="single" w:color="auto"/>
          <w:color w:val="auto"/>
        </w:rPr>
        <w:t>Payments Generally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left="620" w:firstLine="619"/>
        <w:spacing w:after="0" w:line="261" w:lineRule="auto"/>
        <w:tabs>
          <w:tab w:leader="none" w:pos="1701"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Failure to Satisfy Conditions Precedent</w:t>
      </w:r>
      <w:r>
        <w:rPr>
          <w:rFonts w:ascii="Times New Roman" w:cs="Times New Roman" w:eastAsia="Times New Roman" w:hAnsi="Times New Roman"/>
          <w:sz w:val="19"/>
          <w:szCs w:val="19"/>
          <w:color w:val="auto"/>
        </w:rPr>
        <w:t>. If any Lender makes available to Administrative Agent funds for any Loan to be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made by such Lender as provided in the foregoing provisions of </w:t>
      </w:r>
      <w:r>
        <w:rPr>
          <w:rFonts w:ascii="Times New Roman" w:cs="Times New Roman" w:eastAsia="Times New Roman" w:hAnsi="Times New Roman"/>
          <w:sz w:val="19"/>
          <w:szCs w:val="19"/>
          <w:b w:val="1"/>
          <w:bCs w:val="1"/>
          <w:i w:val="1"/>
          <w:iCs w:val="1"/>
          <w:color w:val="auto"/>
        </w:rPr>
        <w:t>Sections 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3</w:t>
      </w:r>
      <w:r>
        <w:rPr>
          <w:rFonts w:ascii="Times New Roman" w:cs="Times New Roman" w:eastAsia="Times New Roman" w:hAnsi="Times New Roman"/>
          <w:sz w:val="19"/>
          <w:szCs w:val="19"/>
          <w:color w:val="auto"/>
        </w:rPr>
        <w:t xml:space="preserve">, and such funds are not made available to Borrower by Administrative Agent because the conditions set forth in </w:t>
      </w:r>
      <w:r>
        <w:rPr>
          <w:rFonts w:ascii="Times New Roman" w:cs="Times New Roman" w:eastAsia="Times New Roman" w:hAnsi="Times New Roman"/>
          <w:sz w:val="19"/>
          <w:szCs w:val="19"/>
          <w:b w:val="1"/>
          <w:bCs w:val="1"/>
          <w:i w:val="1"/>
          <w:iCs w:val="1"/>
          <w:color w:val="auto"/>
        </w:rPr>
        <w:t>Section 7</w:t>
      </w:r>
      <w:r>
        <w:rPr>
          <w:rFonts w:ascii="Times New Roman" w:cs="Times New Roman" w:eastAsia="Times New Roman" w:hAnsi="Times New Roman"/>
          <w:sz w:val="19"/>
          <w:szCs w:val="19"/>
          <w:color w:val="auto"/>
        </w:rPr>
        <w:t xml:space="preserve"> are not satisfied or waived in accordance with the terms hereof, Administrative Agent shall return such funds (in like funds as received from such Lender) to such Lender, without interest.</w:t>
      </w:r>
    </w:p>
    <w:p>
      <w:pPr>
        <w:spacing w:after="0" w:line="169" w:lineRule="exact"/>
        <w:rPr>
          <w:rFonts w:ascii="Times New Roman" w:cs="Times New Roman" w:eastAsia="Times New Roman" w:hAnsi="Times New Roman"/>
          <w:sz w:val="19"/>
          <w:szCs w:val="19"/>
          <w:color w:val="auto"/>
        </w:rPr>
      </w:pPr>
    </w:p>
    <w:p>
      <w:pPr>
        <w:jc w:val="both"/>
        <w:ind w:left="620" w:firstLine="619"/>
        <w:spacing w:after="0" w:line="264" w:lineRule="auto"/>
        <w:tabs>
          <w:tab w:leader="none" w:pos="1698"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Funding Source</w:t>
      </w:r>
      <w:r>
        <w:rPr>
          <w:rFonts w:ascii="Times New Roman" w:cs="Times New Roman" w:eastAsia="Times New Roman" w:hAnsi="Times New Roman"/>
          <w:sz w:val="19"/>
          <w:szCs w:val="19"/>
          <w:color w:val="auto"/>
        </w:rPr>
        <w:t>. Nothing herein shall be deemed to obligate any Lender to obtain the funds for any Loan in any particular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place or manner or to constitute a representation by any Lender that it has obtained or will obtain the funds for any Loan in any particular place or manner.</w:t>
      </w:r>
    </w:p>
    <w:p>
      <w:pPr>
        <w:spacing w:after="0" w:line="155"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3.12 </w:t>
      </w:r>
      <w:r>
        <w:rPr>
          <w:rFonts w:ascii="Times New Roman" w:cs="Times New Roman" w:eastAsia="Times New Roman" w:hAnsi="Times New Roman"/>
          <w:sz w:val="19"/>
          <w:szCs w:val="19"/>
          <w:u w:val="single" w:color="auto"/>
          <w:color w:val="auto"/>
        </w:rPr>
        <w:t>Sharing of Payments, Etc</w:t>
      </w:r>
      <w:r>
        <w:rPr>
          <w:rFonts w:ascii="Times New Roman" w:cs="Times New Roman" w:eastAsia="Times New Roman" w:hAnsi="Times New Roman"/>
          <w:sz w:val="19"/>
          <w:szCs w:val="19"/>
          <w:color w:val="auto"/>
        </w:rPr>
        <w:t xml:space="preserve">. If any Lender (a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Benefitted Lender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shall at any time receive any payment of all or part of the Loans owing to it, or interest thereon, or receive any Collateral in respect thereof (whether voluntarily or involuntarily, by set-off, or otherwise), in a greater proportion than any such payment to or Collateral received by any other Lender, if any, in respect of such other Lender’s Loans owing to it, or interest thereon, such Benefitted Lender shall purchase for cash from the other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60</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Lenders a participating interest in such portion of each such other Lender’s Loans owing to it, or shall provide such other Lenders with the benefits of any such Collateral, or the proceeds thereof, as shall be necessary to cause such Benefitted Lender to share the excess payment or benefits of such Collateral or proceeds ratably with each Lender; </w:t>
      </w:r>
      <w:r>
        <w:rPr>
          <w:rFonts w:ascii="Times New Roman" w:cs="Times New Roman" w:eastAsia="Times New Roman" w:hAnsi="Times New Roman"/>
          <w:sz w:val="19"/>
          <w:szCs w:val="19"/>
          <w:i w:val="1"/>
          <w:iCs w:val="1"/>
          <w:color w:val="auto"/>
        </w:rPr>
        <w:t>provided, however, that</w:t>
      </w:r>
      <w:r>
        <w:rPr>
          <w:rFonts w:ascii="Times New Roman" w:cs="Times New Roman" w:eastAsia="Times New Roman" w:hAnsi="Times New Roman"/>
          <w:sz w:val="19"/>
          <w:szCs w:val="19"/>
          <w:color w:val="auto"/>
        </w:rPr>
        <w:t xml:space="preserve"> (i) if all or any portion of such excess payment or benefits is thereafter recovered from such Benefitted Lender, such purchase shall be rescinded, and the purchase price and benefits returned, to the extent of such recovery, but without interest, and (ii) the provisions of this Section shall not be construed to apply to (x) any payment made by or on behalf of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19"/>
          <w:szCs w:val="19"/>
          <w:b w:val="1"/>
          <w:bCs w:val="1"/>
          <w:i w:val="1"/>
          <w:iCs w:val="1"/>
          <w:color w:val="auto"/>
        </w:rPr>
        <w:t>Section 3.14</w:t>
      </w:r>
      <w:r>
        <w:rPr>
          <w:rFonts w:ascii="Times New Roman" w:cs="Times New Roman" w:eastAsia="Times New Roman" w:hAnsi="Times New Roman"/>
          <w:sz w:val="19"/>
          <w:szCs w:val="19"/>
          <w:color w:val="auto"/>
        </w:rPr>
        <w:t xml:space="preserve"> or (z) any payment obtained by a Revolver Lender as consideration for the assignment of or sale of a participation in any of its Loans or subparticipations in L/C Exposure to any assignee or participant, other than to Borrower or any Subsidiary thereof (as to which the provisions of this Section shall apply). Borrower agrees that any Lender so purchasing a participation from a Lender pursuant to this </w:t>
      </w:r>
      <w:r>
        <w:rPr>
          <w:rFonts w:ascii="Times New Roman" w:cs="Times New Roman" w:eastAsia="Times New Roman" w:hAnsi="Times New Roman"/>
          <w:sz w:val="19"/>
          <w:szCs w:val="19"/>
          <w:b w:val="1"/>
          <w:bCs w:val="1"/>
          <w:i w:val="1"/>
          <w:iCs w:val="1"/>
          <w:color w:val="auto"/>
        </w:rPr>
        <w:t>Section 3.12</w:t>
      </w:r>
      <w:r>
        <w:rPr>
          <w:rFonts w:ascii="Times New Roman" w:cs="Times New Roman" w:eastAsia="Times New Roman" w:hAnsi="Times New Roman"/>
          <w:sz w:val="19"/>
          <w:szCs w:val="19"/>
          <w:color w:val="auto"/>
        </w:rPr>
        <w:t xml:space="preserve"> may, to the fullest extent permitted by Law, exercise all of its Rights of payment (including the Right of setoff) with respect to such participation as fully as if such Person were the direct creditor of Borrower in the amount of such participation.</w:t>
      </w:r>
    </w:p>
    <w:p>
      <w:pPr>
        <w:spacing w:after="0" w:line="170"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3.13 </w:t>
      </w:r>
      <w:r>
        <w:rPr>
          <w:rFonts w:ascii="Times New Roman" w:cs="Times New Roman" w:eastAsia="Times New Roman" w:hAnsi="Times New Roman"/>
          <w:sz w:val="19"/>
          <w:szCs w:val="19"/>
          <w:u w:val="single" w:color="auto"/>
          <w:color w:val="auto"/>
        </w:rPr>
        <w:t>Booking Loans</w:t>
      </w:r>
      <w:r>
        <w:rPr>
          <w:rFonts w:ascii="Times New Roman" w:cs="Times New Roman" w:eastAsia="Times New Roman" w:hAnsi="Times New Roman"/>
          <w:sz w:val="19"/>
          <w:szCs w:val="19"/>
          <w:color w:val="auto"/>
        </w:rPr>
        <w:t xml:space="preserve">. To the extent permitted by Law, any Lender may make, carry, or transfer its Loans at, to, or for the account of any of its branch offices or the office of any of its Affiliates. However, no Affiliate is entitled to receive any greater payment under </w:t>
      </w:r>
      <w:r>
        <w:rPr>
          <w:rFonts w:ascii="Times New Roman" w:cs="Times New Roman" w:eastAsia="Times New Roman" w:hAnsi="Times New Roman"/>
          <w:sz w:val="19"/>
          <w:szCs w:val="19"/>
          <w:b w:val="1"/>
          <w:bCs w:val="1"/>
          <w:i w:val="1"/>
          <w:iCs w:val="1"/>
          <w:color w:val="auto"/>
        </w:rPr>
        <w:t>Section 4.3</w:t>
      </w:r>
      <w:r>
        <w:rPr>
          <w:rFonts w:ascii="Times New Roman" w:cs="Times New Roman" w:eastAsia="Times New Roman" w:hAnsi="Times New Roman"/>
          <w:sz w:val="19"/>
          <w:szCs w:val="19"/>
          <w:color w:val="auto"/>
        </w:rPr>
        <w:t xml:space="preserve"> than the transferor Lender would have been entitled to receive with respect to those Loans.</w:t>
      </w:r>
    </w:p>
    <w:p>
      <w:pPr>
        <w:spacing w:after="0" w:line="17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3.14</w:t>
      </w:r>
      <w:r>
        <w:rPr>
          <w:sz w:val="20"/>
          <w:szCs w:val="20"/>
          <w:color w:val="auto"/>
        </w:rPr>
        <w:tab/>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left="620" w:firstLine="619"/>
        <w:spacing w:after="0" w:line="264" w:lineRule="auto"/>
        <w:tabs>
          <w:tab w:leader="none" w:pos="164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Certain Credit Support Events</w:t>
      </w:r>
      <w:r>
        <w:rPr>
          <w:rFonts w:ascii="Times New Roman" w:cs="Times New Roman" w:eastAsia="Times New Roman" w:hAnsi="Times New Roman"/>
          <w:sz w:val="18"/>
          <w:szCs w:val="18"/>
          <w:color w:val="auto"/>
        </w:rPr>
        <w:t>. Upon the request of Administrative Agent (i) if the L/C Issuer has honored any full or partial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drawing request under any L/C and such drawing has resulted in an L/C Borrowing, or (ii) if, as of the L/C Expiration Date, any L/C Obligation for any reason remains outstanding, Borrower shall, in each case, immediately Cash Collateralize the then Outstanding Amount of all L/C Obligations. At any time that there shall exist a Defaulting Lender, immediately upon the request of Administrative Agent or the L/C Issuer, Borrower shall deliver to Administrative Agent Cash Collateral in an amount sufficient to cover all Fronting Exposure (after giving effect to </w:t>
      </w:r>
      <w:r>
        <w:rPr>
          <w:rFonts w:ascii="Times New Roman" w:cs="Times New Roman" w:eastAsia="Times New Roman" w:hAnsi="Times New Roman"/>
          <w:sz w:val="18"/>
          <w:szCs w:val="18"/>
          <w:b w:val="1"/>
          <w:bCs w:val="1"/>
          <w:i w:val="1"/>
          <w:iCs w:val="1"/>
          <w:color w:val="auto"/>
        </w:rPr>
        <w:t>Section 3.15(a)(iv)</w:t>
      </w:r>
      <w:r>
        <w:rPr>
          <w:rFonts w:ascii="Times New Roman" w:cs="Times New Roman" w:eastAsia="Times New Roman" w:hAnsi="Times New Roman"/>
          <w:sz w:val="18"/>
          <w:szCs w:val="18"/>
          <w:color w:val="auto"/>
        </w:rPr>
        <w:t xml:space="preserve"> and any Cash Collateral provided by the Defaulting Lender). If at any time Administrative Agent determines that any funds held as Cash Collateral are subject to any right or claim of any Person other than Administrative Agent or that the total amount of such funds is less than the aggregate Outstanding Amount of all L/C Exposure, Borrower will, forthwith upon demand by Administrative Agent, pay to Administrative Agent, as additional funds to be deposited as Cash Collateral, an amount equal to the excess of</w:t>
      </w:r>
    </w:p>
    <w:p>
      <w:pPr>
        <w:spacing w:after="0" w:line="3" w:lineRule="exact"/>
        <w:rPr>
          <w:rFonts w:ascii="Times New Roman" w:cs="Times New Roman" w:eastAsia="Times New Roman" w:hAnsi="Times New Roman"/>
          <w:sz w:val="18"/>
          <w:szCs w:val="18"/>
          <w:color w:val="auto"/>
        </w:rPr>
      </w:pPr>
    </w:p>
    <w:p>
      <w:pPr>
        <w:jc w:val="both"/>
        <w:ind w:left="620" w:firstLine="1"/>
        <w:spacing w:after="0" w:line="254" w:lineRule="auto"/>
        <w:tabs>
          <w:tab w:leader="none" w:pos="899"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aggregate Outstanding Amount over (y) the total amount of funds, if any, then held as Cash Collateral that Administrative Agent determines to be free and clear of any such right and claim. Upon the drawing of any L/C for which funds are on deposit as Cash Collateral, such funds shall be applied, to the extent permitted under applicable Laws, to reimburse the applicable L/C Issuer.</w:t>
      </w:r>
    </w:p>
    <w:p>
      <w:pPr>
        <w:spacing w:after="0" w:line="176" w:lineRule="exact"/>
        <w:rPr>
          <w:rFonts w:ascii="Times New Roman" w:cs="Times New Roman" w:eastAsia="Times New Roman" w:hAnsi="Times New Roman"/>
          <w:sz w:val="19"/>
          <w:szCs w:val="19"/>
          <w:color w:val="auto"/>
        </w:rPr>
      </w:pPr>
    </w:p>
    <w:p>
      <w:pPr>
        <w:jc w:val="both"/>
        <w:ind w:left="620" w:firstLine="619"/>
        <w:spacing w:after="0" w:line="256" w:lineRule="auto"/>
        <w:tabs>
          <w:tab w:leader="none" w:pos="1698"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Grant of Security Interest</w:t>
      </w:r>
      <w:r>
        <w:rPr>
          <w:rFonts w:ascii="Times New Roman" w:cs="Times New Roman" w:eastAsia="Times New Roman" w:hAnsi="Times New Roman"/>
          <w:sz w:val="19"/>
          <w:szCs w:val="19"/>
          <w:color w:val="auto"/>
        </w:rPr>
        <w:t>. All Cash Collateral (other than credit support not constituting funds subject to deposit) shall be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maintained in blocked, non-interest bearing deposit accounts at Bank of America. Borrower, and to the extent provided by any Lender, such Lender, hereby grants to (and subjects to the control of) Administrative Agent, for the benefit of Administrative Agent, the L/C Issuer, and the Lenders, and agrees to maintain, a first priority security interest in all such cash, deposit accounts, and all balances therein, and all other property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61</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9"/>
          <w:szCs w:val="19"/>
          <w:b w:val="1"/>
          <w:bCs w:val="1"/>
          <w:i w:val="1"/>
          <w:iCs w:val="1"/>
          <w:color w:val="auto"/>
        </w:rPr>
        <w:t>Section 3.14(c)</w:t>
      </w:r>
      <w:r>
        <w:rPr>
          <w:rFonts w:ascii="Times New Roman" w:cs="Times New Roman" w:eastAsia="Times New Roman" w:hAnsi="Times New Roman"/>
          <w:sz w:val="19"/>
          <w:szCs w:val="19"/>
          <w:color w:val="auto"/>
        </w:rPr>
        <w:t>. If at any time Administrative Agent determines that Cash Collateral is subject to any right or claim of any Person other than Administrative Agent as herein provided, or that the total amount of such Cash Collateral is less than the applicable Fronting Exposure and other obligations secured thereby, Borrower or the relevant Defaulting Lender will, promptly upon demand by Administrative Agent, pay or provide to Administrative Agent additional Cash Collateral in an amount sufficient to eliminate such deficiency or in the amount of such third party rights or claims to which the Cash Collateral is subject, as applicable.</w:t>
      </w:r>
    </w:p>
    <w:p>
      <w:pPr>
        <w:spacing w:after="0" w:line="178" w:lineRule="exact"/>
        <w:rPr>
          <w:sz w:val="20"/>
          <w:szCs w:val="20"/>
          <w:color w:val="auto"/>
        </w:rPr>
      </w:pPr>
    </w:p>
    <w:p>
      <w:pPr>
        <w:jc w:val="both"/>
        <w:ind w:firstLine="851"/>
        <w:spacing w:after="0" w:line="256" w:lineRule="auto"/>
        <w:tabs>
          <w:tab w:leader="none" w:pos="1261"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Application</w:t>
      </w:r>
      <w:r>
        <w:rPr>
          <w:rFonts w:ascii="Times New Roman" w:cs="Times New Roman" w:eastAsia="Times New Roman" w:hAnsi="Times New Roman"/>
          <w:sz w:val="19"/>
          <w:szCs w:val="19"/>
          <w:color w:val="auto"/>
        </w:rPr>
        <w:t>. Notwithstanding anything to the contrary contained in this Agreement, Cash Collateral provided under any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i w:val="1"/>
          <w:iCs w:val="1"/>
          <w:color w:val="auto"/>
        </w:rPr>
        <w:t>Section 3.14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Section 2.3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Section 3.2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Section 3.15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Section 13</w:t>
      </w:r>
      <w:r>
        <w:rPr>
          <w:rFonts w:ascii="Times New Roman" w:cs="Times New Roman" w:eastAsia="Times New Roman" w:hAnsi="Times New Roman"/>
          <w:sz w:val="19"/>
          <w:szCs w:val="19"/>
          <w:color w:val="auto"/>
        </w:rPr>
        <w:t xml:space="preserve"> in respect of L/C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74" w:lineRule="exact"/>
        <w:rPr>
          <w:rFonts w:ascii="Times New Roman" w:cs="Times New Roman" w:eastAsia="Times New Roman" w:hAnsi="Times New Roman"/>
          <w:sz w:val="19"/>
          <w:szCs w:val="19"/>
          <w:color w:val="auto"/>
        </w:rPr>
      </w:pPr>
    </w:p>
    <w:p>
      <w:pPr>
        <w:jc w:val="both"/>
        <w:ind w:firstLine="851"/>
        <w:spacing w:after="0" w:line="255" w:lineRule="auto"/>
        <w:tabs>
          <w:tab w:leader="none" w:pos="136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Cash Collateral (or the appropriate portion thereof) provided to reduce Fronting Exposure or to secure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9"/>
          <w:szCs w:val="19"/>
          <w:b w:val="1"/>
          <w:bCs w:val="1"/>
          <w:i w:val="1"/>
          <w:iCs w:val="1"/>
          <w:color w:val="auto"/>
        </w:rPr>
        <w:t>Section 15.11(b)(vi)</w:t>
      </w:r>
      <w:r>
        <w:rPr>
          <w:rFonts w:ascii="Times New Roman" w:cs="Times New Roman" w:eastAsia="Times New Roman" w:hAnsi="Times New Roman"/>
          <w:sz w:val="19"/>
          <w:szCs w:val="19"/>
          <w:color w:val="auto"/>
        </w:rPr>
        <w:t xml:space="preserve">)) or (ii) Administrative Agent’s and the L/C Issuers’ good faith determination that there exists excess Cash Collateral;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the Person providing Cash Collateral and the L/C Issuer may agree that Cash Collateral shall not be released but instead held to support future anticipated Fronting Exposure or other obligations.</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color w:val="auto"/>
        </w:rPr>
        <w:t>3.15</w:t>
      </w:r>
      <w:r>
        <w:rPr>
          <w:sz w:val="20"/>
          <w:szCs w:val="20"/>
          <w:color w:val="auto"/>
        </w:rPr>
        <w:tab/>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firstLine="854"/>
        <w:spacing w:after="0" w:line="275" w:lineRule="auto"/>
        <w:tabs>
          <w:tab w:leader="none" w:pos="129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Adjustments</w:t>
      </w:r>
      <w:r>
        <w:rPr>
          <w:rFonts w:ascii="Times New Roman" w:cs="Times New Roman" w:eastAsia="Times New Roman" w:hAnsi="Times New Roman"/>
          <w:sz w:val="19"/>
          <w:szCs w:val="19"/>
          <w:color w:val="auto"/>
        </w:rPr>
        <w:t>. Notwithstanding anything to the contrary contained in this Agreement, if any Lender becomes a Defaulting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Lender, then, until such time as that Lender is no longer a Defaulting Lender, to the extent permitted by applicable Law:</w:t>
      </w:r>
    </w:p>
    <w:p>
      <w:pPr>
        <w:spacing w:after="0" w:line="156" w:lineRule="exact"/>
        <w:rPr>
          <w:rFonts w:ascii="Times New Roman" w:cs="Times New Roman" w:eastAsia="Times New Roman" w:hAnsi="Times New Roman"/>
          <w:sz w:val="19"/>
          <w:szCs w:val="19"/>
          <w:color w:val="auto"/>
        </w:rPr>
      </w:pPr>
    </w:p>
    <w:p>
      <w:pPr>
        <w:jc w:val="both"/>
        <w:ind w:left="620" w:firstLine="428"/>
        <w:spacing w:after="0" w:line="264" w:lineRule="auto"/>
        <w:tabs>
          <w:tab w:leader="none" w:pos="1442"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Waivers and Amendments</w:t>
      </w:r>
      <w:r>
        <w:rPr>
          <w:rFonts w:ascii="Times New Roman" w:cs="Times New Roman" w:eastAsia="Times New Roman" w:hAnsi="Times New Roman"/>
          <w:sz w:val="19"/>
          <w:szCs w:val="19"/>
          <w:color w:val="auto"/>
        </w:rPr>
        <w:t>. That Defaulting Lender’s right to approve or disapprove any amendment, waiver, or consent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with respect to this Agreement shall be restricted as set forth in </w:t>
      </w:r>
      <w:r>
        <w:rPr>
          <w:rFonts w:ascii="Times New Roman" w:cs="Times New Roman" w:eastAsia="Times New Roman" w:hAnsi="Times New Roman"/>
          <w:sz w:val="19"/>
          <w:szCs w:val="19"/>
          <w:b w:val="1"/>
          <w:bCs w:val="1"/>
          <w:i w:val="1"/>
          <w:iCs w:val="1"/>
          <w:color w:val="auto"/>
        </w:rPr>
        <w:t>Section 15.9</w:t>
      </w:r>
      <w:r>
        <w:rPr>
          <w:rFonts w:ascii="Times New Roman" w:cs="Times New Roman" w:eastAsia="Times New Roman" w:hAnsi="Times New Roman"/>
          <w:sz w:val="19"/>
          <w:szCs w:val="19"/>
          <w:color w:val="auto"/>
        </w:rPr>
        <w:t xml:space="preserve"> and in the definitions of “</w:t>
      </w:r>
      <w:r>
        <w:rPr>
          <w:rFonts w:ascii="Times New Roman" w:cs="Times New Roman" w:eastAsia="Times New Roman" w:hAnsi="Times New Roman"/>
          <w:sz w:val="19"/>
          <w:szCs w:val="19"/>
          <w:i w:val="1"/>
          <w:iCs w:val="1"/>
          <w:color w:val="auto"/>
        </w:rPr>
        <w:t>Required Lenders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Required Revolver Lenders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Required Term Loan Lenders</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jc w:val="both"/>
        <w:ind w:left="620" w:firstLine="505"/>
        <w:spacing w:after="0" w:line="253" w:lineRule="auto"/>
        <w:tabs>
          <w:tab w:leader="none" w:pos="1610" w:val="left"/>
        </w:tabs>
        <w:numPr>
          <w:ilvl w:val="2"/>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Defaulting Lender Waterfall</w:t>
      </w:r>
      <w:r>
        <w:rPr>
          <w:rFonts w:ascii="Times New Roman" w:cs="Times New Roman" w:eastAsia="Times New Roman" w:hAnsi="Times New Roman"/>
          <w:sz w:val="19"/>
          <w:szCs w:val="19"/>
          <w:color w:val="auto"/>
        </w:rPr>
        <w:t>. Any payment of principal, interest, fees, or other amounts received by Administrative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Agent for the account of that Defaulting Lender (whether voluntary or mandatory, at maturity, pursuant to </w:t>
      </w:r>
      <w:r>
        <w:rPr>
          <w:rFonts w:ascii="Times New Roman" w:cs="Times New Roman" w:eastAsia="Times New Roman" w:hAnsi="Times New Roman"/>
          <w:sz w:val="19"/>
          <w:szCs w:val="19"/>
          <w:b w:val="1"/>
          <w:bCs w:val="1"/>
          <w:i w:val="1"/>
          <w:iCs w:val="1"/>
          <w:color w:val="auto"/>
        </w:rPr>
        <w:t>Sections 12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13</w:t>
      </w:r>
      <w:r>
        <w:rPr>
          <w:rFonts w:ascii="Times New Roman" w:cs="Times New Roman" w:eastAsia="Times New Roman" w:hAnsi="Times New Roman"/>
          <w:sz w:val="19"/>
          <w:szCs w:val="19"/>
          <w:color w:val="auto"/>
        </w:rPr>
        <w:t xml:space="preserve"> or otherwise, and including any amounts made available to Administrative Agent by that Defaulting Lender pursuant to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15.13</w:t>
      </w:r>
      <w:r>
        <w:rPr>
          <w:rFonts w:ascii="Times New Roman" w:cs="Times New Roman" w:eastAsia="Times New Roman" w:hAnsi="Times New Roman"/>
          <w:sz w:val="19"/>
          <w:szCs w:val="19"/>
          <w:color w:val="auto"/>
        </w:rPr>
        <w:t>), shall be applied at such time or times as may be determined by Administrative Agent as follows: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to the payment of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amounts owing by that Defaulting Lender to Administrative Agent hereunder;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payment on a pro rata basis of any amounts owing by that Defaulting Lender to the L/C Issuer hereunder;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if so determined by Administrative Agent or requested by the L/C Issuer, to be held as Cash Collateral for future funding obligations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62</w:t>
      </w:r>
    </w:p>
    <w:p>
      <w:pPr>
        <w:sectPr>
          <w:pgSz w:w="11900" w:h="16838" w:orient="portrait"/>
          <w:cols w:equalWidth="0" w:num="1">
            <w:col w:w="10620"/>
          </w:cols>
          <w:pgMar w:left="940" w:top="1440" w:right="339" w:bottom="1440" w:gutter="0" w:footer="0" w:header="0"/>
        </w:sectPr>
      </w:pPr>
    </w:p>
    <w:bookmarkStart w:id="113" w:name="page114"/>
    <w:bookmarkEnd w:id="113"/>
    <w:p>
      <w:pPr>
        <w:spacing w:after="0" w:line="118" w:lineRule="exact"/>
        <w:rPr>
          <w:sz w:val="20"/>
          <w:szCs w:val="20"/>
          <w:color w:val="auto"/>
        </w:rPr>
      </w:pPr>
    </w:p>
    <w:p>
      <w:pPr>
        <w:jc w:val="both"/>
        <w:ind w:left="120"/>
        <w:spacing w:after="0" w:line="251" w:lineRule="auto"/>
        <w:rPr>
          <w:sz w:val="20"/>
          <w:szCs w:val="20"/>
          <w:color w:val="auto"/>
        </w:rPr>
      </w:pPr>
      <w:r>
        <w:rPr>
          <w:rFonts w:ascii="Times New Roman" w:cs="Times New Roman" w:eastAsia="Times New Roman" w:hAnsi="Times New Roman"/>
          <w:sz w:val="19"/>
          <w:szCs w:val="19"/>
          <w:color w:val="auto"/>
        </w:rPr>
        <w:t xml:space="preserve">of that Defaulting Lender of any participation in any L/C;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xml:space="preserve">, as Borrower may request (so long as no Default or Potential Default exists), to the funding of any Loan in respect of which that Defaulting Lender has failed to fund its portion thereof as required by this Agreement, as determined by Administrative Agent;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if so determined by Administrative Agent and Borrower, to be held in a non-interest bearing deposit account and released in order to satisfy obligations of that Defaulting Lender to fund Loans under this Agreement;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xml:space="preserve">, to the payment of any amounts owing to the Lenders or the L/C Issuer as a result of any judgment of a court of competent jurisdiction obtained by any Lender or the L/C Issuer against that Defaulting Lender as a result of that Defaulting Lender’s breach of its obligations under this Agreement; </w:t>
      </w: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xml:space="preserve">, so long as no Default or Potential Default exists, to the payment of any amounts owing to Borrower as a result of any judgment of a court of competent jurisdiction obtained by Borrower against that Defaulting Lender as a result of that Defaulting Lender’s breach of its obligations under this Agreement; and </w:t>
      </w: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to that Defaulting Lender or as otherwise directed by a court of competent jurisdiction;</w:t>
      </w:r>
      <w:r>
        <w:rPr>
          <w:rFonts w:ascii="Times New Roman" w:cs="Times New Roman" w:eastAsia="Times New Roman" w:hAnsi="Times New Roman"/>
          <w:sz w:val="19"/>
          <w:szCs w:val="19"/>
          <w:i w:val="1"/>
          <w:iCs w:val="1"/>
          <w:color w:val="auto"/>
        </w:rPr>
        <w:t xml:space="preserve"> provided </w:t>
      </w:r>
      <w:r>
        <w:rPr>
          <w:rFonts w:ascii="Times New Roman" w:cs="Times New Roman" w:eastAsia="Times New Roman" w:hAnsi="Times New Roman"/>
          <w:sz w:val="19"/>
          <w:szCs w:val="19"/>
          <w:color w:val="auto"/>
        </w:rPr>
        <w:t>that if (x) such payment is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payment of the principal amount of any Loans or L/C Borrowings in respect of which that Defaulting Lender has not fully funded its appropriate share and (y) such Loans or L/C Borrowings were made at a time when the conditions set forth in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9"/>
          <w:szCs w:val="19"/>
          <w:b w:val="1"/>
          <w:bCs w:val="1"/>
          <w:i w:val="1"/>
          <w:iCs w:val="1"/>
          <w:color w:val="auto"/>
        </w:rPr>
        <w:t>Section 3.15(a)(ii)</w:t>
      </w:r>
      <w:r>
        <w:rPr>
          <w:rFonts w:ascii="Times New Roman" w:cs="Times New Roman" w:eastAsia="Times New Roman" w:hAnsi="Times New Roman"/>
          <w:sz w:val="19"/>
          <w:szCs w:val="19"/>
          <w:color w:val="auto"/>
        </w:rPr>
        <w:t xml:space="preserve"> shall be deemed paid to and redirected by that Defaulting Lender, and each Lender irrevocably consents hereto.</w:t>
      </w:r>
    </w:p>
    <w:p>
      <w:pPr>
        <w:spacing w:after="0" w:line="170" w:lineRule="exact"/>
        <w:rPr>
          <w:sz w:val="20"/>
          <w:szCs w:val="20"/>
          <w:color w:val="auto"/>
        </w:rPr>
      </w:pPr>
    </w:p>
    <w:p>
      <w:pPr>
        <w:ind w:left="780" w:hanging="472"/>
        <w:spacing w:after="0"/>
        <w:tabs>
          <w:tab w:leader="none" w:pos="78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Certain Fees</w:t>
      </w:r>
      <w:r>
        <w:rPr>
          <w:rFonts w:ascii="Times New Roman" w:cs="Times New Roman" w:eastAsia="Times New Roman" w:hAnsi="Times New Roman"/>
          <w:sz w:val="19"/>
          <w:szCs w:val="19"/>
          <w:color w:val="auto"/>
        </w:rPr>
        <w:t>.</w:t>
      </w:r>
    </w:p>
    <w:p>
      <w:pPr>
        <w:spacing w:after="0" w:line="219" w:lineRule="exact"/>
        <w:rPr>
          <w:rFonts w:ascii="Times New Roman" w:cs="Times New Roman" w:eastAsia="Times New Roman" w:hAnsi="Times New Roman"/>
          <w:sz w:val="19"/>
          <w:szCs w:val="19"/>
          <w:color w:val="auto"/>
        </w:rPr>
      </w:pPr>
    </w:p>
    <w:p>
      <w:pPr>
        <w:jc w:val="both"/>
        <w:ind w:left="120" w:firstLine="617"/>
        <w:spacing w:after="0" w:line="264" w:lineRule="auto"/>
        <w:tabs>
          <w:tab w:leader="none" w:pos="1348" w:val="left"/>
        </w:tabs>
        <w:numPr>
          <w:ilvl w:val="2"/>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Defaulting Lender shall be entitled to receive any fee payable under </w:t>
      </w:r>
      <w:r>
        <w:rPr>
          <w:rFonts w:ascii="Times New Roman" w:cs="Times New Roman" w:eastAsia="Times New Roman" w:hAnsi="Times New Roman"/>
          <w:sz w:val="19"/>
          <w:szCs w:val="19"/>
          <w:b w:val="1"/>
          <w:bCs w:val="1"/>
          <w:i w:val="1"/>
          <w:iCs w:val="1"/>
          <w:color w:val="auto"/>
        </w:rPr>
        <w:t>Section 5.4</w:t>
      </w:r>
      <w:r>
        <w:rPr>
          <w:rFonts w:ascii="Times New Roman" w:cs="Times New Roman" w:eastAsia="Times New Roman" w:hAnsi="Times New Roman"/>
          <w:sz w:val="19"/>
          <w:szCs w:val="19"/>
          <w:color w:val="auto"/>
        </w:rPr>
        <w:t xml:space="preserve"> for any period during which such Lender is a Defaulting Lender (and Borrower shall not be required to pay any such fee that otherwise would have been required to have been paid to such Defaulting Lender).</w:t>
      </w:r>
    </w:p>
    <w:p>
      <w:pPr>
        <w:spacing w:after="0" w:line="186" w:lineRule="exact"/>
        <w:rPr>
          <w:rFonts w:ascii="Times New Roman" w:cs="Times New Roman" w:eastAsia="Times New Roman" w:hAnsi="Times New Roman"/>
          <w:sz w:val="19"/>
          <w:szCs w:val="19"/>
          <w:color w:val="auto"/>
        </w:rPr>
      </w:pPr>
    </w:p>
    <w:p>
      <w:pPr>
        <w:jc w:val="both"/>
        <w:ind w:left="120" w:firstLine="617"/>
        <w:spacing w:after="0" w:line="268" w:lineRule="auto"/>
        <w:tabs>
          <w:tab w:leader="none" w:pos="1350" w:val="left"/>
        </w:tabs>
        <w:numPr>
          <w:ilvl w:val="2"/>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Defaulting Lender shall be entitled to receive L/C Fees for any period during which such Lender is a Defaulting Lender only to the extent allocable to its Commitment Percentage of the stated amount of all L/Cs for which it has provided Cash Collateral pursuant to </w:t>
      </w:r>
      <w:r>
        <w:rPr>
          <w:rFonts w:ascii="Times New Roman" w:cs="Times New Roman" w:eastAsia="Times New Roman" w:hAnsi="Times New Roman"/>
          <w:sz w:val="19"/>
          <w:szCs w:val="19"/>
          <w:b w:val="1"/>
          <w:bCs w:val="1"/>
          <w:i w:val="1"/>
          <w:iCs w:val="1"/>
          <w:color w:val="auto"/>
        </w:rPr>
        <w:t>Section 3.14</w:t>
      </w:r>
      <w:r>
        <w:rPr>
          <w:rFonts w:ascii="Times New Roman" w:cs="Times New Roman" w:eastAsia="Times New Roman" w:hAnsi="Times New Roman"/>
          <w:sz w:val="19"/>
          <w:szCs w:val="19"/>
          <w:color w:val="auto"/>
        </w:rPr>
        <w:t>.</w:t>
      </w:r>
    </w:p>
    <w:p>
      <w:pPr>
        <w:spacing w:after="0" w:line="176" w:lineRule="exact"/>
        <w:rPr>
          <w:rFonts w:ascii="Times New Roman" w:cs="Times New Roman" w:eastAsia="Times New Roman" w:hAnsi="Times New Roman"/>
          <w:sz w:val="19"/>
          <w:szCs w:val="19"/>
          <w:color w:val="auto"/>
        </w:rPr>
      </w:pPr>
    </w:p>
    <w:p>
      <w:pPr>
        <w:jc w:val="both"/>
        <w:ind w:left="120" w:firstLine="617"/>
        <w:spacing w:after="0" w:line="255" w:lineRule="auto"/>
        <w:tabs>
          <w:tab w:leader="none" w:pos="1350" w:val="left"/>
        </w:tabs>
        <w:numPr>
          <w:ilvl w:val="2"/>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L/C Fees not required to be paid to any Defaulting Lender pursuant to </w:t>
      </w:r>
      <w:r>
        <w:rPr>
          <w:rFonts w:ascii="Times New Roman" w:cs="Times New Roman" w:eastAsia="Times New Roman" w:hAnsi="Times New Roman"/>
          <w:sz w:val="19"/>
          <w:szCs w:val="19"/>
          <w:b w:val="1"/>
          <w:bCs w:val="1"/>
          <w:i w:val="1"/>
          <w:iCs w:val="1"/>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above, Borrower shall (x) pay to each Non-Defaulting Lender that portion of any such fee otherwise payable to such Defaulting Lender with respect to such Defaulting Lender’s participation in L/C Borrowing that has been reallocated to such Non-Defaulting Lender pursuant to </w:t>
      </w:r>
      <w:r>
        <w:rPr>
          <w:rFonts w:ascii="Times New Roman" w:cs="Times New Roman" w:eastAsia="Times New Roman" w:hAnsi="Times New Roman"/>
          <w:sz w:val="19"/>
          <w:szCs w:val="19"/>
          <w:b w:val="1"/>
          <w:bCs w:val="1"/>
          <w:i w:val="1"/>
          <w:iCs w:val="1"/>
          <w:color w:val="auto"/>
        </w:rPr>
        <w:t>clause (iv)</w:t>
      </w:r>
      <w:r>
        <w:rPr>
          <w:rFonts w:ascii="Times New Roman" w:cs="Times New Roman" w:eastAsia="Times New Roman" w:hAnsi="Times New Roman"/>
          <w:sz w:val="19"/>
          <w:szCs w:val="19"/>
          <w:color w:val="auto"/>
        </w:rPr>
        <w:t xml:space="preserve"> below, (y) pay to the applicable L/C Issuer the amount of any such fee otherwise payable to such Defaulting Lender to the extent allocable to such L/C Issuer’s Fronting Exposure to such Defaulting Lender, and (z) not be required to pay the remaining amount of any such fee.</w:t>
      </w:r>
    </w:p>
    <w:p>
      <w:pPr>
        <w:spacing w:after="0" w:line="204" w:lineRule="exact"/>
        <w:rPr>
          <w:rFonts w:ascii="Times New Roman" w:cs="Times New Roman" w:eastAsia="Times New Roman" w:hAnsi="Times New Roman"/>
          <w:sz w:val="19"/>
          <w:szCs w:val="19"/>
          <w:color w:val="auto"/>
        </w:rPr>
      </w:pPr>
    </w:p>
    <w:p>
      <w:pPr>
        <w:ind w:left="120" w:firstLine="336"/>
        <w:spacing w:after="0" w:line="275" w:lineRule="auto"/>
        <w:tabs>
          <w:tab w:leader="none" w:pos="1066"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Reallocation of Commitment Percentages to Reduce Fronting Exposure</w:t>
      </w:r>
      <w:r>
        <w:rPr>
          <w:rFonts w:ascii="Times New Roman" w:cs="Times New Roman" w:eastAsia="Times New Roman" w:hAnsi="Times New Roman"/>
          <w:sz w:val="19"/>
          <w:szCs w:val="19"/>
          <w:color w:val="auto"/>
        </w:rPr>
        <w:t>. During any period in which there is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Defaulting Lender, for purposes of</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63</w:t>
      </w:r>
    </w:p>
    <w:p>
      <w:pPr>
        <w:sectPr>
          <w:pgSz w:w="11900" w:h="16838" w:orient="portrait"/>
          <w:cols w:equalWidth="0" w:num="1">
            <w:col w:w="10120"/>
          </w:cols>
          <w:pgMar w:left="1440" w:top="1440" w:right="339" w:bottom="1440" w:gutter="0" w:footer="0" w:header="0"/>
        </w:sectPr>
      </w:pPr>
    </w:p>
    <w:bookmarkStart w:id="114" w:name="page115"/>
    <w:bookmarkEnd w:id="114"/>
    <w:p>
      <w:pPr>
        <w:spacing w:after="0" w:line="122" w:lineRule="exact"/>
        <w:rPr>
          <w:sz w:val="20"/>
          <w:szCs w:val="20"/>
          <w:color w:val="auto"/>
        </w:rPr>
      </w:pPr>
    </w:p>
    <w:p>
      <w:pPr>
        <w:jc w:val="both"/>
        <w:ind w:left="1240"/>
        <w:spacing w:after="0" w:line="252" w:lineRule="auto"/>
        <w:rPr>
          <w:sz w:val="20"/>
          <w:szCs w:val="20"/>
          <w:color w:val="auto"/>
        </w:rPr>
      </w:pPr>
      <w:r>
        <w:rPr>
          <w:rFonts w:ascii="Times New Roman" w:cs="Times New Roman" w:eastAsia="Times New Roman" w:hAnsi="Times New Roman"/>
          <w:sz w:val="19"/>
          <w:szCs w:val="19"/>
          <w:color w:val="auto"/>
        </w:rPr>
        <w:t xml:space="preserve">computing the amount of the obligation of each non-Defaulting Lender to acquire, refinance, or fund participations in L/Cs pursuant to </w:t>
      </w:r>
      <w:r>
        <w:rPr>
          <w:rFonts w:ascii="Times New Roman" w:cs="Times New Roman" w:eastAsia="Times New Roman" w:hAnsi="Times New Roman"/>
          <w:sz w:val="19"/>
          <w:szCs w:val="19"/>
          <w:b w:val="1"/>
          <w:bCs w:val="1"/>
          <w:i w:val="1"/>
          <w:iCs w:val="1"/>
          <w:color w:val="auto"/>
        </w:rPr>
        <w:t>Sections 2.3</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i w:val="1"/>
          <w:iCs w:val="1"/>
          <w:color w:val="auto"/>
        </w:rPr>
        <w:t>Commitment Percentage</w:t>
      </w:r>
      <w:r>
        <w:rPr>
          <w:rFonts w:ascii="Times New Roman" w:cs="Times New Roman" w:eastAsia="Times New Roman" w:hAnsi="Times New Roman"/>
          <w:sz w:val="19"/>
          <w:szCs w:val="19"/>
          <w:color w:val="auto"/>
        </w:rPr>
        <w:t xml:space="preserve">” of each non-Defaulting Lender shall be computed without giving effect to the Commitment of that Defaulting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aggregate obligation of each non-Defaulting Lender to acquire, refinance, or fund participations in L/Cs shall not exceed the excess, if any, of (1) the Commitment of that non-Defaulting Lender </w:t>
      </w:r>
      <w:r>
        <w:rPr>
          <w:rFonts w:ascii="Times New Roman" w:cs="Times New Roman" w:eastAsia="Times New Roman" w:hAnsi="Times New Roman"/>
          <w:sz w:val="19"/>
          <w:szCs w:val="19"/>
          <w:i w:val="1"/>
          <w:iCs w:val="1"/>
          <w:color w:val="auto"/>
        </w:rPr>
        <w:t xml:space="preserve">over </w:t>
      </w:r>
      <w:r>
        <w:rPr>
          <w:rFonts w:ascii="Times New Roman" w:cs="Times New Roman" w:eastAsia="Times New Roman" w:hAnsi="Times New Roman"/>
          <w:sz w:val="19"/>
          <w:szCs w:val="19"/>
          <w:color w:val="auto"/>
        </w:rPr>
        <w:t>(2) the aggregate Outstanding Amount of the Loans of that Lender. Subject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Section 15.24</w:t>
      </w:r>
      <w:r>
        <w:rPr>
          <w:rFonts w:ascii="Times New Roman" w:cs="Times New Roman" w:eastAsia="Times New Roman" w:hAnsi="Times New Roman"/>
          <w:sz w:val="19"/>
          <w:szCs w:val="19"/>
          <w:color w:val="auto"/>
        </w:rPr>
        <w:t>, no reallocation hereunder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1" w:lineRule="exact"/>
        <w:rPr>
          <w:sz w:val="20"/>
          <w:szCs w:val="20"/>
          <w:color w:val="auto"/>
        </w:rPr>
      </w:pPr>
    </w:p>
    <w:p>
      <w:pPr>
        <w:jc w:val="both"/>
        <w:ind w:left="620" w:firstLine="851"/>
        <w:spacing w:after="0" w:line="252" w:lineRule="auto"/>
        <w:tabs>
          <w:tab w:leader="none" w:pos="193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Defaulting Lender Cure</w:t>
      </w:r>
      <w:r>
        <w:rPr>
          <w:rFonts w:ascii="Times New Roman" w:cs="Times New Roman" w:eastAsia="Times New Roman" w:hAnsi="Times New Roman"/>
          <w:sz w:val="19"/>
          <w:szCs w:val="19"/>
          <w:color w:val="auto"/>
        </w:rPr>
        <w:t>. If Borrower, Administrative Agent and the L/C Issuers agree in writing in their sole discretion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that a Defaulting Lender should no longer be deemed to be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Administrative Agent may determine to be necessary to cause the Revolver Loans and Term Loans and funded and unfunded participations in L/Cs to be held on a pro rata basis by the Lenders in accordance with their Commitment Percentages (without giving effect to </w:t>
      </w:r>
      <w:r>
        <w:rPr>
          <w:rFonts w:ascii="Times New Roman" w:cs="Times New Roman" w:eastAsia="Times New Roman" w:hAnsi="Times New Roman"/>
          <w:sz w:val="19"/>
          <w:szCs w:val="19"/>
          <w:b w:val="1"/>
          <w:bCs w:val="1"/>
          <w:i w:val="1"/>
          <w:iCs w:val="1"/>
          <w:color w:val="auto"/>
        </w:rPr>
        <w:t>Section 3.15(a)(iv)</w:t>
      </w:r>
      <w:r>
        <w:rPr>
          <w:rFonts w:ascii="Times New Roman" w:cs="Times New Roman" w:eastAsia="Times New Roman" w:hAnsi="Times New Roman"/>
          <w:sz w:val="19"/>
          <w:szCs w:val="19"/>
          <w:color w:val="auto"/>
        </w:rPr>
        <w:t xml:space="preserve">), whereupon that Lender will cease to be a Defaulting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Borrower while that Lender was a Defaulting Lender; and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b w:val="1"/>
          <w:bCs w:val="1"/>
          <w:u w:val="single" w:color="auto"/>
          <w:color w:val="auto"/>
        </w:rPr>
        <w:t>SECTION 4</w:t>
      </w:r>
      <w:r>
        <w:rPr>
          <w:sz w:val="20"/>
          <w:szCs w:val="20"/>
          <w:color w:val="auto"/>
        </w:rPr>
        <w:tab/>
      </w:r>
      <w:r>
        <w:rPr>
          <w:rFonts w:ascii="Times New Roman" w:cs="Times New Roman" w:eastAsia="Times New Roman" w:hAnsi="Times New Roman"/>
          <w:sz w:val="18"/>
          <w:szCs w:val="18"/>
          <w:b w:val="1"/>
          <w:bCs w:val="1"/>
          <w:u w:val="single" w:color="auto"/>
          <w:color w:val="auto"/>
        </w:rPr>
        <w:t>TAXES, YIELD PROTECTION, AND ILLEGALITY.</w:t>
      </w:r>
    </w:p>
    <w:p>
      <w:pPr>
        <w:spacing w:after="0" w:line="22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4.1</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1840" w:hanging="601"/>
        <w:spacing w:after="0"/>
        <w:tabs>
          <w:tab w:leader="none" w:pos="184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Payments Free of Taxes; Obligation to Withhold; Payments on Account of Taxes</w:t>
      </w:r>
      <w:r>
        <w:rPr>
          <w:rFonts w:ascii="Times New Roman" w:cs="Times New Roman" w:eastAsia="Times New Roman" w:hAnsi="Times New Roman"/>
          <w:sz w:val="19"/>
          <w:szCs w:val="19"/>
          <w:color w:val="auto"/>
        </w:rPr>
        <w:t>.</w:t>
      </w:r>
    </w:p>
    <w:p>
      <w:pPr>
        <w:spacing w:after="0" w:line="225" w:lineRule="exact"/>
        <w:rPr>
          <w:rFonts w:ascii="Times New Roman" w:cs="Times New Roman" w:eastAsia="Times New Roman" w:hAnsi="Times New Roman"/>
          <w:sz w:val="19"/>
          <w:szCs w:val="19"/>
          <w:color w:val="auto"/>
        </w:rPr>
      </w:pPr>
    </w:p>
    <w:p>
      <w:pPr>
        <w:jc w:val="both"/>
        <w:ind w:left="1240" w:firstLine="617"/>
        <w:spacing w:after="0" w:line="254" w:lineRule="auto"/>
        <w:tabs>
          <w:tab w:leader="none" w:pos="2474"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and all payments by or on account of any obligation of any Restricted Company under any Loan Paper shall be made without deduction or withholding for any Taxes, except as required by applicable Laws. If any applicable Laws (as determined in the good faith discretion of Administrative Agent) require the deduction or withholding of any Tax from any such payment by Administrative Agent or a Restricted Company, then Administrative Agent or such Restricted Company shall be entitled to make such deduction or withholding, upon the basis of the information and documentation to be delivered pursuant to </w:t>
      </w:r>
      <w:r>
        <w:rPr>
          <w:rFonts w:ascii="Times New Roman" w:cs="Times New Roman" w:eastAsia="Times New Roman" w:hAnsi="Times New Roman"/>
          <w:sz w:val="19"/>
          <w:szCs w:val="19"/>
          <w:b w:val="1"/>
          <w:bCs w:val="1"/>
          <w:i w:val="1"/>
          <w:iCs w:val="1"/>
          <w:color w:val="auto"/>
        </w:rPr>
        <w:t xml:space="preserve">subsection (e) </w:t>
      </w:r>
      <w:r>
        <w:rPr>
          <w:rFonts w:ascii="Times New Roman" w:cs="Times New Roman" w:eastAsia="Times New Roman" w:hAnsi="Times New Roman"/>
          <w:sz w:val="19"/>
          <w:szCs w:val="19"/>
          <w:color w:val="auto"/>
        </w:rPr>
        <w:t>below.</w:t>
      </w:r>
    </w:p>
    <w:p>
      <w:pPr>
        <w:spacing w:after="0" w:line="183" w:lineRule="exact"/>
        <w:rPr>
          <w:rFonts w:ascii="Times New Roman" w:cs="Times New Roman" w:eastAsia="Times New Roman" w:hAnsi="Times New Roman"/>
          <w:sz w:val="19"/>
          <w:szCs w:val="19"/>
          <w:color w:val="auto"/>
        </w:rPr>
      </w:pPr>
    </w:p>
    <w:p>
      <w:pPr>
        <w:jc w:val="both"/>
        <w:ind w:left="1240" w:firstLine="617"/>
        <w:spacing w:after="0" w:line="254" w:lineRule="auto"/>
        <w:tabs>
          <w:tab w:leader="none" w:pos="2475"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Restricted Company or Administrative Agent shall be required by the Code to withhold or deduct any Taxes, including both United States Federal backup withholding and withholding taxes, from any payment, then (A) Administrative Agent shall withhold or make such deductions as are determined by Administrative Agent to be required based upon the information and documentation it has received pursuant to</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64</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16"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subsection (e) </w:t>
      </w:r>
      <w:r>
        <w:rPr>
          <w:rFonts w:ascii="Times New Roman" w:cs="Times New Roman" w:eastAsia="Times New Roman" w:hAnsi="Times New Roman"/>
          <w:sz w:val="18"/>
          <w:szCs w:val="18"/>
          <w:color w:val="auto"/>
        </w:rPr>
        <w:t>below, (B) Administrative Agent shall timely pay the full amount withheld or deducted to the relevant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Authority in accordance with the Code, and (C) to the extent that the withholding or deduction is made on account of Indemnified Taxes, the sum payable by the applicable Restricted Company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b w:val="1"/>
          <w:bCs w:val="1"/>
          <w:i w:val="1"/>
          <w:iCs w:val="1"/>
          <w:color w:val="auto"/>
        </w:rPr>
        <w:t>Section 4.1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168" w:lineRule="exact"/>
        <w:rPr>
          <w:sz w:val="20"/>
          <w:szCs w:val="20"/>
          <w:color w:val="auto"/>
        </w:rPr>
      </w:pPr>
    </w:p>
    <w:p>
      <w:pPr>
        <w:jc w:val="both"/>
        <w:ind w:left="620" w:firstLine="617"/>
        <w:spacing w:after="0" w:line="252" w:lineRule="auto"/>
        <w:tabs>
          <w:tab w:leader="none" w:pos="1856"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Restricted Company or Administrative Agent shall be required by any applicable Laws other than the Code to withhold or deduct any Taxes from any payment, then (A) such Restricted Company or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19"/>
          <w:szCs w:val="19"/>
          <w:b w:val="1"/>
          <w:bCs w:val="1"/>
          <w:i w:val="1"/>
          <w:iCs w:val="1"/>
          <w:color w:val="auto"/>
        </w:rPr>
        <w:t>subsection (e)</w:t>
      </w:r>
      <w:r>
        <w:rPr>
          <w:rFonts w:ascii="Times New Roman" w:cs="Times New Roman" w:eastAsia="Times New Roman" w:hAnsi="Times New Roman"/>
          <w:sz w:val="19"/>
          <w:szCs w:val="19"/>
          <w:color w:val="auto"/>
        </w:rPr>
        <w:t xml:space="preserve"> below, (B) such Restricted Company or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Restricted Company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the applicable Recipient receives an amount equal to the sum it would have received had no such withholding or deduction been made.</w:t>
      </w:r>
    </w:p>
    <w:p>
      <w:pPr>
        <w:spacing w:after="0" w:line="170" w:lineRule="exact"/>
        <w:rPr>
          <w:rFonts w:ascii="Times New Roman" w:cs="Times New Roman" w:eastAsia="Times New Roman" w:hAnsi="Times New Roman"/>
          <w:sz w:val="19"/>
          <w:szCs w:val="19"/>
          <w:color w:val="auto"/>
        </w:rPr>
      </w:pPr>
    </w:p>
    <w:p>
      <w:pPr>
        <w:jc w:val="both"/>
        <w:ind w:firstLine="619"/>
        <w:spacing w:after="0" w:line="272" w:lineRule="auto"/>
        <w:tabs>
          <w:tab w:leader="none" w:pos="1224"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Payment of Other Taxes by Borrower. </w:t>
      </w:r>
      <w:r>
        <w:rPr>
          <w:rFonts w:ascii="Times New Roman" w:cs="Times New Roman" w:eastAsia="Times New Roman" w:hAnsi="Times New Roman"/>
          <w:sz w:val="19"/>
          <w:szCs w:val="19"/>
          <w:color w:val="auto"/>
        </w:rPr>
        <w:t>Without limiting the provisions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subsection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above, the Restricted Companies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timely pay to the relevant Governmental Authority in accordance with applicable Law, or at the option of Administrative Agent timely reimburse it for the payment of, any Other Taxes.</w:t>
      </w:r>
    </w:p>
    <w:p>
      <w:pPr>
        <w:spacing w:after="0" w:line="147" w:lineRule="exact"/>
        <w:rPr>
          <w:rFonts w:ascii="Times New Roman" w:cs="Times New Roman" w:eastAsia="Times New Roman" w:hAnsi="Times New Roman"/>
          <w:sz w:val="19"/>
          <w:szCs w:val="19"/>
          <w:color w:val="auto"/>
        </w:rPr>
      </w:pPr>
    </w:p>
    <w:p>
      <w:pPr>
        <w:ind w:left="1220" w:hanging="601"/>
        <w:spacing w:after="0"/>
        <w:tabs>
          <w:tab w:leader="none" w:pos="122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Tax Indemnifications.</w:t>
      </w:r>
    </w:p>
    <w:p>
      <w:pPr>
        <w:spacing w:after="0" w:line="223" w:lineRule="exact"/>
        <w:rPr>
          <w:rFonts w:ascii="Times New Roman" w:cs="Times New Roman" w:eastAsia="Times New Roman" w:hAnsi="Times New Roman"/>
          <w:sz w:val="19"/>
          <w:szCs w:val="19"/>
          <w:color w:val="auto"/>
        </w:rPr>
      </w:pPr>
    </w:p>
    <w:p>
      <w:pPr>
        <w:jc w:val="both"/>
        <w:ind w:left="620" w:firstLine="617"/>
        <w:spacing w:after="0" w:line="251" w:lineRule="auto"/>
        <w:tabs>
          <w:tab w:leader="none" w:pos="1854"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Restricted Companies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or an L/C Issuer (with a copy to Administrative Agent), or by Administrative Agent on its own behalf or on behalf of a Lender or an L/C Issuer, shall be conclusive absent manifest error. Each of the Restricted Companies shall, and does hereby, jointly and severally indemnify Administrative Agent, and shall make payment in respect thereof within 10 days after demand therefor, for any amount which a Lender or the L/C Issuer for any reason fails to pay indefeasibly to Administrative Agent as required pursuant to </w:t>
      </w:r>
      <w:r>
        <w:rPr>
          <w:rFonts w:ascii="Times New Roman" w:cs="Times New Roman" w:eastAsia="Times New Roman" w:hAnsi="Times New Roman"/>
          <w:sz w:val="19"/>
          <w:szCs w:val="19"/>
          <w:b w:val="1"/>
          <w:bCs w:val="1"/>
          <w:i w:val="1"/>
          <w:iCs w:val="1"/>
          <w:color w:val="auto"/>
        </w:rPr>
        <w:t>Section 4.1(c)(ii)</w:t>
      </w:r>
      <w:r>
        <w:rPr>
          <w:rFonts w:ascii="Times New Roman" w:cs="Times New Roman" w:eastAsia="Times New Roman" w:hAnsi="Times New Roman"/>
          <w:sz w:val="19"/>
          <w:szCs w:val="19"/>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65</w:t>
      </w:r>
    </w:p>
    <w:p>
      <w:pPr>
        <w:sectPr>
          <w:pgSz w:w="11900" w:h="16838" w:orient="portrait"/>
          <w:cols w:equalWidth="0" w:num="1">
            <w:col w:w="10620"/>
          </w:cols>
          <w:pgMar w:left="940" w:top="1440" w:right="339" w:bottom="1440" w:gutter="0" w:footer="0" w:header="0"/>
        </w:sectPr>
      </w:pPr>
    </w:p>
    <w:bookmarkStart w:id="116" w:name="page117"/>
    <w:bookmarkEnd w:id="116"/>
    <w:p>
      <w:pPr>
        <w:spacing w:after="0" w:line="121" w:lineRule="exact"/>
        <w:rPr>
          <w:sz w:val="20"/>
          <w:szCs w:val="20"/>
          <w:color w:val="auto"/>
        </w:rPr>
      </w:pPr>
    </w:p>
    <w:p>
      <w:pPr>
        <w:jc w:val="both"/>
        <w:ind w:left="620" w:firstLine="617"/>
        <w:spacing w:after="0" w:line="251" w:lineRule="auto"/>
        <w:tabs>
          <w:tab w:leader="none" w:pos="1855"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and each L/C Issuer shall, and does hereby, severally indemnify, and shall make payment in respect thereof within 10 days after demand therefor, (x) Administrative Agent against any Indemnified Taxes attributable to such Lender or such L/C Issuer (but only to the extent that any Restricted Company has not already indemnified Administrative Agent for such Indemnified Taxes and without limiting the obligation of the Restricted Companies to do so), (y) Administrative Agent and the Restricted Companies, as applicable, against any Taxes attributable to such Lender’s failure to comply with the provisions of </w:t>
      </w:r>
      <w:r>
        <w:rPr>
          <w:rFonts w:ascii="Times New Roman" w:cs="Times New Roman" w:eastAsia="Times New Roman" w:hAnsi="Times New Roman"/>
          <w:sz w:val="19"/>
          <w:szCs w:val="19"/>
          <w:b w:val="1"/>
          <w:bCs w:val="1"/>
          <w:i w:val="1"/>
          <w:iCs w:val="1"/>
          <w:color w:val="auto"/>
        </w:rPr>
        <w:t xml:space="preserve">Section 15.11 </w:t>
      </w:r>
      <w:r>
        <w:rPr>
          <w:rFonts w:ascii="Times New Roman" w:cs="Times New Roman" w:eastAsia="Times New Roman" w:hAnsi="Times New Roman"/>
          <w:sz w:val="19"/>
          <w:szCs w:val="19"/>
          <w:color w:val="auto"/>
        </w:rPr>
        <w:t>relating to the maintenance of a Participant Register and (z) Administrative Agent and the Restricted Companies,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applicable, against any Excluded Taxes attributable to such Lender or such L/C Issuer, in each case, that are payable or paid by Administrative Agent or a Restricted Company in connection with any Loan Paper,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and each L/C Issuer hereby authorizes Administrative Agent to set off and apply any and all amounts at any time owing to such Lender or such L/C Issuer, as the case may be, under this Agreement or any other Loan Paper against any amount due to Administrative Agent under this </w:t>
      </w:r>
      <w:r>
        <w:rPr>
          <w:rFonts w:ascii="Times New Roman" w:cs="Times New Roman" w:eastAsia="Times New Roman" w:hAnsi="Times New Roman"/>
          <w:sz w:val="19"/>
          <w:szCs w:val="19"/>
          <w:b w:val="1"/>
          <w:bCs w:val="1"/>
          <w:i w:val="1"/>
          <w:iCs w:val="1"/>
          <w:color w:val="auto"/>
        </w:rPr>
        <w:t>clause (ii)</w:t>
      </w:r>
      <w:r>
        <w:rPr>
          <w:rFonts w:ascii="Times New Roman" w:cs="Times New Roman" w:eastAsia="Times New Roman" w:hAnsi="Times New Roman"/>
          <w:sz w:val="19"/>
          <w:szCs w:val="19"/>
          <w:color w:val="auto"/>
        </w:rPr>
        <w:t>.</w:t>
      </w:r>
    </w:p>
    <w:p>
      <w:pPr>
        <w:spacing w:after="0" w:line="180" w:lineRule="exact"/>
        <w:rPr>
          <w:rFonts w:ascii="Times New Roman" w:cs="Times New Roman" w:eastAsia="Times New Roman" w:hAnsi="Times New Roman"/>
          <w:sz w:val="19"/>
          <w:szCs w:val="19"/>
          <w:color w:val="auto"/>
        </w:rPr>
      </w:pPr>
    </w:p>
    <w:p>
      <w:pPr>
        <w:jc w:val="both"/>
        <w:ind w:firstLine="619"/>
        <w:spacing w:after="0" w:line="255" w:lineRule="auto"/>
        <w:tabs>
          <w:tab w:leader="none" w:pos="1224"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Evidence of Payments. </w:t>
      </w:r>
      <w:r>
        <w:rPr>
          <w:rFonts w:ascii="Times New Roman" w:cs="Times New Roman" w:eastAsia="Times New Roman" w:hAnsi="Times New Roman"/>
          <w:sz w:val="19"/>
          <w:szCs w:val="19"/>
          <w:color w:val="auto"/>
        </w:rPr>
        <w:t>Upon request by Borrower or Administrative Agent, as the case may be, after any payment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Taxes by Borrower or by Administrative Agent to a Governmental Authority as provided in this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Borrower shall deliver to Administrative Agent or Administrative Agent shall deliver to Borrower, as the case may be, the original or a certified copy of a receipt issued by such Governmental Authority evidencing such payment, a copy of any return required by Laws to report such payment or other evidence of such payment reasonably satisfactory to Borrower or Administrative Agent, as the case may be.</w:t>
      </w:r>
    </w:p>
    <w:p>
      <w:pPr>
        <w:spacing w:after="0" w:line="178" w:lineRule="exact"/>
        <w:rPr>
          <w:rFonts w:ascii="Times New Roman" w:cs="Times New Roman" w:eastAsia="Times New Roman" w:hAnsi="Times New Roman"/>
          <w:sz w:val="19"/>
          <w:szCs w:val="19"/>
          <w:color w:val="auto"/>
        </w:rPr>
      </w:pPr>
    </w:p>
    <w:p>
      <w:pPr>
        <w:ind w:left="1220" w:hanging="601"/>
        <w:spacing w:after="0"/>
        <w:tabs>
          <w:tab w:leader="none" w:pos="122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Status of Lenders; Tax Documentation</w:t>
      </w:r>
      <w:r>
        <w:rPr>
          <w:rFonts w:ascii="Times New Roman" w:cs="Times New Roman" w:eastAsia="Times New Roman" w:hAnsi="Times New Roman"/>
          <w:sz w:val="19"/>
          <w:szCs w:val="19"/>
          <w:color w:val="auto"/>
        </w:rPr>
        <w:t>.</w:t>
      </w:r>
    </w:p>
    <w:p>
      <w:pPr>
        <w:spacing w:after="0" w:line="210" w:lineRule="exact"/>
        <w:rPr>
          <w:rFonts w:ascii="Times New Roman" w:cs="Times New Roman" w:eastAsia="Times New Roman" w:hAnsi="Times New Roman"/>
          <w:sz w:val="19"/>
          <w:szCs w:val="19"/>
          <w:color w:val="auto"/>
        </w:rPr>
      </w:pPr>
    </w:p>
    <w:p>
      <w:pPr>
        <w:jc w:val="both"/>
        <w:ind w:left="620" w:firstLine="617"/>
        <w:spacing w:after="0" w:line="251" w:lineRule="auto"/>
        <w:tabs>
          <w:tab w:leader="none" w:pos="1854"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that is entitled to an exemption from or reduction of withholding Tax with respect to payments made under any Loan Paper shall deliver to Borrower and Administrative Agent, at the time or times reasonably requested by Borrower or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9"/>
          <w:szCs w:val="19"/>
          <w:b w:val="1"/>
          <w:bCs w:val="1"/>
          <w:i w:val="1"/>
          <w:iCs w:val="1"/>
          <w:color w:val="auto"/>
        </w:rPr>
        <w:t>Section 4.1(e)(ii)(A)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4.1(e)(ii)(B)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4.1(e)(ii)(D)</w:t>
      </w:r>
      <w:r>
        <w:rPr>
          <w:rFonts w:ascii="Times New Roman" w:cs="Times New Roman" w:eastAsia="Times New Roman" w:hAnsi="Times New Roman"/>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66</w:t>
      </w:r>
    </w:p>
    <w:p>
      <w:pPr>
        <w:sectPr>
          <w:pgSz w:w="11900" w:h="16838" w:orient="portrait"/>
          <w:cols w:equalWidth="0" w:num="1">
            <w:col w:w="10620"/>
          </w:cols>
          <w:pgMar w:left="940" w:top="1440" w:right="339" w:bottom="1440" w:gutter="0" w:footer="0" w:header="0"/>
        </w:sectPr>
      </w:pPr>
    </w:p>
    <w:bookmarkStart w:id="117" w:name="page118"/>
    <w:bookmarkEnd w:id="117"/>
    <w:p>
      <w:pPr>
        <w:spacing w:after="0" w:line="121" w:lineRule="exact"/>
        <w:rPr>
          <w:sz w:val="20"/>
          <w:szCs w:val="20"/>
          <w:color w:val="auto"/>
        </w:rPr>
      </w:pPr>
    </w:p>
    <w:p>
      <w:pPr>
        <w:ind w:left="1360" w:hanging="623"/>
        <w:spacing w:after="0"/>
        <w:tabs>
          <w:tab w:leader="none" w:pos="136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 in the event that Borrower is a U.S. Person,</w:t>
      </w:r>
    </w:p>
    <w:p>
      <w:pPr>
        <w:spacing w:after="0" w:line="219" w:lineRule="exact"/>
        <w:rPr>
          <w:rFonts w:ascii="Times New Roman" w:cs="Times New Roman" w:eastAsia="Times New Roman" w:hAnsi="Times New Roman"/>
          <w:sz w:val="19"/>
          <w:szCs w:val="19"/>
          <w:color w:val="auto"/>
        </w:rPr>
      </w:pPr>
    </w:p>
    <w:p>
      <w:pPr>
        <w:jc w:val="both"/>
        <w:ind w:left="740" w:firstLine="615"/>
        <w:spacing w:after="0" w:line="254" w:lineRule="auto"/>
        <w:tabs>
          <w:tab w:leader="none" w:pos="1968"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a U.S. Person shall deliver to Borrower and Administrative Agent on or prior to the date on which such Lender becomes a Lender under this Agreement (and from time to time thereafter upon the reasonable request of Borrower or Administrative Agent), executed originals of IRS Form W-9 certifying that such Lender is exempt from U.S. federal backup withholding tax;</w:t>
      </w:r>
    </w:p>
    <w:p>
      <w:pPr>
        <w:spacing w:after="0" w:line="182" w:lineRule="exact"/>
        <w:rPr>
          <w:rFonts w:ascii="Times New Roman" w:cs="Times New Roman" w:eastAsia="Times New Roman" w:hAnsi="Times New Roman"/>
          <w:sz w:val="19"/>
          <w:szCs w:val="19"/>
          <w:color w:val="auto"/>
        </w:rPr>
      </w:pPr>
    </w:p>
    <w:p>
      <w:pPr>
        <w:jc w:val="both"/>
        <w:ind w:left="740" w:firstLine="615"/>
        <w:spacing w:after="0" w:line="259" w:lineRule="auto"/>
        <w:tabs>
          <w:tab w:leader="none" w:pos="1970"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Borrower and Administrative Agent (in such number of copies as shall be requested by the recipient) on or prior to the date on which such Foreign Lender becomes a Lender under this Agreement (and from time to time thereafter upon the reasonable request of Borrower or Administrative Agent), whichever of the following is applicable:</w:t>
      </w:r>
    </w:p>
    <w:p>
      <w:pPr>
        <w:spacing w:after="0" w:line="164" w:lineRule="exact"/>
        <w:rPr>
          <w:rFonts w:ascii="Times New Roman" w:cs="Times New Roman" w:eastAsia="Times New Roman" w:hAnsi="Times New Roman"/>
          <w:sz w:val="19"/>
          <w:szCs w:val="19"/>
          <w:color w:val="auto"/>
        </w:rPr>
      </w:pPr>
    </w:p>
    <w:p>
      <w:pPr>
        <w:jc w:val="both"/>
        <w:ind w:left="1360" w:firstLine="614"/>
        <w:spacing w:after="0" w:line="254" w:lineRule="auto"/>
        <w:tabs>
          <w:tab w:leader="none" w:pos="2592" w:val="left"/>
        </w:tabs>
        <w:numPr>
          <w:ilvl w:val="2"/>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an income tax treaty to which the United States is a party (x) with respect to payments of interest under any Loan Paper, executed originals of IRS Form W-8BEN establishing an exemption from, or reduction of, U.S. federal withholding Tax pursuant to the “interest” article of such tax treaty and (y) with respect to any other applicable payments under any Loan Paper, IRS Form W-8BEN establishing an exemption from, or reduction of, U.S. federal withholding Tax pursuant to the “business profits” or “other income” article of such tax treaty;</w:t>
      </w:r>
    </w:p>
    <w:p>
      <w:pPr>
        <w:spacing w:after="0" w:line="184" w:lineRule="exact"/>
        <w:rPr>
          <w:sz w:val="20"/>
          <w:szCs w:val="20"/>
          <w:color w:val="auto"/>
        </w:rPr>
      </w:pPr>
    </w:p>
    <w:p>
      <w:pPr>
        <w:ind w:left="2580" w:hanging="606"/>
        <w:spacing w:after="0"/>
        <w:tabs>
          <w:tab w:leader="none" w:pos="258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originals of IRS Form W-8ECI;</w:t>
      </w:r>
    </w:p>
    <w:p>
      <w:pPr>
        <w:spacing w:after="0" w:line="219" w:lineRule="exact"/>
        <w:rPr>
          <w:sz w:val="20"/>
          <w:szCs w:val="20"/>
          <w:color w:val="auto"/>
        </w:rPr>
      </w:pPr>
    </w:p>
    <w:p>
      <w:pPr>
        <w:jc w:val="both"/>
        <w:ind w:left="1360" w:firstLine="614"/>
        <w:spacing w:after="0" w:line="251" w:lineRule="auto"/>
        <w:tabs>
          <w:tab w:leader="none" w:pos="2588"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w:t>
      </w:r>
      <w:r>
        <w:rPr>
          <w:rFonts w:ascii="Times New Roman" w:cs="Times New Roman" w:eastAsia="Times New Roman" w:hAnsi="Times New Roman"/>
          <w:sz w:val="19"/>
          <w:szCs w:val="19"/>
          <w:i w:val="1"/>
          <w:iCs w:val="1"/>
          <w:color w:val="auto"/>
        </w:rPr>
        <w:t xml:space="preserve">Section 881(c) </w:t>
      </w:r>
      <w:r>
        <w:rPr>
          <w:rFonts w:ascii="Times New Roman" w:cs="Times New Roman" w:eastAsia="Times New Roman" w:hAnsi="Times New Roman"/>
          <w:sz w:val="19"/>
          <w:szCs w:val="19"/>
          <w:color w:val="auto"/>
        </w:rPr>
        <w:t>of the Code, (x) a certificate substantially in the form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Exhibit G-1</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the effect that such Foreign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Lender is not a “bank” within the meaning of </w:t>
      </w:r>
      <w:r>
        <w:rPr>
          <w:rFonts w:ascii="Times New Roman" w:cs="Times New Roman" w:eastAsia="Times New Roman" w:hAnsi="Times New Roman"/>
          <w:sz w:val="19"/>
          <w:szCs w:val="19"/>
          <w:i w:val="1"/>
          <w:iCs w:val="1"/>
          <w:color w:val="auto"/>
        </w:rPr>
        <w:t>Section 881(c)(3)(A)</w:t>
      </w:r>
      <w:r>
        <w:rPr>
          <w:rFonts w:ascii="Times New Roman" w:cs="Times New Roman" w:eastAsia="Times New Roman" w:hAnsi="Times New Roman"/>
          <w:sz w:val="19"/>
          <w:szCs w:val="19"/>
          <w:color w:val="auto"/>
        </w:rPr>
        <w:t xml:space="preserve"> of the Code, a “10 percent shareholder” of Borrower within the meaning of </w:t>
      </w:r>
      <w:r>
        <w:rPr>
          <w:rFonts w:ascii="Times New Roman" w:cs="Times New Roman" w:eastAsia="Times New Roman" w:hAnsi="Times New Roman"/>
          <w:sz w:val="19"/>
          <w:szCs w:val="19"/>
          <w:i w:val="1"/>
          <w:iCs w:val="1"/>
          <w:color w:val="auto"/>
        </w:rPr>
        <w:t>Section 881(c)(3)(B)</w:t>
      </w:r>
      <w:r>
        <w:rPr>
          <w:rFonts w:ascii="Times New Roman" w:cs="Times New Roman" w:eastAsia="Times New Roman" w:hAnsi="Times New Roman"/>
          <w:sz w:val="19"/>
          <w:szCs w:val="19"/>
          <w:color w:val="auto"/>
        </w:rPr>
        <w:t xml:space="preserve"> of the Code, or a “controlled foreign corporation” described in </w:t>
      </w:r>
      <w:r>
        <w:rPr>
          <w:rFonts w:ascii="Times New Roman" w:cs="Times New Roman" w:eastAsia="Times New Roman" w:hAnsi="Times New Roman"/>
          <w:sz w:val="19"/>
          <w:szCs w:val="19"/>
          <w:i w:val="1"/>
          <w:iCs w:val="1"/>
          <w:color w:val="auto"/>
        </w:rPr>
        <w:t>Section 881(c)(3)(C)</w:t>
      </w:r>
      <w:r>
        <w:rPr>
          <w:rFonts w:ascii="Times New Roman" w:cs="Times New Roman" w:eastAsia="Times New Roman" w:hAnsi="Times New Roman"/>
          <w:sz w:val="19"/>
          <w:szCs w:val="19"/>
          <w:color w:val="auto"/>
        </w:rPr>
        <w:t xml:space="preserve"> of the Code (a “</w:t>
      </w:r>
      <w:r>
        <w:rPr>
          <w:rFonts w:ascii="Times New Roman" w:cs="Times New Roman" w:eastAsia="Times New Roman" w:hAnsi="Times New Roman"/>
          <w:sz w:val="19"/>
          <w:szCs w:val="19"/>
          <w:b w:val="1"/>
          <w:bCs w:val="1"/>
          <w:i w:val="1"/>
          <w:iCs w:val="1"/>
          <w:color w:val="auto"/>
        </w:rPr>
        <w:t>U.S. Tax Compliance Certificate</w:t>
      </w:r>
      <w:r>
        <w:rPr>
          <w:rFonts w:ascii="Times New Roman" w:cs="Times New Roman" w:eastAsia="Times New Roman" w:hAnsi="Times New Roman"/>
          <w:sz w:val="19"/>
          <w:szCs w:val="19"/>
          <w:color w:val="auto"/>
        </w:rPr>
        <w:t>”) and (y) executed originals of IRS Form W-8BEN; or</w:t>
      </w:r>
    </w:p>
    <w:p>
      <w:pPr>
        <w:spacing w:after="0" w:line="187" w:lineRule="exact"/>
        <w:rPr>
          <w:sz w:val="20"/>
          <w:szCs w:val="20"/>
          <w:color w:val="auto"/>
        </w:rPr>
      </w:pPr>
    </w:p>
    <w:p>
      <w:pPr>
        <w:jc w:val="both"/>
        <w:ind w:left="1360" w:firstLine="618"/>
        <w:spacing w:after="0" w:line="271" w:lineRule="auto"/>
        <w:rPr>
          <w:sz w:val="20"/>
          <w:szCs w:val="20"/>
          <w:color w:val="auto"/>
        </w:rPr>
      </w:pPr>
      <w:r>
        <w:rPr>
          <w:rFonts w:ascii="Times New Roman" w:cs="Times New Roman" w:eastAsia="Times New Roman" w:hAnsi="Times New Roman"/>
          <w:sz w:val="18"/>
          <w:szCs w:val="18"/>
          <w:color w:val="auto"/>
        </w:rPr>
        <w:t xml:space="preserve">(IV) to the extent a Foreign Lender is not the beneficial owner, executed originals of IRS Form W-8IMY, accompanied by IRS Form W-8ECI, IRS Form W-8BEN, a U.S. Tax Compliance Certificate substantially in the form of </w:t>
      </w:r>
      <w:r>
        <w:rPr>
          <w:rFonts w:ascii="Times New Roman" w:cs="Times New Roman" w:eastAsia="Times New Roman" w:hAnsi="Times New Roman"/>
          <w:sz w:val="18"/>
          <w:szCs w:val="18"/>
          <w:b w:val="1"/>
          <w:bCs w:val="1"/>
          <w:i w:val="1"/>
          <w:iCs w:val="1"/>
          <w:color w:val="auto"/>
        </w:rPr>
        <w:t>Exhibit G-2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i w:val="1"/>
          <w:iCs w:val="1"/>
          <w:color w:val="auto"/>
        </w:rPr>
        <w:t>Exhibit G-3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b w:val="1"/>
          <w:bCs w:val="1"/>
          <w:i w:val="1"/>
          <w:iCs w:val="1"/>
          <w:color w:val="auto"/>
        </w:rPr>
        <w:t>Exhibit G-4</w:t>
      </w:r>
      <w:r>
        <w:rPr>
          <w:rFonts w:ascii="Times New Roman" w:cs="Times New Roman" w:eastAsia="Times New Roman" w:hAnsi="Times New Roman"/>
          <w:sz w:val="18"/>
          <w:szCs w:val="18"/>
          <w:color w:val="auto"/>
        </w:rPr>
        <w:t xml:space="preserve"> on behalf of each such direct and indirect partner;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67</w:t>
      </w:r>
    </w:p>
    <w:p>
      <w:pPr>
        <w:sectPr>
          <w:pgSz w:w="11900" w:h="16838" w:orient="portrait"/>
          <w:cols w:equalWidth="0" w:num="1">
            <w:col w:w="10120"/>
          </w:cols>
          <w:pgMar w:left="1440" w:top="1440" w:right="339" w:bottom="1440" w:gutter="0" w:footer="0" w:header="0"/>
        </w:sectPr>
      </w:pPr>
    </w:p>
    <w:bookmarkStart w:id="118" w:name="page119"/>
    <w:bookmarkEnd w:id="118"/>
    <w:p>
      <w:pPr>
        <w:spacing w:after="0" w:line="121" w:lineRule="exact"/>
        <w:rPr>
          <w:sz w:val="20"/>
          <w:szCs w:val="20"/>
          <w:color w:val="auto"/>
        </w:rPr>
      </w:pPr>
    </w:p>
    <w:p>
      <w:pPr>
        <w:jc w:val="both"/>
        <w:ind w:left="1240" w:firstLine="615"/>
        <w:spacing w:after="0" w:line="254" w:lineRule="auto"/>
        <w:tabs>
          <w:tab w:leader="none" w:pos="247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Borrower and Administrative Agent (in such number of copies as shall be requested by the recipient) on or prior to the date on which such Foreign Lender becomes a Lender under this Agreement (and from time to time thereafter upon the reasonable request of Borrower or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and</w:t>
      </w:r>
    </w:p>
    <w:p>
      <w:pPr>
        <w:spacing w:after="0" w:line="171" w:lineRule="exact"/>
        <w:rPr>
          <w:rFonts w:ascii="Times New Roman" w:cs="Times New Roman" w:eastAsia="Times New Roman" w:hAnsi="Times New Roman"/>
          <w:sz w:val="19"/>
          <w:szCs w:val="19"/>
          <w:color w:val="auto"/>
        </w:rPr>
      </w:pPr>
    </w:p>
    <w:p>
      <w:pPr>
        <w:jc w:val="both"/>
        <w:ind w:left="1240" w:firstLine="615"/>
        <w:spacing w:after="0" w:line="268" w:lineRule="auto"/>
        <w:tabs>
          <w:tab w:leader="none" w:pos="246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Paper would be subject to U.S. federal withholding Tax imposed by FATCA if such Lender were to fail to comply with the applicable reporting requirements of FATCA (including those contained in </w:t>
      </w:r>
      <w:r>
        <w:rPr>
          <w:rFonts w:ascii="Times New Roman" w:cs="Times New Roman" w:eastAsia="Times New Roman" w:hAnsi="Times New Roman"/>
          <w:sz w:val="18"/>
          <w:szCs w:val="18"/>
          <w:i w:val="1"/>
          <w:iCs w:val="1"/>
          <w:color w:val="auto"/>
        </w:rPr>
        <w:t>Section 1471(b)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1472(b)</w:t>
      </w:r>
      <w:r>
        <w:rPr>
          <w:rFonts w:ascii="Times New Roman" w:cs="Times New Roman" w:eastAsia="Times New Roman" w:hAnsi="Times New Roman"/>
          <w:sz w:val="18"/>
          <w:szCs w:val="18"/>
          <w:color w:val="auto"/>
        </w:rPr>
        <w:t xml:space="preserve"> of the Code, as applicable), such Lender shall deliver to Borrower and Administrative Agent at the time or times prescribed by law and at such time or times reasonably requested by Borrower or</w:t>
      </w:r>
    </w:p>
    <w:p>
      <w:pPr>
        <w:spacing w:after="0" w:line="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 xml:space="preserve">Administrative Agent such documentation prescribed by applicable law (including as prescribed by </w:t>
      </w:r>
      <w:r>
        <w:rPr>
          <w:rFonts w:ascii="Times New Roman" w:cs="Times New Roman" w:eastAsia="Times New Roman" w:hAnsi="Times New Roman"/>
          <w:sz w:val="19"/>
          <w:szCs w:val="19"/>
          <w:i w:val="1"/>
          <w:iCs w:val="1"/>
          <w:color w:val="auto"/>
        </w:rPr>
        <w:t>Section 1471(b)(3)(C)</w:t>
      </w:r>
    </w:p>
    <w:p>
      <w:pPr>
        <w:spacing w:after="0" w:line="8" w:lineRule="exact"/>
        <w:rPr>
          <w:sz w:val="20"/>
          <w:szCs w:val="20"/>
          <w:color w:val="auto"/>
        </w:rPr>
      </w:pPr>
    </w:p>
    <w:p>
      <w:pPr>
        <w:jc w:val="both"/>
        <w:ind w:left="1240" w:hanging="3"/>
        <w:spacing w:after="0" w:line="252" w:lineRule="auto"/>
        <w:tabs>
          <w:tab w:leader="none" w:pos="1477" w:val="left"/>
        </w:tabs>
        <w:numPr>
          <w:ilvl w:val="0"/>
          <w:numId w:val="9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 xml:space="preserve">of the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9"/>
          <w:szCs w:val="19"/>
          <w:b w:val="1"/>
          <w:bCs w:val="1"/>
          <w:i w:val="1"/>
          <w:iCs w:val="1"/>
          <w:color w:val="auto"/>
        </w:rPr>
        <w:t>clause (D)</w:t>
      </w:r>
      <w:r>
        <w:rPr>
          <w:rFonts w:ascii="Times New Roman" w:cs="Times New Roman" w:eastAsia="Times New Roman" w:hAnsi="Times New Roman"/>
          <w:sz w:val="19"/>
          <w:szCs w:val="19"/>
          <w:color w:val="auto"/>
        </w:rPr>
        <w:t>, “FATCA” shall include any amendments made to FATCA after the date of this Agreement.</w:t>
      </w:r>
    </w:p>
    <w:p>
      <w:pPr>
        <w:spacing w:after="0" w:line="166" w:lineRule="exact"/>
        <w:rPr>
          <w:sz w:val="20"/>
          <w:szCs w:val="20"/>
          <w:color w:val="auto"/>
        </w:rPr>
      </w:pPr>
    </w:p>
    <w:p>
      <w:pPr>
        <w:jc w:val="both"/>
        <w:ind w:left="620" w:firstLine="617"/>
        <w:spacing w:after="0" w:line="264" w:lineRule="auto"/>
        <w:tabs>
          <w:tab w:leader="none" w:pos="1856"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agrees that if any form or certification it previously delivered pursuant to this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xml:space="preserve"> expires or becomes obsolete or inaccurate in any respect, it shall update such form or certification or promptly notify Borrower and Administrative Agent in writing of its legal inability to do so.</w:t>
      </w:r>
    </w:p>
    <w:p>
      <w:pPr>
        <w:spacing w:after="0" w:line="174" w:lineRule="exact"/>
        <w:rPr>
          <w:sz w:val="20"/>
          <w:szCs w:val="20"/>
          <w:color w:val="auto"/>
        </w:rPr>
      </w:pPr>
    </w:p>
    <w:p>
      <w:pPr>
        <w:jc w:val="both"/>
        <w:ind w:left="620" w:hanging="382"/>
        <w:spacing w:after="0" w:line="261" w:lineRule="auto"/>
        <w:rPr>
          <w:sz w:val="20"/>
          <w:szCs w:val="20"/>
          <w:color w:val="auto"/>
        </w:rPr>
      </w:pPr>
      <w:r>
        <w:rPr>
          <w:rFonts w:ascii="Times New Roman" w:cs="Times New Roman" w:eastAsia="Times New Roman" w:hAnsi="Times New Roman"/>
          <w:sz w:val="19"/>
          <w:szCs w:val="19"/>
          <w:color w:val="auto"/>
        </w:rPr>
        <w:t>For purposes of determining withholding Taxes imposed under FATCA, from and after the Closing Date, Borrower and Administrative Agent shall treat (and Lenders hereby authorize Administrative Agent to treat) this Agreement as not qualifying as a “grandfathered obligation” within the meaning of Treasury Regulation Section 1.1471-2(b)(2)(i).</w:t>
      </w:r>
    </w:p>
    <w:p>
      <w:pPr>
        <w:spacing w:after="0" w:line="172" w:lineRule="exact"/>
        <w:rPr>
          <w:sz w:val="20"/>
          <w:szCs w:val="20"/>
          <w:color w:val="auto"/>
        </w:rPr>
      </w:pPr>
    </w:p>
    <w:p>
      <w:pPr>
        <w:jc w:val="both"/>
        <w:ind w:firstLine="619"/>
        <w:spacing w:after="0" w:line="253" w:lineRule="auto"/>
        <w:tabs>
          <w:tab w:leader="none" w:pos="1232"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Treatment of Certain Refunds. </w:t>
      </w:r>
      <w:r>
        <w:rPr>
          <w:rFonts w:ascii="Times New Roman" w:cs="Times New Roman" w:eastAsia="Times New Roman" w:hAnsi="Times New Roman"/>
          <w:sz w:val="19"/>
          <w:szCs w:val="19"/>
          <w:color w:val="auto"/>
        </w:rPr>
        <w:t>Unless required by applicable Laws, at no time shall Administrative Agent have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obligation to file for or otherwise pursue on behalf of a Lender or a L/C Issuer, or have any obligation to pay to any Lender or such L/C Issuer, any refund of Taxes withheld or deducted from funds paid for the account of such Lender or such L/C Issuer, as the case may be. If any Recipient determines, in its sole discretion exercised in good faith, that it has received a refund of any Taxes as to which it has been indemnified by any Restricted Company or with respect to which any Restricted Company has paid additional amounts pursuant to this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it shall pay to the Restricted Company an amount equal to such refund (but only to the extent of indemnity payments made,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additional amounts paid, by a Restricted Company under this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xml:space="preserve"> with respect to the Taxes giving rise to such refund), net of all out-of-pocket expenses (including Taxes) incurred by such Recipient, and without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68</w:t>
      </w:r>
    </w:p>
    <w:p>
      <w:pPr>
        <w:sectPr>
          <w:pgSz w:w="11900" w:h="16838" w:orient="portrait"/>
          <w:cols w:equalWidth="0" w:num="1">
            <w:col w:w="10620"/>
          </w:cols>
          <w:pgMar w:left="940" w:top="1440" w:right="339" w:bottom="1440" w:gutter="0" w:footer="0" w:header="0"/>
        </w:sectPr>
      </w:pPr>
    </w:p>
    <w:bookmarkStart w:id="119" w:name="page120"/>
    <w:bookmarkEnd w:id="119"/>
    <w:p>
      <w:pPr>
        <w:spacing w:after="0" w:line="117" w:lineRule="exact"/>
        <w:rPr>
          <w:sz w:val="20"/>
          <w:szCs w:val="20"/>
          <w:color w:val="auto"/>
        </w:rPr>
      </w:pPr>
    </w:p>
    <w:p>
      <w:pPr>
        <w:jc w:val="both"/>
        <w:ind w:left="620"/>
        <w:spacing w:after="0" w:line="253" w:lineRule="auto"/>
        <w:rPr>
          <w:sz w:val="20"/>
          <w:szCs w:val="20"/>
          <w:color w:val="auto"/>
        </w:rPr>
      </w:pPr>
      <w:r>
        <w:rPr>
          <w:rFonts w:ascii="Times New Roman" w:cs="Times New Roman" w:eastAsia="Times New Roman" w:hAnsi="Times New Roman"/>
          <w:sz w:val="19"/>
          <w:szCs w:val="19"/>
          <w:color w:val="auto"/>
        </w:rPr>
        <w:t xml:space="preserve">interest (other than any interest paid by the relevant Governmental Authority with respect to such refund),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Restricted Company, upon the request of the Recipient, agrees to repay the amount paid over to the Restricted Company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Restricted Company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Restricted Company or any other Person.</w:t>
      </w:r>
    </w:p>
    <w:p>
      <w:pPr>
        <w:spacing w:after="0" w:line="166" w:lineRule="exact"/>
        <w:rPr>
          <w:sz w:val="20"/>
          <w:szCs w:val="20"/>
          <w:color w:val="auto"/>
        </w:rPr>
      </w:pPr>
    </w:p>
    <w:p>
      <w:pPr>
        <w:jc w:val="both"/>
        <w:ind w:left="620" w:firstLine="619"/>
        <w:spacing w:after="0" w:line="272" w:lineRule="auto"/>
        <w:tabs>
          <w:tab w:leader="none" w:pos="1844"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Survival. </w:t>
      </w:r>
      <w:r>
        <w:rPr>
          <w:rFonts w:ascii="Times New Roman" w:cs="Times New Roman" w:eastAsia="Times New Roman" w:hAnsi="Times New Roman"/>
          <w:sz w:val="19"/>
          <w:szCs w:val="19"/>
          <w:color w:val="auto"/>
        </w:rPr>
        <w:t>Each party’s obligations under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survive the resignation or replacement of Administrative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Agent or any assignment of rights by, or the replacement of, a Lender or an L/C Issuer, the termination of the Commitments and the repayment, satisfaction or discharge of all other Obligations.</w:t>
      </w:r>
    </w:p>
    <w:p>
      <w:pPr>
        <w:spacing w:after="0" w:line="152" w:lineRule="exact"/>
        <w:rPr>
          <w:sz w:val="20"/>
          <w:szCs w:val="20"/>
          <w:color w:val="auto"/>
        </w:rPr>
      </w:pPr>
    </w:p>
    <w:p>
      <w:pPr>
        <w:jc w:val="both"/>
        <w:ind w:firstLine="618"/>
        <w:spacing w:after="0" w:line="26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If any Lender reasonably determines that any Law has made it unlawful, or that any Governmental Authority has asserted that it is unlawful, for any Lender or its Lending Office to perform any of its obligations hereunder or make, maintain or fund Loans whose interest is determined by reference to SOFR, Term SOFR, or Daily Simple SOFR, or to determine or charge interest rates based upon SOFR, Term SOFR or Daily Simple SOFR, or any Governmental Authority has imposed material restrictions on the authority of such Lender to engage in reverse repurchase of U.S. Treasury securities transactions of the type included in the determination of SOFR, then, on notice thereof by such Lender to Borrower through Administrative Agent, (a) any obligation of such Lender to make or continue either Term SOFR Rate Loans or Daily SOFR Rate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Administrative Agent without reference to the Term SOFR component of the Base Rate, in each case until such Lender notifies Administrative Agent and Borrower that the circumstances giving rise to such determination no longer exist. Upon receipt of such notice, (i) Borrower shall, upon demand from such Lender (with a copy to Administrative Agent), prepay (without penalty or premium other than amounts payable pursuant to </w:t>
      </w:r>
      <w:r>
        <w:rPr>
          <w:rFonts w:ascii="Times New Roman" w:cs="Times New Roman" w:eastAsia="Times New Roman" w:hAnsi="Times New Roman"/>
          <w:sz w:val="18"/>
          <w:szCs w:val="18"/>
          <w:b w:val="1"/>
          <w:bCs w:val="1"/>
          <w:i w:val="1"/>
          <w:iCs w:val="1"/>
          <w:color w:val="auto"/>
        </w:rPr>
        <w:t>Section 4.5</w:t>
      </w:r>
      <w:r>
        <w:rPr>
          <w:rFonts w:ascii="Times New Roman" w:cs="Times New Roman" w:eastAsia="Times New Roman" w:hAnsi="Times New Roman"/>
          <w:sz w:val="18"/>
          <w:szCs w:val="18"/>
          <w:color w:val="auto"/>
        </w:rPr>
        <w:t>) or, if applicable, convert all Term SOFR Rate Loans of such Lender to Base Rate Loans (the interest rate on which Base Rate Loans of such Lender shall, if necessary to avoid such illegality, be determined by Administrative Agent without reference to the Term SOFR component of the Base Rate), either on the last day of the Interest Period therefor, if such Lender may lawfully continue to maintain such Term SOFR Rate Loans to such day, or immediately, if such Lender may not lawfully continue to maintain such Term SOFR Rate Loans, (ii) Borrower shall, upon demand from such Lender (with a copy to Administrative Agent), immediately prepay or, if applicable, convert all Daily SOFR Rate Loans of such Lender to Base Rate Loans (the interest rate on which Base Rate Loans of such Lender shall, if necessary to avoid such illegality, be determined by Administrative Agent without reference to the Term SOFR component of the Base Rate), and</w:t>
      </w:r>
    </w:p>
    <w:p>
      <w:pPr>
        <w:spacing w:after="0" w:line="12" w:lineRule="exact"/>
        <w:rPr>
          <w:sz w:val="20"/>
          <w:szCs w:val="20"/>
          <w:color w:val="auto"/>
        </w:rPr>
      </w:pPr>
    </w:p>
    <w:p>
      <w:pPr>
        <w:jc w:val="both"/>
        <w:ind w:firstLine="3"/>
        <w:spacing w:after="0" w:line="254" w:lineRule="auto"/>
        <w:tabs>
          <w:tab w:leader="none" w:pos="339"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notice asserts the illegality of such Lender determining or charging interest rates based upon SOFR, Administrative Agent shall during the period of such suspension compute the Base Rate applicable to such Lender without reference to Term SOFR component thereof until Administrative Agent is advised in writing by such Lender that it is no longer illegal for such Lender to determine or charge interest rates based upon SOFR. Upon any such</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69</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color w:val="auto"/>
        </w:rPr>
        <w:t xml:space="preserve">prepayment or conversion, Borrower shall also pay accrued interest on the amount so prepaid or converted, together with any additional amounts required pursuant to </w:t>
      </w:r>
      <w:r>
        <w:rPr>
          <w:rFonts w:ascii="Times New Roman" w:cs="Times New Roman" w:eastAsia="Times New Roman" w:hAnsi="Times New Roman"/>
          <w:sz w:val="19"/>
          <w:szCs w:val="19"/>
          <w:b w:val="1"/>
          <w:bCs w:val="1"/>
          <w:i w:val="1"/>
          <w:iCs w:val="1"/>
          <w:color w:val="auto"/>
        </w:rPr>
        <w:t>Section 4.5</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4.3</w:t>
      </w:r>
      <w:r>
        <w:rPr>
          <w:sz w:val="20"/>
          <w:szCs w:val="20"/>
          <w:color w:val="auto"/>
        </w:rPr>
        <w:tab/>
      </w:r>
      <w:r>
        <w:rPr>
          <w:rFonts w:ascii="Times New Roman" w:cs="Times New Roman" w:eastAsia="Times New Roman" w:hAnsi="Times New Roman"/>
          <w:sz w:val="18"/>
          <w:szCs w:val="18"/>
          <w:u w:val="single" w:color="auto"/>
          <w:color w:val="auto"/>
        </w:rPr>
        <w:t>Inability to Determine Rates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left="620" w:firstLine="619"/>
        <w:spacing w:after="0" w:line="264" w:lineRule="auto"/>
        <w:tabs>
          <w:tab w:leader="none" w:pos="184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any request for a Term SOFR Rate Loan or a Daily SOFR Rate Loan, or a conversion of Daily SOFR Rate Loans to Term SOFR Rate Loans or a continuation of any of such advances, as applicable, (a) Administrative Agent determines (which determination shall be conclusive absent manifest error) that (i) no Successor Rate has been determined in accordance with </w:t>
      </w:r>
      <w:r>
        <w:rPr>
          <w:rFonts w:ascii="Times New Roman" w:cs="Times New Roman" w:eastAsia="Times New Roman" w:hAnsi="Times New Roman"/>
          <w:sz w:val="18"/>
          <w:szCs w:val="18"/>
          <w:b w:val="1"/>
          <w:bCs w:val="1"/>
          <w:i w:val="1"/>
          <w:iCs w:val="1"/>
          <w:color w:val="auto"/>
        </w:rPr>
        <w:t>Section 4.3(b)</w:t>
      </w:r>
      <w:r>
        <w:rPr>
          <w:rFonts w:ascii="Times New Roman" w:cs="Times New Roman" w:eastAsia="Times New Roman" w:hAnsi="Times New Roman"/>
          <w:sz w:val="18"/>
          <w:szCs w:val="18"/>
          <w:color w:val="auto"/>
        </w:rPr>
        <w:t xml:space="preserve">, and the circumstances under </w:t>
      </w:r>
      <w:r>
        <w:rPr>
          <w:rFonts w:ascii="Times New Roman" w:cs="Times New Roman" w:eastAsia="Times New Roman" w:hAnsi="Times New Roman"/>
          <w:sz w:val="18"/>
          <w:szCs w:val="18"/>
          <w:b w:val="1"/>
          <w:bCs w:val="1"/>
          <w:i w:val="1"/>
          <w:iCs w:val="1"/>
          <w:color w:val="auto"/>
        </w:rPr>
        <w:t>Section 4.3(b)(i)</w:t>
      </w:r>
      <w:r>
        <w:rPr>
          <w:rFonts w:ascii="Times New Roman" w:cs="Times New Roman" w:eastAsia="Times New Roman" w:hAnsi="Times New Roman"/>
          <w:sz w:val="18"/>
          <w:szCs w:val="18"/>
          <w:color w:val="auto"/>
        </w:rPr>
        <w:t xml:space="preserve"> or the Scheduled Unavailability Date has occurred, or (ii) adequate and reasonable means do not otherwise exist for determining Term SOFR for any requested Interest Period with respect to a proposed Term SOFR Rate Loan or in connection with an existing or proposed Base Rate Loan, or (iii) adequate and reasonable means do not otherwise exist for determining Daily Simple SOFR in connection with an existing or proposed Daily SOFR Rate Loan, or (b) Administrative Agent or the Required Lenders determine that for any reason that Term SOFR for any requested Interest Period or Daily Simple SOFR with respect to a proposed advance does not adequately and fairly reflect the cost to such Lenders of funding such advance, Administrative Agent will promptly so notify Borrower and each Lender. Thereafter, (x) the obligation of the Lenders to make or maintain Term SOFR Rate Loans, Daily SOFR Rate Loans, or to convert Daily SOFR Rate Loans to Term SOFR Rate Loans, shall be suspended (to the extent of the affected Term SOFR Rate Loans, Daily SOFR Rate Loans, or Interest Periods), and (y) in the event of a determination described in the preceding sentence with respect to the Term SOFR component of the Base Rate, the utilization of the Term SOFR component in determining the Base Rate shall be suspended, in each case until Administrative Agent (or, in the case of a determination by Required Lenders described in </w:t>
      </w:r>
      <w:r>
        <w:rPr>
          <w:rFonts w:ascii="Times New Roman" w:cs="Times New Roman" w:eastAsia="Times New Roman" w:hAnsi="Times New Roman"/>
          <w:sz w:val="18"/>
          <w:szCs w:val="18"/>
          <w:b w:val="1"/>
          <w:bCs w:val="1"/>
          <w:i w:val="1"/>
          <w:iCs w:val="1"/>
          <w:color w:val="auto"/>
        </w:rPr>
        <w:t>Section 4.3(b)</w:t>
      </w:r>
      <w:r>
        <w:rPr>
          <w:rFonts w:ascii="Times New Roman" w:cs="Times New Roman" w:eastAsia="Times New Roman" w:hAnsi="Times New Roman"/>
          <w:sz w:val="18"/>
          <w:szCs w:val="18"/>
          <w:color w:val="auto"/>
        </w:rPr>
        <w:t>, until Administrative Agent upon instruction of Required Lenders) revokes such notice. Upon receipt of such notice, (1) Borrower may revoke any pending request for a borrowing of, or conversion to, or continuation of Term SOFR Rate Loans or Daily SOFR Rate Loans (to the extent of the affected Term SOFR Rate Loans, Daily SOFR Rate Loans, or Interest Periods) or, failing that, will be deemed to have converted such request into a request for a borrowing of Base Rate Loans in the amount specified therein, (2) any outstanding Term SOFR Rate Loans shall be deemed to have been converted to Base Rate Loans immediately at the end of their respective applicable Interest Period, and (3) any outstanding Daily SOFR Rate Loans shall immediately be deemed to have been converted to Base Rate Loans.</w:t>
      </w:r>
    </w:p>
    <w:p>
      <w:pPr>
        <w:spacing w:after="0" w:line="185" w:lineRule="exact"/>
        <w:rPr>
          <w:rFonts w:ascii="Times New Roman" w:cs="Times New Roman" w:eastAsia="Times New Roman" w:hAnsi="Times New Roman"/>
          <w:sz w:val="18"/>
          <w:szCs w:val="18"/>
          <w:color w:val="auto"/>
        </w:rPr>
      </w:pPr>
    </w:p>
    <w:p>
      <w:pPr>
        <w:jc w:val="both"/>
        <w:ind w:left="620" w:firstLine="619"/>
        <w:spacing w:after="0" w:line="261" w:lineRule="auto"/>
        <w:tabs>
          <w:tab w:leader="none" w:pos="1844"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or any other Loan Papers, if Administrative Agent determines (which determination shall be conclusive absent manifest error), or Borrower or Required Lenders notify Administrative Agent (with, in the case of the Required Lenders, a copy to Borrower) that Borrower or Required Lenders (as applicable) have determined, that:</w:t>
      </w:r>
    </w:p>
    <w:p>
      <w:pPr>
        <w:spacing w:after="0" w:line="162" w:lineRule="exact"/>
        <w:rPr>
          <w:rFonts w:ascii="Times New Roman" w:cs="Times New Roman" w:eastAsia="Times New Roman" w:hAnsi="Times New Roman"/>
          <w:sz w:val="19"/>
          <w:szCs w:val="19"/>
          <w:color w:val="auto"/>
        </w:rPr>
      </w:pPr>
    </w:p>
    <w:p>
      <w:pPr>
        <w:jc w:val="both"/>
        <w:ind w:left="1240" w:firstLine="617"/>
        <w:spacing w:after="0" w:line="268" w:lineRule="auto"/>
        <w:tabs>
          <w:tab w:leader="none" w:pos="2474"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adequate and reasonable means do not exist for ascertaining one (1) month, three (3) month or six (6) month interest periods of Term SOFR, including because the Term SOFR Screen Rate is not available or published on a current basis and such circumstances are unlikely to be temporary; or</w:t>
      </w:r>
    </w:p>
    <w:p>
      <w:pPr>
        <w:spacing w:after="0" w:line="156" w:lineRule="exact"/>
        <w:rPr>
          <w:rFonts w:ascii="Times New Roman" w:cs="Times New Roman" w:eastAsia="Times New Roman" w:hAnsi="Times New Roman"/>
          <w:sz w:val="19"/>
          <w:szCs w:val="19"/>
          <w:color w:val="auto"/>
        </w:rPr>
      </w:pPr>
    </w:p>
    <w:p>
      <w:pPr>
        <w:jc w:val="both"/>
        <w:ind w:left="1240" w:firstLine="617"/>
        <w:spacing w:after="0" w:line="261" w:lineRule="auto"/>
        <w:tabs>
          <w:tab w:leader="none" w:pos="2475"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CME or any successor administrator of the Term SOFR Screen Rate or a Governmental Authority having jurisdiction over Administrative Agent or such administrator with respect to its publication of Term SOFR, in each case acting in such</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70</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22"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9"/>
          <w:szCs w:val="19"/>
          <w:color w:val="auto"/>
        </w:rPr>
        <w:t>capacity, has made a public statement identifying a specific date after which one (1) month, three (3) month or six (6) month interest periods of Term SOFR or the Term SOFR Screen Rate shall or will no longer be made available, or permitted to be used for determining the interest rate of Dollar denominated syndicated loans, or shall or will otherwise cease, provided that, at the time of such statement, there is no successor administrator that is satisfactory to Administrative Agent, that will continue to provide such interest periods of Term SOFR after such specific date (the latest date on which one (1) month, three (3) month or six (6) month interest periods of Term SOFR or the Term SOFR Screen Rate are no longer available permanently or indefinitely, the “</w:t>
      </w:r>
      <w:r>
        <w:rPr>
          <w:rFonts w:ascii="Times New Roman" w:cs="Times New Roman" w:eastAsia="Times New Roman" w:hAnsi="Times New Roman"/>
          <w:sz w:val="19"/>
          <w:szCs w:val="19"/>
          <w:b w:val="1"/>
          <w:bCs w:val="1"/>
          <w:i w:val="1"/>
          <w:iCs w:val="1"/>
          <w:color w:val="auto"/>
        </w:rPr>
        <w:t>Scheduled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Unavailability Date</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jc w:val="both"/>
        <w:ind w:left="120" w:firstLine="618"/>
        <w:spacing w:after="0" w:line="255" w:lineRule="auto"/>
        <w:rPr>
          <w:sz w:val="20"/>
          <w:szCs w:val="20"/>
          <w:color w:val="auto"/>
        </w:rPr>
      </w:pPr>
      <w:r>
        <w:rPr>
          <w:rFonts w:ascii="Times New Roman" w:cs="Times New Roman" w:eastAsia="Times New Roman" w:hAnsi="Times New Roman"/>
          <w:sz w:val="19"/>
          <w:szCs w:val="19"/>
          <w:color w:val="auto"/>
        </w:rPr>
        <w:t>then, on a date and time determined by Administrative Agent (any such date, the “</w:t>
      </w:r>
      <w:r>
        <w:rPr>
          <w:rFonts w:ascii="Times New Roman" w:cs="Times New Roman" w:eastAsia="Times New Roman" w:hAnsi="Times New Roman"/>
          <w:sz w:val="19"/>
          <w:szCs w:val="19"/>
          <w:b w:val="1"/>
          <w:bCs w:val="1"/>
          <w:i w:val="1"/>
          <w:iCs w:val="1"/>
          <w:color w:val="auto"/>
        </w:rPr>
        <w:t>Term SOFR Replacement Date</w:t>
      </w:r>
      <w:r>
        <w:rPr>
          <w:rFonts w:ascii="Times New Roman" w:cs="Times New Roman" w:eastAsia="Times New Roman" w:hAnsi="Times New Roman"/>
          <w:sz w:val="19"/>
          <w:szCs w:val="19"/>
          <w:color w:val="auto"/>
        </w:rPr>
        <w:t xml:space="preserve">”), which date shall be at the end of an Interest Period or on the relevant interest payment date, as applicable, for interest calculated and, solely with respect to </w:t>
      </w:r>
      <w:r>
        <w:rPr>
          <w:rFonts w:ascii="Times New Roman" w:cs="Times New Roman" w:eastAsia="Times New Roman" w:hAnsi="Times New Roman"/>
          <w:sz w:val="19"/>
          <w:szCs w:val="19"/>
          <w:b w:val="1"/>
          <w:bCs w:val="1"/>
          <w:i w:val="1"/>
          <w:iCs w:val="1"/>
          <w:color w:val="auto"/>
        </w:rPr>
        <w:t>clause (b)</w:t>
      </w:r>
      <w:r>
        <w:rPr>
          <w:rFonts w:ascii="Times New Roman" w:cs="Times New Roman" w:eastAsia="Times New Roman" w:hAnsi="Times New Roman"/>
          <w:sz w:val="19"/>
          <w:szCs w:val="19"/>
          <w:color w:val="auto"/>
        </w:rPr>
        <w:t xml:space="preserve"> above, no later than the Scheduled Unavailability Date, Term SOFR will be replaced hereunder and under any Loan Paper with Daily Simple SOFR for any payment period for interest calculated that can be determined by Administrative Agent, in each case, without any amendment to, or further action or consent of any other party to, this Agreement or any other Loan Paper (the “</w:t>
      </w:r>
      <w:r>
        <w:rPr>
          <w:rFonts w:ascii="Times New Roman" w:cs="Times New Roman" w:eastAsia="Times New Roman" w:hAnsi="Times New Roman"/>
          <w:sz w:val="19"/>
          <w:szCs w:val="19"/>
          <w:b w:val="1"/>
          <w:bCs w:val="1"/>
          <w:i w:val="1"/>
          <w:iCs w:val="1"/>
          <w:color w:val="auto"/>
        </w:rPr>
        <w:t>Successor Rate</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If the Successor Rate is Daily Simple SOFR, all interest payments will be payable on the last day of each calendar month.</w:t>
      </w:r>
    </w:p>
    <w:p>
      <w:pPr>
        <w:spacing w:after="0" w:line="206" w:lineRule="exact"/>
        <w:rPr>
          <w:sz w:val="20"/>
          <w:szCs w:val="20"/>
          <w:color w:val="auto"/>
        </w:rPr>
      </w:pPr>
    </w:p>
    <w:p>
      <w:pPr>
        <w:jc w:val="both"/>
        <w:ind w:left="120" w:firstLine="618"/>
        <w:spacing w:after="0" w:line="251" w:lineRule="auto"/>
        <w:rPr>
          <w:sz w:val="20"/>
          <w:szCs w:val="20"/>
          <w:color w:val="auto"/>
        </w:rPr>
      </w:pPr>
      <w:r>
        <w:rPr>
          <w:rFonts w:ascii="Times New Roman" w:cs="Times New Roman" w:eastAsia="Times New Roman" w:hAnsi="Times New Roman"/>
          <w:sz w:val="19"/>
          <w:szCs w:val="19"/>
          <w:color w:val="auto"/>
        </w:rPr>
        <w:t>Notwithstanding anything to the contrary herein, (i) if Administrative Agent determines that Daily Simple SOFR is not available on or prior to the Term SOFR Replacement Date, or (ii) if the events or circumstances of the type described in clauses (a) or (b) above have occurred with respect to Daily Simple SOFR or the Successor Rate then in effect, then in each case, Administrative Agent and Borrower may amend this Agreement solely for the purpose of replacing Term SOFR, Daily Simple SOFR, and/or any then current Successor Rate in accordance with this Section at the end of any Interest Period, relevant interest payment date or payment period for interest calculated, as applicable, with an alternative benchmark rate giving due consideration to any evolving or then existing convention for similar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which adjustment or method for calculating such adjustment shall be published on an information service as selected by Administrative Agent from time to time in its reasonable discretion and may be periodically updated. For the avoidance of doubt, any such proposed rate and adjustments, shall constitute a “Successor Rate”. Any such amendment shall become effective at 5:00 p.m. on the fifth (5th) Business Day after Administrative Agent shall have posted such proposed amendment to all Lenders and Borrower unless, prior to such time, Lenders comprising the Required Lenders have delivered to Administrative Agent written notice that such Required Lenders object to such amendment.</w:t>
      </w:r>
    </w:p>
    <w:p>
      <w:pPr>
        <w:spacing w:after="0" w:line="178" w:lineRule="exact"/>
        <w:rPr>
          <w:sz w:val="20"/>
          <w:szCs w:val="20"/>
          <w:color w:val="auto"/>
        </w:rPr>
      </w:pPr>
    </w:p>
    <w:p>
      <w:pPr>
        <w:jc w:val="both"/>
        <w:ind w:left="120" w:firstLine="618"/>
        <w:spacing w:after="0" w:line="282" w:lineRule="auto"/>
        <w:rPr>
          <w:sz w:val="20"/>
          <w:szCs w:val="20"/>
          <w:color w:val="auto"/>
        </w:rPr>
      </w:pPr>
      <w:r>
        <w:rPr>
          <w:rFonts w:ascii="Times New Roman" w:cs="Times New Roman" w:eastAsia="Times New Roman" w:hAnsi="Times New Roman"/>
          <w:sz w:val="19"/>
          <w:szCs w:val="19"/>
          <w:color w:val="auto"/>
        </w:rPr>
        <w:t>Administrative Agent will promptly (in one or more notices) notify Borrower and each Lender of the implementation of any Successor Rate.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71</w:t>
      </w:r>
    </w:p>
    <w:p>
      <w:pPr>
        <w:sectPr>
          <w:pgSz w:w="11900" w:h="16838" w:orient="portrait"/>
          <w:cols w:equalWidth="0" w:num="1">
            <w:col w:w="10120"/>
          </w:cols>
          <w:pgMar w:left="1440" w:top="1440" w:right="339" w:bottom="1440" w:gutter="0" w:footer="0" w:header="0"/>
        </w:sectPr>
      </w:pPr>
    </w:p>
    <w:bookmarkStart w:id="122" w:name="page123"/>
    <w:bookmarkEnd w:id="122"/>
    <w:p>
      <w:pPr>
        <w:spacing w:after="0" w:line="122" w:lineRule="exact"/>
        <w:rPr>
          <w:sz w:val="20"/>
          <w:szCs w:val="20"/>
          <w:color w:val="auto"/>
        </w:rPr>
      </w:pPr>
    </w:p>
    <w:p>
      <w:pPr>
        <w:jc w:val="both"/>
        <w:ind w:left="620" w:firstLine="618"/>
        <w:spacing w:after="0" w:line="261" w:lineRule="auto"/>
        <w:rPr>
          <w:sz w:val="20"/>
          <w:szCs w:val="20"/>
          <w:color w:val="auto"/>
        </w:rPr>
      </w:pPr>
      <w:r>
        <w:rPr>
          <w:rFonts w:ascii="Times New Roman" w:cs="Times New Roman" w:eastAsia="Times New Roman" w:hAnsi="Times New Roman"/>
          <w:sz w:val="19"/>
          <w:szCs w:val="19"/>
          <w:color w:val="auto"/>
        </w:rPr>
        <w:t>Any Successor Rate shall be applied in a manner consistent with market practice; provided that to the extent such market practice is not administratively feasible for Administrative Agent, such Successor Rate shall be applied in a manner as otherwise reasonably determined by Administrative Agent.</w:t>
      </w:r>
    </w:p>
    <w:p>
      <w:pPr>
        <w:spacing w:after="0" w:line="176" w:lineRule="exact"/>
        <w:rPr>
          <w:sz w:val="20"/>
          <w:szCs w:val="20"/>
          <w:color w:val="auto"/>
        </w:rPr>
      </w:pPr>
    </w:p>
    <w:p>
      <w:pPr>
        <w:jc w:val="both"/>
        <w:ind w:left="620" w:firstLine="618"/>
        <w:spacing w:after="0" w:line="268" w:lineRule="auto"/>
        <w:rPr>
          <w:sz w:val="20"/>
          <w:szCs w:val="20"/>
          <w:color w:val="auto"/>
        </w:rPr>
      </w:pPr>
      <w:r>
        <w:rPr>
          <w:rFonts w:ascii="Times New Roman" w:cs="Times New Roman" w:eastAsia="Times New Roman" w:hAnsi="Times New Roman"/>
          <w:sz w:val="19"/>
          <w:szCs w:val="19"/>
          <w:color w:val="auto"/>
        </w:rPr>
        <w:t>Notwithstanding anything else herein, if at any time any Successor Rate as so determined would otherwise be less than 0.00%, the Successor Rate will be deemed to be 0.00 % for the purposes of this Agreement and the other Loan Papers.</w:t>
      </w:r>
    </w:p>
    <w:p>
      <w:pPr>
        <w:spacing w:after="0" w:line="169" w:lineRule="exact"/>
        <w:rPr>
          <w:sz w:val="20"/>
          <w:szCs w:val="20"/>
          <w:color w:val="auto"/>
        </w:rPr>
      </w:pPr>
    </w:p>
    <w:p>
      <w:pPr>
        <w:jc w:val="both"/>
        <w:ind w:left="620" w:firstLine="618"/>
        <w:spacing w:after="0" w:line="254" w:lineRule="auto"/>
        <w:rPr>
          <w:sz w:val="20"/>
          <w:szCs w:val="20"/>
          <w:color w:val="auto"/>
        </w:rPr>
      </w:pPr>
      <w:r>
        <w:rPr>
          <w:rFonts w:ascii="Times New Roman" w:cs="Times New Roman" w:eastAsia="Times New Roman" w:hAnsi="Times New Roman"/>
          <w:sz w:val="19"/>
          <w:szCs w:val="19"/>
          <w:color w:val="auto"/>
        </w:rPr>
        <w:t>In connection with the implementation of a Successor Rate, Administrative Agent will have the right to make Conforming Changes from time to time and, notwithstanding anything to the contrary herein or in any other Loan Paper, any amendments implementing such Conforming Changes will become effective without any further action or consent of any other party to this Agreement; provided that, with respect to any such amendment effected, Administrative Agent shall post each such amendment implementing such Conforming Changes to Borrower and the Lenders reasonably promptly after such amendment becomes effective.</w:t>
      </w:r>
    </w:p>
    <w:p>
      <w:pPr>
        <w:spacing w:after="0" w:line="1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color w:val="auto"/>
        </w:rPr>
        <w:t>4.4</w:t>
      </w:r>
      <w:r>
        <w:rPr>
          <w:sz w:val="20"/>
          <w:szCs w:val="20"/>
          <w:color w:val="auto"/>
        </w:rPr>
        <w:tab/>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1020" w:hanging="401"/>
        <w:spacing w:after="0"/>
        <w:tabs>
          <w:tab w:leader="none" w:pos="10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Increased Costs Generally</w:t>
      </w:r>
      <w:r>
        <w:rPr>
          <w:rFonts w:ascii="Times New Roman" w:cs="Times New Roman" w:eastAsia="Times New Roman" w:hAnsi="Times New Roman"/>
          <w:sz w:val="19"/>
          <w:szCs w:val="19"/>
          <w:color w:val="auto"/>
        </w:rPr>
        <w:t>. If any Change in Law shall:</w:t>
      </w:r>
    </w:p>
    <w:p>
      <w:pPr>
        <w:spacing w:after="0" w:line="225" w:lineRule="exact"/>
        <w:rPr>
          <w:rFonts w:ascii="Times New Roman" w:cs="Times New Roman" w:eastAsia="Times New Roman" w:hAnsi="Times New Roman"/>
          <w:sz w:val="19"/>
          <w:szCs w:val="19"/>
          <w:color w:val="auto"/>
        </w:rPr>
      </w:pPr>
    </w:p>
    <w:p>
      <w:pPr>
        <w:jc w:val="both"/>
        <w:ind w:left="620" w:firstLine="617"/>
        <w:spacing w:after="0" w:line="261" w:lineRule="auto"/>
        <w:tabs>
          <w:tab w:leader="none" w:pos="1854"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modify, or deem applicable any reserve, special deposit, compulsory loan, insurance charge, or similar requirement against assets of, deposits with, or for the account of, or credit extended, or participated in by, any Lender or the L/C Issuers;</w:t>
      </w:r>
    </w:p>
    <w:p>
      <w:pPr>
        <w:spacing w:after="0" w:line="175" w:lineRule="exact"/>
        <w:rPr>
          <w:rFonts w:ascii="Times New Roman" w:cs="Times New Roman" w:eastAsia="Times New Roman" w:hAnsi="Times New Roman"/>
          <w:sz w:val="19"/>
          <w:szCs w:val="19"/>
          <w:color w:val="auto"/>
        </w:rPr>
      </w:pPr>
    </w:p>
    <w:p>
      <w:pPr>
        <w:jc w:val="both"/>
        <w:ind w:left="620" w:firstLine="617"/>
        <w:spacing w:after="0" w:line="261" w:lineRule="auto"/>
        <w:tabs>
          <w:tab w:leader="none" w:pos="1855"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any Lender or any L/C Issuer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62" w:lineRule="exact"/>
        <w:rPr>
          <w:rFonts w:ascii="Times New Roman" w:cs="Times New Roman" w:eastAsia="Times New Roman" w:hAnsi="Times New Roman"/>
          <w:sz w:val="19"/>
          <w:szCs w:val="19"/>
          <w:color w:val="auto"/>
        </w:rPr>
      </w:pPr>
    </w:p>
    <w:p>
      <w:pPr>
        <w:ind w:left="620" w:firstLine="617"/>
        <w:spacing w:after="0" w:line="282" w:lineRule="auto"/>
        <w:tabs>
          <w:tab w:leader="none" w:pos="1856"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on any Lender or any L/C Issuer or any interbank market any other condition, cost, or expense affecting this Agreement or Loans made by such Lender or any L/C or participation therein;</w:t>
      </w:r>
    </w:p>
    <w:p>
      <w:pPr>
        <w:spacing w:after="0" w:line="143"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of making, converting to, continuing or maintaining any Loan (or of maintaining its obligation to make any such Loan), or to increase the cost to such Lender or such L/C Issuer of participating in, issuing, or maintaining any L/C (or of maintaining its obligation to participate in or to issue any L/C), or to reduce the amount of any sum received or receivable by such Lender or such L/C Issuer hereunder (whether of principal, interest, or any other amount) then, upon request of such Lender or such L/C Issuer, Borrower will pay to such Lender or such L/C Issuer, as the case may be, such additional amount or amounts as will compensate such Lender or such L/C Issuer, as the case may be, for such additional costs incurred or reduction suffered.</w:t>
      </w:r>
    </w:p>
    <w:p>
      <w:pPr>
        <w:spacing w:after="0" w:line="178" w:lineRule="exact"/>
        <w:rPr>
          <w:sz w:val="20"/>
          <w:szCs w:val="20"/>
          <w:color w:val="auto"/>
        </w:rPr>
      </w:pPr>
    </w:p>
    <w:p>
      <w:pPr>
        <w:jc w:val="both"/>
        <w:ind w:firstLine="619"/>
        <w:spacing w:after="0" w:line="264" w:lineRule="auto"/>
        <w:tabs>
          <w:tab w:leader="none" w:pos="1117"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Capital Requirements</w:t>
      </w:r>
      <w:r>
        <w:rPr>
          <w:rFonts w:ascii="Times New Roman" w:cs="Times New Roman" w:eastAsia="Times New Roman" w:hAnsi="Times New Roman"/>
          <w:sz w:val="19"/>
          <w:szCs w:val="19"/>
          <w:color w:val="auto"/>
        </w:rPr>
        <w:t>. If any Lender or any L/C Issuer determines that any Change in Law affecting such Lender or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applicable L/C Issuer or any Lending Office of such Lender or such Lender’s or the applicable L/C Issuer’s holding company, if any, regarding capital</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auto"/>
        </w:rPr>
        <w:t>72</w:t>
      </w:r>
    </w:p>
    <w:p>
      <w:pPr>
        <w:sectPr>
          <w:pgSz w:w="11900" w:h="16838" w:orient="portrait"/>
          <w:cols w:equalWidth="0" w:num="1">
            <w:col w:w="10620"/>
          </w:cols>
          <w:pgMar w:left="940" w:top="1440" w:right="339" w:bottom="1440" w:gutter="0" w:footer="0" w:header="0"/>
        </w:sectPr>
      </w:pPr>
    </w:p>
    <w:bookmarkStart w:id="123" w:name="page124"/>
    <w:bookmarkEnd w:id="123"/>
    <w:p>
      <w:pPr>
        <w:spacing w:after="0" w:line="122" w:lineRule="exact"/>
        <w:rPr>
          <w:sz w:val="20"/>
          <w:szCs w:val="20"/>
          <w:color w:val="auto"/>
        </w:rPr>
      </w:pPr>
    </w:p>
    <w:p>
      <w:pPr>
        <w:jc w:val="both"/>
        <w:ind w:left="620"/>
        <w:spacing w:after="0" w:line="252" w:lineRule="auto"/>
        <w:rPr>
          <w:sz w:val="20"/>
          <w:szCs w:val="20"/>
          <w:color w:val="auto"/>
        </w:rPr>
      </w:pPr>
      <w:r>
        <w:rPr>
          <w:rFonts w:ascii="Times New Roman" w:cs="Times New Roman" w:eastAsia="Times New Roman" w:hAnsi="Times New Roman"/>
          <w:sz w:val="19"/>
          <w:szCs w:val="19"/>
          <w:color w:val="auto"/>
        </w:rPr>
        <w:t>or liquidity requirements has or would have the effect of reducing the rate of return on such Lender’s or the applicable L/C Issuer’s capital or on the capital of such Lender’s or the applicable L/C Issuer’s holding company, if any, as a consequence of this Agreement, the Commitment of such Lender or the Loans made by, or participations in L/Cs held by, such Lender, or the L/Cs issued by the applicable L/C Issuer, to a level below that which such Lender or the applicable L/C Issuer or such Lender’s or the applicable L/C Issuer’s holding company could have achieved but for such Change in Law (taking into consideration such Lender’s or the applicable L/C Issuer’s policies and the policies of such Lender’s or the applicable L/C Issuer’s holding company with respect to capital adequacy and liquidity), then from time to time, upon demand of such Lender or the applicable L/C Issuer, Borrower will pay to such Lender or the applicable L/C Issuer, as the case may be, such additional amount as will compensate such Lender or the applicable L/C Issuer or such Lender’s or the applicable L/C Issuer’s holding company for any such reduction suffered.</w:t>
      </w:r>
    </w:p>
    <w:p>
      <w:pPr>
        <w:spacing w:after="0" w:line="170" w:lineRule="exact"/>
        <w:rPr>
          <w:sz w:val="20"/>
          <w:szCs w:val="20"/>
          <w:color w:val="auto"/>
        </w:rPr>
      </w:pPr>
    </w:p>
    <w:p>
      <w:pPr>
        <w:jc w:val="both"/>
        <w:ind w:left="620" w:firstLine="619"/>
        <w:spacing w:after="0" w:line="261" w:lineRule="auto"/>
        <w:tabs>
          <w:tab w:leader="none" w:pos="1649"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Certificates for Reimbursement</w:t>
      </w:r>
      <w:r>
        <w:rPr>
          <w:rFonts w:ascii="Times New Roman" w:cs="Times New Roman" w:eastAsia="Times New Roman" w:hAnsi="Times New Roman"/>
          <w:sz w:val="19"/>
          <w:szCs w:val="19"/>
          <w:color w:val="auto"/>
        </w:rPr>
        <w:t>. A certificate of a Lender or any L/C Issuer setting forth the amount or amounts necessary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compensate such Lender or the applicable L/C Issuer or its holding company, as the case may be, as specified in </w:t>
      </w:r>
      <w:r>
        <w:rPr>
          <w:rFonts w:ascii="Times New Roman" w:cs="Times New Roman" w:eastAsia="Times New Roman" w:hAnsi="Times New Roman"/>
          <w:sz w:val="19"/>
          <w:szCs w:val="19"/>
          <w:b w:val="1"/>
          <w:bCs w:val="1"/>
          <w:i w:val="1"/>
          <w:iCs w:val="1"/>
          <w:color w:val="auto"/>
        </w:rPr>
        <w:t>subsection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of this Section and delivered to Borrower shall be conclusive absent manifest error. Borrower shall pay such Lender or the applicable L/C Issuer, as the case may be, the amount shown as due on any such certificate within 10 days after receipt thereof.</w:t>
      </w:r>
    </w:p>
    <w:p>
      <w:pPr>
        <w:spacing w:after="0" w:line="169" w:lineRule="exact"/>
        <w:rPr>
          <w:rFonts w:ascii="Times New Roman" w:cs="Times New Roman" w:eastAsia="Times New Roman" w:hAnsi="Times New Roman"/>
          <w:sz w:val="19"/>
          <w:szCs w:val="19"/>
          <w:color w:val="auto"/>
        </w:rPr>
      </w:pPr>
    </w:p>
    <w:p>
      <w:pPr>
        <w:jc w:val="both"/>
        <w:ind w:left="620" w:firstLine="619"/>
        <w:spacing w:after="0" w:line="253" w:lineRule="auto"/>
        <w:tabs>
          <w:tab w:leader="none" w:pos="1698"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Delay in Requests</w:t>
      </w:r>
      <w:r>
        <w:rPr>
          <w:rFonts w:ascii="Times New Roman" w:cs="Times New Roman" w:eastAsia="Times New Roman" w:hAnsi="Times New Roman"/>
          <w:sz w:val="19"/>
          <w:szCs w:val="19"/>
          <w:color w:val="auto"/>
        </w:rPr>
        <w:t>. Failure or delay on the part of any Lender or either L/C Issuer to demand compensation pursuant to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foregoing provisions of this Section shall not constitute a waiver of such Lender’s or the applicable L/C Issuer’s right to demand such compensation,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that Borrower shall not be required to compensate a Lender or the applicable L/C Issuer pursuant to the foregoing provisions of this Section for any increased costs incurred or reductions suffered more than nine months prior to the date that such Lender or the applicable L/C Issuer, as the case may be, notifies Borrower of the Change in Law giving rise to such increased costs or reductions and of such Lender’s or the applicable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2" w:lineRule="exact"/>
        <w:rPr>
          <w:sz w:val="20"/>
          <w:szCs w:val="20"/>
          <w:color w:val="auto"/>
        </w:rPr>
      </w:pPr>
    </w:p>
    <w:p>
      <w:pPr>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4.5 </w:t>
      </w:r>
      <w:r>
        <w:rPr>
          <w:rFonts w:ascii="Times New Roman" w:cs="Times New Roman" w:eastAsia="Times New Roman" w:hAnsi="Times New Roman"/>
          <w:sz w:val="19"/>
          <w:szCs w:val="19"/>
          <w:u w:val="single" w:color="auto"/>
          <w:color w:val="auto"/>
        </w:rPr>
        <w:t>Compensation for Losses</w:t>
      </w:r>
      <w:r>
        <w:rPr>
          <w:rFonts w:ascii="Times New Roman" w:cs="Times New Roman" w:eastAsia="Times New Roman" w:hAnsi="Times New Roman"/>
          <w:sz w:val="19"/>
          <w:szCs w:val="19"/>
          <w:color w:val="auto"/>
        </w:rPr>
        <w:t>. Upon demand of any Lender (with a copy to Administrative Agent) from time to time, Borrower shall promptly compensate such Lender for and hold such Lender harmless from any loss, cost, or expense incurred by it as a result of:</w:t>
      </w:r>
    </w:p>
    <w:p>
      <w:pPr>
        <w:spacing w:after="0" w:line="156" w:lineRule="exact"/>
        <w:rPr>
          <w:sz w:val="20"/>
          <w:szCs w:val="20"/>
          <w:color w:val="auto"/>
        </w:rPr>
      </w:pPr>
    </w:p>
    <w:p>
      <w:pPr>
        <w:ind w:left="620" w:firstLine="619"/>
        <w:spacing w:after="0" w:line="268" w:lineRule="auto"/>
        <w:tabs>
          <w:tab w:leader="none" w:pos="1649"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continuation, conversion, payment, or prepayment of any Loan bearing interest at Term SOFR on a day other than the last day of the Interest Period for such Loan (whether voluntary, mandatory, automatic, by reason of acceleration, or otherwise);</w:t>
      </w:r>
    </w:p>
    <w:p>
      <w:pPr>
        <w:spacing w:after="0" w:line="168" w:lineRule="exact"/>
        <w:rPr>
          <w:rFonts w:ascii="Times New Roman" w:cs="Times New Roman" w:eastAsia="Times New Roman" w:hAnsi="Times New Roman"/>
          <w:sz w:val="19"/>
          <w:szCs w:val="19"/>
          <w:color w:val="auto"/>
        </w:rPr>
      </w:pPr>
    </w:p>
    <w:p>
      <w:pPr>
        <w:ind w:left="620" w:firstLine="619"/>
        <w:spacing w:after="0" w:line="268" w:lineRule="auto"/>
        <w:tabs>
          <w:tab w:leader="none" w:pos="1712"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by Borrower (for a reason other than the failure of such Lender to make an advance at Term SOFR) to prepay, borrow, continue, or convert any Loan other than a Base Rate Loan on the date or in the amount notified by Borrower;</w:t>
      </w:r>
    </w:p>
    <w:p>
      <w:pPr>
        <w:spacing w:after="0" w:line="168" w:lineRule="exact"/>
        <w:rPr>
          <w:rFonts w:ascii="Times New Roman" w:cs="Times New Roman" w:eastAsia="Times New Roman" w:hAnsi="Times New Roman"/>
          <w:sz w:val="19"/>
          <w:szCs w:val="19"/>
          <w:color w:val="auto"/>
        </w:rPr>
      </w:pPr>
    </w:p>
    <w:p>
      <w:pPr>
        <w:ind w:left="620" w:firstLine="619"/>
        <w:spacing w:after="0" w:line="282" w:lineRule="auto"/>
        <w:tabs>
          <w:tab w:leader="none" w:pos="1688"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assignment of Loans bearing interest at Term SOFR on a day other than the last day of the Interest Period therefor as a result of a request by Borrower pursuant to </w:t>
      </w:r>
      <w:r>
        <w:rPr>
          <w:rFonts w:ascii="Times New Roman" w:cs="Times New Roman" w:eastAsia="Times New Roman" w:hAnsi="Times New Roman"/>
          <w:sz w:val="19"/>
          <w:szCs w:val="19"/>
          <w:b w:val="1"/>
          <w:bCs w:val="1"/>
          <w:i w:val="1"/>
          <w:iCs w:val="1"/>
          <w:color w:val="auto"/>
        </w:rPr>
        <w:t>Section 15.14</w:t>
      </w:r>
      <w:r>
        <w:rPr>
          <w:rFonts w:ascii="Times New Roman" w:cs="Times New Roman" w:eastAsia="Times New Roman" w:hAnsi="Times New Roman"/>
          <w:sz w:val="19"/>
          <w:szCs w:val="19"/>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73</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21" w:lineRule="exact"/>
        <w:rPr>
          <w:sz w:val="20"/>
          <w:szCs w:val="20"/>
          <w:color w:val="auto"/>
        </w:rPr>
      </w:pPr>
    </w:p>
    <w:p>
      <w:pPr>
        <w:ind w:left="620" w:firstLine="619"/>
        <w:spacing w:after="0" w:line="282" w:lineRule="auto"/>
        <w:tabs>
          <w:tab w:leader="none" w:pos="1655"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by Borrower to make payment of any Loan or of any drawing under any L/C (or interest due thereon) denominated in the Alternative Currency on its scheduled due date or any payment thereof in a different currency;</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including any loss of anticipated profits and any loss or expense arising from the liquidation or reemployment of funds obtained by it to maintain such Loan bearing interest at Term SOFR or from fees payable to terminate the deposits from which such funds were obtained. Borrower shall also pay any customary administrative fees charged by such Lender in connection with the foregoing.</w:t>
      </w:r>
    </w:p>
    <w:p>
      <w:pPr>
        <w:spacing w:after="0" w:line="1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 xml:space="preserve">The amounts payable under this </w:t>
      </w:r>
      <w:r>
        <w:rPr>
          <w:rFonts w:ascii="Times New Roman" w:cs="Times New Roman" w:eastAsia="Times New Roman" w:hAnsi="Times New Roman"/>
          <w:sz w:val="19"/>
          <w:szCs w:val="19"/>
          <w:b w:val="1"/>
          <w:bCs w:val="1"/>
          <w:i w:val="1"/>
          <w:iCs w:val="1"/>
          <w:color w:val="auto"/>
        </w:rPr>
        <w:t>Section 4.5</w:t>
      </w:r>
      <w:r>
        <w:rPr>
          <w:rFonts w:ascii="Times New Roman" w:cs="Times New Roman" w:eastAsia="Times New Roman" w:hAnsi="Times New Roman"/>
          <w:sz w:val="19"/>
          <w:szCs w:val="19"/>
          <w:color w:val="auto"/>
        </w:rPr>
        <w:t xml:space="preserve"> shall never be less than zero or greater than is permitted by applicable Law. For the avoidance of doubt, no amounts will be owing under this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in connection with the prepayment of any Daily SOFR Rate Loan or Base Rate Loan (if any).</w:t>
      </w:r>
    </w:p>
    <w:p>
      <w:pPr>
        <w:spacing w:after="0" w:line="13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4.6</w:t>
      </w:r>
      <w:r>
        <w:rPr>
          <w:sz w:val="20"/>
          <w:szCs w:val="20"/>
          <w:color w:val="auto"/>
        </w:rPr>
        <w:tab/>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left="620" w:firstLine="619"/>
        <w:spacing w:after="0" w:line="253" w:lineRule="auto"/>
        <w:tabs>
          <w:tab w:leader="none" w:pos="1636"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Designation of a Different Lending Office</w:t>
      </w:r>
      <w:r>
        <w:rPr>
          <w:rFonts w:ascii="Times New Roman" w:cs="Times New Roman" w:eastAsia="Times New Roman" w:hAnsi="Times New Roman"/>
          <w:sz w:val="19"/>
          <w:szCs w:val="19"/>
          <w:color w:val="auto"/>
        </w:rPr>
        <w:t>. If any Lender requests compensation under</w:t>
      </w:r>
      <w:r>
        <w:rPr>
          <w:rFonts w:ascii="Times New Roman" w:cs="Times New Roman" w:eastAsia="Times New Roman" w:hAnsi="Times New Roman"/>
          <w:sz w:val="19"/>
          <w:szCs w:val="19"/>
          <w:b w:val="1"/>
          <w:bCs w:val="1"/>
          <w:i w:val="1"/>
          <w:iCs w:val="1"/>
          <w:color w:val="auto"/>
        </w:rPr>
        <w:t xml:space="preserve"> Section 4.4</w:t>
      </w:r>
      <w:r>
        <w:rPr>
          <w:rFonts w:ascii="Times New Roman" w:cs="Times New Roman" w:eastAsia="Times New Roman" w:hAnsi="Times New Roman"/>
          <w:sz w:val="19"/>
          <w:szCs w:val="19"/>
          <w:color w:val="auto"/>
        </w:rPr>
        <w:t>, or Borrower is required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pay any Indemnified Taxes or additional amounts to any Lender or any Governmental Authority for the account of any Lender pursuant to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or if any Lender gives a notice pursuant to</w:t>
      </w:r>
      <w:r>
        <w:rPr>
          <w:rFonts w:ascii="Times New Roman" w:cs="Times New Roman" w:eastAsia="Times New Roman" w:hAnsi="Times New Roman"/>
          <w:sz w:val="19"/>
          <w:szCs w:val="19"/>
          <w:b w:val="1"/>
          <w:bCs w:val="1"/>
          <w:i w:val="1"/>
          <w:iCs w:val="1"/>
          <w:color w:val="auto"/>
        </w:rPr>
        <w:t xml:space="preserve"> Section 4.2</w:t>
      </w:r>
      <w:r>
        <w:rPr>
          <w:rFonts w:ascii="Times New Roman" w:cs="Times New Roman" w:eastAsia="Times New Roman" w:hAnsi="Times New Roman"/>
          <w:sz w:val="19"/>
          <w:szCs w:val="19"/>
          <w:color w:val="auto"/>
        </w:rPr>
        <w:t>, then such Lender shall use reasonable efforts to designate a different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4.4</w:t>
      </w:r>
      <w:r>
        <w:rPr>
          <w:rFonts w:ascii="Times New Roman" w:cs="Times New Roman" w:eastAsia="Times New Roman" w:hAnsi="Times New Roman"/>
          <w:sz w:val="19"/>
          <w:szCs w:val="19"/>
          <w:color w:val="auto"/>
        </w:rPr>
        <w:t xml:space="preserve">, as the case may be, in the future, or eliminate the need for the notice pursuant to </w:t>
      </w:r>
      <w:r>
        <w:rPr>
          <w:rFonts w:ascii="Times New Roman" w:cs="Times New Roman" w:eastAsia="Times New Roman" w:hAnsi="Times New Roman"/>
          <w:sz w:val="19"/>
          <w:szCs w:val="19"/>
          <w:b w:val="1"/>
          <w:bCs w:val="1"/>
          <w:i w:val="1"/>
          <w:iCs w:val="1"/>
          <w:color w:val="auto"/>
        </w:rPr>
        <w:t>Section 4.2</w:t>
      </w:r>
      <w:r>
        <w:rPr>
          <w:rFonts w:ascii="Times New Roman" w:cs="Times New Roman" w:eastAsia="Times New Roman" w:hAnsi="Times New Roman"/>
          <w:sz w:val="19"/>
          <w:szCs w:val="19"/>
          <w:color w:val="auto"/>
        </w:rPr>
        <w:t>, as applicable, and (ii) in each case, would not subject such Lender to any unreimbursed cost or expense and would not otherwise be materially disadvantageous to such Lender. Borrower hereby agrees to pay all reasonable costs and expenses incurred by any Lender in connection with any such designation or assignment.</w:t>
      </w:r>
    </w:p>
    <w:p>
      <w:pPr>
        <w:spacing w:after="0" w:line="167" w:lineRule="exact"/>
        <w:rPr>
          <w:rFonts w:ascii="Times New Roman" w:cs="Times New Roman" w:eastAsia="Times New Roman" w:hAnsi="Times New Roman"/>
          <w:sz w:val="19"/>
          <w:szCs w:val="19"/>
          <w:color w:val="auto"/>
        </w:rPr>
      </w:pPr>
    </w:p>
    <w:p>
      <w:pPr>
        <w:jc w:val="both"/>
        <w:ind w:left="620" w:firstLine="619"/>
        <w:spacing w:after="0" w:line="264" w:lineRule="auto"/>
        <w:tabs>
          <w:tab w:leader="none" w:pos="175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Replacement of Lenders</w:t>
      </w:r>
      <w:r>
        <w:rPr>
          <w:rFonts w:ascii="Times New Roman" w:cs="Times New Roman" w:eastAsia="Times New Roman" w:hAnsi="Times New Roman"/>
          <w:sz w:val="19"/>
          <w:szCs w:val="19"/>
          <w:color w:val="auto"/>
        </w:rPr>
        <w:t>. If any Lender requests compensation under</w:t>
      </w:r>
      <w:r>
        <w:rPr>
          <w:rFonts w:ascii="Times New Roman" w:cs="Times New Roman" w:eastAsia="Times New Roman" w:hAnsi="Times New Roman"/>
          <w:sz w:val="19"/>
          <w:szCs w:val="19"/>
          <w:b w:val="1"/>
          <w:bCs w:val="1"/>
          <w:i w:val="1"/>
          <w:iCs w:val="1"/>
          <w:color w:val="auto"/>
        </w:rPr>
        <w:t xml:space="preserve"> Section 4.4</w:t>
      </w:r>
      <w:r>
        <w:rPr>
          <w:rFonts w:ascii="Times New Roman" w:cs="Times New Roman" w:eastAsia="Times New Roman" w:hAnsi="Times New Roman"/>
          <w:sz w:val="19"/>
          <w:szCs w:val="19"/>
          <w:color w:val="auto"/>
        </w:rPr>
        <w:t>, or if Borrower is required to pay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additional amount to any Lender or any Governmental Authority for the account of any Lender pursuant to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xml:space="preserve">, Borrower may replace such Lender in accordance with </w:t>
      </w:r>
      <w:r>
        <w:rPr>
          <w:rFonts w:ascii="Times New Roman" w:cs="Times New Roman" w:eastAsia="Times New Roman" w:hAnsi="Times New Roman"/>
          <w:sz w:val="19"/>
          <w:szCs w:val="19"/>
          <w:b w:val="1"/>
          <w:bCs w:val="1"/>
          <w:i w:val="1"/>
          <w:iCs w:val="1"/>
          <w:color w:val="auto"/>
        </w:rPr>
        <w:t>Section 15.14</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firstLine="618"/>
        <w:spacing w:after="0" w:line="275" w:lineRule="auto"/>
        <w:rPr>
          <w:sz w:val="20"/>
          <w:szCs w:val="20"/>
          <w:color w:val="auto"/>
        </w:rPr>
      </w:pPr>
      <w:r>
        <w:rPr>
          <w:rFonts w:ascii="Times New Roman" w:cs="Times New Roman" w:eastAsia="Times New Roman" w:hAnsi="Times New Roman"/>
          <w:sz w:val="19"/>
          <w:szCs w:val="19"/>
          <w:color w:val="auto"/>
        </w:rPr>
        <w:t xml:space="preserve">4.7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xml:space="preserve">. All of Borrower’s obligations under this </w:t>
      </w:r>
      <w:r>
        <w:rPr>
          <w:rFonts w:ascii="Times New Roman" w:cs="Times New Roman" w:eastAsia="Times New Roman" w:hAnsi="Times New Roman"/>
          <w:sz w:val="19"/>
          <w:szCs w:val="19"/>
          <w:b w:val="1"/>
          <w:bCs w:val="1"/>
          <w:i w:val="1"/>
          <w:iCs w:val="1"/>
          <w:color w:val="auto"/>
        </w:rPr>
        <w:t>Section 4</w:t>
      </w:r>
      <w:r>
        <w:rPr>
          <w:rFonts w:ascii="Times New Roman" w:cs="Times New Roman" w:eastAsia="Times New Roman" w:hAnsi="Times New Roman"/>
          <w:sz w:val="19"/>
          <w:szCs w:val="19"/>
          <w:color w:val="auto"/>
        </w:rPr>
        <w:t xml:space="preserve"> shall survive termination of the Total Commitment and repayment of the Obligation hereunder.</w:t>
      </w:r>
    </w:p>
    <w:p>
      <w:pPr>
        <w:spacing w:after="0" w:line="15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b w:val="1"/>
          <w:bCs w:val="1"/>
          <w:u w:val="single" w:color="auto"/>
          <w:color w:val="auto"/>
        </w:rPr>
        <w:t>SECTION 5</w:t>
      </w:r>
      <w:r>
        <w:rPr>
          <w:sz w:val="20"/>
          <w:szCs w:val="20"/>
          <w:color w:val="auto"/>
        </w:rPr>
        <w:tab/>
      </w:r>
      <w:r>
        <w:rPr>
          <w:rFonts w:ascii="Times New Roman" w:cs="Times New Roman" w:eastAsia="Times New Roman" w:hAnsi="Times New Roman"/>
          <w:sz w:val="18"/>
          <w:szCs w:val="18"/>
          <w:b w:val="1"/>
          <w:bCs w:val="1"/>
          <w:u w:val="single" w:color="auto"/>
          <w:color w:val="auto"/>
        </w:rPr>
        <w:t>FEES.</w:t>
      </w:r>
    </w:p>
    <w:p>
      <w:pPr>
        <w:spacing w:after="0" w:line="217" w:lineRule="exact"/>
        <w:rPr>
          <w:sz w:val="20"/>
          <w:szCs w:val="20"/>
          <w:color w:val="auto"/>
        </w:rPr>
      </w:pPr>
    </w:p>
    <w:p>
      <w:pPr>
        <w:jc w:val="both"/>
        <w:ind w:firstLine="618"/>
        <w:spacing w:after="0" w:line="27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Treatment of Fees</w:t>
      </w:r>
      <w:r>
        <w:rPr>
          <w:rFonts w:ascii="Times New Roman" w:cs="Times New Roman" w:eastAsia="Times New Roman" w:hAnsi="Times New Roman"/>
          <w:sz w:val="18"/>
          <w:szCs w:val="18"/>
          <w:color w:val="auto"/>
        </w:rPr>
        <w:t xml:space="preserve">. The fees described in this </w:t>
      </w:r>
      <w:r>
        <w:rPr>
          <w:rFonts w:ascii="Times New Roman" w:cs="Times New Roman" w:eastAsia="Times New Roman" w:hAnsi="Times New Roman"/>
          <w:sz w:val="18"/>
          <w:szCs w:val="18"/>
          <w:b w:val="1"/>
          <w:bCs w:val="1"/>
          <w:i w:val="1"/>
          <w:iCs w:val="1"/>
          <w:color w:val="auto"/>
        </w:rPr>
        <w:t>Section 5</w:t>
      </w:r>
      <w:r>
        <w:rPr>
          <w:rFonts w:ascii="Times New Roman" w:cs="Times New Roman" w:eastAsia="Times New Roman" w:hAnsi="Times New Roman"/>
          <w:sz w:val="18"/>
          <w:szCs w:val="18"/>
          <w:color w:val="auto"/>
        </w:rPr>
        <w:t xml:space="preserve"> (a) are not compensation for the use, detention, or forbearance of money, (b) are in addition to, and not in lieu of, interest and expenses otherwise described in this Agreement, (c) are payable in accordance with </w:t>
      </w:r>
      <w:r>
        <w:rPr>
          <w:rFonts w:ascii="Times New Roman" w:cs="Times New Roman" w:eastAsia="Times New Roman" w:hAnsi="Times New Roman"/>
          <w:sz w:val="18"/>
          <w:szCs w:val="18"/>
          <w:b w:val="1"/>
          <w:bCs w:val="1"/>
          <w:i w:val="1"/>
          <w:iCs w:val="1"/>
          <w:color w:val="auto"/>
        </w:rPr>
        <w:t>Section 3.1(c)</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 are non-refundable, and (e) to the fullest extent permitted by Law, bear interest, if not paid when due, at the Default Rate.</w:t>
      </w:r>
    </w:p>
    <w:p>
      <w:pPr>
        <w:spacing w:after="0" w:line="194"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19"/>
          <w:szCs w:val="19"/>
          <w:u w:val="single" w:color="auto"/>
          <w:color w:val="auto"/>
        </w:rPr>
        <w:t>Fee Letter</w:t>
      </w:r>
      <w:r>
        <w:rPr>
          <w:rFonts w:ascii="Times New Roman" w:cs="Times New Roman" w:eastAsia="Times New Roman" w:hAnsi="Times New Roman"/>
          <w:sz w:val="19"/>
          <w:szCs w:val="19"/>
          <w:color w:val="auto"/>
        </w:rPr>
        <w:t>. Borrower shall pay to the Joint Lead Arrangers and Administrative Agent, for their respective accounts or for the respective accounts of Lenders, as the case may be, fees in the amounts and at the times specified in the applicable Fee Letter. Such fees shall be fully earned when paid and shall not be refundable for any reason whatsoever.</w:t>
      </w:r>
    </w:p>
    <w:p>
      <w:pPr>
        <w:spacing w:after="0" w:line="15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5.3</w:t>
      </w:r>
      <w:r>
        <w:rPr>
          <w:sz w:val="20"/>
          <w:szCs w:val="20"/>
          <w:color w:val="auto"/>
        </w:rPr>
        <w:tab/>
      </w:r>
      <w:r>
        <w:rPr>
          <w:rFonts w:ascii="Times New Roman" w:cs="Times New Roman" w:eastAsia="Times New Roman" w:hAnsi="Times New Roman"/>
          <w:sz w:val="18"/>
          <w:szCs w:val="18"/>
          <w:u w:val="single" w:color="auto"/>
          <w:color w:val="auto"/>
        </w:rPr>
        <w:t>L/C Fees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74</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15" w:lineRule="exact"/>
        <w:rPr>
          <w:sz w:val="20"/>
          <w:szCs w:val="20"/>
          <w:color w:val="auto"/>
        </w:rPr>
      </w:pPr>
    </w:p>
    <w:p>
      <w:pPr>
        <w:jc w:val="both"/>
        <w:ind w:left="620" w:firstLine="619"/>
        <w:spacing w:after="0" w:line="251" w:lineRule="auto"/>
        <w:tabs>
          <w:tab w:leader="none" w:pos="1752"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L/C Fees</w:t>
      </w:r>
      <w:r>
        <w:rPr>
          <w:rFonts w:ascii="Times New Roman" w:cs="Times New Roman" w:eastAsia="Times New Roman" w:hAnsi="Times New Roman"/>
          <w:sz w:val="19"/>
          <w:szCs w:val="19"/>
          <w:color w:val="auto"/>
        </w:rPr>
        <w:t>. Borrower shall pay to Administrative Agent for the account of each Revolver Lender in accordance with its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Commitment Percentage (i) a fee for each commercial L/C equal to 1/8 of 1% per annum times the Dollar Equivalent of the actual daily maximum amount available to be drawn under each such L/C, and (ii) a fee for each standby L/C equal to the Applicable Margin for Term Reference Rate Loans </w:t>
      </w:r>
      <w:r>
        <w:rPr>
          <w:rFonts w:ascii="Times New Roman" w:cs="Times New Roman" w:eastAsia="Times New Roman" w:hAnsi="Times New Roman"/>
          <w:sz w:val="19"/>
          <w:szCs w:val="19"/>
          <w:i w:val="1"/>
          <w:iCs w:val="1"/>
          <w:color w:val="auto"/>
        </w:rPr>
        <w:t>times</w:t>
      </w:r>
      <w:r>
        <w:rPr>
          <w:rFonts w:ascii="Times New Roman" w:cs="Times New Roman" w:eastAsia="Times New Roman" w:hAnsi="Times New Roman"/>
          <w:sz w:val="19"/>
          <w:szCs w:val="19"/>
          <w:color w:val="auto"/>
        </w:rPr>
        <w:t xml:space="preserve"> the Dollar Equivalent of the actual daily maximum amount available to be drawn under each such L/C;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any L/C Fees otherwise payable for the account of a Defaulting Lender with respect to any L/C as to which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Defaulting Lender has not provided Cash Collateral satisfactory to the applicable L/C Issuer pursuant to </w:t>
      </w:r>
      <w:r>
        <w:rPr>
          <w:rFonts w:ascii="Times New Roman" w:cs="Times New Roman" w:eastAsia="Times New Roman" w:hAnsi="Times New Roman"/>
          <w:sz w:val="19"/>
          <w:szCs w:val="19"/>
          <w:b w:val="1"/>
          <w:bCs w:val="1"/>
          <w:i w:val="1"/>
          <w:iCs w:val="1"/>
          <w:color w:val="auto"/>
        </w:rPr>
        <w:t>Section 2.3</w:t>
      </w:r>
      <w:r>
        <w:rPr>
          <w:rFonts w:ascii="Times New Roman" w:cs="Times New Roman" w:eastAsia="Times New Roman" w:hAnsi="Times New Roman"/>
          <w:sz w:val="19"/>
          <w:szCs w:val="19"/>
          <w:color w:val="auto"/>
        </w:rPr>
        <w:t xml:space="preserve"> shall be payable, to the maximum extent permitted by applicable Law, to the other Revolver Lenders in accordance with the upward adjustments in their respective Commitment Percentages allocable to such L/C pursuant to </w:t>
      </w:r>
      <w:r>
        <w:rPr>
          <w:rFonts w:ascii="Times New Roman" w:cs="Times New Roman" w:eastAsia="Times New Roman" w:hAnsi="Times New Roman"/>
          <w:sz w:val="19"/>
          <w:szCs w:val="19"/>
          <w:b w:val="1"/>
          <w:bCs w:val="1"/>
          <w:i w:val="1"/>
          <w:iCs w:val="1"/>
          <w:color w:val="auto"/>
        </w:rPr>
        <w:t>Section 3.15(a)(iv)</w:t>
      </w:r>
      <w:r>
        <w:rPr>
          <w:rFonts w:ascii="Times New Roman" w:cs="Times New Roman" w:eastAsia="Times New Roman" w:hAnsi="Times New Roman"/>
          <w:sz w:val="19"/>
          <w:szCs w:val="19"/>
          <w:color w:val="auto"/>
        </w:rPr>
        <w:t>, with the balance of such fee, if any, payable to the applicable L/C Issuer for its own account. Such fee for each L/C shall be due and payable quarterly in arrears on each Quarterly Date, commencing with the first such date to occur after the issuance of such L/C, and on the expiration date of such L/C. If there is any change in the Applicable Margin during any quarter, the actual daily amount of each standby L/C shall be computed and multiplied by the Applicable Margin separately for each period during such quarter that such Applicable Margin was in effect. Notwithstanding anything to the contrary contained herein, upon the request of Required Revolver Lenders, while any Default exists, the fees set forth herein with respect to L/Cs shall accrue at the Default Rate.</w:t>
      </w:r>
    </w:p>
    <w:p>
      <w:pPr>
        <w:spacing w:after="0" w:line="175" w:lineRule="exact"/>
        <w:rPr>
          <w:rFonts w:ascii="Times New Roman" w:cs="Times New Roman" w:eastAsia="Times New Roman" w:hAnsi="Times New Roman"/>
          <w:sz w:val="19"/>
          <w:szCs w:val="19"/>
          <w:color w:val="auto"/>
        </w:rPr>
      </w:pPr>
    </w:p>
    <w:p>
      <w:pPr>
        <w:jc w:val="both"/>
        <w:ind w:left="620" w:firstLine="619"/>
        <w:spacing w:after="0" w:line="252" w:lineRule="auto"/>
        <w:tabs>
          <w:tab w:leader="none" w:pos="1698"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Fronting Fee and Documentary and Processing Charges Payable to L/C Issuers</w:t>
      </w:r>
      <w:r>
        <w:rPr>
          <w:rFonts w:ascii="Times New Roman" w:cs="Times New Roman" w:eastAsia="Times New Roman" w:hAnsi="Times New Roman"/>
          <w:sz w:val="19"/>
          <w:szCs w:val="19"/>
          <w:color w:val="auto"/>
        </w:rPr>
        <w:t>. Borrower shall pay directly to each L/C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Issuer, for its own account, a fronting fee in an amount specified in the applicable Fee Letter executed by Borrower and such L/C Issuer, or such other amount as may be agreed upon by Borrower and such L/C Issuer, or, with respect to commercial L/Cs, in an amount agreed upon by Borrower and such L/C Issuers. Such fronting fee shall be due and payable (i) with respect to standby L/Cs, on the tenth Business Day after the end of each January, April, July, and October in respect of the most recently-ended quarterly period (or portion thereof, in the case of the first payment), commencing with the first such date to occur after the issuance of such L/C, on the L/C Expiration Date, and thereafter on demand, or (ii) with respect to commercial L/Cs, upon the issuance thereof and with respect to any amendment increasing the amount of such commercial L/C, on the amount of such increase, and payable upon the effectiveness of such amendment. For purposes of computing the daily amount available to be drawn under any L/C, the amount of such L/C shall be determined in accordance with </w:t>
      </w:r>
      <w:r>
        <w:rPr>
          <w:rFonts w:ascii="Times New Roman" w:cs="Times New Roman" w:eastAsia="Times New Roman" w:hAnsi="Times New Roman"/>
          <w:sz w:val="19"/>
          <w:szCs w:val="19"/>
          <w:b w:val="1"/>
          <w:bCs w:val="1"/>
          <w:i w:val="1"/>
          <w:iCs w:val="1"/>
          <w:color w:val="auto"/>
        </w:rPr>
        <w:t>Section 1.7</w:t>
      </w:r>
      <w:r>
        <w:rPr>
          <w:rFonts w:ascii="Times New Roman" w:cs="Times New Roman" w:eastAsia="Times New Roman" w:hAnsi="Times New Roman"/>
          <w:sz w:val="19"/>
          <w:szCs w:val="19"/>
          <w:color w:val="auto"/>
        </w:rPr>
        <w:t>. In addition, Borrower shall pay directly to the applicable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70" w:lineRule="exact"/>
        <w:rPr>
          <w:rFonts w:ascii="Times New Roman" w:cs="Times New Roman" w:eastAsia="Times New Roman" w:hAnsi="Times New Roman"/>
          <w:sz w:val="19"/>
          <w:szCs w:val="19"/>
          <w:color w:val="auto"/>
        </w:rPr>
      </w:pPr>
    </w:p>
    <w:p>
      <w:pPr>
        <w:ind w:left="620" w:firstLine="619"/>
        <w:spacing w:after="0" w:line="289" w:lineRule="auto"/>
        <w:tabs>
          <w:tab w:leader="none" w:pos="1636"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Calculation of L/C Fees</w:t>
      </w:r>
      <w:r>
        <w:rPr>
          <w:rFonts w:ascii="Times New Roman" w:cs="Times New Roman" w:eastAsia="Times New Roman" w:hAnsi="Times New Roman"/>
          <w:sz w:val="19"/>
          <w:szCs w:val="19"/>
          <w:color w:val="auto"/>
        </w:rPr>
        <w:t>. Each L/C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 fee payable upon the issuance of the L/C) shall be calculated on the basis of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year of 360 days and the actual number of days elapsed.</w:t>
      </w:r>
    </w:p>
    <w:p>
      <w:pPr>
        <w:spacing w:after="0" w:line="149"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5.4 </w:t>
      </w:r>
      <w:r>
        <w:rPr>
          <w:rFonts w:ascii="Times New Roman" w:cs="Times New Roman" w:eastAsia="Times New Roman" w:hAnsi="Times New Roman"/>
          <w:sz w:val="19"/>
          <w:szCs w:val="19"/>
          <w:u w:val="single" w:color="auto"/>
          <w:color w:val="auto"/>
        </w:rPr>
        <w:t>Revolver Commitment Fee</w:t>
      </w:r>
      <w:r>
        <w:rPr>
          <w:rFonts w:ascii="Times New Roman" w:cs="Times New Roman" w:eastAsia="Times New Roman" w:hAnsi="Times New Roman"/>
          <w:sz w:val="19"/>
          <w:szCs w:val="19"/>
          <w:color w:val="auto"/>
        </w:rPr>
        <w:t xml:space="preserve">. Borrower shall pay to Administrative Agent for the account of each Revolver Lender in accordance with its Commitment Percentage, a commitment fee equal to the Applicable Percentage times the daily amount by which the Revolver Commitment exceeds the Revolver Commitment Usage. The commitment fee shall accrue at all times from the Closing Date to the Termination Date for the Revolver Facility, including at any time during which one or more of the conditions in </w:t>
      </w:r>
      <w:r>
        <w:rPr>
          <w:rFonts w:ascii="Times New Roman" w:cs="Times New Roman" w:eastAsia="Times New Roman" w:hAnsi="Times New Roman"/>
          <w:sz w:val="19"/>
          <w:szCs w:val="19"/>
          <w:b w:val="1"/>
          <w:bCs w:val="1"/>
          <w:i w:val="1"/>
          <w:iCs w:val="1"/>
          <w:color w:val="auto"/>
        </w:rPr>
        <w:t>Section 7</w:t>
      </w:r>
      <w:r>
        <w:rPr>
          <w:rFonts w:ascii="Times New Roman" w:cs="Times New Roman" w:eastAsia="Times New Roman" w:hAnsi="Times New Roman"/>
          <w:sz w:val="19"/>
          <w:szCs w:val="19"/>
          <w:color w:val="auto"/>
        </w:rPr>
        <w:t xml:space="preserve"> is not met, and shall be due and payable quarterly in arrears on each Quarterly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75</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Date, commencing with the first such date to occur after the Closing Date, and on the Termination Date for the Revolver Facility. The commitment fee shall be calculated quarterly in arrears on the basis of the actual days elapsed (including the first day but excluding the last day) in a calendar year of 360 days, and if there is any change in the Applicable Percentage during any quarter, the actual daily amount shall be computed and multiplied by the Applicable Percentage separately for each period during such quarter that such Applicable Percentage was in effect.</w:t>
      </w:r>
    </w:p>
    <w:p>
      <w:pPr>
        <w:spacing w:after="0" w:line="16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b w:val="1"/>
          <w:bCs w:val="1"/>
          <w:u w:val="single" w:color="auto"/>
          <w:color w:val="auto"/>
        </w:rPr>
        <w:t>SECTION 6</w:t>
      </w:r>
      <w:r>
        <w:rPr>
          <w:sz w:val="20"/>
          <w:szCs w:val="20"/>
          <w:color w:val="auto"/>
        </w:rPr>
        <w:tab/>
      </w:r>
      <w:r>
        <w:rPr>
          <w:rFonts w:ascii="Times New Roman" w:cs="Times New Roman" w:eastAsia="Times New Roman" w:hAnsi="Times New Roman"/>
          <w:sz w:val="18"/>
          <w:szCs w:val="18"/>
          <w:b w:val="1"/>
          <w:bCs w:val="1"/>
          <w:u w:val="single" w:color="auto"/>
          <w:color w:val="auto"/>
        </w:rPr>
        <w:t>GUARANTY AND SECURITY.</w:t>
      </w:r>
    </w:p>
    <w:p>
      <w:pPr>
        <w:spacing w:after="0" w:line="223"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u w:val="single" w:color="auto"/>
          <w:color w:val="auto"/>
        </w:rPr>
        <w:t>Guaranty</w:t>
      </w:r>
      <w:r>
        <w:rPr>
          <w:rFonts w:ascii="Times New Roman" w:cs="Times New Roman" w:eastAsia="Times New Roman" w:hAnsi="Times New Roman"/>
          <w:sz w:val="19"/>
          <w:szCs w:val="19"/>
          <w:color w:val="auto"/>
        </w:rPr>
        <w:t>. Full and complete payment of the Obligation under the Loan Papers shall be guaranteed in accordance with a Guaranty executed by each Restricted Company (other than Borrower) organized under the Laws of the United States (or any state thereof).</w:t>
      </w:r>
    </w:p>
    <w:p>
      <w:pPr>
        <w:spacing w:after="0" w:line="143"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xml:space="preserve">. Full and complete payment of the Obligation under the Loan Papers shall be secured by (a) all capital stock or other equity interests issued to a Restricted Company by any Restricted Subsidiary organized under the Laws of the United States (or any state thereof), other than the Northstar Subsidiaries and the Concessioner Subsidiaries, and (b) 65% of all capital stock or other equity interests issued to a Restricted Company organized under the Laws of the United States (or any state thereof) by any Restricted Subsidiary organized under the Laws of any country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the United States.</w:t>
      </w:r>
    </w:p>
    <w:p>
      <w:pPr>
        <w:spacing w:after="0" w:line="165"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6.3 </w:t>
      </w:r>
      <w:r>
        <w:rPr>
          <w:rFonts w:ascii="Times New Roman" w:cs="Times New Roman" w:eastAsia="Times New Roman" w:hAnsi="Times New Roman"/>
          <w:sz w:val="19"/>
          <w:szCs w:val="19"/>
          <w:u w:val="single" w:color="auto"/>
          <w:color w:val="auto"/>
        </w:rPr>
        <w:t>Additional Collateral and Guaranties</w:t>
      </w:r>
      <w:r>
        <w:rPr>
          <w:rFonts w:ascii="Times New Roman" w:cs="Times New Roman" w:eastAsia="Times New Roman" w:hAnsi="Times New Roman"/>
          <w:sz w:val="19"/>
          <w:szCs w:val="19"/>
          <w:color w:val="auto"/>
        </w:rPr>
        <w:t xml:space="preserve">. Administrative Agent may, without notice or demand and without affecting any Person’s obligations under the Loan Papers, from time to time (a) receive and hold additional collateral from any Person for the payment of all or any part of the Obligation (including, without limitation, collateral assigned to Administrative Agent pursuant to </w:t>
      </w:r>
      <w:r>
        <w:rPr>
          <w:rFonts w:ascii="Times New Roman" w:cs="Times New Roman" w:eastAsia="Times New Roman" w:hAnsi="Times New Roman"/>
          <w:sz w:val="19"/>
          <w:szCs w:val="19"/>
          <w:b w:val="1"/>
          <w:bCs w:val="1"/>
          <w:i w:val="1"/>
          <w:iCs w:val="1"/>
          <w:color w:val="auto"/>
        </w:rPr>
        <w:t>Section 2.3(i)(iv)</w:t>
      </w:r>
      <w:r>
        <w:rPr>
          <w:rFonts w:ascii="Times New Roman" w:cs="Times New Roman" w:eastAsia="Times New Roman" w:hAnsi="Times New Roman"/>
          <w:sz w:val="19"/>
          <w:szCs w:val="19"/>
          <w:color w:val="auto"/>
        </w:rPr>
        <w:t xml:space="preserve"> herein) and exchange, enforce, or release all or any part of such additional collateral (in accordance with </w:t>
      </w:r>
      <w:r>
        <w:rPr>
          <w:rFonts w:ascii="Times New Roman" w:cs="Times New Roman" w:eastAsia="Times New Roman" w:hAnsi="Times New Roman"/>
          <w:sz w:val="19"/>
          <w:szCs w:val="19"/>
          <w:b w:val="1"/>
          <w:bCs w:val="1"/>
          <w:i w:val="1"/>
          <w:iCs w:val="1"/>
          <w:color w:val="auto"/>
        </w:rPr>
        <w:t>Section 14.9</w:t>
      </w:r>
      <w:r>
        <w:rPr>
          <w:rFonts w:ascii="Times New Roman" w:cs="Times New Roman" w:eastAsia="Times New Roman" w:hAnsi="Times New Roman"/>
          <w:sz w:val="19"/>
          <w:szCs w:val="19"/>
          <w:color w:val="auto"/>
        </w:rPr>
        <w:t xml:space="preserve">), and (b) accept and hold any endorsement or guaranty of payment of all or any part of the Obligation and release any endorser or guarantor, or any Person who has given any other security for the payment of all or any part of the Obligation, or any other Person in any way obligated to pay all or any part of the Obligation (in accordance with </w:t>
      </w:r>
      <w:r>
        <w:rPr>
          <w:rFonts w:ascii="Times New Roman" w:cs="Times New Roman" w:eastAsia="Times New Roman" w:hAnsi="Times New Roman"/>
          <w:sz w:val="19"/>
          <w:szCs w:val="19"/>
          <w:b w:val="1"/>
          <w:bCs w:val="1"/>
          <w:i w:val="1"/>
          <w:iCs w:val="1"/>
          <w:color w:val="auto"/>
        </w:rPr>
        <w:t>Section 14.9</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9"/>
          <w:szCs w:val="19"/>
          <w:color w:val="auto"/>
        </w:rPr>
        <w:t xml:space="preserve">6.4 </w:t>
      </w:r>
      <w:r>
        <w:rPr>
          <w:rFonts w:ascii="Times New Roman" w:cs="Times New Roman" w:eastAsia="Times New Roman" w:hAnsi="Times New Roman"/>
          <w:sz w:val="19"/>
          <w:szCs w:val="19"/>
          <w:u w:val="single" w:color="auto"/>
          <w:color w:val="auto"/>
        </w:rPr>
        <w:t>Additional Documents or Information</w:t>
      </w:r>
      <w:r>
        <w:rPr>
          <w:rFonts w:ascii="Times New Roman" w:cs="Times New Roman" w:eastAsia="Times New Roman" w:hAnsi="Times New Roman"/>
          <w:sz w:val="19"/>
          <w:szCs w:val="19"/>
          <w:color w:val="auto"/>
        </w:rPr>
        <w:t>. Each Restricted Company will execute or cause to be executed, stock powers, control agreements, and other writings in the form and content reasonably required by Administrative Agent, and shall deliver (or grant Administrative Agent the authority to file on behalf of each Restricted Company) financing statements requested by Administrative Agent. Borrower shall pay all costs of (a) filing any financing, continuation, amendment, or terminations statements, or (b) other actions taken by Administrative Agent relating to the Collateral, including, without limitation, costs, and expenses of any Lien search required by Administrative Agent.</w:t>
      </w:r>
    </w:p>
    <w:p>
      <w:pPr>
        <w:spacing w:after="0" w:line="1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b w:val="1"/>
          <w:bCs w:val="1"/>
          <w:u w:val="single" w:color="auto"/>
          <w:color w:val="auto"/>
        </w:rPr>
        <w:t>SECTION 7</w:t>
      </w:r>
      <w:r>
        <w:rPr>
          <w:sz w:val="20"/>
          <w:szCs w:val="20"/>
          <w:color w:val="auto"/>
        </w:rPr>
        <w:tab/>
      </w:r>
      <w:r>
        <w:rPr>
          <w:rFonts w:ascii="Times New Roman" w:cs="Times New Roman" w:eastAsia="Times New Roman" w:hAnsi="Times New Roman"/>
          <w:sz w:val="18"/>
          <w:szCs w:val="18"/>
          <w:b w:val="1"/>
          <w:bCs w:val="1"/>
          <w:u w:val="single" w:color="auto"/>
          <w:color w:val="auto"/>
        </w:rPr>
        <w:t>CONDITIONS PRECEDENT.</w:t>
      </w:r>
    </w:p>
    <w:p>
      <w:pPr>
        <w:spacing w:after="0" w:line="223"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7.1 </w:t>
      </w:r>
      <w:r>
        <w:rPr>
          <w:rFonts w:ascii="Times New Roman" w:cs="Times New Roman" w:eastAsia="Times New Roman" w:hAnsi="Times New Roman"/>
          <w:sz w:val="19"/>
          <w:szCs w:val="19"/>
          <w:u w:val="single" w:color="auto"/>
          <w:color w:val="auto"/>
        </w:rPr>
        <w:t>Initial Advance</w:t>
      </w:r>
      <w:r>
        <w:rPr>
          <w:rFonts w:ascii="Times New Roman" w:cs="Times New Roman" w:eastAsia="Times New Roman" w:hAnsi="Times New Roman"/>
          <w:sz w:val="19"/>
          <w:szCs w:val="19"/>
          <w:color w:val="auto"/>
        </w:rPr>
        <w:t xml:space="preserve">. Lenders will not be obligated to fund the initial Loans hereunder, and the L/C Issuers will not be obligated to issue the initial L/Cs hereunder, unless Administrative Agent has received each of the items in </w:t>
      </w:r>
      <w:r>
        <w:rPr>
          <w:rFonts w:ascii="Times New Roman" w:cs="Times New Roman" w:eastAsia="Times New Roman" w:hAnsi="Times New Roman"/>
          <w:sz w:val="19"/>
          <w:szCs w:val="19"/>
          <w:b w:val="1"/>
          <w:bCs w:val="1"/>
          <w:i w:val="1"/>
          <w:iCs w:val="1"/>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b w:val="1"/>
          <w:bCs w:val="1"/>
          <w:i w:val="1"/>
          <w:iCs w:val="1"/>
          <w:color w:val="auto"/>
        </w:rPr>
        <w:t>(k)</w:t>
      </w:r>
      <w:r>
        <w:rPr>
          <w:rFonts w:ascii="Times New Roman" w:cs="Times New Roman" w:eastAsia="Times New Roman" w:hAnsi="Times New Roman"/>
          <w:sz w:val="19"/>
          <w:szCs w:val="19"/>
          <w:color w:val="auto"/>
        </w:rPr>
        <w:t xml:space="preserve"> below, each in form and substance satisfactory to Administrative Agent and each of the Lenders, and the conditions in </w:t>
      </w:r>
      <w:r>
        <w:rPr>
          <w:rFonts w:ascii="Times New Roman" w:cs="Times New Roman" w:eastAsia="Times New Roman" w:hAnsi="Times New Roman"/>
          <w:sz w:val="19"/>
          <w:szCs w:val="19"/>
          <w:b w:val="1"/>
          <w:bCs w:val="1"/>
          <w:i w:val="1"/>
          <w:iCs w:val="1"/>
          <w:color w:val="auto"/>
        </w:rPr>
        <w:t>clauses (l)</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(m)</w:t>
      </w:r>
      <w:r>
        <w:rPr>
          <w:rFonts w:ascii="Times New Roman" w:cs="Times New Roman" w:eastAsia="Times New Roman" w:hAnsi="Times New Roman"/>
          <w:sz w:val="19"/>
          <w:szCs w:val="19"/>
          <w:color w:val="auto"/>
        </w:rPr>
        <w:t xml:space="preserve"> below have been satisfied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each item listed on </w:t>
      </w:r>
      <w:r>
        <w:rPr>
          <w:rFonts w:ascii="Times New Roman" w:cs="Times New Roman" w:eastAsia="Times New Roman" w:hAnsi="Times New Roman"/>
          <w:sz w:val="19"/>
          <w:szCs w:val="19"/>
          <w:b w:val="1"/>
          <w:bCs w:val="1"/>
          <w:i w:val="1"/>
          <w:iCs w:val="1"/>
          <w:color w:val="auto"/>
        </w:rPr>
        <w:t>Schedule 7.1</w:t>
      </w:r>
      <w:r>
        <w:rPr>
          <w:rFonts w:ascii="Times New Roman" w:cs="Times New Roman" w:eastAsia="Times New Roman" w:hAnsi="Times New Roman"/>
          <w:sz w:val="19"/>
          <w:szCs w:val="19"/>
          <w:color w:val="auto"/>
        </w:rPr>
        <w:t xml:space="preserve">, which items are hereby permitted to be delivered or satisfied after the Closing Date, but not later than the respective dates for delivery or satisfaction specified on </w:t>
      </w:r>
      <w:r>
        <w:rPr>
          <w:rFonts w:ascii="Times New Roman" w:cs="Times New Roman" w:eastAsia="Times New Roman" w:hAnsi="Times New Roman"/>
          <w:sz w:val="19"/>
          <w:szCs w:val="19"/>
          <w:b w:val="1"/>
          <w:bCs w:val="1"/>
          <w:i w:val="1"/>
          <w:iCs w:val="1"/>
          <w:color w:val="auto"/>
        </w:rPr>
        <w:t>Schedule 7.1</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1340" w:hanging="564"/>
        <w:spacing w:after="0"/>
        <w:tabs>
          <w:tab w:leader="none" w:pos="134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executed counterpart of this Agreement, sufficient in number for distribution to Administrative Agent, each Lender, and</w:t>
      </w:r>
    </w:p>
    <w:p>
      <w:pPr>
        <w:spacing w:after="0" w:line="20"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76</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15" w:lineRule="exact"/>
        <w:rPr>
          <w:sz w:val="20"/>
          <w:szCs w:val="20"/>
          <w:color w:val="auto"/>
        </w:rPr>
      </w:pPr>
    </w:p>
    <w:p>
      <w:pPr>
        <w:jc w:val="both"/>
        <w:ind w:left="-200" w:firstLine="776"/>
        <w:spacing w:after="0" w:line="286" w:lineRule="auto"/>
        <w:tabs>
          <w:tab w:leader="none" w:pos="974"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with respect to any Revolver Lender requesting a Revolver Note pursuant to </w:t>
      </w:r>
      <w:r>
        <w:rPr>
          <w:rFonts w:ascii="Times New Roman" w:cs="Times New Roman" w:eastAsia="Times New Roman" w:hAnsi="Times New Roman"/>
          <w:sz w:val="18"/>
          <w:szCs w:val="18"/>
          <w:b w:val="1"/>
          <w:bCs w:val="1"/>
          <w:i w:val="1"/>
          <w:iCs w:val="1"/>
          <w:color w:val="auto"/>
        </w:rPr>
        <w:t>Section 3.1(a)</w:t>
      </w:r>
      <w:r>
        <w:rPr>
          <w:rFonts w:ascii="Times New Roman" w:cs="Times New Roman" w:eastAsia="Times New Roman" w:hAnsi="Times New Roman"/>
          <w:sz w:val="18"/>
          <w:szCs w:val="18"/>
          <w:color w:val="auto"/>
        </w:rPr>
        <w:t xml:space="preserve">, a Revolver Note, payable to the order of such requesting Revolver Lender, as contemplated in </w:t>
      </w:r>
      <w:r>
        <w:rPr>
          <w:rFonts w:ascii="Times New Roman" w:cs="Times New Roman" w:eastAsia="Times New Roman" w:hAnsi="Times New Roman"/>
          <w:sz w:val="18"/>
          <w:szCs w:val="18"/>
          <w:b w:val="1"/>
          <w:bCs w:val="1"/>
          <w:i w:val="1"/>
          <w:iCs w:val="1"/>
          <w:color w:val="auto"/>
        </w:rPr>
        <w:t>Section 3.1(a)</w:t>
      </w:r>
      <w:r>
        <w:rPr>
          <w:rFonts w:ascii="Times New Roman" w:cs="Times New Roman" w:eastAsia="Times New Roman" w:hAnsi="Times New Roman"/>
          <w:sz w:val="18"/>
          <w:szCs w:val="18"/>
          <w:color w:val="auto"/>
        </w:rPr>
        <w:t xml:space="preserve">, and (ii) with respect to any Term Loan Lender requesting a Term Loan Note pursuant to </w:t>
      </w:r>
      <w:r>
        <w:rPr>
          <w:rFonts w:ascii="Times New Roman" w:cs="Times New Roman" w:eastAsia="Times New Roman" w:hAnsi="Times New Roman"/>
          <w:sz w:val="18"/>
          <w:szCs w:val="18"/>
          <w:b w:val="1"/>
          <w:bCs w:val="1"/>
          <w:i w:val="1"/>
          <w:iCs w:val="1"/>
          <w:color w:val="auto"/>
        </w:rPr>
        <w:t>Section 3.1(a)</w:t>
      </w:r>
      <w:r>
        <w:rPr>
          <w:rFonts w:ascii="Times New Roman" w:cs="Times New Roman" w:eastAsia="Times New Roman" w:hAnsi="Times New Roman"/>
          <w:sz w:val="18"/>
          <w:szCs w:val="18"/>
          <w:color w:val="auto"/>
        </w:rPr>
        <w:t xml:space="preserve">, a Term Loan Note, payable to the order of such requesting Term Loan Lender, as contemplated in </w:t>
      </w:r>
      <w:r>
        <w:rPr>
          <w:rFonts w:ascii="Times New Roman" w:cs="Times New Roman" w:eastAsia="Times New Roman" w:hAnsi="Times New Roman"/>
          <w:sz w:val="18"/>
          <w:szCs w:val="18"/>
          <w:b w:val="1"/>
          <w:bCs w:val="1"/>
          <w:i w:val="1"/>
          <w:iCs w:val="1"/>
          <w:color w:val="auto"/>
        </w:rPr>
        <w:t>Section 3.1(a)</w:t>
      </w:r>
      <w:r>
        <w:rPr>
          <w:rFonts w:ascii="Times New Roman" w:cs="Times New Roman" w:eastAsia="Times New Roman" w:hAnsi="Times New Roman"/>
          <w:sz w:val="18"/>
          <w:szCs w:val="18"/>
          <w:color w:val="auto"/>
        </w:rPr>
        <w:t>;</w:t>
      </w:r>
    </w:p>
    <w:p>
      <w:pPr>
        <w:spacing w:after="0" w:line="150" w:lineRule="exact"/>
        <w:rPr>
          <w:rFonts w:ascii="Times New Roman" w:cs="Times New Roman" w:eastAsia="Times New Roman" w:hAnsi="Times New Roman"/>
          <w:sz w:val="17"/>
          <w:szCs w:val="17"/>
          <w:color w:val="auto"/>
        </w:rPr>
      </w:pPr>
    </w:p>
    <w:p>
      <w:pPr>
        <w:ind w:left="-200" w:firstLine="776"/>
        <w:spacing w:after="0" w:line="287" w:lineRule="auto"/>
        <w:tabs>
          <w:tab w:leader="none" w:pos="1093"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any Restricted Company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Borrower) organized under the Laws of the United States (or any state thereof), a Guaranty executed by such Restricted Company;</w:t>
      </w:r>
    </w:p>
    <w:p>
      <w:pPr>
        <w:spacing w:after="0" w:line="138" w:lineRule="exact"/>
        <w:rPr>
          <w:rFonts w:ascii="Times New Roman" w:cs="Times New Roman" w:eastAsia="Times New Roman" w:hAnsi="Times New Roman"/>
          <w:sz w:val="19"/>
          <w:szCs w:val="19"/>
          <w:color w:val="auto"/>
        </w:rPr>
      </w:pPr>
    </w:p>
    <w:p>
      <w:pPr>
        <w:jc w:val="both"/>
        <w:ind w:left="-200" w:firstLine="776"/>
        <w:spacing w:after="0" w:line="261" w:lineRule="auto"/>
        <w:tabs>
          <w:tab w:leader="none" w:pos="1039"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from any Restricted Company organized under the Laws of the United States (or any state thereof) holding capital stock or other equity interests of any Restricted Subsidiary (other than stock in the Northstar Subsidiaries and the Concessioner Subsidiaries), a Pledge Agreement executed by such Person, pledging the portion of such capital stock or other equity interests required pursuant to </w:t>
      </w:r>
      <w:r>
        <w:rPr>
          <w:rFonts w:ascii="Times New Roman" w:cs="Times New Roman" w:eastAsia="Times New Roman" w:hAnsi="Times New Roman"/>
          <w:sz w:val="19"/>
          <w:szCs w:val="19"/>
          <w:b w:val="1"/>
          <w:bCs w:val="1"/>
          <w:i w:val="1"/>
          <w:iCs w:val="1"/>
          <w:color w:val="auto"/>
        </w:rPr>
        <w:t>Section 6.2</w:t>
      </w:r>
      <w:r>
        <w:rPr>
          <w:rFonts w:ascii="Times New Roman" w:cs="Times New Roman" w:eastAsia="Times New Roman" w:hAnsi="Times New Roman"/>
          <w:sz w:val="19"/>
          <w:szCs w:val="19"/>
          <w:color w:val="auto"/>
        </w:rPr>
        <w:t>;</w:t>
      </w:r>
    </w:p>
    <w:p>
      <w:pPr>
        <w:spacing w:after="0" w:line="175" w:lineRule="exact"/>
        <w:rPr>
          <w:rFonts w:ascii="Times New Roman" w:cs="Times New Roman" w:eastAsia="Times New Roman" w:hAnsi="Times New Roman"/>
          <w:sz w:val="19"/>
          <w:szCs w:val="19"/>
          <w:color w:val="auto"/>
        </w:rPr>
      </w:pPr>
    </w:p>
    <w:p>
      <w:pPr>
        <w:ind w:left="-200" w:firstLine="776"/>
        <w:spacing w:after="0" w:line="282" w:lineRule="auto"/>
        <w:tabs>
          <w:tab w:leader="none" w:pos="104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Officers’ Certificate for each Restricted Company, relating to articles of incorporation or organization, bylaws, regulations, or operating agreements, resolutions, and incumbency, as applicable;</w:t>
      </w:r>
    </w:p>
    <w:p>
      <w:pPr>
        <w:spacing w:after="0" w:line="143" w:lineRule="exact"/>
        <w:rPr>
          <w:rFonts w:ascii="Times New Roman" w:cs="Times New Roman" w:eastAsia="Times New Roman" w:hAnsi="Times New Roman"/>
          <w:sz w:val="19"/>
          <w:szCs w:val="19"/>
          <w:color w:val="auto"/>
        </w:rPr>
      </w:pPr>
    </w:p>
    <w:p>
      <w:pPr>
        <w:ind w:left="-200" w:firstLine="776"/>
        <w:spacing w:after="0" w:line="282" w:lineRule="auto"/>
        <w:tabs>
          <w:tab w:leader="none" w:pos="979"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Certificates of Existence and Good Standing (Account Status) for each domestic Restricted Company from its state of organization, each dated as of a recent date;</w:t>
      </w:r>
    </w:p>
    <w:p>
      <w:pPr>
        <w:spacing w:after="0" w:line="143" w:lineRule="exact"/>
        <w:rPr>
          <w:rFonts w:ascii="Times New Roman" w:cs="Times New Roman" w:eastAsia="Times New Roman" w:hAnsi="Times New Roman"/>
          <w:sz w:val="19"/>
          <w:szCs w:val="19"/>
          <w:color w:val="auto"/>
        </w:rPr>
      </w:pPr>
    </w:p>
    <w:p>
      <w:pPr>
        <w:ind w:left="-200" w:firstLine="776"/>
        <w:spacing w:after="0" w:line="282" w:lineRule="auto"/>
        <w:tabs>
          <w:tab w:leader="none" w:pos="992"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Legal opinions of Gibson, Dunn &amp; Crutcher, LLP, special New York counsel to the Restricted Companies, and such local counsel as Administrative Agent shall request, each in form and substance satisfactory to Administrative Agent;</w:t>
      </w:r>
    </w:p>
    <w:p>
      <w:pPr>
        <w:spacing w:after="0" w:line="156" w:lineRule="exact"/>
        <w:rPr>
          <w:rFonts w:ascii="Times New Roman" w:cs="Times New Roman" w:eastAsia="Times New Roman" w:hAnsi="Times New Roman"/>
          <w:sz w:val="19"/>
          <w:szCs w:val="19"/>
          <w:color w:val="auto"/>
        </w:rPr>
      </w:pPr>
    </w:p>
    <w:p>
      <w:pPr>
        <w:jc w:val="both"/>
        <w:ind w:left="-200" w:firstLine="776"/>
        <w:spacing w:after="0" w:line="252" w:lineRule="auto"/>
        <w:tabs>
          <w:tab w:leader="none" w:pos="986"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signed by a Responsible Officer certifying that (i) all of the representations and warranties of the Companies in the Loan Papers are true and correct in all material respects (except to the extent qualified by materiality, in which case they shall be true and correct); (ii) no Default or Potential Default exists under the Existing Agreement; (iii) no Default or Potential Default exists or would result from the execution and delivery of the Loan Papers or the proposed funding of the Loans or issuance of L/Cs on the Closing Date; (iv) there has been no event or circumstance since July 31, 2023 that has had or could be reasonably expected to result in, either individually or in the aggregate, a Material Adverse Event; and (v) except as set forth on </w:t>
      </w:r>
      <w:r>
        <w:rPr>
          <w:rFonts w:ascii="Times New Roman" w:cs="Times New Roman" w:eastAsia="Times New Roman" w:hAnsi="Times New Roman"/>
          <w:sz w:val="19"/>
          <w:szCs w:val="19"/>
          <w:b w:val="1"/>
          <w:bCs w:val="1"/>
          <w:i w:val="1"/>
          <w:iCs w:val="1"/>
          <w:color w:val="auto"/>
        </w:rPr>
        <w:t>Schedule 8.7</w:t>
      </w:r>
      <w:r>
        <w:rPr>
          <w:rFonts w:ascii="Times New Roman" w:cs="Times New Roman" w:eastAsia="Times New Roman" w:hAnsi="Times New Roman"/>
          <w:sz w:val="19"/>
          <w:szCs w:val="19"/>
          <w:color w:val="auto"/>
        </w:rPr>
        <w:t>, there is no action, suit, investigation, or proceeding pending or, to the knowledge of Borrower, threatened, in any court or before any arbitrator or Governmental Authority that could reasonably be expected to result in a Material Adverse Event;</w:t>
      </w:r>
    </w:p>
    <w:p>
      <w:pPr>
        <w:spacing w:after="0" w:line="173" w:lineRule="exact"/>
        <w:rPr>
          <w:rFonts w:ascii="Times New Roman" w:cs="Times New Roman" w:eastAsia="Times New Roman" w:hAnsi="Times New Roman"/>
          <w:sz w:val="19"/>
          <w:szCs w:val="19"/>
          <w:color w:val="auto"/>
        </w:rPr>
      </w:pPr>
    </w:p>
    <w:p>
      <w:pPr>
        <w:ind w:left="940" w:hanging="364"/>
        <w:spacing w:after="0"/>
        <w:tabs>
          <w:tab w:leader="none" w:pos="94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that all insurance required to be maintained pursuant to the Loan Papers has been obtained and is in effect;</w:t>
      </w:r>
    </w:p>
    <w:p>
      <w:pPr>
        <w:spacing w:after="0" w:line="219" w:lineRule="exact"/>
        <w:rPr>
          <w:rFonts w:ascii="Times New Roman" w:cs="Times New Roman" w:eastAsia="Times New Roman" w:hAnsi="Times New Roman"/>
          <w:sz w:val="19"/>
          <w:szCs w:val="19"/>
          <w:color w:val="auto"/>
        </w:rPr>
      </w:pPr>
    </w:p>
    <w:p>
      <w:pPr>
        <w:jc w:val="both"/>
        <w:ind w:left="-200" w:firstLine="776"/>
        <w:spacing w:after="0" w:line="259" w:lineRule="auto"/>
        <w:tabs>
          <w:tab w:leader="none" w:pos="979"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Lender that reasonably requests at least 5 days prior to the Closing Date, Borrower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3 days prior to the Closing Date.</w:t>
      </w:r>
    </w:p>
    <w:p>
      <w:pPr>
        <w:spacing w:after="0" w:line="164" w:lineRule="exact"/>
        <w:rPr>
          <w:rFonts w:ascii="Times New Roman" w:cs="Times New Roman" w:eastAsia="Times New Roman" w:hAnsi="Times New Roman"/>
          <w:sz w:val="19"/>
          <w:szCs w:val="19"/>
          <w:color w:val="auto"/>
        </w:rPr>
      </w:pPr>
    </w:p>
    <w:p>
      <w:pPr>
        <w:ind w:left="-200" w:firstLine="776"/>
        <w:spacing w:after="0" w:line="282" w:lineRule="auto"/>
        <w:tabs>
          <w:tab w:leader="none" w:pos="1087"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least 5 days prior to the Closing Date, Borrower that qualifies as a “legal entity customer” under the Beneficial Ownership Regulation shall deliver, to each Lender that so requests, a Beneficial Ownership Certification in relation to Borrower;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ectPr>
          <w:pgSz w:w="11900" w:h="16838" w:orient="portrait"/>
          <w:cols w:equalWidth="0" w:num="1">
            <w:col w:w="11040"/>
          </w:cols>
          <w:pgMar w:left="520" w:top="1440" w:right="339" w:bottom="1440" w:gutter="0" w:footer="0" w:header="0"/>
        </w:sectPr>
      </w:pPr>
    </w:p>
    <w:bookmarkStart w:id="128" w:name="page129"/>
    <w:bookmarkEnd w:id="128"/>
    <w:p>
      <w:pPr>
        <w:spacing w:after="0" w:line="121" w:lineRule="exact"/>
        <w:rPr>
          <w:sz w:val="20"/>
          <w:szCs w:val="20"/>
          <w:color w:val="auto"/>
        </w:rPr>
      </w:pPr>
    </w:p>
    <w:p>
      <w:pPr>
        <w:ind w:firstLine="776"/>
        <w:spacing w:after="0" w:line="282" w:lineRule="auto"/>
        <w:tabs>
          <w:tab w:leader="none" w:pos="1152"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payment of all fees payable on or prior to the Closing Date to Administrative Agent, any Related Party of Administrative Agent, and any Lender as provided for in </w:t>
      </w:r>
      <w:r>
        <w:rPr>
          <w:rFonts w:ascii="Times New Roman" w:cs="Times New Roman" w:eastAsia="Times New Roman" w:hAnsi="Times New Roman"/>
          <w:sz w:val="19"/>
          <w:szCs w:val="19"/>
          <w:b w:val="1"/>
          <w:bCs w:val="1"/>
          <w:i w:val="1"/>
          <w:iCs w:val="1"/>
          <w:color w:val="auto"/>
        </w:rPr>
        <w:t>Section 5</w:t>
      </w:r>
      <w:r>
        <w:rPr>
          <w:rFonts w:ascii="Times New Roman" w:cs="Times New Roman" w:eastAsia="Times New Roman" w:hAnsi="Times New Roman"/>
          <w:sz w:val="19"/>
          <w:szCs w:val="19"/>
          <w:color w:val="auto"/>
        </w:rPr>
        <w:t>; and</w:t>
      </w:r>
    </w:p>
    <w:p>
      <w:pPr>
        <w:spacing w:after="0" w:line="143" w:lineRule="exact"/>
        <w:rPr>
          <w:rFonts w:ascii="Times New Roman" w:cs="Times New Roman" w:eastAsia="Times New Roman" w:hAnsi="Times New Roman"/>
          <w:sz w:val="19"/>
          <w:szCs w:val="19"/>
          <w:color w:val="auto"/>
        </w:rPr>
      </w:pPr>
    </w:p>
    <w:p>
      <w:pPr>
        <w:jc w:val="both"/>
        <w:ind w:firstLine="776"/>
        <w:spacing w:after="0" w:line="254" w:lineRule="auto"/>
        <w:tabs>
          <w:tab w:leader="none" w:pos="1257"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waived by Administrative Agent, payment in full of all reasonable fees, expenses, and disbursements of Haynes and Boone, LLP and, without duplication, the reasonably allocated cost of internal legal services and all reasonable expenses and disbursements of internal counsel (collectively, “</w:t>
      </w:r>
      <w:r>
        <w:rPr>
          <w:rFonts w:ascii="Times New Roman" w:cs="Times New Roman" w:eastAsia="Times New Roman" w:hAnsi="Times New Roman"/>
          <w:sz w:val="19"/>
          <w:szCs w:val="19"/>
          <w:b w:val="1"/>
          <w:bCs w:val="1"/>
          <w:i w:val="1"/>
          <w:iCs w:val="1"/>
          <w:color w:val="auto"/>
        </w:rPr>
        <w:t>Attorney Costs</w:t>
      </w:r>
      <w:r>
        <w:rPr>
          <w:rFonts w:ascii="Times New Roman" w:cs="Times New Roman" w:eastAsia="Times New Roman" w:hAnsi="Times New Roman"/>
          <w:sz w:val="19"/>
          <w:szCs w:val="19"/>
          <w:color w:val="auto"/>
        </w:rPr>
        <w:t>”) of Administrative Agent to the extent invoiced prior to or on the Closing Date, plus such additional amounts of Attorney Costs as shall constitute Administrative Agent’s reasonable estimate of Attorney Costs incurred or to be incurred by it through the closing proceedings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such estimate shall not thereafter preclude a final settling of accounts between Borrower and Administrative Agent).</w:t>
      </w:r>
    </w:p>
    <w:p>
      <w:pPr>
        <w:spacing w:after="0" w:line="178" w:lineRule="exact"/>
        <w:rPr>
          <w:sz w:val="20"/>
          <w:szCs w:val="20"/>
          <w:color w:val="auto"/>
        </w:rPr>
      </w:pPr>
    </w:p>
    <w:p>
      <w:pPr>
        <w:jc w:val="both"/>
        <w:ind w:firstLine="773"/>
        <w:spacing w:after="0" w:line="261" w:lineRule="auto"/>
        <w:rPr>
          <w:sz w:val="20"/>
          <w:szCs w:val="20"/>
          <w:color w:val="auto"/>
        </w:rPr>
      </w:pPr>
      <w:r>
        <w:rPr>
          <w:rFonts w:ascii="Times New Roman" w:cs="Times New Roman" w:eastAsia="Times New Roman" w:hAnsi="Times New Roman"/>
          <w:sz w:val="19"/>
          <w:szCs w:val="19"/>
          <w:color w:val="auto"/>
        </w:rPr>
        <w:t xml:space="preserve">Without limiting the generality of the provisions of the last paragraph of </w:t>
      </w:r>
      <w:r>
        <w:rPr>
          <w:rFonts w:ascii="Times New Roman" w:cs="Times New Roman" w:eastAsia="Times New Roman" w:hAnsi="Times New Roman"/>
          <w:sz w:val="19"/>
          <w:szCs w:val="19"/>
          <w:b w:val="1"/>
          <w:bCs w:val="1"/>
          <w:i w:val="1"/>
          <w:iCs w:val="1"/>
          <w:color w:val="auto"/>
        </w:rPr>
        <w:t>Section 14.5</w:t>
      </w:r>
      <w:r>
        <w:rPr>
          <w:rFonts w:ascii="Times New Roman" w:cs="Times New Roman" w:eastAsia="Times New Roman" w:hAnsi="Times New Roman"/>
          <w:sz w:val="19"/>
          <w:szCs w:val="19"/>
          <w:color w:val="auto"/>
        </w:rPr>
        <w:t xml:space="preserve">, for purposes of determining compliance with the conditions specified in this </w:t>
      </w:r>
      <w:r>
        <w:rPr>
          <w:rFonts w:ascii="Times New Roman" w:cs="Times New Roman" w:eastAsia="Times New Roman" w:hAnsi="Times New Roman"/>
          <w:sz w:val="19"/>
          <w:szCs w:val="19"/>
          <w:b w:val="1"/>
          <w:bCs w:val="1"/>
          <w:i w:val="1"/>
          <w:iCs w:val="1"/>
          <w:color w:val="auto"/>
        </w:rPr>
        <w:t>Section 7.1</w:t>
      </w:r>
      <w:r>
        <w:rPr>
          <w:rFonts w:ascii="Times New Roman" w:cs="Times New Roman" w:eastAsia="Times New Roman" w:hAnsi="Times New Roman"/>
          <w:sz w:val="19"/>
          <w:szCs w:val="19"/>
          <w:color w:val="auto"/>
        </w:rPr>
        <w:t>, each Lender that has signed this Agreement shall be deemed to have consented to, approved or accepted, or been satisfied with each document or other matter required thereunder to be consented to or approved by or acceptable or satisfactory to a Lender, unless Administrative Agent shall have received notice from such Lender prior to the proposed Closing Date specifying its objection thereto.</w:t>
      </w:r>
    </w:p>
    <w:p>
      <w:pPr>
        <w:spacing w:after="0" w:line="163"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u w:val="single" w:color="auto"/>
          <w:color w:val="auto"/>
        </w:rPr>
        <w:t>Each Loan</w:t>
      </w:r>
      <w:r>
        <w:rPr>
          <w:rFonts w:ascii="Times New Roman" w:cs="Times New Roman" w:eastAsia="Times New Roman" w:hAnsi="Times New Roman"/>
          <w:sz w:val="19"/>
          <w:szCs w:val="19"/>
          <w:color w:val="auto"/>
        </w:rPr>
        <w:t xml:space="preserve">. The obligation of each Lender to make any Loan (other than a conversion of Loans to the other Type or a continuation of Revolver Loans as Term Reference Rate Loans) is subject to the following conditions precedent: (a) Administrative Agent shall have timely received a Loan Notice or the applicable L/C Issuer shall have timely received the applicable L/C Agreement; (b) the applicable L/C Issuer shall have received any applicable L/C fee; (c) all of the representations and warranties of the Companies in the Loan Papers are true and correct in all material respects (unless they speak to a specific date or are based on facts which have changed by transactions contemplated or permitted by this Agreement); (d) no Material Adverse Event, Default or Potential Default exists or would result from the proposed funding of such Loans or issuance of L/Cs; and (e) the funding of the Loans or issuance of the L/Cs is permitted by Law. Upon Administrative Agent’s reasonable request, Borrower shall deliver to Administrative Agent evidence substantiating any of the matters in the Loan Papers that are necessary to enable Borrower to qualify for the Loans or L/Cs. Each condition precedent in this Agreement is material to the transactions contemplated by this Agreement, and time is of the essence with respect to each condition precedent. Subject to the prior approval of Required Lenders, Required Revolver Lenders or Required Term Loan Lenders, as the case may be, Lenders may fund any Loan, and the applicable L/C Issuer may issue any L/C, without all conditions being satisfied, but, to the extent permitted by Law, that funding and issuance shall not be deemed to be a waiver of the requirement that each condition precedent be satisfied as a prerequisite for any subsequent funding or issuance, unless Required Lenders, Required Revolver Lenders or Required Term Loan Lenders, as applicable, specifically waive each item in writing. Each Loan Notice (other than a Loan Notice requesting only a conversion of Loans to the other Type or a continuation as Term Reference Rate Loans), and each L/C Agreement submitted by Borrower shall be deemed to be a representation and warranty that the conditions specified in this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xml:space="preserve"> have been satisfied on and as of the date of the applicable Loan or issuance of the applicable L/C. Notwithstanding anything to the contrary set forth in this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Lenders will not be obligated to honor any Loan Notice (including a Loan Notice converting Base Rate Loans or Daily SOFR Rate Loans to Term Reference Rate Loans or continuing Term Reference Rate Loans) if a Default or Potential Default exists or would result after giving effect to the proposed funding, conversion, or continuation of such Loans or issuance of L/Cs. In the case of a Loan to be denominated in an Alternative Currency, there shall not have occurred any change in national or international financial, political or economic conditions or currency exchange rates or exchange controls which in the reasonable opinion of Administrative Agent,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78</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Required Term Loan Lenders (in the case of any Term Loans to be denominated in an Alternative Currency) or the L/C Issuer (in the case of any L/C to be denominated in an Alternative Currency) would make it impracticable for such Loan to be denominated in the relevant Alternative Currency.</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b w:val="1"/>
          <w:bCs w:val="1"/>
          <w:u w:val="single" w:color="auto"/>
          <w:color w:val="auto"/>
        </w:rPr>
        <w:t>SECTION 8 REPRESENTATIONS AND WARRANTIES</w:t>
      </w:r>
      <w:r>
        <w:rPr>
          <w:rFonts w:ascii="Times New Roman" w:cs="Times New Roman" w:eastAsia="Times New Roman" w:hAnsi="Times New Roman"/>
          <w:sz w:val="19"/>
          <w:szCs w:val="19"/>
          <w:color w:val="auto"/>
        </w:rPr>
        <w:t>. Borrower (and each Guarantor by execution of a Guaranty) represents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warrants to Administrative Agent and Lenders as set forth below; provided however, that representations and warranties of any such Guarantor shall be made solely as to such Guarantor and its Subsidiaries:</w:t>
      </w:r>
    </w:p>
    <w:p>
      <w:pPr>
        <w:spacing w:after="0" w:line="174"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8.1 </w:t>
      </w:r>
      <w:r>
        <w:rPr>
          <w:rFonts w:ascii="Times New Roman" w:cs="Times New Roman" w:eastAsia="Times New Roman" w:hAnsi="Times New Roman"/>
          <w:sz w:val="19"/>
          <w:szCs w:val="19"/>
          <w:u w:val="single" w:color="auto"/>
          <w:color w:val="auto"/>
        </w:rPr>
        <w:t>Regulation U</w:t>
      </w:r>
      <w:r>
        <w:rPr>
          <w:rFonts w:ascii="Times New Roman" w:cs="Times New Roman" w:eastAsia="Times New Roman" w:hAnsi="Times New Roman"/>
          <w:sz w:val="19"/>
          <w:szCs w:val="19"/>
          <w:color w:val="auto"/>
        </w:rPr>
        <w:t>. No Company is engaged principally, or as one of its important activities, in the business of extending credit for the purpose of purchasing or carrying any “</w:t>
      </w:r>
      <w:r>
        <w:rPr>
          <w:rFonts w:ascii="Times New Roman" w:cs="Times New Roman" w:eastAsia="Times New Roman" w:hAnsi="Times New Roman"/>
          <w:sz w:val="19"/>
          <w:szCs w:val="19"/>
          <w:i w:val="1"/>
          <w:iCs w:val="1"/>
          <w:color w:val="auto"/>
        </w:rPr>
        <w:t>margin stock</w:t>
      </w:r>
      <w:r>
        <w:rPr>
          <w:rFonts w:ascii="Times New Roman" w:cs="Times New Roman" w:eastAsia="Times New Roman" w:hAnsi="Times New Roman"/>
          <w:sz w:val="19"/>
          <w:szCs w:val="19"/>
          <w:color w:val="auto"/>
        </w:rPr>
        <w:t xml:space="preserve">” within the meaning of </w:t>
      </w:r>
      <w:r>
        <w:rPr>
          <w:rFonts w:ascii="Times New Roman" w:cs="Times New Roman" w:eastAsia="Times New Roman" w:hAnsi="Times New Roman"/>
          <w:sz w:val="19"/>
          <w:szCs w:val="19"/>
          <w:i w:val="1"/>
          <w:iCs w:val="1"/>
          <w:color w:val="auto"/>
        </w:rPr>
        <w:t>Regulations U</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i w:val="1"/>
          <w:iCs w:val="1"/>
          <w:color w:val="auto"/>
        </w:rPr>
        <w:t>X</w:t>
      </w:r>
      <w:r>
        <w:rPr>
          <w:rFonts w:ascii="Times New Roman" w:cs="Times New Roman" w:eastAsia="Times New Roman" w:hAnsi="Times New Roman"/>
          <w:sz w:val="19"/>
          <w:szCs w:val="19"/>
          <w:color w:val="auto"/>
        </w:rPr>
        <w:t xml:space="preserve"> of the Board of Governors of the Federal Reserve System, as amended. No part of the proceeds of any Loan will be used, directly or indirectly, for a purpose which violates any Law, including, without limitation, the provisions of </w:t>
      </w:r>
      <w:r>
        <w:rPr>
          <w:rFonts w:ascii="Times New Roman" w:cs="Times New Roman" w:eastAsia="Times New Roman" w:hAnsi="Times New Roman"/>
          <w:sz w:val="19"/>
          <w:szCs w:val="19"/>
          <w:i w:val="1"/>
          <w:iCs w:val="1"/>
          <w:color w:val="auto"/>
        </w:rPr>
        <w:t>Regulations U</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i w:val="1"/>
          <w:iCs w:val="1"/>
          <w:color w:val="auto"/>
        </w:rPr>
        <w:t>X</w:t>
      </w:r>
      <w:r>
        <w:rPr>
          <w:rFonts w:ascii="Times New Roman" w:cs="Times New Roman" w:eastAsia="Times New Roman" w:hAnsi="Times New Roman"/>
          <w:sz w:val="19"/>
          <w:szCs w:val="19"/>
          <w:color w:val="auto"/>
        </w:rPr>
        <w:t xml:space="preserve"> (as enacted by the Board of Governors of the Federal Reserve System, as amended). Following the application of the proceeds of each Loan, each L/C Borrowing, or each drawing under each L/C, not more than 25% of the value of the assets (either of Borrower only or the Companies on a consolidated basis) subject to the provisions of </w:t>
      </w:r>
      <w:r>
        <w:rPr>
          <w:rFonts w:ascii="Times New Roman" w:cs="Times New Roman" w:eastAsia="Times New Roman" w:hAnsi="Times New Roman"/>
          <w:sz w:val="19"/>
          <w:szCs w:val="19"/>
          <w:b w:val="1"/>
          <w:bCs w:val="1"/>
          <w:i w:val="1"/>
          <w:iCs w:val="1"/>
          <w:color w:val="auto"/>
        </w:rPr>
        <w:t>Section 10.5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Section 10.10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 xml:space="preserve">Section 10.11 </w:t>
      </w:r>
      <w:r>
        <w:rPr>
          <w:rFonts w:ascii="Times New Roman" w:cs="Times New Roman" w:eastAsia="Times New Roman" w:hAnsi="Times New Roman"/>
          <w:sz w:val="19"/>
          <w:szCs w:val="19"/>
          <w:color w:val="auto"/>
        </w:rPr>
        <w:t>or subject to any restriction contained in any agreement or instrument between Borrower and any Lender or any Affiliate of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Lender relating to Debt and within the scope of </w:t>
      </w:r>
      <w:r>
        <w:rPr>
          <w:rFonts w:ascii="Times New Roman" w:cs="Times New Roman" w:eastAsia="Times New Roman" w:hAnsi="Times New Roman"/>
          <w:sz w:val="19"/>
          <w:szCs w:val="19"/>
          <w:b w:val="1"/>
          <w:bCs w:val="1"/>
          <w:i w:val="1"/>
          <w:iCs w:val="1"/>
          <w:color w:val="auto"/>
        </w:rPr>
        <w:t>Section 12.8</w:t>
      </w:r>
      <w:r>
        <w:rPr>
          <w:rFonts w:ascii="Times New Roman" w:cs="Times New Roman" w:eastAsia="Times New Roman" w:hAnsi="Times New Roman"/>
          <w:sz w:val="19"/>
          <w:szCs w:val="19"/>
          <w:color w:val="auto"/>
        </w:rPr>
        <w:t xml:space="preserve"> will be margin stock.</w:t>
      </w:r>
    </w:p>
    <w:p>
      <w:pPr>
        <w:spacing w:after="0" w:line="174"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8.2 </w:t>
      </w:r>
      <w:r>
        <w:rPr>
          <w:rFonts w:ascii="Times New Roman" w:cs="Times New Roman" w:eastAsia="Times New Roman" w:hAnsi="Times New Roman"/>
          <w:sz w:val="19"/>
          <w:szCs w:val="19"/>
          <w:u w:val="single" w:color="auto"/>
          <w:color w:val="auto"/>
        </w:rPr>
        <w:t>Corporate Existence, Good Standing, Authority, and Compliance</w:t>
      </w:r>
      <w:r>
        <w:rPr>
          <w:rFonts w:ascii="Times New Roman" w:cs="Times New Roman" w:eastAsia="Times New Roman" w:hAnsi="Times New Roman"/>
          <w:sz w:val="19"/>
          <w:szCs w:val="19"/>
          <w:color w:val="auto"/>
        </w:rPr>
        <w:t xml:space="preserve">. Each Company is duly organized, validly existing, and in good standing under the Laws of the jurisdiction in which it is incorporated or organized as identified on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(or any revised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delivered by Borrower to Lenders evidencing changes permitted by </w:t>
      </w:r>
      <w:r>
        <w:rPr>
          <w:rFonts w:ascii="Times New Roman" w:cs="Times New Roman" w:eastAsia="Times New Roman" w:hAnsi="Times New Roman"/>
          <w:sz w:val="19"/>
          <w:szCs w:val="19"/>
          <w:b w:val="1"/>
          <w:bCs w:val="1"/>
          <w:i w:val="1"/>
          <w:iCs w:val="1"/>
          <w:color w:val="auto"/>
        </w:rPr>
        <w:t>Sections 9.10, 9.11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10.10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10.11</w:t>
      </w:r>
      <w:r>
        <w:rPr>
          <w:rFonts w:ascii="Times New Roman" w:cs="Times New Roman" w:eastAsia="Times New Roman" w:hAnsi="Times New Roman"/>
          <w:sz w:val="19"/>
          <w:szCs w:val="19"/>
          <w:color w:val="auto"/>
        </w:rPr>
        <w:t xml:space="preserve">). Except where failure is not a Material Adverse Event, each Restricted Company (a) is duly qualified to transact business and is in good standing as a foreign corporation or other entity in each jurisdiction where the nature and extent of its business and properties require due qualification and good standing as identified on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(or any such revised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and (b) possesses all requisite authority, permits, licenses, consents, approvals, and power to (i) own or lease its assets and conduct its business as is now being, or is contemplated by this Agreement to be, conducted, and (ii) execute, deliver, and perform its obligations under the Loan Papers to which it is party.</w:t>
      </w:r>
    </w:p>
    <w:p>
      <w:pPr>
        <w:spacing w:after="0" w:line="181"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color w:val="auto"/>
        </w:rPr>
        <w:t xml:space="preserve">8.3 </w:t>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 xml:space="preserve">. VRI has no Subsidiaries,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as disclosed on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(or on any revised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delivered by Borrower to Lenders evidencing changes permitted by </w:t>
      </w:r>
      <w:r>
        <w:rPr>
          <w:rFonts w:ascii="Times New Roman" w:cs="Times New Roman" w:eastAsia="Times New Roman" w:hAnsi="Times New Roman"/>
          <w:sz w:val="19"/>
          <w:szCs w:val="19"/>
          <w:b w:val="1"/>
          <w:bCs w:val="1"/>
          <w:i w:val="1"/>
          <w:iCs w:val="1"/>
          <w:color w:val="auto"/>
        </w:rPr>
        <w:t>Sections 9.10, 9.11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10.10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10.11</w:t>
      </w:r>
      <w:r>
        <w:rPr>
          <w:rFonts w:ascii="Times New Roman" w:cs="Times New Roman" w:eastAsia="Times New Roman" w:hAnsi="Times New Roman"/>
          <w:sz w:val="19"/>
          <w:szCs w:val="19"/>
          <w:color w:val="auto"/>
        </w:rPr>
        <w:t xml:space="preserve">). All of the outstanding shares of capital stock (or similar voting interests) of the Restricted Companies are duly authorized, validly issued, fully paid, and nonassessable. All of the outstanding shares of capital stock of the Restricted Companies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VRI are owned of record and beneficially as set forth thereon, free and clear of any Liens, restrictions, claims, or Rights of another Person,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Permitted Liens, and are not subject to any warrant, option, or other acquisition Right of any Person or subject to any transfer restriction,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restrictions imposed by securities Laws and general corporate Laws. All Unrestricted Subsidiaries meet the requirements of “</w:t>
      </w:r>
      <w:r>
        <w:rPr>
          <w:rFonts w:ascii="Times New Roman" w:cs="Times New Roman" w:eastAsia="Times New Roman" w:hAnsi="Times New Roman"/>
          <w:sz w:val="19"/>
          <w:szCs w:val="19"/>
          <w:i w:val="1"/>
          <w:iCs w:val="1"/>
          <w:color w:val="auto"/>
        </w:rPr>
        <w:t>Unrestricted Subsidiaries</w:t>
      </w:r>
      <w:r>
        <w:rPr>
          <w:rFonts w:ascii="Times New Roman" w:cs="Times New Roman" w:eastAsia="Times New Roman" w:hAnsi="Times New Roman"/>
          <w:sz w:val="19"/>
          <w:szCs w:val="19"/>
          <w:color w:val="auto"/>
        </w:rPr>
        <w:t>” as set forth in the definition thereof. All Unrestricted Subsidiaries that are being re-designated as “</w:t>
      </w:r>
      <w:r>
        <w:rPr>
          <w:rFonts w:ascii="Times New Roman" w:cs="Times New Roman" w:eastAsia="Times New Roman" w:hAnsi="Times New Roman"/>
          <w:sz w:val="19"/>
          <w:szCs w:val="19"/>
          <w:i w:val="1"/>
          <w:iCs w:val="1"/>
          <w:color w:val="auto"/>
        </w:rPr>
        <w:t>Restricted Subsidiaries</w:t>
      </w:r>
      <w:r>
        <w:rPr>
          <w:rFonts w:ascii="Times New Roman" w:cs="Times New Roman" w:eastAsia="Times New Roman" w:hAnsi="Times New Roman"/>
          <w:sz w:val="19"/>
          <w:szCs w:val="19"/>
          <w:color w:val="auto"/>
        </w:rPr>
        <w:t xml:space="preserve">” on the Closing Date are in compliance with </w:t>
      </w:r>
      <w:r>
        <w:rPr>
          <w:rFonts w:ascii="Times New Roman" w:cs="Times New Roman" w:eastAsia="Times New Roman" w:hAnsi="Times New Roman"/>
          <w:sz w:val="19"/>
          <w:szCs w:val="19"/>
          <w:b w:val="1"/>
          <w:bCs w:val="1"/>
          <w:i w:val="1"/>
          <w:iCs w:val="1"/>
          <w:color w:val="auto"/>
        </w:rPr>
        <w:t>Section 9.11(b)</w:t>
      </w:r>
      <w:r>
        <w:rPr>
          <w:rFonts w:ascii="Times New Roman" w:cs="Times New Roman" w:eastAsia="Times New Roman" w:hAnsi="Times New Roman"/>
          <w:sz w:val="19"/>
          <w:szCs w:val="19"/>
          <w:color w:val="auto"/>
        </w:rPr>
        <w:t xml:space="preserve"> as of the Closing Date.</w:t>
      </w:r>
    </w:p>
    <w:p>
      <w:pPr>
        <w:spacing w:after="0" w:line="185"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8.4 </w:t>
      </w:r>
      <w:r>
        <w:rPr>
          <w:rFonts w:ascii="Times New Roman" w:cs="Times New Roman" w:eastAsia="Times New Roman" w:hAnsi="Times New Roman"/>
          <w:sz w:val="19"/>
          <w:szCs w:val="19"/>
          <w:u w:val="single" w:color="auto"/>
          <w:color w:val="auto"/>
        </w:rPr>
        <w:t>Authorization and Contravention</w:t>
      </w:r>
      <w:r>
        <w:rPr>
          <w:rFonts w:ascii="Times New Roman" w:cs="Times New Roman" w:eastAsia="Times New Roman" w:hAnsi="Times New Roman"/>
          <w:sz w:val="19"/>
          <w:szCs w:val="19"/>
          <w:color w:val="auto"/>
        </w:rPr>
        <w:t>. The execution and delivery by, and enforcement against, each Restricted Company of each Loan Paper or related document to which it is a party and the performance by it of its obligations thereunder (a) are within its organizational power, (b) have been duly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79</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authorized by all necessary action, (c) require no action by or filing with any Governmental Authority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any action or filing that has been taken or made on or before the Closing Date), (d) do not violate any provision of its organizational documents, (e) do not violate any provision of Law or any order of any Governmental Authority applicable to it,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violations that individually or collectively are not a Material Adverse Event, (f) do not violate any Material Agreements to which it is a party, or (g) do not result in the creation or imposition of any Lien on any asset of any Company.</w:t>
      </w:r>
    </w:p>
    <w:p>
      <w:pPr>
        <w:spacing w:after="0" w:line="183"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8.5 </w:t>
      </w:r>
      <w:r>
        <w:rPr>
          <w:rFonts w:ascii="Times New Roman" w:cs="Times New Roman" w:eastAsia="Times New Roman" w:hAnsi="Times New Roman"/>
          <w:sz w:val="19"/>
          <w:szCs w:val="19"/>
          <w:u w:val="single" w:color="auto"/>
          <w:color w:val="auto"/>
        </w:rPr>
        <w:t>Binding Effect</w:t>
      </w:r>
      <w:r>
        <w:rPr>
          <w:rFonts w:ascii="Times New Roman" w:cs="Times New Roman" w:eastAsia="Times New Roman" w:hAnsi="Times New Roman"/>
          <w:sz w:val="19"/>
          <w:szCs w:val="19"/>
          <w:color w:val="auto"/>
        </w:rPr>
        <w:t xml:space="preserve">. Upon execution and delivery by all parties thereto, each Loan Paper which is a contract will constitute a legal and binding obligation of each Restricted Company party thereto, enforceable against it in accordance with its terms,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as enforceability may be limited by applicable Debtor Relief Laws and general principles of equity.</w:t>
      </w:r>
    </w:p>
    <w:p>
      <w:pPr>
        <w:spacing w:after="0" w:line="176"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8.6 </w:t>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The Current Financials were prepared in accordance with GAAP and, together with the notes thereto, present fairly, in all material respects, the consolidated financial condition, results of operations, and cash flows of the Companies as of, and for the portion of the fiscal year ending on, the date or dates thereof (subject only to normal year-end adjustments)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and show all material indebtedness and other liabilities, direct, or contingent, of the Companies as of such date or dates, including liabilities for Taxes, material commitments and Debt. Since the date of the consolidated Financial Statements of the Companies most recently delivered to Administrative Agent under </w:t>
      </w:r>
      <w:r>
        <w:rPr>
          <w:rFonts w:ascii="Times New Roman" w:cs="Times New Roman" w:eastAsia="Times New Roman" w:hAnsi="Times New Roman"/>
          <w:sz w:val="19"/>
          <w:szCs w:val="19"/>
          <w:b w:val="1"/>
          <w:bCs w:val="1"/>
          <w:i w:val="1"/>
          <w:iCs w:val="1"/>
          <w:color w:val="auto"/>
        </w:rPr>
        <w:t>Section 9.1(a)</w:t>
      </w:r>
      <w:r>
        <w:rPr>
          <w:rFonts w:ascii="Times New Roman" w:cs="Times New Roman" w:eastAsia="Times New Roman" w:hAnsi="Times New Roman"/>
          <w:sz w:val="19"/>
          <w:szCs w:val="19"/>
          <w:color w:val="auto"/>
        </w:rPr>
        <w:t>, there has been no event or circumstance, either individually or in the aggregate, that has resulted in or could reasonably be expected to result in a Material Adverse Event.</w:t>
      </w:r>
    </w:p>
    <w:p>
      <w:pPr>
        <w:spacing w:after="0" w:line="178"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color w:val="auto"/>
        </w:rPr>
        <w:t xml:space="preserve">8.7 </w:t>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xml:space="preserve">. Except as disclosed on </w:t>
      </w:r>
      <w:r>
        <w:rPr>
          <w:rFonts w:ascii="Times New Roman" w:cs="Times New Roman" w:eastAsia="Times New Roman" w:hAnsi="Times New Roman"/>
          <w:sz w:val="19"/>
          <w:szCs w:val="19"/>
          <w:b w:val="1"/>
          <w:bCs w:val="1"/>
          <w:i w:val="1"/>
          <w:iCs w:val="1"/>
          <w:color w:val="auto"/>
        </w:rPr>
        <w:t>Schedule 8.7</w:t>
      </w:r>
      <w:r>
        <w:rPr>
          <w:rFonts w:ascii="Times New Roman" w:cs="Times New Roman" w:eastAsia="Times New Roman" w:hAnsi="Times New Roman"/>
          <w:sz w:val="19"/>
          <w:szCs w:val="19"/>
          <w:color w:val="auto"/>
        </w:rPr>
        <w:t>, (a) no Company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as a creditor or claimant) is subject to, or aware of the threat of, any Litigation (i) that is reasonably likely to be determined adversely to any Company and, if so adversely determined, shall result in a Material Adverse Event, or (ii) that purports to affect or pertain to this Agreement or any other Loan Paper, or any of the transactions contemplated hereby, (b) no outstanding or unpaid judgments against any Company exist, and (c) no Company is a party to, or bound by, any judicial or administrative order, judgment, decree, or consent decree relating to any past or present practice, omission, activity, or undertaking which constitutes a Material Adverse Event.</w:t>
      </w:r>
    </w:p>
    <w:p>
      <w:pPr>
        <w:spacing w:after="0" w:line="171"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8.8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xml:space="preserve">. All Tax returns of each Company required to be filed have been filed (or extensions have been granted) before delinquency, </w:t>
      </w:r>
      <w:r>
        <w:rPr>
          <w:rFonts w:ascii="Times New Roman" w:cs="Times New Roman" w:eastAsia="Times New Roman" w:hAnsi="Times New Roman"/>
          <w:sz w:val="19"/>
          <w:szCs w:val="19"/>
          <w:i w:val="1"/>
          <w:iCs w:val="1"/>
          <w:color w:val="auto"/>
        </w:rPr>
        <w:t xml:space="preserve">other than </w:t>
      </w:r>
      <w:r>
        <w:rPr>
          <w:rFonts w:ascii="Times New Roman" w:cs="Times New Roman" w:eastAsia="Times New Roman" w:hAnsi="Times New Roman"/>
          <w:sz w:val="19"/>
          <w:szCs w:val="19"/>
          <w:color w:val="auto"/>
        </w:rPr>
        <w:t>returns for which the failure to file is not a Material Adverse Event or, in any event, likely to result in a Lien on the assets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Companies securing any liability of the Companies (individually or when aggregated with any liability of the Companies contemplated elsewhere in this Section and in </w:t>
      </w:r>
      <w:r>
        <w:rPr>
          <w:rFonts w:ascii="Times New Roman" w:cs="Times New Roman" w:eastAsia="Times New Roman" w:hAnsi="Times New Roman"/>
          <w:sz w:val="19"/>
          <w:szCs w:val="19"/>
          <w:b w:val="1"/>
          <w:bCs w:val="1"/>
          <w:i w:val="1"/>
          <w:iCs w:val="1"/>
          <w:color w:val="auto"/>
        </w:rPr>
        <w:t>Sections 8.9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8.10</w:t>
      </w:r>
      <w:r>
        <w:rPr>
          <w:rFonts w:ascii="Times New Roman" w:cs="Times New Roman" w:eastAsia="Times New Roman" w:hAnsi="Times New Roman"/>
          <w:sz w:val="19"/>
          <w:szCs w:val="19"/>
          <w:color w:val="auto"/>
        </w:rPr>
        <w:t xml:space="preserve"> herein that is reasonably likely to be secured by Liens) in excess of the Threshold Amount, and all Taxes shown as due and payable in such returns have been paid before delinquency,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Taxes for which the criteria for Permitted Liens (as specified in </w:t>
      </w:r>
      <w:r>
        <w:rPr>
          <w:rFonts w:ascii="Times New Roman" w:cs="Times New Roman" w:eastAsia="Times New Roman" w:hAnsi="Times New Roman"/>
          <w:sz w:val="19"/>
          <w:szCs w:val="19"/>
          <w:b w:val="1"/>
          <w:bCs w:val="1"/>
          <w:i w:val="1"/>
          <w:iCs w:val="1"/>
          <w:color w:val="auto"/>
        </w:rPr>
        <w:t>clause (j)</w:t>
      </w:r>
      <w:r>
        <w:rPr>
          <w:rFonts w:ascii="Times New Roman" w:cs="Times New Roman" w:eastAsia="Times New Roman" w:hAnsi="Times New Roman"/>
          <w:sz w:val="19"/>
          <w:szCs w:val="19"/>
          <w:color w:val="auto"/>
        </w:rPr>
        <w:t xml:space="preserve"> of the definition of </w:t>
      </w:r>
      <w:r>
        <w:rPr>
          <w:rFonts w:ascii="Times New Roman" w:cs="Times New Roman" w:eastAsia="Times New Roman" w:hAnsi="Times New Roman"/>
          <w:sz w:val="19"/>
          <w:szCs w:val="19"/>
          <w:i w:val="1"/>
          <w:iCs w:val="1"/>
          <w:color w:val="auto"/>
        </w:rPr>
        <w:t>“Permitted Liens”</w:t>
      </w:r>
      <w:r>
        <w:rPr>
          <w:rFonts w:ascii="Times New Roman" w:cs="Times New Roman" w:eastAsia="Times New Roman" w:hAnsi="Times New Roman"/>
          <w:sz w:val="19"/>
          <w:szCs w:val="19"/>
          <w:color w:val="auto"/>
        </w:rPr>
        <w:t xml:space="preserve">) have been satisfied, for which nonpayment is not a Material Adverse Event or, in any event, likely to result in a Lien on the assets of the Companies securing any liability of the Companies (individually or when aggregated with any liability of the Companies contemplated elsewhere in this Section and in </w:t>
      </w:r>
      <w:r>
        <w:rPr>
          <w:rFonts w:ascii="Times New Roman" w:cs="Times New Roman" w:eastAsia="Times New Roman" w:hAnsi="Times New Roman"/>
          <w:sz w:val="19"/>
          <w:szCs w:val="19"/>
          <w:b w:val="1"/>
          <w:bCs w:val="1"/>
          <w:i w:val="1"/>
          <w:iCs w:val="1"/>
          <w:color w:val="auto"/>
        </w:rPr>
        <w:t>Section 8.9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8.10</w:t>
      </w:r>
      <w:r>
        <w:rPr>
          <w:rFonts w:ascii="Times New Roman" w:cs="Times New Roman" w:eastAsia="Times New Roman" w:hAnsi="Times New Roman"/>
          <w:sz w:val="19"/>
          <w:szCs w:val="19"/>
          <w:color w:val="auto"/>
        </w:rPr>
        <w:t xml:space="preserve"> herein that reasonably likely to be secured by Liens) in excess of the Threshold Amount, or which are being contested in good faith by appropriate proceedings diligently conducted and for which adequate reserves have been provided. There is no proposed Tax assessment against any Company that would, if made, result in a Material Adverse Event or, in any event, result in a Lien on the assets of such Company or Companies securing any liability (individually or when aggregated with any liability of the Companies contemplated elsewhere in this Section and in </w:t>
      </w:r>
      <w:r>
        <w:rPr>
          <w:rFonts w:ascii="Times New Roman" w:cs="Times New Roman" w:eastAsia="Times New Roman" w:hAnsi="Times New Roman"/>
          <w:sz w:val="19"/>
          <w:szCs w:val="19"/>
          <w:b w:val="1"/>
          <w:bCs w:val="1"/>
          <w:i w:val="1"/>
          <w:iCs w:val="1"/>
          <w:color w:val="auto"/>
        </w:rPr>
        <w:t>Section 8.9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8.10</w:t>
      </w:r>
      <w:r>
        <w:rPr>
          <w:rFonts w:ascii="Times New Roman" w:cs="Times New Roman" w:eastAsia="Times New Roman" w:hAnsi="Times New Roman"/>
          <w:sz w:val="19"/>
          <w:szCs w:val="19"/>
          <w:color w:val="auto"/>
        </w:rPr>
        <w:t xml:space="preserve"> herein that is reasonably likely to be secured by Liens) in excess of the Threshold Amount.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80</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16"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19"/>
          <w:szCs w:val="19"/>
          <w:color w:val="auto"/>
        </w:rPr>
        <w:t xml:space="preserve">8.9 </w:t>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 xml:space="preserve">. Except as disclosed on </w:t>
      </w:r>
      <w:r>
        <w:rPr>
          <w:rFonts w:ascii="Times New Roman" w:cs="Times New Roman" w:eastAsia="Times New Roman" w:hAnsi="Times New Roman"/>
          <w:sz w:val="19"/>
          <w:szCs w:val="19"/>
          <w:b w:val="1"/>
          <w:bCs w:val="1"/>
          <w:i w:val="1"/>
          <w:iCs w:val="1"/>
          <w:color w:val="auto"/>
        </w:rPr>
        <w:t>Schedule 8.9</w:t>
      </w:r>
      <w:r>
        <w:rPr>
          <w:rFonts w:ascii="Times New Roman" w:cs="Times New Roman" w:eastAsia="Times New Roman" w:hAnsi="Times New Roman"/>
          <w:sz w:val="19"/>
          <w:szCs w:val="19"/>
          <w:color w:val="auto"/>
        </w:rPr>
        <w:t xml:space="preserve"> and except for conditions, circumstances, or violations that are not, individually or in the aggregate, a Material Adverse Event or, in any event, likely to result in a Lien on the assets of the Companies securing liability of the Companies (individually or when aggregated with any liability of the Companies contemplated elsewhere in this Section and in </w:t>
      </w:r>
      <w:r>
        <w:rPr>
          <w:rFonts w:ascii="Times New Roman" w:cs="Times New Roman" w:eastAsia="Times New Roman" w:hAnsi="Times New Roman"/>
          <w:sz w:val="19"/>
          <w:szCs w:val="19"/>
          <w:b w:val="1"/>
          <w:bCs w:val="1"/>
          <w:i w:val="1"/>
          <w:iCs w:val="1"/>
          <w:color w:val="auto"/>
        </w:rPr>
        <w:t>Section 8.8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8.10</w:t>
      </w:r>
      <w:r>
        <w:rPr>
          <w:rFonts w:ascii="Times New Roman" w:cs="Times New Roman" w:eastAsia="Times New Roman" w:hAnsi="Times New Roman"/>
          <w:sz w:val="19"/>
          <w:szCs w:val="19"/>
          <w:color w:val="auto"/>
        </w:rPr>
        <w:t xml:space="preserve"> herein that is reasonably likely to be secured by Liens) in excess of the Threshold Amount, no Company (a) knows of any environmental condition or circumstance adversely affecting any Company’s properties or operations, (b) has, to its knowledge, received any written report of any Company’s violation of any Environmental Law, or (c) knows that any Company is under any obligation imposed by a Governmental Authority to remedy any violation of any Environmental Law. Except as disclosed on </w:t>
      </w:r>
      <w:r>
        <w:rPr>
          <w:rFonts w:ascii="Times New Roman" w:cs="Times New Roman" w:eastAsia="Times New Roman" w:hAnsi="Times New Roman"/>
          <w:sz w:val="19"/>
          <w:szCs w:val="19"/>
          <w:b w:val="1"/>
          <w:bCs w:val="1"/>
          <w:i w:val="1"/>
          <w:iCs w:val="1"/>
          <w:color w:val="auto"/>
        </w:rPr>
        <w:t>Schedule 8.9</w:t>
      </w:r>
      <w:r>
        <w:rPr>
          <w:rFonts w:ascii="Times New Roman" w:cs="Times New Roman" w:eastAsia="Times New Roman" w:hAnsi="Times New Roman"/>
          <w:sz w:val="19"/>
          <w:szCs w:val="19"/>
          <w:color w:val="auto"/>
        </w:rPr>
        <w:t xml:space="preserve">, each Company believes that its properties and operations do not violate any Environmental Law,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violations that are not, individually or in the aggregate, a Material Adverse Event or, in any event, likely to result in a Lien on the assets of the Companies securing liability of the Companies (individually or when aggregated with any liability of the Companies contemplated elsewhere in this Section and in </w:t>
      </w:r>
      <w:r>
        <w:rPr>
          <w:rFonts w:ascii="Times New Roman" w:cs="Times New Roman" w:eastAsia="Times New Roman" w:hAnsi="Times New Roman"/>
          <w:sz w:val="19"/>
          <w:szCs w:val="19"/>
          <w:b w:val="1"/>
          <w:bCs w:val="1"/>
          <w:i w:val="1"/>
          <w:iCs w:val="1"/>
          <w:color w:val="auto"/>
        </w:rPr>
        <w:t>Section 8.8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8.10</w:t>
      </w:r>
      <w:r>
        <w:rPr>
          <w:rFonts w:ascii="Times New Roman" w:cs="Times New Roman" w:eastAsia="Times New Roman" w:hAnsi="Times New Roman"/>
          <w:sz w:val="19"/>
          <w:szCs w:val="19"/>
          <w:color w:val="auto"/>
        </w:rPr>
        <w:t xml:space="preserve"> herein that is reasonably likely to be secured by Liens) in excess of the Threshold Amount. No facility of any Company is used for, or to the knowledge of any Company has been used for, treatment or disposal of any Hazardous Substance or storage of Hazardous Substances,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in material compliance with applicable Environmental Laws.</w:t>
      </w:r>
    </w:p>
    <w:p>
      <w:pPr>
        <w:spacing w:after="0" w:line="191"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19"/>
          <w:szCs w:val="19"/>
          <w:color w:val="auto"/>
        </w:rPr>
        <w:t xml:space="preserve">8.10 </w:t>
      </w:r>
      <w:r>
        <w:rPr>
          <w:rFonts w:ascii="Times New Roman" w:cs="Times New Roman" w:eastAsia="Times New Roman" w:hAnsi="Times New Roman"/>
          <w:sz w:val="19"/>
          <w:szCs w:val="19"/>
          <w:u w:val="single" w:color="auto"/>
          <w:color w:val="auto"/>
        </w:rPr>
        <w:t>Employee Plans</w:t>
      </w:r>
      <w:r>
        <w:rPr>
          <w:rFonts w:ascii="Times New Roman" w:cs="Times New Roman" w:eastAsia="Times New Roman" w:hAnsi="Times New Roman"/>
          <w:sz w:val="19"/>
          <w:szCs w:val="19"/>
          <w:color w:val="auto"/>
        </w:rPr>
        <w:t>. Each Employee Plan is in compliance in all material respects with, and has been administered in compliance with, the applicable provisions of ERISA, the Code, and any other applicable law. No Employee Plan is subject to the “at-risk” requirements in section 303 of ERISA and section 430 of the Code. Except where the occurrence or existence, individually or in the aggregate, is not a Material Adverse Event or, in any event, likely to result in a Lien on the assets of any Company or the Companies securing liability of any Company or the Companies (individually or when aggregated with any liability of the Companies contemplated elsewhere in this Section and in Section 8.8 and Section 8.9 herein that is reasonably likely to be secured by Liens) in excess of the Threshold Amount, (a) no Employee Plan or Multiemployer Plan, as applicable, has any “unpaid minimum required contribution” (as described in section 4971(c)(4) of the Code), whether or not waived, or any “accumulated funding deficiency” (as defined in section 302 of ERISA or section 412 of the Code), (b) no Company nor any ERISA Affiliate has incurred liability under ERISA to the PBGC in connection with any Employee Plan (other than required insurance premiums, all of which have been paid), (c) no Company nor any ERISA Affiliate has withdrawn in whole or in part from participation in a Multiemployer Plan, (d) no Company nor any ERISA Affiliate, nor any Multiemployer Plan to which any Company or any ERISA Affiliate contributes to or has contributed to, has received notice concerning the determination that the Multiemployer Plan is, or is expected to be, insolvent or in reorganization, within the meaning of Title IV of ERISA, (e) no Company nor any ERISA Affiliate has engaged in any “prohibited transaction” (as defined in section 406 of ERISA or section 4975 of the Code), and (f) no “reportable event” (as defined in section 4043 of ERISA) has occurred with respect to an Employee Plan, excluding events for which the notice requirement is waived under applicable PBGC regulations.</w:t>
      </w:r>
    </w:p>
    <w:p>
      <w:pPr>
        <w:spacing w:after="0" w:line="192"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9"/>
          <w:szCs w:val="19"/>
          <w:color w:val="auto"/>
        </w:rPr>
        <w:t>8.11</w:t>
      </w:r>
      <w:r>
        <w:rPr>
          <w:sz w:val="20"/>
          <w:szCs w:val="20"/>
          <w:color w:val="auto"/>
        </w:rPr>
        <w:tab/>
      </w:r>
      <w:r>
        <w:rPr>
          <w:rFonts w:ascii="Times New Roman" w:cs="Times New Roman" w:eastAsia="Times New Roman" w:hAnsi="Times New Roman"/>
          <w:sz w:val="18"/>
          <w:szCs w:val="18"/>
          <w:u w:val="single" w:color="auto"/>
          <w:color w:val="auto"/>
        </w:rPr>
        <w:t>Properties and Liens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firstLine="776"/>
        <w:spacing w:after="0" w:line="261" w:lineRule="auto"/>
        <w:tabs>
          <w:tab w:leader="none" w:pos="1203"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Company has good and marketable title in fee simple to, or a valid leasehold interest in, all material property reflected on the Current Financials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for property that is obsolete or that has been disposed of in the ordinary course of business or as otherwise permitted by </w:t>
      </w:r>
      <w:r>
        <w:rPr>
          <w:rFonts w:ascii="Times New Roman" w:cs="Times New Roman" w:eastAsia="Times New Roman" w:hAnsi="Times New Roman"/>
          <w:sz w:val="19"/>
          <w:szCs w:val="19"/>
          <w:b w:val="1"/>
          <w:bCs w:val="1"/>
          <w:i w:val="1"/>
          <w:iCs w:val="1"/>
          <w:color w:val="auto"/>
        </w:rPr>
        <w:t>Section 10.10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Section 10.11</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81</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21" w:lineRule="exact"/>
        <w:rPr>
          <w:sz w:val="20"/>
          <w:szCs w:val="20"/>
          <w:color w:val="auto"/>
        </w:rPr>
      </w:pPr>
    </w:p>
    <w:p>
      <w:pPr>
        <w:jc w:val="both"/>
        <w:ind w:firstLine="776"/>
        <w:spacing w:after="0" w:line="261" w:lineRule="auto"/>
        <w:tabs>
          <w:tab w:leader="none" w:pos="1287"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Permitted Liens, no Lien exists on any property of any Company (including, without limitation, the Forest Service Permits and the Water Rights), and the execution, delivery, performance, or observance of the Loan Papers will not require or result in the creation of any Lien on any Company’s property.</w:t>
      </w:r>
    </w:p>
    <w:p>
      <w:pPr>
        <w:spacing w:after="0" w:line="175" w:lineRule="exact"/>
        <w:rPr>
          <w:rFonts w:ascii="Times New Roman" w:cs="Times New Roman" w:eastAsia="Times New Roman" w:hAnsi="Times New Roman"/>
          <w:sz w:val="19"/>
          <w:szCs w:val="19"/>
          <w:color w:val="auto"/>
        </w:rPr>
      </w:pPr>
    </w:p>
    <w:p>
      <w:pPr>
        <w:ind w:firstLine="776"/>
        <w:spacing w:after="0" w:line="268" w:lineRule="auto"/>
        <w:tabs>
          <w:tab w:leader="none" w:pos="1195"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date hereof, the Forest Service Permits constitute all of the material licenses, permits, or leases from the U.S. held by the Companies for use in connection with their respective skiing businesses.</w:t>
      </w:r>
    </w:p>
    <w:p>
      <w:pPr>
        <w:spacing w:after="0" w:line="168" w:lineRule="exact"/>
        <w:rPr>
          <w:rFonts w:ascii="Times New Roman" w:cs="Times New Roman" w:eastAsia="Times New Roman" w:hAnsi="Times New Roman"/>
          <w:sz w:val="19"/>
          <w:szCs w:val="19"/>
          <w:color w:val="auto"/>
        </w:rPr>
      </w:pPr>
    </w:p>
    <w:p>
      <w:pPr>
        <w:jc w:val="both"/>
        <w:ind w:firstLine="776"/>
        <w:spacing w:after="0" w:line="254" w:lineRule="auto"/>
        <w:tabs>
          <w:tab w:leader="none" w:pos="1225"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Water Rights is, to the knowledge of the Companies, in full force and effect and, to the knowledge of the Companies, there is no material default or existing condition which with the giving of notice or the passage of time or both would cause a material default under any Water Right that is material to the operation of the Companies. Subject to the available supply and to the terms and conditions of the applicable decrees, the Companies’ Water Rights provide a dependable, legal and physical snowmaking, irrigation, and domestic water supply for the operation of the Companies’ businesses.</w:t>
      </w:r>
    </w:p>
    <w:p>
      <w:pPr>
        <w:spacing w:after="0" w:line="177" w:lineRule="exact"/>
        <w:rPr>
          <w:rFonts w:ascii="Times New Roman" w:cs="Times New Roman" w:eastAsia="Times New Roman" w:hAnsi="Times New Roman"/>
          <w:sz w:val="19"/>
          <w:szCs w:val="19"/>
          <w:color w:val="auto"/>
        </w:rPr>
      </w:pPr>
    </w:p>
    <w:p>
      <w:pPr>
        <w:ind w:firstLine="776"/>
        <w:spacing w:after="0" w:line="289" w:lineRule="auto"/>
        <w:tabs>
          <w:tab w:leader="none" w:pos="122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of the Closing Date, (i) the Companies own the Critical Assets set forth on </w:t>
      </w:r>
      <w:r>
        <w:rPr>
          <w:rFonts w:ascii="Times New Roman" w:cs="Times New Roman" w:eastAsia="Times New Roman" w:hAnsi="Times New Roman"/>
          <w:sz w:val="19"/>
          <w:szCs w:val="19"/>
          <w:b w:val="1"/>
          <w:bCs w:val="1"/>
          <w:i w:val="1"/>
          <w:iCs w:val="1"/>
          <w:color w:val="auto"/>
        </w:rPr>
        <w:t>Schedule 8.11</w:t>
      </w:r>
      <w:r>
        <w:rPr>
          <w:rFonts w:ascii="Times New Roman" w:cs="Times New Roman" w:eastAsia="Times New Roman" w:hAnsi="Times New Roman"/>
          <w:sz w:val="19"/>
          <w:szCs w:val="19"/>
          <w:color w:val="auto"/>
        </w:rPr>
        <w:t xml:space="preserve">, and (ii) other than as permitted by </w:t>
      </w:r>
      <w:r>
        <w:rPr>
          <w:rFonts w:ascii="Times New Roman" w:cs="Times New Roman" w:eastAsia="Times New Roman" w:hAnsi="Times New Roman"/>
          <w:sz w:val="19"/>
          <w:szCs w:val="19"/>
          <w:b w:val="1"/>
          <w:bCs w:val="1"/>
          <w:i w:val="1"/>
          <w:iCs w:val="1"/>
          <w:color w:val="auto"/>
        </w:rPr>
        <w:t>Section 9.7(b</w:t>
      </w:r>
      <w:r>
        <w:rPr>
          <w:rFonts w:ascii="Times New Roman" w:cs="Times New Roman" w:eastAsia="Times New Roman" w:hAnsi="Times New Roman"/>
          <w:sz w:val="19"/>
          <w:szCs w:val="19"/>
          <w:color w:val="auto"/>
        </w:rPr>
        <w:t>) hereof, each Critical Asset is owned by a Restricted Subsidiary of Borrower.</w:t>
      </w:r>
    </w:p>
    <w:p>
      <w:pPr>
        <w:spacing w:after="0" w:line="133" w:lineRule="exact"/>
        <w:rPr>
          <w:sz w:val="20"/>
          <w:szCs w:val="20"/>
          <w:color w:val="auto"/>
        </w:rPr>
      </w:pPr>
    </w:p>
    <w:p>
      <w:pPr>
        <w:jc w:val="both"/>
        <w:ind w:firstLine="618"/>
        <w:spacing w:after="0" w:line="287" w:lineRule="auto"/>
        <w:rPr>
          <w:sz w:val="20"/>
          <w:szCs w:val="20"/>
          <w:color w:val="auto"/>
        </w:rPr>
      </w:pPr>
      <w:r>
        <w:rPr>
          <w:rFonts w:ascii="Times New Roman" w:cs="Times New Roman" w:eastAsia="Times New Roman" w:hAnsi="Times New Roman"/>
          <w:sz w:val="19"/>
          <w:szCs w:val="19"/>
          <w:color w:val="auto"/>
        </w:rPr>
        <w:t xml:space="preserve">8.12 </w:t>
      </w:r>
      <w:r>
        <w:rPr>
          <w:rFonts w:ascii="Times New Roman" w:cs="Times New Roman" w:eastAsia="Times New Roman" w:hAnsi="Times New Roman"/>
          <w:sz w:val="19"/>
          <w:szCs w:val="19"/>
          <w:u w:val="single" w:color="auto"/>
          <w:color w:val="auto"/>
        </w:rPr>
        <w:t>Government Regulations</w:t>
      </w:r>
      <w:r>
        <w:rPr>
          <w:rFonts w:ascii="Times New Roman" w:cs="Times New Roman" w:eastAsia="Times New Roman" w:hAnsi="Times New Roman"/>
          <w:sz w:val="19"/>
          <w:szCs w:val="19"/>
          <w:color w:val="auto"/>
        </w:rPr>
        <w:t>. No Company or Controlling Person is or is required to be registered as an “</w:t>
      </w:r>
      <w:r>
        <w:rPr>
          <w:rFonts w:ascii="Times New Roman" w:cs="Times New Roman" w:eastAsia="Times New Roman" w:hAnsi="Times New Roman"/>
          <w:sz w:val="19"/>
          <w:szCs w:val="19"/>
          <w:i w:val="1"/>
          <w:iCs w:val="1"/>
          <w:color w:val="auto"/>
        </w:rPr>
        <w:t>investment company</w:t>
      </w:r>
      <w:r>
        <w:rPr>
          <w:rFonts w:ascii="Times New Roman" w:cs="Times New Roman" w:eastAsia="Times New Roman" w:hAnsi="Times New Roman"/>
          <w:sz w:val="19"/>
          <w:szCs w:val="19"/>
          <w:color w:val="auto"/>
        </w:rPr>
        <w:t>” under the Investment Company Act of 1940.</w:t>
      </w:r>
    </w:p>
    <w:p>
      <w:pPr>
        <w:spacing w:after="0" w:line="132"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8.13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xml:space="preserve">. Except as set forth in </w:t>
      </w:r>
      <w:r>
        <w:rPr>
          <w:rFonts w:ascii="Times New Roman" w:cs="Times New Roman" w:eastAsia="Times New Roman" w:hAnsi="Times New Roman"/>
          <w:sz w:val="19"/>
          <w:szCs w:val="19"/>
          <w:b w:val="1"/>
          <w:bCs w:val="1"/>
          <w:i w:val="1"/>
          <w:iCs w:val="1"/>
          <w:color w:val="auto"/>
        </w:rPr>
        <w:t>Schedule 8.13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for other transactions which do not, in the aggregate, cost the Restricted Companies more than $2,000,000 in any fiscal year, no Restricted Company is a party to any transaction with any Affiliate (</w:t>
      </w:r>
      <w:r>
        <w:rPr>
          <w:rFonts w:ascii="Times New Roman" w:cs="Times New Roman" w:eastAsia="Times New Roman" w:hAnsi="Times New Roman"/>
          <w:sz w:val="19"/>
          <w:szCs w:val="19"/>
          <w:i w:val="1"/>
          <w:iCs w:val="1"/>
          <w:color w:val="auto"/>
        </w:rPr>
        <w:t>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than </w:t>
      </w:r>
      <w:r>
        <w:rPr>
          <w:rFonts w:ascii="Times New Roman" w:cs="Times New Roman" w:eastAsia="Times New Roman" w:hAnsi="Times New Roman"/>
          <w:sz w:val="19"/>
          <w:szCs w:val="19"/>
          <w:color w:val="auto"/>
        </w:rPr>
        <w:t>another Restricted Company),</w:t>
      </w:r>
      <w:r>
        <w:rPr>
          <w:rFonts w:ascii="Times New Roman" w:cs="Times New Roman" w:eastAsia="Times New Roman" w:hAnsi="Times New Roman"/>
          <w:sz w:val="19"/>
          <w:szCs w:val="19"/>
          <w:i w:val="1"/>
          <w:iCs w:val="1"/>
          <w:color w:val="auto"/>
        </w:rPr>
        <w:t xml:space="preserve"> except </w:t>
      </w:r>
      <w:r>
        <w:rPr>
          <w:rFonts w:ascii="Times New Roman" w:cs="Times New Roman" w:eastAsia="Times New Roman" w:hAnsi="Times New Roman"/>
          <w:sz w:val="19"/>
          <w:szCs w:val="19"/>
          <w:color w:val="auto"/>
        </w:rPr>
        <w:t>upon fair and reasonable terms not materially less favorable than it could obtain or could become entitled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in an arm’s-length transaction with a Person that was not its Affiliate.</w:t>
      </w:r>
    </w:p>
    <w:p>
      <w:pPr>
        <w:spacing w:after="0" w:line="17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8.14</w:t>
      </w:r>
      <w:r>
        <w:rPr>
          <w:sz w:val="20"/>
          <w:szCs w:val="20"/>
          <w:color w:val="auto"/>
        </w:rPr>
        <w:tab/>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No Restricted Company is an obligor on any Debt,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i w:val="1"/>
          <w:iCs w:val="1"/>
          <w:color w:val="auto"/>
        </w:rPr>
        <w:t>other than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Permitted Debt.</w:t>
      </w:r>
    </w:p>
    <w:p>
      <w:pPr>
        <w:spacing w:after="0" w:line="210"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8.15 </w:t>
      </w:r>
      <w:r>
        <w:rPr>
          <w:rFonts w:ascii="Times New Roman" w:cs="Times New Roman" w:eastAsia="Times New Roman" w:hAnsi="Times New Roman"/>
          <w:sz w:val="19"/>
          <w:szCs w:val="19"/>
          <w:u w:val="single" w:color="auto"/>
          <w:color w:val="auto"/>
        </w:rPr>
        <w:t>Material Agreements</w:t>
      </w:r>
      <w:r>
        <w:rPr>
          <w:rFonts w:ascii="Times New Roman" w:cs="Times New Roman" w:eastAsia="Times New Roman" w:hAnsi="Times New Roman"/>
          <w:sz w:val="19"/>
          <w:szCs w:val="19"/>
          <w:color w:val="auto"/>
        </w:rPr>
        <w:t>. All Material Agreements to which any Restricted Company is a party are in full force and effect, and no default or potential default (a) exists on the part of any Restricted Company thereunder that is a Material Adverse Event or (b) would result from the consummation of the transactions contemplated by this Agreement or any other Loan Paper.</w:t>
      </w:r>
    </w:p>
    <w:p>
      <w:pPr>
        <w:spacing w:after="0" w:line="176"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8.16 </w:t>
      </w:r>
      <w:r>
        <w:rPr>
          <w:rFonts w:ascii="Times New Roman" w:cs="Times New Roman" w:eastAsia="Times New Roman" w:hAnsi="Times New Roman"/>
          <w:sz w:val="19"/>
          <w:szCs w:val="19"/>
          <w:u w:val="single" w:color="auto"/>
          <w:color w:val="auto"/>
        </w:rPr>
        <w:t>Labor Matters</w:t>
      </w:r>
      <w:r>
        <w:rPr>
          <w:rFonts w:ascii="Times New Roman" w:cs="Times New Roman" w:eastAsia="Times New Roman" w:hAnsi="Times New Roman"/>
          <w:sz w:val="19"/>
          <w:szCs w:val="19"/>
          <w:color w:val="auto"/>
        </w:rPr>
        <w:t xml:space="preserve">. There are no binding agreements of any type with any labor union, labor organization, collective bargaining unit or employee group to which any Company is bound,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agreements which may be entered into after the Closing Date which do not constitute a Material Adverse Event. No actual or threatened strikes, labor disputes, slow downs, walkouts, or other concerted interruptions of operations by the employees of any Company that constitute a Material Adverse Event exist. Hours worked by and payment made to employees of the Companies have not been in violation of the </w:t>
      </w:r>
      <w:r>
        <w:rPr>
          <w:rFonts w:ascii="Times New Roman" w:cs="Times New Roman" w:eastAsia="Times New Roman" w:hAnsi="Times New Roman"/>
          <w:sz w:val="19"/>
          <w:szCs w:val="19"/>
          <w:i w:val="1"/>
          <w:iCs w:val="1"/>
          <w:color w:val="auto"/>
        </w:rPr>
        <w:t>Fair Labor Standards Act,</w:t>
      </w:r>
      <w:r>
        <w:rPr>
          <w:rFonts w:ascii="Times New Roman" w:cs="Times New Roman" w:eastAsia="Times New Roman" w:hAnsi="Times New Roman"/>
          <w:sz w:val="19"/>
          <w:szCs w:val="19"/>
          <w:color w:val="auto"/>
        </w:rPr>
        <w:t xml:space="preserve"> as amended, or any other applicable Law dealing with labor matters,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any violations, individually or collectively, that are not a Material Adverse Event. All payments due from any Company for employee health and welfare insurance have been paid or accrued as a liability on its books,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any nonpayments that are not, individually or collectively, a Material Adverse Event.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82</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21"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8.17 </w:t>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 On the Closing Date, on each Loan Date, and on each date of an L/C Credit Extension, Borrower, and each Guarantor are, and after giving effect to the requested Loan, will be, Solvent.</w:t>
      </w:r>
    </w:p>
    <w:p>
      <w:pPr>
        <w:spacing w:after="0" w:line="143"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Each Company owns (or otherwise holds rights to use) all material Intellectual Property, licenses, permits, and trade names necessary to continue to conduct its businesses as presently conducted by it and proposed to be conducted by it immediately after the Closing Date. To its knowledge, each Company is conducting its business without infringement or claim of infringement of any license, patent, copyright, service mark, trademark, trade name, trade secret, or other intellectual property right of others, </w:t>
      </w:r>
      <w:r>
        <w:rPr>
          <w:rFonts w:ascii="Times New Roman" w:cs="Times New Roman" w:eastAsia="Times New Roman" w:hAnsi="Times New Roman"/>
          <w:sz w:val="18"/>
          <w:szCs w:val="18"/>
          <w:i w:val="1"/>
          <w:iCs w:val="1"/>
          <w:color w:val="auto"/>
        </w:rPr>
        <w:t>other than</w:t>
      </w:r>
      <w:r>
        <w:rPr>
          <w:rFonts w:ascii="Times New Roman" w:cs="Times New Roman" w:eastAsia="Times New Roman" w:hAnsi="Times New Roman"/>
          <w:sz w:val="18"/>
          <w:szCs w:val="18"/>
          <w:color w:val="auto"/>
        </w:rPr>
        <w:t xml:space="preserve"> any infringements or claims that, if successfully asserted against or determined adversely to any Company, would not, individually or collectively, constitute a Material Adverse Event, and to the best of each Company’s knowledge, no slogan or other advertising device, product, process, method, substance, or part or other material now employed, or now contemplated to be employed, by such Company infringes upon any rights held by any other Person. To the knowledge of any Company as of the date hereof, no infringement or claim of infringement by others of any material Intellectual Property, license, permit, trade name, or other intellectual property of any Company exists, </w:t>
      </w:r>
      <w:r>
        <w:rPr>
          <w:rFonts w:ascii="Times New Roman" w:cs="Times New Roman" w:eastAsia="Times New Roman" w:hAnsi="Times New Roman"/>
          <w:sz w:val="18"/>
          <w:szCs w:val="18"/>
          <w:i w:val="1"/>
          <w:iCs w:val="1"/>
          <w:color w:val="auto"/>
        </w:rPr>
        <w:t>other than</w:t>
      </w:r>
      <w:r>
        <w:rPr>
          <w:rFonts w:ascii="Times New Roman" w:cs="Times New Roman" w:eastAsia="Times New Roman" w:hAnsi="Times New Roman"/>
          <w:sz w:val="18"/>
          <w:szCs w:val="18"/>
          <w:color w:val="auto"/>
        </w:rPr>
        <w:t xml:space="preserve"> claims which will not result in a Material Adverse Event.</w:t>
      </w:r>
    </w:p>
    <w:p>
      <w:pPr>
        <w:spacing w:after="0" w:line="173"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8.19 </w:t>
      </w:r>
      <w:r>
        <w:rPr>
          <w:rFonts w:ascii="Times New Roman" w:cs="Times New Roman" w:eastAsia="Times New Roman" w:hAnsi="Times New Roman"/>
          <w:sz w:val="19"/>
          <w:szCs w:val="19"/>
          <w:u w:val="single" w:color="auto"/>
          <w:color w:val="auto"/>
        </w:rPr>
        <w:t>Full Disclosure</w:t>
      </w:r>
      <w:r>
        <w:rPr>
          <w:rFonts w:ascii="Times New Roman" w:cs="Times New Roman" w:eastAsia="Times New Roman" w:hAnsi="Times New Roman"/>
          <w:sz w:val="19"/>
          <w:szCs w:val="19"/>
          <w:color w:val="auto"/>
        </w:rPr>
        <w:t>. Each material fact or condition relating to the Loan Papers or the financial condition, business, or property of any Company has been disclosed to Administrative Agent. All reports, financial statements, certificates, and other information furnished by any Company to Administrative Agent in connection with the Loan Papers on or before the Closing Date was, taken as a whole, true and accurate in all material respects or based on reasonable estimates on the date the information is stated or certified.</w:t>
      </w:r>
    </w:p>
    <w:p>
      <w:pPr>
        <w:spacing w:after="0" w:line="183"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8.20 </w:t>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The properties of the Companies are insured with financially sound and reputable insurance companies not Affiliates of the Companies, in such amounts, with such deductibles and covering such risks as are customarily carried by companies engaged in similar businesses and owning similar properties in localities where the Companies operate.</w:t>
      </w:r>
    </w:p>
    <w:p>
      <w:pPr>
        <w:spacing w:after="0" w:line="176"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8.21 </w:t>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 Each Company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result in a Material Adverse Event.</w:t>
      </w:r>
    </w:p>
    <w:p>
      <w:pPr>
        <w:spacing w:after="0" w:line="183"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9"/>
          <w:szCs w:val="19"/>
          <w:color w:val="auto"/>
        </w:rPr>
        <w:t xml:space="preserve">8.22 </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No Company, or, to the knowledge of any Company, any director, officer, employee, agent or representative thereof, is an individual or entity that is, or is owned or controlled by any individual or entity that is (a) currently the subject or target of any Sanctions,</w:t>
      </w:r>
    </w:p>
    <w:p>
      <w:pPr>
        <w:spacing w:after="0" w:line="1" w:lineRule="exact"/>
        <w:rPr>
          <w:sz w:val="20"/>
          <w:szCs w:val="20"/>
          <w:color w:val="auto"/>
        </w:rPr>
      </w:pPr>
    </w:p>
    <w:p>
      <w:pPr>
        <w:jc w:val="both"/>
        <w:ind w:firstLine="3"/>
        <w:spacing w:after="0" w:line="252" w:lineRule="auto"/>
        <w:tabs>
          <w:tab w:leader="none" w:pos="294"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included on OFAC’s List of Specially Designated Nationals or HMT’s Consolidated List of Financial Sanctions Targets, or any similar list enforced by any other relevant sanctions authority or (c) located, organized or resident in a Designated Jurisdiction. Each Company has conducted their businesses in compliance in all material respects with all applicable Sanctions and have instituted and maintained policies and procedures designed to promote and achieve compliance with such Sanctions.</w:t>
      </w:r>
    </w:p>
    <w:p>
      <w:pPr>
        <w:spacing w:after="0" w:line="183" w:lineRule="exact"/>
        <w:rPr>
          <w:sz w:val="20"/>
          <w:szCs w:val="20"/>
          <w:color w:val="auto"/>
        </w:rPr>
      </w:pPr>
    </w:p>
    <w:p>
      <w:pPr>
        <w:ind w:firstLine="618"/>
        <w:spacing w:after="0" w:line="268" w:lineRule="auto"/>
        <w:rPr>
          <w:sz w:val="20"/>
          <w:szCs w:val="20"/>
          <w:color w:val="auto"/>
        </w:rPr>
      </w:pPr>
      <w:r>
        <w:rPr>
          <w:rFonts w:ascii="Times New Roman" w:cs="Times New Roman" w:eastAsia="Times New Roman" w:hAnsi="Times New Roman"/>
          <w:sz w:val="19"/>
          <w:szCs w:val="19"/>
          <w:color w:val="auto"/>
        </w:rPr>
        <w:t xml:space="preserve">8.23 </w:t>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 Each Company is in compliance in all material respects with Anti-Corruption Laws applicable to such Company, and each Company has instituted and maintains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83</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compliance policies and procedures applicable to such Company with respect to applicable Anti-Corruption Laws.</w:t>
      </w:r>
    </w:p>
    <w:p>
      <w:pPr>
        <w:spacing w:after="0" w:line="219" w:lineRule="exact"/>
        <w:rPr>
          <w:sz w:val="20"/>
          <w:szCs w:val="20"/>
          <w:color w:val="auto"/>
        </w:rPr>
      </w:pPr>
    </w:p>
    <w:p>
      <w:pPr>
        <w:ind w:firstLine="618"/>
        <w:spacing w:after="0" w:line="268" w:lineRule="auto"/>
        <w:rPr>
          <w:sz w:val="20"/>
          <w:szCs w:val="20"/>
          <w:color w:val="auto"/>
        </w:rPr>
      </w:pPr>
      <w:r>
        <w:rPr>
          <w:rFonts w:ascii="Times New Roman" w:cs="Times New Roman" w:eastAsia="Times New Roman" w:hAnsi="Times New Roman"/>
          <w:sz w:val="19"/>
          <w:szCs w:val="19"/>
          <w:color w:val="auto"/>
        </w:rPr>
        <w:t xml:space="preserve">8.24 </w:t>
      </w:r>
      <w:r>
        <w:rPr>
          <w:rFonts w:ascii="Times New Roman" w:cs="Times New Roman" w:eastAsia="Times New Roman" w:hAnsi="Times New Roman"/>
          <w:sz w:val="19"/>
          <w:szCs w:val="19"/>
          <w:u w:val="single" w:color="auto"/>
          <w:color w:val="auto"/>
        </w:rPr>
        <w:t>Taxpayer Identification Number</w:t>
      </w:r>
      <w:r>
        <w:rPr>
          <w:rFonts w:ascii="Times New Roman" w:cs="Times New Roman" w:eastAsia="Times New Roman" w:hAnsi="Times New Roman"/>
          <w:sz w:val="19"/>
          <w:szCs w:val="19"/>
          <w:color w:val="auto"/>
        </w:rPr>
        <w:t>. The true and correct U.S. taxpayer identification number of Borrower and each Restricted Subsidiary is set forth on Schedule 8.24.</w:t>
      </w:r>
    </w:p>
    <w:p>
      <w:pPr>
        <w:spacing w:after="0" w:line="16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8.25</w:t>
      </w:r>
      <w:r>
        <w:rPr>
          <w:sz w:val="20"/>
          <w:szCs w:val="20"/>
          <w:color w:val="auto"/>
        </w:rPr>
        <w:tab/>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Neither Borrower nor any Guarantor is an Affected Financial Institution.</w:t>
      </w:r>
    </w:p>
    <w:p>
      <w:pPr>
        <w:spacing w:after="0" w:line="206" w:lineRule="exact"/>
        <w:rPr>
          <w:sz w:val="20"/>
          <w:szCs w:val="20"/>
          <w:color w:val="auto"/>
        </w:rPr>
      </w:pPr>
    </w:p>
    <w:p>
      <w:pPr>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8.26 </w:t>
      </w:r>
      <w:r>
        <w:rPr>
          <w:rFonts w:ascii="Times New Roman" w:cs="Times New Roman" w:eastAsia="Times New Roman" w:hAnsi="Times New Roman"/>
          <w:sz w:val="19"/>
          <w:szCs w:val="19"/>
          <w:u w:val="single" w:color="auto"/>
          <w:color w:val="auto"/>
        </w:rPr>
        <w:t>Beneficial Ownership</w:t>
      </w:r>
      <w:r>
        <w:rPr>
          <w:rFonts w:ascii="Times New Roman" w:cs="Times New Roman" w:eastAsia="Times New Roman" w:hAnsi="Times New Roman"/>
          <w:sz w:val="19"/>
          <w:szCs w:val="19"/>
          <w:color w:val="auto"/>
        </w:rPr>
        <w:t>. As of the Closing Date, the information included in each Beneficial Ownership Certification, if applicable, is true and correct in all respects.</w:t>
      </w:r>
    </w:p>
    <w:p>
      <w:pPr>
        <w:spacing w:after="0" w:line="15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b w:val="1"/>
          <w:bCs w:val="1"/>
          <w:u w:val="single" w:color="auto"/>
          <w:color w:val="auto"/>
        </w:rPr>
        <w:t>SECTION 9</w:t>
      </w:r>
      <w:r>
        <w:rPr>
          <w:sz w:val="20"/>
          <w:szCs w:val="20"/>
          <w:color w:val="auto"/>
        </w:rPr>
        <w:tab/>
      </w:r>
      <w:r>
        <w:rPr>
          <w:rFonts w:ascii="Times New Roman" w:cs="Times New Roman" w:eastAsia="Times New Roman" w:hAnsi="Times New Roman"/>
          <w:sz w:val="19"/>
          <w:szCs w:val="19"/>
          <w:b w:val="1"/>
          <w:bCs w:val="1"/>
          <w:u w:val="single" w:color="auto"/>
          <w:color w:val="auto"/>
        </w:rPr>
        <w:t>AFFIRMATIVE COVENANTS</w:t>
      </w:r>
      <w:r>
        <w:rPr>
          <w:rFonts w:ascii="Times New Roman" w:cs="Times New Roman" w:eastAsia="Times New Roman" w:hAnsi="Times New Roman"/>
          <w:sz w:val="19"/>
          <w:szCs w:val="19"/>
          <w:color w:val="auto"/>
        </w:rPr>
        <w:t>. So long as Lenders are committed to fund Loans and the L/C Issuers are committed to issue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L/Cs under this Agreement, and thereafter until the Obligation is paid in full, Borrower covenants and agrees as follows:</w:t>
      </w:r>
    </w:p>
    <w:p>
      <w:pPr>
        <w:spacing w:after="0" w:line="19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9.1</w:t>
      </w:r>
      <w:r>
        <w:rPr>
          <w:sz w:val="20"/>
          <w:szCs w:val="20"/>
          <w:color w:val="auto"/>
        </w:rPr>
        <w:tab/>
      </w:r>
      <w:r>
        <w:rPr>
          <w:rFonts w:ascii="Times New Roman" w:cs="Times New Roman" w:eastAsia="Times New Roman" w:hAnsi="Times New Roman"/>
          <w:sz w:val="18"/>
          <w:szCs w:val="18"/>
          <w:u w:val="single" w:color="auto"/>
          <w:color w:val="auto"/>
        </w:rPr>
        <w:t>Items to be Furnished</w:t>
      </w:r>
      <w:r>
        <w:rPr>
          <w:rFonts w:ascii="Times New Roman" w:cs="Times New Roman" w:eastAsia="Times New Roman" w:hAnsi="Times New Roman"/>
          <w:sz w:val="18"/>
          <w:szCs w:val="18"/>
          <w:color w:val="auto"/>
        </w:rPr>
        <w:t>. Borrower shall cause the following to be furnished to each Lender:</w:t>
      </w:r>
    </w:p>
    <w:p>
      <w:pPr>
        <w:spacing w:after="0" w:line="206" w:lineRule="exact"/>
        <w:rPr>
          <w:sz w:val="20"/>
          <w:szCs w:val="20"/>
          <w:color w:val="auto"/>
        </w:rPr>
      </w:pPr>
    </w:p>
    <w:p>
      <w:pPr>
        <w:jc w:val="both"/>
        <w:ind w:firstLine="776"/>
        <w:spacing w:after="0" w:line="251" w:lineRule="auto"/>
        <w:tabs>
          <w:tab w:leader="none" w:pos="119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fiscal year of the Companies, within 5 Business Days after the date required to be filed with the Securities and Exchange Commission as part of the Companies’ periodic reporting, Financial Statements showing the consolidated financial condition and results of operations of the Companies as of, and for the year ended on, that last day, accompanied by: (A) the unqualified opinion of a “</w:t>
      </w:r>
      <w:r>
        <w:rPr>
          <w:rFonts w:ascii="Times New Roman" w:cs="Times New Roman" w:eastAsia="Times New Roman" w:hAnsi="Times New Roman"/>
          <w:sz w:val="19"/>
          <w:szCs w:val="19"/>
          <w:i w:val="1"/>
          <w:iCs w:val="1"/>
          <w:color w:val="auto"/>
        </w:rPr>
        <w:t>Registered Public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Accounting Firm</w:t>
      </w:r>
      <w:r>
        <w:rPr>
          <w:rFonts w:ascii="Times New Roman" w:cs="Times New Roman" w:eastAsia="Times New Roman" w:hAnsi="Times New Roman"/>
          <w:sz w:val="19"/>
          <w:szCs w:val="19"/>
          <w:color w:val="auto"/>
        </w:rPr>
        <w:t>” (as such term is specified in the Securities Laws) of nationally-recognized standing, based on an audit using generally accepted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auditing standards and applicable Securities Laws, that the Financial Statements were prepared in accordance with GAAP and present fairly, in all material respects, the consolidated financial condition and results of operations of the Companies;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such opinion may include appropriate qualifications related to any actual or potential impact, direct or indirect, arising as a result of or related to (or could reasonably be expected to arise out of or result from) COVID-19 on the Companies’ consolidated financial condition, (B) any management letter prepared by the accounting firm delivered in connection with its audit, (C) a certificate from the accounting firm to Administrative Agent indicating that during its audit it obtained no knowledge of any Default or Potential Default, or if it obtained knowledge, the nature and period of existence thereof, and (D) a Compliance Certificate with respect to the Financial Statements.</w:t>
      </w:r>
    </w:p>
    <w:p>
      <w:pPr>
        <w:spacing w:after="0" w:line="190" w:lineRule="exact"/>
        <w:rPr>
          <w:rFonts w:ascii="Times New Roman" w:cs="Times New Roman" w:eastAsia="Times New Roman" w:hAnsi="Times New Roman"/>
          <w:sz w:val="19"/>
          <w:szCs w:val="19"/>
          <w:color w:val="auto"/>
        </w:rPr>
      </w:pPr>
    </w:p>
    <w:p>
      <w:pPr>
        <w:jc w:val="both"/>
        <w:ind w:firstLine="776"/>
        <w:spacing w:after="0" w:line="254" w:lineRule="auto"/>
        <w:tabs>
          <w:tab w:leader="none" w:pos="1216"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fiscal quarter of the Companies (other than the last fiscal quarter of each fiscal year), within 5 Business Days after the date required to be filed with the Securities and Exchange Commission as part of the Companies’ periodic reportings, Financial Statements showing the consolidated financial condition and results of operations of the Companies for such fiscal quarter and for the period from the beginning of the current fiscal year to the last day of such fiscal quarter, accompanied by a Compliance Certificate with respect to the Financial Statements.</w:t>
      </w:r>
    </w:p>
    <w:p>
      <w:pPr>
        <w:spacing w:after="0" w:line="183" w:lineRule="exact"/>
        <w:rPr>
          <w:rFonts w:ascii="Times New Roman" w:cs="Times New Roman" w:eastAsia="Times New Roman" w:hAnsi="Times New Roman"/>
          <w:sz w:val="19"/>
          <w:szCs w:val="19"/>
          <w:color w:val="auto"/>
        </w:rPr>
      </w:pPr>
    </w:p>
    <w:p>
      <w:pPr>
        <w:ind w:firstLine="776"/>
        <w:spacing w:after="0" w:line="268" w:lineRule="auto"/>
        <w:tabs>
          <w:tab w:leader="none" w:pos="1347"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receipt, a copy of each interim or special audit report, management letter, and recommendations issued by independent accountants with respect to any Company or its financial records.</w:t>
      </w:r>
    </w:p>
    <w:p>
      <w:pPr>
        <w:spacing w:after="0" w:line="168" w:lineRule="exact"/>
        <w:rPr>
          <w:rFonts w:ascii="Times New Roman" w:cs="Times New Roman" w:eastAsia="Times New Roman" w:hAnsi="Times New Roman"/>
          <w:sz w:val="19"/>
          <w:szCs w:val="19"/>
          <w:color w:val="auto"/>
        </w:rPr>
      </w:pPr>
    </w:p>
    <w:p>
      <w:pPr>
        <w:jc w:val="both"/>
        <w:ind w:firstLine="776"/>
        <w:spacing w:after="0" w:line="259" w:lineRule="auto"/>
        <w:tabs>
          <w:tab w:leader="none" w:pos="1324"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 promptly after any Company knows or has reason to know, of (i) the existence and status of any Litigation that, if determined adversely to any Company, would be a Material Adverse Event, (ii) any change in any material fact or circumstance represented or warranted by any Restricted Company in connection with any Loan Paper, (iii) the receipt by any Company of notice of any violation or alleged violation of any Environmental Law or ERISA (which individually or collectively with other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84</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violations or allegations is reasonably likely to constitute a Material Adverse Event), (iv) a Default or Potential Default, specifying the nature thereof and what action the Restricted Companies have taken, are taking, or propose to take, (v) any breach or nonperformance of, or default under, a Material Agreement of a Restricted Company that is reasonably likely to result in a Material Adverse Event, (vi) any material change in accounting policies or financial reporting practices by any Restricted Company, (vii) the occurrence of any Internal Control Event, or (viii) the occurrence of any event pursuant to which any “</w:t>
      </w:r>
      <w:r>
        <w:rPr>
          <w:rFonts w:ascii="Times New Roman" w:cs="Times New Roman" w:eastAsia="Times New Roman" w:hAnsi="Times New Roman"/>
          <w:sz w:val="19"/>
          <w:szCs w:val="19"/>
          <w:i w:val="1"/>
          <w:iCs w:val="1"/>
          <w:color w:val="auto"/>
        </w:rPr>
        <w:t>person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i w:val="1"/>
          <w:iCs w:val="1"/>
          <w:color w:val="auto"/>
        </w:rPr>
        <w:t>group</w:t>
      </w:r>
      <w:r>
        <w:rPr>
          <w:rFonts w:ascii="Times New Roman" w:cs="Times New Roman" w:eastAsia="Times New Roman" w:hAnsi="Times New Roman"/>
          <w:sz w:val="19"/>
          <w:szCs w:val="19"/>
          <w:color w:val="auto"/>
        </w:rPr>
        <w:t xml:space="preserve">” (as such terms are used in </w:t>
      </w:r>
      <w:r>
        <w:rPr>
          <w:rFonts w:ascii="Times New Roman" w:cs="Times New Roman" w:eastAsia="Times New Roman" w:hAnsi="Times New Roman"/>
          <w:sz w:val="19"/>
          <w:szCs w:val="19"/>
          <w:i w:val="1"/>
          <w:iCs w:val="1"/>
          <w:color w:val="auto"/>
        </w:rPr>
        <w:t>Sections 13(d)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14(d)</w:t>
      </w:r>
      <w:r>
        <w:rPr>
          <w:rFonts w:ascii="Times New Roman" w:cs="Times New Roman" w:eastAsia="Times New Roman" w:hAnsi="Times New Roman"/>
          <w:sz w:val="19"/>
          <w:szCs w:val="19"/>
          <w:color w:val="auto"/>
        </w:rPr>
        <w:t xml:space="preserve"> of the Securities Exchange Act of 1934, but excluding any employee benefit plan of such person or its subsidiaries, and any person or entity acting in its capacity as trustee, agent, or other fiduciary or administrator of any such plan) is granted or otherwise obtains or receives the right to acquire (such right, an “</w:t>
      </w:r>
      <w:r>
        <w:rPr>
          <w:rFonts w:ascii="Times New Roman" w:cs="Times New Roman" w:eastAsia="Times New Roman" w:hAnsi="Times New Roman"/>
          <w:sz w:val="19"/>
          <w:szCs w:val="19"/>
          <w:b w:val="1"/>
          <w:bCs w:val="1"/>
          <w:i w:val="1"/>
          <w:iCs w:val="1"/>
          <w:color w:val="auto"/>
        </w:rPr>
        <w:t>option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right</w:t>
      </w:r>
      <w:r>
        <w:rPr>
          <w:rFonts w:ascii="Times New Roman" w:cs="Times New Roman" w:eastAsia="Times New Roman" w:hAnsi="Times New Roman"/>
          <w:sz w:val="19"/>
          <w:szCs w:val="19"/>
          <w:color w:val="auto"/>
        </w:rPr>
        <w:t>”), whether such right is exercisable immediately or only after the passage of time, directly or indirectly, 5% or more of the equity securities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VRI entitled to vote for members of the board of directors or equivalent governing body of VRI on a fully-diluted basis (and taking into account all such securities that such person or group has the right to acquire pursuant to any option right). Each notice pursuant to </w:t>
      </w:r>
      <w:r>
        <w:rPr>
          <w:rFonts w:ascii="Times New Roman" w:cs="Times New Roman" w:eastAsia="Times New Roman" w:hAnsi="Times New Roman"/>
          <w:sz w:val="19"/>
          <w:szCs w:val="19"/>
          <w:b w:val="1"/>
          <w:bCs w:val="1"/>
          <w:i w:val="1"/>
          <w:iCs w:val="1"/>
          <w:color w:val="auto"/>
        </w:rPr>
        <w:t>Section 9.1(d)(iv)</w:t>
      </w:r>
      <w:r>
        <w:rPr>
          <w:rFonts w:ascii="Times New Roman" w:cs="Times New Roman" w:eastAsia="Times New Roman" w:hAnsi="Times New Roman"/>
          <w:sz w:val="19"/>
          <w:szCs w:val="19"/>
          <w:color w:val="auto"/>
        </w:rPr>
        <w:t xml:space="preserve"> shall describe with particularity any and all provisions of this Agreement and any other Loan Paper that have been breached.</w:t>
      </w:r>
    </w:p>
    <w:p>
      <w:pPr>
        <w:spacing w:after="0" w:line="191" w:lineRule="exact"/>
        <w:rPr>
          <w:sz w:val="20"/>
          <w:szCs w:val="20"/>
          <w:color w:val="auto"/>
        </w:rPr>
      </w:pPr>
    </w:p>
    <w:p>
      <w:pPr>
        <w:jc w:val="both"/>
        <w:ind w:firstLine="776"/>
        <w:spacing w:after="0" w:line="261" w:lineRule="auto"/>
        <w:tabs>
          <w:tab w:leader="none" w:pos="1203"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filing, copies of all material reports or filings filed by or on behalf of any Company with any securities exchange or the Securities and Exchange Commission (including, without limitation, copies of each Form 10-K, Form 10-Q, and Form S-8 filed by, or on behalf of, VRI with the Securities and Exchange Commission within 15 days after filing).</w:t>
      </w:r>
    </w:p>
    <w:p>
      <w:pPr>
        <w:spacing w:after="0" w:line="156" w:lineRule="exact"/>
        <w:rPr>
          <w:rFonts w:ascii="Times New Roman" w:cs="Times New Roman" w:eastAsia="Times New Roman" w:hAnsi="Times New Roman"/>
          <w:sz w:val="19"/>
          <w:szCs w:val="19"/>
          <w:color w:val="auto"/>
        </w:rPr>
      </w:pPr>
    </w:p>
    <w:p>
      <w:pPr>
        <w:jc w:val="both"/>
        <w:ind w:firstLine="776"/>
        <w:spacing w:after="0" w:line="251" w:lineRule="auto"/>
        <w:tabs>
          <w:tab w:leader="none" w:pos="122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Documents required to be delivered pursuant to </w:t>
      </w:r>
      <w:r>
        <w:rPr>
          <w:rFonts w:ascii="Times New Roman" w:cs="Times New Roman" w:eastAsia="Times New Roman" w:hAnsi="Times New Roman"/>
          <w:sz w:val="19"/>
          <w:szCs w:val="19"/>
          <w:b w:val="1"/>
          <w:bCs w:val="1"/>
          <w:i w:val="1"/>
          <w:iCs w:val="1"/>
          <w:color w:val="auto"/>
        </w:rPr>
        <w:t>Section 9.1(a)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9.1(e)</w:t>
      </w:r>
      <w:r>
        <w:rPr>
          <w:rFonts w:ascii="Times New Roman" w:cs="Times New Roman" w:eastAsia="Times New Roman" w:hAnsi="Times New Roman"/>
          <w:sz w:val="19"/>
          <w:szCs w:val="19"/>
          <w:color w:val="auto"/>
        </w:rPr>
        <w:t xml:space="preserve"> (to the extent any such documents are included in materials otherwise filed with the SEC) may be delivered electronically and if so delivered, shall be deemed to have been delivered on the date (i) on which Borrower posts such documents, or provides a link thereto on Borrower’s website on the Internet at the website address listed on </w:t>
      </w:r>
      <w:r>
        <w:rPr>
          <w:rFonts w:ascii="Times New Roman" w:cs="Times New Roman" w:eastAsia="Times New Roman" w:hAnsi="Times New Roman"/>
          <w:sz w:val="19"/>
          <w:szCs w:val="19"/>
          <w:b w:val="1"/>
          <w:bCs w:val="1"/>
          <w:i w:val="1"/>
          <w:iCs w:val="1"/>
          <w:color w:val="auto"/>
        </w:rPr>
        <w:t>Schedule 1</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or (ii) on which such documents are posted on Borrower’s behalf on an Internet or intranet website, if any, to which each Lender and Administrative Agent have access (whether a commercial, third-party website or whether sponsored by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 Borrower shall deliver paper copies of such documents to Administrative Agent or any Lender that requests Borrower to deliver such paper copies until a written request to cease delivering paper copies is given by Administrative Agent or such Lender, and (y) Borrower shall notify Administrative Agent and each Lender (by telecopier or electronic mail) of the posting of any such documents and provide to Administrative Agent by electronic mail electronic versions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soft copies) of such documents. Notwithstanding anything contained herein, in every instance Borrower shall be required to provide paper copies of the Compliance Certificates required by </w:t>
      </w:r>
      <w:r>
        <w:rPr>
          <w:rFonts w:ascii="Times New Roman" w:cs="Times New Roman" w:eastAsia="Times New Roman" w:hAnsi="Times New Roman"/>
          <w:sz w:val="19"/>
          <w:szCs w:val="19"/>
          <w:b w:val="1"/>
          <w:bCs w:val="1"/>
          <w:i w:val="1"/>
          <w:iCs w:val="1"/>
          <w:color w:val="auto"/>
        </w:rPr>
        <w:t>Section 9.1(a)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to Administrative Agent. Except for such Compliance Certificates, Administrative Agent shall have no obligation to request the delivery or to maintain copies of the documents referred to above, and in any event shall have no responsibility to monitor compliance by Borrower with any such request for delivery, and each Lender shall be solely responsible for requesting delivery to it or maintaining its copies of such documents.</w:t>
      </w:r>
    </w:p>
    <w:p>
      <w:pPr>
        <w:spacing w:after="0" w:line="191" w:lineRule="exact"/>
        <w:rPr>
          <w:sz w:val="20"/>
          <w:szCs w:val="20"/>
          <w:color w:val="auto"/>
        </w:rPr>
      </w:pPr>
    </w:p>
    <w:p>
      <w:pPr>
        <w:jc w:val="both"/>
        <w:ind w:firstLine="773"/>
        <w:spacing w:after="0" w:line="254" w:lineRule="auto"/>
        <w:rPr>
          <w:sz w:val="20"/>
          <w:szCs w:val="20"/>
          <w:color w:val="auto"/>
        </w:rPr>
      </w:pPr>
      <w:r>
        <w:rPr>
          <w:rFonts w:ascii="Times New Roman" w:cs="Times New Roman" w:eastAsia="Times New Roman" w:hAnsi="Times New Roman"/>
          <w:sz w:val="19"/>
          <w:szCs w:val="19"/>
          <w:color w:val="auto"/>
        </w:rPr>
        <w:t>Borrower hereby acknowledges that (a) Administrative Agent may, but shall not be obligated to, make available to Lenders and L/C Issuers materials and/or information provided by or on behalf of Borrower hereunder (collectively, “</w:t>
      </w:r>
      <w:r>
        <w:rPr>
          <w:rFonts w:ascii="Times New Roman" w:cs="Times New Roman" w:eastAsia="Times New Roman" w:hAnsi="Times New Roman"/>
          <w:sz w:val="19"/>
          <w:szCs w:val="19"/>
          <w:b w:val="1"/>
          <w:bCs w:val="1"/>
          <w:i w:val="1"/>
          <w:iCs w:val="1"/>
          <w:color w:val="auto"/>
        </w:rPr>
        <w:t>Borrower Materials</w:t>
      </w:r>
      <w:r>
        <w:rPr>
          <w:rFonts w:ascii="Times New Roman" w:cs="Times New Roman" w:eastAsia="Times New Roman" w:hAnsi="Times New Roman"/>
          <w:sz w:val="19"/>
          <w:szCs w:val="19"/>
          <w:color w:val="auto"/>
        </w:rPr>
        <w:t>”) by posting Borrower Materials on DebtDomain, IntraLinks, SyndTrak or another similar electronic system (the “</w:t>
      </w:r>
      <w:r>
        <w:rPr>
          <w:rFonts w:ascii="Times New Roman" w:cs="Times New Roman" w:eastAsia="Times New Roman" w:hAnsi="Times New Roman"/>
          <w:sz w:val="19"/>
          <w:szCs w:val="19"/>
          <w:b w:val="1"/>
          <w:bCs w:val="1"/>
          <w:i w:val="1"/>
          <w:iCs w:val="1"/>
          <w:color w:val="auto"/>
        </w:rPr>
        <w:t>Platform</w:t>
      </w:r>
      <w:r>
        <w:rPr>
          <w:rFonts w:ascii="Times New Roman" w:cs="Times New Roman" w:eastAsia="Times New Roman" w:hAnsi="Times New Roman"/>
          <w:sz w:val="19"/>
          <w:szCs w:val="19"/>
          <w:color w:val="auto"/>
        </w:rPr>
        <w:t>”), and (b) certain of the Lenders (each, a “</w:t>
      </w:r>
      <w:r>
        <w:rPr>
          <w:rFonts w:ascii="Times New Roman" w:cs="Times New Roman" w:eastAsia="Times New Roman" w:hAnsi="Times New Roman"/>
          <w:sz w:val="19"/>
          <w:szCs w:val="19"/>
          <w:b w:val="1"/>
          <w:bCs w:val="1"/>
          <w:i w:val="1"/>
          <w:iCs w:val="1"/>
          <w:color w:val="auto"/>
        </w:rPr>
        <w:t>Public Lender</w:t>
      </w:r>
      <w:r>
        <w:rPr>
          <w:rFonts w:ascii="Times New Roman" w:cs="Times New Roman" w:eastAsia="Times New Roman" w:hAnsi="Times New Roman"/>
          <w:sz w:val="19"/>
          <w:szCs w:val="19"/>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85</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Persons’ securities. Borrower hereby agrees that (w) all Borrower Materials that are to be made available to Public Lenders shall be clearly and conspicuously marked “</w:t>
      </w:r>
      <w:r>
        <w:rPr>
          <w:rFonts w:ascii="Times New Roman" w:cs="Times New Roman" w:eastAsia="Times New Roman" w:hAnsi="Times New Roman"/>
          <w:sz w:val="19"/>
          <w:szCs w:val="19"/>
          <w:i w:val="1"/>
          <w:iCs w:val="1"/>
          <w:color w:val="auto"/>
        </w:rPr>
        <w:t>PUBLIC</w:t>
      </w:r>
      <w:r>
        <w:rPr>
          <w:rFonts w:ascii="Times New Roman" w:cs="Times New Roman" w:eastAsia="Times New Roman" w:hAnsi="Times New Roman"/>
          <w:sz w:val="19"/>
          <w:szCs w:val="19"/>
          <w:color w:val="auto"/>
        </w:rPr>
        <w:t>” which, at a minimum, shall mean that the word “</w:t>
      </w:r>
      <w:r>
        <w:rPr>
          <w:rFonts w:ascii="Times New Roman" w:cs="Times New Roman" w:eastAsia="Times New Roman" w:hAnsi="Times New Roman"/>
          <w:sz w:val="19"/>
          <w:szCs w:val="19"/>
          <w:i w:val="1"/>
          <w:iCs w:val="1"/>
          <w:color w:val="auto"/>
        </w:rPr>
        <w:t>PUBLIC</w:t>
      </w:r>
      <w:r>
        <w:rPr>
          <w:rFonts w:ascii="Times New Roman" w:cs="Times New Roman" w:eastAsia="Times New Roman" w:hAnsi="Times New Roman"/>
          <w:sz w:val="19"/>
          <w:szCs w:val="19"/>
          <w:color w:val="auto"/>
        </w:rPr>
        <w:t>” shall appear prominently on the first page thereof;</w:t>
      </w:r>
    </w:p>
    <w:p>
      <w:pPr>
        <w:spacing w:after="0" w:line="1" w:lineRule="exact"/>
        <w:rPr>
          <w:sz w:val="20"/>
          <w:szCs w:val="20"/>
          <w:color w:val="auto"/>
        </w:rPr>
      </w:pPr>
    </w:p>
    <w:p>
      <w:pPr>
        <w:jc w:val="both"/>
        <w:ind w:firstLine="3"/>
        <w:spacing w:after="0" w:line="250" w:lineRule="auto"/>
        <w:tabs>
          <w:tab w:leader="none" w:pos="272"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marking Borrower Materials “</w:t>
      </w:r>
      <w:r>
        <w:rPr>
          <w:rFonts w:ascii="Times New Roman" w:cs="Times New Roman" w:eastAsia="Times New Roman" w:hAnsi="Times New Roman"/>
          <w:sz w:val="19"/>
          <w:szCs w:val="19"/>
          <w:i w:val="1"/>
          <w:iCs w:val="1"/>
          <w:color w:val="auto"/>
        </w:rPr>
        <w:t>PUBLIC</w:t>
      </w:r>
      <w:r>
        <w:rPr>
          <w:rFonts w:ascii="Times New Roman" w:cs="Times New Roman" w:eastAsia="Times New Roman" w:hAnsi="Times New Roman"/>
          <w:sz w:val="19"/>
          <w:szCs w:val="19"/>
          <w:color w:val="auto"/>
        </w:rPr>
        <w:t>,” Borrower shall be deemed to have authorized Administrative Agent, Joint Lead Arrangers, the L/C Issuers and the Lenders to treat such Borrower Materials as not containing any material non-public information with respect to Borrower or its securities for purposes of United States Federal and state securities laws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to the extent such Borrower Materials constitute Information, they shall be treated as set forth in </w:t>
      </w:r>
      <w:r>
        <w:rPr>
          <w:rFonts w:ascii="Times New Roman" w:cs="Times New Roman" w:eastAsia="Times New Roman" w:hAnsi="Times New Roman"/>
          <w:sz w:val="19"/>
          <w:szCs w:val="19"/>
          <w:b w:val="1"/>
          <w:bCs w:val="1"/>
          <w:i w:val="1"/>
          <w:iCs w:val="1"/>
          <w:color w:val="auto"/>
        </w:rPr>
        <w:t>Section 15.15</w:t>
      </w:r>
      <w:r>
        <w:rPr>
          <w:rFonts w:ascii="Times New Roman" w:cs="Times New Roman" w:eastAsia="Times New Roman" w:hAnsi="Times New Roman"/>
          <w:sz w:val="19"/>
          <w:szCs w:val="19"/>
          <w:color w:val="auto"/>
        </w:rPr>
        <w:t>); (y) all Borrower Materials marked “</w:t>
      </w:r>
      <w:r>
        <w:rPr>
          <w:rFonts w:ascii="Times New Roman" w:cs="Times New Roman" w:eastAsia="Times New Roman" w:hAnsi="Times New Roman"/>
          <w:sz w:val="19"/>
          <w:szCs w:val="19"/>
          <w:i w:val="1"/>
          <w:iCs w:val="1"/>
          <w:color w:val="auto"/>
        </w:rPr>
        <w:t>PUBLIC</w:t>
      </w:r>
      <w:r>
        <w:rPr>
          <w:rFonts w:ascii="Times New Roman" w:cs="Times New Roman" w:eastAsia="Times New Roman" w:hAnsi="Times New Roman"/>
          <w:sz w:val="19"/>
          <w:szCs w:val="19"/>
          <w:color w:val="auto"/>
        </w:rPr>
        <w:t>” are permitted to be made available through a portion of the Platform designated “</w:t>
      </w:r>
      <w:r>
        <w:rPr>
          <w:rFonts w:ascii="Times New Roman" w:cs="Times New Roman" w:eastAsia="Times New Roman" w:hAnsi="Times New Roman"/>
          <w:sz w:val="19"/>
          <w:szCs w:val="19"/>
          <w:i w:val="1"/>
          <w:iCs w:val="1"/>
          <w:color w:val="auto"/>
        </w:rPr>
        <w:t>Public Side Information</w:t>
      </w:r>
      <w:r>
        <w:rPr>
          <w:rFonts w:ascii="Times New Roman" w:cs="Times New Roman" w:eastAsia="Times New Roman" w:hAnsi="Times New Roman"/>
          <w:sz w:val="19"/>
          <w:szCs w:val="19"/>
          <w:color w:val="auto"/>
        </w:rPr>
        <w:t>;” and (z) Administrative Agent and Joint Lead Arrangers shall be entitled to treat any Borrower Materials that are not marked “</w:t>
      </w:r>
      <w:r>
        <w:rPr>
          <w:rFonts w:ascii="Times New Roman" w:cs="Times New Roman" w:eastAsia="Times New Roman" w:hAnsi="Times New Roman"/>
          <w:sz w:val="19"/>
          <w:szCs w:val="19"/>
          <w:i w:val="1"/>
          <w:iCs w:val="1"/>
          <w:color w:val="auto"/>
        </w:rPr>
        <w:t>PUBLIC</w:t>
      </w:r>
      <w:r>
        <w:rPr>
          <w:rFonts w:ascii="Times New Roman" w:cs="Times New Roman" w:eastAsia="Times New Roman" w:hAnsi="Times New Roman"/>
          <w:sz w:val="19"/>
          <w:szCs w:val="19"/>
          <w:color w:val="auto"/>
        </w:rPr>
        <w:t>” as being suitable only for posting on a portion of the Platform not designated “</w:t>
      </w:r>
      <w:r>
        <w:rPr>
          <w:rFonts w:ascii="Times New Roman" w:cs="Times New Roman" w:eastAsia="Times New Roman" w:hAnsi="Times New Roman"/>
          <w:sz w:val="19"/>
          <w:szCs w:val="19"/>
          <w:i w:val="1"/>
          <w:iCs w:val="1"/>
          <w:color w:val="auto"/>
        </w:rPr>
        <w:t>Public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Side Information</w:t>
      </w:r>
      <w:r>
        <w:rPr>
          <w:rFonts w:ascii="Times New Roman" w:cs="Times New Roman" w:eastAsia="Times New Roman" w:hAnsi="Times New Roman"/>
          <w:sz w:val="19"/>
          <w:szCs w:val="19"/>
          <w:color w:val="auto"/>
        </w:rPr>
        <w:t>.”</w:t>
      </w:r>
    </w:p>
    <w:p>
      <w:pPr>
        <w:spacing w:after="0" w:line="170" w:lineRule="exact"/>
        <w:rPr>
          <w:rFonts w:ascii="Times New Roman" w:cs="Times New Roman" w:eastAsia="Times New Roman" w:hAnsi="Times New Roman"/>
          <w:sz w:val="19"/>
          <w:szCs w:val="19"/>
          <w:color w:val="auto"/>
        </w:rPr>
      </w:pPr>
    </w:p>
    <w:p>
      <w:pPr>
        <w:jc w:val="both"/>
        <w:ind w:firstLine="776"/>
        <w:spacing w:after="0" w:line="261" w:lineRule="auto"/>
        <w:tabs>
          <w:tab w:leader="none" w:pos="1237"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confidentiality provisions set forth in </w:t>
      </w:r>
      <w:r>
        <w:rPr>
          <w:rFonts w:ascii="Times New Roman" w:cs="Times New Roman" w:eastAsia="Times New Roman" w:hAnsi="Times New Roman"/>
          <w:sz w:val="19"/>
          <w:szCs w:val="19"/>
          <w:b w:val="1"/>
          <w:bCs w:val="1"/>
          <w:i w:val="1"/>
          <w:iCs w:val="1"/>
          <w:color w:val="auto"/>
        </w:rPr>
        <w:t>Section 15.15</w:t>
      </w:r>
      <w:r>
        <w:rPr>
          <w:rFonts w:ascii="Times New Roman" w:cs="Times New Roman" w:eastAsia="Times New Roman" w:hAnsi="Times New Roman"/>
          <w:sz w:val="19"/>
          <w:szCs w:val="19"/>
          <w:color w:val="auto"/>
        </w:rPr>
        <w:t>, promptly upon reasonable request by Administrative Agent or any Lender (through Administrative Agent), information (not otherwise required to be furnished under the Loan Papers) respecting the business affairs, assets, and liabilities of the Companies (including, but not limited to, seasonal operating statistics, annual budgets, etc.) and opinions, certifications, and documents in addition to those mentioned in this Agreement.</w:t>
      </w:r>
    </w:p>
    <w:p>
      <w:pPr>
        <w:spacing w:after="0" w:line="169" w:lineRule="exact"/>
        <w:rPr>
          <w:rFonts w:ascii="Times New Roman" w:cs="Times New Roman" w:eastAsia="Times New Roman" w:hAnsi="Times New Roman"/>
          <w:sz w:val="19"/>
          <w:szCs w:val="19"/>
          <w:color w:val="auto"/>
        </w:rPr>
      </w:pPr>
    </w:p>
    <w:p>
      <w:pPr>
        <w:ind w:firstLine="776"/>
        <w:spacing w:after="0" w:line="275" w:lineRule="auto"/>
        <w:tabs>
          <w:tab w:leader="none" w:pos="1182"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the post-closing items set forth on </w:t>
      </w:r>
      <w:r>
        <w:rPr>
          <w:rFonts w:ascii="Times New Roman" w:cs="Times New Roman" w:eastAsia="Times New Roman" w:hAnsi="Times New Roman"/>
          <w:sz w:val="19"/>
          <w:szCs w:val="19"/>
          <w:b w:val="1"/>
          <w:bCs w:val="1"/>
          <w:i w:val="1"/>
          <w:iCs w:val="1"/>
          <w:color w:val="auto"/>
        </w:rPr>
        <w:t>Schedule 7.1</w:t>
      </w:r>
      <w:r>
        <w:rPr>
          <w:rFonts w:ascii="Times New Roman" w:cs="Times New Roman" w:eastAsia="Times New Roman" w:hAnsi="Times New Roman"/>
          <w:sz w:val="19"/>
          <w:szCs w:val="19"/>
          <w:color w:val="auto"/>
        </w:rPr>
        <w:t xml:space="preserve">, if any, deliver, or cause to be delivered, to Administrative Agent, all agreements, documents, instruments, or other items listed on </w:t>
      </w:r>
      <w:r>
        <w:rPr>
          <w:rFonts w:ascii="Times New Roman" w:cs="Times New Roman" w:eastAsia="Times New Roman" w:hAnsi="Times New Roman"/>
          <w:sz w:val="19"/>
          <w:szCs w:val="19"/>
          <w:b w:val="1"/>
          <w:bCs w:val="1"/>
          <w:i w:val="1"/>
          <w:iCs w:val="1"/>
          <w:color w:val="auto"/>
        </w:rPr>
        <w:t>Schedule 7.1</w:t>
      </w:r>
      <w:r>
        <w:rPr>
          <w:rFonts w:ascii="Times New Roman" w:cs="Times New Roman" w:eastAsia="Times New Roman" w:hAnsi="Times New Roman"/>
          <w:sz w:val="19"/>
          <w:szCs w:val="19"/>
          <w:color w:val="auto"/>
        </w:rPr>
        <w:t xml:space="preserve"> on or prior to the date specified for delivery thereof on </w:t>
      </w:r>
      <w:r>
        <w:rPr>
          <w:rFonts w:ascii="Times New Roman" w:cs="Times New Roman" w:eastAsia="Times New Roman" w:hAnsi="Times New Roman"/>
          <w:sz w:val="19"/>
          <w:szCs w:val="19"/>
          <w:b w:val="1"/>
          <w:bCs w:val="1"/>
          <w:i w:val="1"/>
          <w:iCs w:val="1"/>
          <w:color w:val="auto"/>
        </w:rPr>
        <w:t>Schedule 7.1</w:t>
      </w:r>
      <w:r>
        <w:rPr>
          <w:rFonts w:ascii="Times New Roman" w:cs="Times New Roman" w:eastAsia="Times New Roman" w:hAnsi="Times New Roman"/>
          <w:sz w:val="19"/>
          <w:szCs w:val="19"/>
          <w:color w:val="auto"/>
        </w:rPr>
        <w:t>.</w:t>
      </w:r>
    </w:p>
    <w:p>
      <w:pPr>
        <w:spacing w:after="0" w:line="162" w:lineRule="exact"/>
        <w:rPr>
          <w:rFonts w:ascii="Times New Roman" w:cs="Times New Roman" w:eastAsia="Times New Roman" w:hAnsi="Times New Roman"/>
          <w:sz w:val="19"/>
          <w:szCs w:val="19"/>
          <w:color w:val="auto"/>
        </w:rPr>
      </w:pPr>
    </w:p>
    <w:p>
      <w:pPr>
        <w:jc w:val="both"/>
        <w:ind w:firstLine="776"/>
        <w:spacing w:after="0" w:line="261" w:lineRule="auto"/>
        <w:tabs>
          <w:tab w:leader="none" w:pos="1185"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following any request therefor, provide information and documentation reasonably requested by Administrative Agent or any Lender for purposes of compliance with applicable “know your customer” and anti-money-laundering rules and regulations, including, without limitation, the Act and the Beneficial Ownership Regulation.</w:t>
      </w:r>
    </w:p>
    <w:p>
      <w:pPr>
        <w:spacing w:after="0" w:line="176"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9.2 </w:t>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xml:space="preserve">. Borrower will use all of the proceeds of (a) Revolving Loans, L/Cs, and L/C Borrowings for working capital, to make advances and other investments permitted by </w:t>
      </w:r>
      <w:r>
        <w:rPr>
          <w:rFonts w:ascii="Times New Roman" w:cs="Times New Roman" w:eastAsia="Times New Roman" w:hAnsi="Times New Roman"/>
          <w:sz w:val="19"/>
          <w:szCs w:val="19"/>
          <w:b w:val="1"/>
          <w:bCs w:val="1"/>
          <w:i w:val="1"/>
          <w:iCs w:val="1"/>
          <w:color w:val="auto"/>
        </w:rPr>
        <w:t>Section 10.8</w:t>
      </w:r>
      <w:r>
        <w:rPr>
          <w:rFonts w:ascii="Times New Roman" w:cs="Times New Roman" w:eastAsia="Times New Roman" w:hAnsi="Times New Roman"/>
          <w:sz w:val="19"/>
          <w:szCs w:val="19"/>
          <w:color w:val="auto"/>
        </w:rPr>
        <w:t xml:space="preserve">, to make acquisitions permitted under </w:t>
      </w:r>
      <w:r>
        <w:rPr>
          <w:rFonts w:ascii="Times New Roman" w:cs="Times New Roman" w:eastAsia="Times New Roman" w:hAnsi="Times New Roman"/>
          <w:sz w:val="19"/>
          <w:szCs w:val="19"/>
          <w:b w:val="1"/>
          <w:bCs w:val="1"/>
          <w:i w:val="1"/>
          <w:iCs w:val="1"/>
          <w:color w:val="auto"/>
        </w:rPr>
        <w:t>Section 10.11</w:t>
      </w:r>
      <w:r>
        <w:rPr>
          <w:rFonts w:ascii="Times New Roman" w:cs="Times New Roman" w:eastAsia="Times New Roman" w:hAnsi="Times New Roman"/>
          <w:sz w:val="19"/>
          <w:szCs w:val="19"/>
          <w:color w:val="auto"/>
        </w:rPr>
        <w:t xml:space="preserve"> and for other general corporate purposes, and (b) Term Loans to refinance the “Term Loans” made under the Existing Credit Agreement. No part of the proceeds of any L/C draft or drawing, any L/C Borrowing, or any Loan will be used, directly or indirectly, for a purpose that violates any Law, including without limitation, the provisions of </w:t>
      </w:r>
      <w:r>
        <w:rPr>
          <w:rFonts w:ascii="Times New Roman" w:cs="Times New Roman" w:eastAsia="Times New Roman" w:hAnsi="Times New Roman"/>
          <w:sz w:val="19"/>
          <w:szCs w:val="19"/>
          <w:i w:val="1"/>
          <w:iCs w:val="1"/>
          <w:color w:val="auto"/>
        </w:rPr>
        <w:t>Regulation U</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9.3 </w:t>
      </w:r>
      <w:r>
        <w:rPr>
          <w:rFonts w:ascii="Times New Roman" w:cs="Times New Roman" w:eastAsia="Times New Roman" w:hAnsi="Times New Roman"/>
          <w:sz w:val="19"/>
          <w:szCs w:val="19"/>
          <w:u w:val="single" w:color="auto"/>
          <w:color w:val="auto"/>
        </w:rPr>
        <w:t>Books and Records</w:t>
      </w:r>
      <w:r>
        <w:rPr>
          <w:rFonts w:ascii="Times New Roman" w:cs="Times New Roman" w:eastAsia="Times New Roman" w:hAnsi="Times New Roman"/>
          <w:sz w:val="19"/>
          <w:szCs w:val="19"/>
          <w:color w:val="auto"/>
        </w:rPr>
        <w:t>. Each Restricted Company will maintain books, records, and accounts necessary to prepare financial statements in accordance with GAAP and in material conformity with all applicable requirements of any Governmental Authority having regulatory jurisdiction over such Restricted Company.</w:t>
      </w:r>
    </w:p>
    <w:p>
      <w:pPr>
        <w:spacing w:after="0" w:line="163"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color w:val="auto"/>
        </w:rPr>
        <w:t xml:space="preserve">9.4 </w:t>
      </w:r>
      <w:r>
        <w:rPr>
          <w:rFonts w:ascii="Times New Roman" w:cs="Times New Roman" w:eastAsia="Times New Roman" w:hAnsi="Times New Roman"/>
          <w:sz w:val="19"/>
          <w:szCs w:val="19"/>
          <w:u w:val="single" w:color="auto"/>
          <w:color w:val="auto"/>
        </w:rPr>
        <w:t>Inspections</w:t>
      </w:r>
      <w:r>
        <w:rPr>
          <w:rFonts w:ascii="Times New Roman" w:cs="Times New Roman" w:eastAsia="Times New Roman" w:hAnsi="Times New Roman"/>
          <w:sz w:val="19"/>
          <w:szCs w:val="19"/>
          <w:color w:val="auto"/>
        </w:rPr>
        <w:t>. Upon reasonable request, and subject to the confidentiality provisions set forth in Section 15.15, each Restricted Company will allow Administrative Agent (or its Representatives) to inspect any of its properties, to review reports, files, and other records, and to make and take away copies, to conduct tests or investigations, and to discuss any of its affairs, conditions, and finances with its other creditors, directors, officers, employees, or representatives from time to time, during reasonable business hours; provided that when a Default exists, Administrative Agent or any Lender (or any of their respective representatives or independent contractors) may do any of the foregoing at the expense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86</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color w:val="auto"/>
        </w:rPr>
        <w:t>Borrower at any time during normal business hours and with two (2) Business Days advance notice. Any of Lenders (or their Representatives) may accompany Administrative Agent during such inspections.</w:t>
      </w:r>
    </w:p>
    <w:p>
      <w:pPr>
        <w:spacing w:after="0" w:line="139" w:lineRule="exact"/>
        <w:rPr>
          <w:sz w:val="20"/>
          <w:szCs w:val="20"/>
          <w:color w:val="auto"/>
        </w:rPr>
      </w:pPr>
    </w:p>
    <w:p>
      <w:pPr>
        <w:jc w:val="both"/>
        <w:ind w:firstLine="618"/>
        <w:spacing w:after="0" w:line="263" w:lineRule="auto"/>
        <w:rPr>
          <w:sz w:val="20"/>
          <w:szCs w:val="20"/>
          <w:color w:val="auto"/>
        </w:rPr>
      </w:pPr>
      <w:r>
        <w:rPr>
          <w:rFonts w:ascii="Times New Roman" w:cs="Times New Roman" w:eastAsia="Times New Roman" w:hAnsi="Times New Roman"/>
          <w:sz w:val="19"/>
          <w:szCs w:val="19"/>
          <w:color w:val="auto"/>
        </w:rPr>
        <w:t xml:space="preserve">9.5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xml:space="preserve">. Each Restricted Company will promptly pay when due any and all Taxes,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Taxes which are being contested in good faith by lawful proceedings diligently conducted, against which reserve or other provision required by GAAP has been made;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however, that </w:t>
      </w:r>
      <w:r>
        <w:rPr>
          <w:rFonts w:ascii="Times New Roman" w:cs="Times New Roman" w:eastAsia="Times New Roman" w:hAnsi="Times New Roman"/>
          <w:sz w:val="19"/>
          <w:szCs w:val="19"/>
          <w:color w:val="auto"/>
        </w:rPr>
        <w:t>all such Taxes shall, in any event, be paid prior to any levy for execution in respect of any Lien on any property of a Restricted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w:t>
      </w:r>
    </w:p>
    <w:p>
      <w:pPr>
        <w:spacing w:after="0" w:line="200" w:lineRule="exact"/>
        <w:rPr>
          <w:sz w:val="20"/>
          <w:szCs w:val="20"/>
          <w:color w:val="auto"/>
        </w:rPr>
      </w:pPr>
    </w:p>
    <w:p>
      <w:pPr>
        <w:spacing w:after="0" w:line="206"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9.6 </w:t>
      </w:r>
      <w:r>
        <w:rPr>
          <w:rFonts w:ascii="Times New Roman" w:cs="Times New Roman" w:eastAsia="Times New Roman" w:hAnsi="Times New Roman"/>
          <w:sz w:val="19"/>
          <w:szCs w:val="19"/>
          <w:u w:val="single" w:color="auto"/>
          <w:color w:val="auto"/>
        </w:rPr>
        <w:t>Payment of Obligation</w:t>
      </w:r>
      <w:r>
        <w:rPr>
          <w:rFonts w:ascii="Times New Roman" w:cs="Times New Roman" w:eastAsia="Times New Roman" w:hAnsi="Times New Roman"/>
          <w:sz w:val="19"/>
          <w:szCs w:val="19"/>
          <w:color w:val="auto"/>
        </w:rPr>
        <w:t>s. Each Restricted Company will pay (or renew and extend) all of its obligations at such times and to such extent as may be necessary to prevent a Material Adverse Event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for obligations,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Funded Debt, which are being contested in good faith by appropriate proceedings).</w:t>
      </w:r>
    </w:p>
    <w:p>
      <w:pPr>
        <w:spacing w:after="0" w:line="16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9.7</w:t>
      </w:r>
      <w:r>
        <w:rPr>
          <w:sz w:val="20"/>
          <w:szCs w:val="20"/>
          <w:color w:val="auto"/>
        </w:rPr>
        <w:tab/>
      </w:r>
      <w:r>
        <w:rPr>
          <w:rFonts w:ascii="Times New Roman" w:cs="Times New Roman" w:eastAsia="Times New Roman" w:hAnsi="Times New Roman"/>
          <w:sz w:val="18"/>
          <w:szCs w:val="18"/>
          <w:u w:val="single" w:color="auto"/>
          <w:color w:val="auto"/>
        </w:rPr>
        <w:t>Maintenance of Existence, Assets, and Business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firstLine="781"/>
        <w:spacing w:after="0" w:line="272" w:lineRule="auto"/>
        <w:tabs>
          <w:tab w:leader="none" w:pos="123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permitted by </w:t>
      </w:r>
      <w:r>
        <w:rPr>
          <w:rFonts w:ascii="Times New Roman" w:cs="Times New Roman" w:eastAsia="Times New Roman" w:hAnsi="Times New Roman"/>
          <w:sz w:val="18"/>
          <w:szCs w:val="18"/>
          <w:b w:val="1"/>
          <w:bCs w:val="1"/>
          <w:i w:val="1"/>
          <w:iCs w:val="1"/>
          <w:color w:val="auto"/>
        </w:rPr>
        <w:t>Section 10.11</w:t>
      </w:r>
      <w:r>
        <w:rPr>
          <w:rFonts w:ascii="Times New Roman" w:cs="Times New Roman" w:eastAsia="Times New Roman" w:hAnsi="Times New Roman"/>
          <w:sz w:val="18"/>
          <w:szCs w:val="18"/>
          <w:color w:val="auto"/>
        </w:rPr>
        <w:t>, each Restricted Company will (i) maintain its organizational existence and good standing in its state of organization and its authority to transact business in all other states where failure to maintain its authority to transact business is a Material Adverse Event; (ii) maintain all Water Rights, licenses, permits (including, without limitation, the Forest Service Permits), and franchises necessary for its business where failure to maintain is a Material Adverse Event; (iii) preserve or renew all of its Intellectual Property, the non-preservation of which could reasonably be expected to result in a Material Adverse Event; and (iv) keep all of its assets that are useful in and necessary to its business in good working order and condition (ordinary wear and tear excepted) and make all necessary repairs and replacements.</w:t>
      </w:r>
    </w:p>
    <w:p>
      <w:pPr>
        <w:spacing w:after="0" w:line="163" w:lineRule="exact"/>
        <w:rPr>
          <w:rFonts w:ascii="Times New Roman" w:cs="Times New Roman" w:eastAsia="Times New Roman" w:hAnsi="Times New Roman"/>
          <w:sz w:val="18"/>
          <w:szCs w:val="18"/>
          <w:color w:val="auto"/>
        </w:rPr>
      </w:pPr>
    </w:p>
    <w:p>
      <w:pPr>
        <w:jc w:val="both"/>
        <w:ind w:firstLine="776"/>
        <w:spacing w:after="0" w:line="251" w:lineRule="auto"/>
        <w:tabs>
          <w:tab w:leader="none" w:pos="1238"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dispositions permitted pursuant to </w:t>
      </w:r>
      <w:r>
        <w:rPr>
          <w:rFonts w:ascii="Times New Roman" w:cs="Times New Roman" w:eastAsia="Times New Roman" w:hAnsi="Times New Roman"/>
          <w:sz w:val="19"/>
          <w:szCs w:val="19"/>
          <w:b w:val="1"/>
          <w:bCs w:val="1"/>
          <w:i w:val="1"/>
          <w:iCs w:val="1"/>
          <w:color w:val="auto"/>
        </w:rPr>
        <w:t>Section 10.10</w:t>
      </w:r>
      <w:r>
        <w:rPr>
          <w:rFonts w:ascii="Times New Roman" w:cs="Times New Roman" w:eastAsia="Times New Roman" w:hAnsi="Times New Roman"/>
          <w:sz w:val="19"/>
          <w:szCs w:val="19"/>
          <w:color w:val="auto"/>
        </w:rPr>
        <w:t xml:space="preserve"> hereof, all Critical Assets owned by any Company shall be owned by either a Wholly Owned Restricted Subsidiary of Borrower or a Restricted Subsidiary of Borrower,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(i) if owned by a Wholly Owned Restricted Subsidiary, such Wholly Owned Restricted Subsidiary has provided a Guaranty and Pledge Agreement in accordance with the provisions set forth in </w:t>
      </w:r>
      <w:r>
        <w:rPr>
          <w:rFonts w:ascii="Times New Roman" w:cs="Times New Roman" w:eastAsia="Times New Roman" w:hAnsi="Times New Roman"/>
          <w:sz w:val="19"/>
          <w:szCs w:val="19"/>
          <w:b w:val="1"/>
          <w:bCs w:val="1"/>
          <w:i w:val="1"/>
          <w:iCs w:val="1"/>
          <w:color w:val="auto"/>
        </w:rPr>
        <w:t>Sections 6.1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6.2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9.10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9.11</w:t>
      </w:r>
      <w:r>
        <w:rPr>
          <w:rFonts w:ascii="Times New Roman" w:cs="Times New Roman" w:eastAsia="Times New Roman" w:hAnsi="Times New Roman"/>
          <w:sz w:val="19"/>
          <w:szCs w:val="19"/>
          <w:color w:val="auto"/>
        </w:rPr>
        <w:t xml:space="preserve"> herein, as the case may be, (ii) the stock or other equity interests in such Restricted Subsidiary owned by a Wholly Owned Restricted Company (other than stock in the Northstar Subsidiaries and Grand Teton Lodge Company) have been pledged to Administrative Agent, for the benefit of Lenders, pursuant to a Pledge Agreement, and (iii) such Restricted Subsidiary has otherwise complied with the terms and provisions set forth in the Loan Papers, including, without limitation, </w:t>
      </w:r>
      <w:r>
        <w:rPr>
          <w:rFonts w:ascii="Times New Roman" w:cs="Times New Roman" w:eastAsia="Times New Roman" w:hAnsi="Times New Roman"/>
          <w:sz w:val="19"/>
          <w:szCs w:val="19"/>
          <w:b w:val="1"/>
          <w:bCs w:val="1"/>
          <w:i w:val="1"/>
          <w:iCs w:val="1"/>
          <w:color w:val="auto"/>
        </w:rPr>
        <w:t>Section 10.16</w:t>
      </w:r>
      <w:r>
        <w:rPr>
          <w:rFonts w:ascii="Times New Roman" w:cs="Times New Roman" w:eastAsia="Times New Roman" w:hAnsi="Times New Roman"/>
          <w:sz w:val="19"/>
          <w:szCs w:val="19"/>
          <w:color w:val="auto"/>
        </w:rPr>
        <w:t xml:space="preserve"> herein;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Unrestricted Subsidiaries may own Critical Assets,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on the Closing Date and on the date an Unrestricted Subsidiary acquires a Critical Asset, the aggregate fair market value of such assets and all Critical Assets owned by Unrestricted Subsidiaries (in each case as determined on the Closing Date or the later applicable acquisition date, as applicable, without giving subsequent effect to increases or decreases in value), does not exceed 25% of Total Assets as of the last day of the most-recently-ended fiscal quarter.</w:t>
      </w:r>
    </w:p>
    <w:p>
      <w:pPr>
        <w:spacing w:after="0" w:line="179" w:lineRule="exact"/>
        <w:rPr>
          <w:rFonts w:ascii="Times New Roman" w:cs="Times New Roman" w:eastAsia="Times New Roman" w:hAnsi="Times New Roman"/>
          <w:sz w:val="19"/>
          <w:szCs w:val="19"/>
          <w:color w:val="auto"/>
        </w:rPr>
      </w:pPr>
    </w:p>
    <w:p>
      <w:pPr>
        <w:jc w:val="both"/>
        <w:ind w:firstLine="776"/>
        <w:spacing w:after="0" w:line="263" w:lineRule="auto"/>
        <w:tabs>
          <w:tab w:leader="none" w:pos="1239"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Restricted Company party to a Pledge Agreement will change its name in any manner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by registering additional trade names) unless such Restricted Company shall have given Administrative Agent prior notice thereof. Borrower shall promptly notify Administrative Agent of any change in name of any other Company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the registering of additional tradenames).</w:t>
      </w:r>
    </w:p>
    <w:p>
      <w:pPr>
        <w:spacing w:after="0" w:line="174" w:lineRule="exact"/>
        <w:rPr>
          <w:sz w:val="20"/>
          <w:szCs w:val="20"/>
          <w:color w:val="auto"/>
        </w:rPr>
      </w:pPr>
    </w:p>
    <w:p>
      <w:pPr>
        <w:ind w:firstLine="618"/>
        <w:spacing w:after="0" w:line="268" w:lineRule="auto"/>
        <w:rPr>
          <w:sz w:val="20"/>
          <w:szCs w:val="20"/>
          <w:color w:val="auto"/>
        </w:rPr>
      </w:pPr>
      <w:r>
        <w:rPr>
          <w:rFonts w:ascii="Times New Roman" w:cs="Times New Roman" w:eastAsia="Times New Roman" w:hAnsi="Times New Roman"/>
          <w:sz w:val="19"/>
          <w:szCs w:val="19"/>
          <w:color w:val="auto"/>
        </w:rPr>
        <w:t xml:space="preserve">9.8 </w:t>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Each Restricted Company will maintain with financially sound, responsible, and reputable insurance companies or associations (or, as to workers’ compensation or similar insurance,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87</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with an insurance fund or by self-insurance authorized by the jurisdictions in which it operates) insurance concerning its properties and businesses against casualties and contingencies and of types and in amounts (and with co-insurance and deductibles) as is customary in the case of similar businesses. At Administrative Agent’s request, each Restricted Company will deliver to Administrative Agent certificates of insurance for each policy of insurance and evidence of payment of all premiums.</w:t>
      </w:r>
    </w:p>
    <w:p>
      <w:pPr>
        <w:spacing w:after="0" w:line="164"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9.9 </w:t>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Each Restricted Company will (a) conduct its business so as to comply in all material respects with all applicable Environmental Laws and shall promptly take required corrective action to remedy any non-compliance with any Environmental Law, except where failure to comply or take action would not be a Material Adverse Event, and (b) establish and maintain a management system designed to ensure compliance with applicable Environmental Laws and minimize material financial and other risks to each Restricted Company arising under applicable Environmental Laws or as the result of environmentally related injuries to Persons or property, except where failure to comply would not be a Material Adverse Event. Borrower shall deliver reasonable evidence of compliance with the foregoing covenant to Administrative Agent within 30 days after any written request from Required Lenders, which request shall be made only if Required Lenders reasonably believe that a failure to comply with the foregoing covenant would be a Material Adverse Event.</w:t>
      </w:r>
    </w:p>
    <w:p>
      <w:pPr>
        <w:spacing w:after="0" w:line="172"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19"/>
          <w:szCs w:val="19"/>
          <w:color w:val="auto"/>
        </w:rPr>
        <w:t xml:space="preserve">9.10 </w:t>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 The Restricted Companies may create or acquire additional Subsidiaries (including Unrestricted Subsidiaries); provided that (a) each Person organized under the Laws of the United States (or any state thereof) that becomes a Restricted Subsidiary after the Closing Date (whether as a result of an acquisition permitted under Section 10.11, creation, the failure of such Subsidiary to meet the requirements of an “Unrestricted Subsidiary” as set forth in the definition thereof, or otherwise) shall execute and deliver to Administrative Agent a Guaranty within 30 days after becoming a Restricted Subsidiary, (b) except as otherwise provided in Section 6.2, each Restricted Company organized under the Laws of the United States (or any state thereof) that becomes the holder of the capital stock or equity interest of each Person that becomes a Restricted Subsidiary after the Closing Date (whether as a result of an acquisition permitted under Section 10.11, creation, the failure of such Subsidiary to meet the requirements of an “Unrestricted Subsidiary” as set forth in the definition thereof, or otherwise) shall execute and deliver to Administrative Agent a Pledge Agreement, together with any related Security Documents reasonably required by Administrative Agent, pledging such capital stock or equity interests required to be pledged by it under this Agreement within 30 days after such Person becomes a Subsidiary, (c) Borrower shall deliver to Administrative Agent a revised Schedule 8.2 reflecting such new Subsidiary within 30 days after it becomes a Subsidiary, and (d) no Default or Potential Default exists or arises after giving pro forma effect to the creation, acquisition, or addition of such Subsidiary; provided, that for purposes of determining compliance, (x) Debt of each Restricted Subsidiary created or acquired shall be deemed to have been incurred on the date of such acquisition or creation, and (y) Adjusted EBITDA for the most-recently-ended four fiscal quarters shall include on a pro forma basis for such period the EBITDA of each Restricted Subsidiary created or acquired.</w:t>
      </w:r>
    </w:p>
    <w:p>
      <w:pPr>
        <w:spacing w:after="0" w:line="192"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9"/>
          <w:szCs w:val="19"/>
          <w:color w:val="auto"/>
        </w:rPr>
        <w:t>9.11</w:t>
      </w:r>
      <w:r>
        <w:rPr>
          <w:sz w:val="20"/>
          <w:szCs w:val="20"/>
          <w:color w:val="auto"/>
        </w:rPr>
        <w:tab/>
      </w:r>
      <w:r>
        <w:rPr>
          <w:rFonts w:ascii="Times New Roman" w:cs="Times New Roman" w:eastAsia="Times New Roman" w:hAnsi="Times New Roman"/>
          <w:sz w:val="18"/>
          <w:szCs w:val="18"/>
          <w:u w:val="single" w:color="auto"/>
          <w:color w:val="auto"/>
        </w:rPr>
        <w:t>Designation and Re-designation of Subsidiaries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776"/>
        <w:spacing w:after="0" w:line="254" w:lineRule="auto"/>
        <w:tabs>
          <w:tab w:leader="none" w:pos="131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may designate any Subsidiary as an Unrestricted Subsidiary and may re-designate any Restricted Subsidiary as an Unrestricted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(i) Borrower shall deliver to Administrative Agent a revised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reflecting the designation of such Subsidiary as an Unrestricted Subsidiary or the re-designation of such Restricted Subsidiary as an Unrestricted Subsidiary within 30 days after it becomes an Unrestricted Subsidiary, (ii) such Subsidiary otherwise meets (or would meet concurrently with the effectiveness of such re-designation) the requirements of an “</w:t>
      </w:r>
      <w:r>
        <w:rPr>
          <w:rFonts w:ascii="Times New Roman" w:cs="Times New Roman" w:eastAsia="Times New Roman" w:hAnsi="Times New Roman"/>
          <w:sz w:val="19"/>
          <w:szCs w:val="19"/>
          <w:i w:val="1"/>
          <w:iCs w:val="1"/>
          <w:color w:val="auto"/>
        </w:rPr>
        <w:t>Unrestricted Subsidiary</w:t>
      </w:r>
      <w:r>
        <w:rPr>
          <w:rFonts w:ascii="Times New Roman" w:cs="Times New Roman" w:eastAsia="Times New Roman" w:hAnsi="Times New Roman"/>
          <w:sz w:val="19"/>
          <w:szCs w:val="19"/>
          <w:color w:val="auto"/>
        </w:rPr>
        <w:t>” as set forth in the definition thereof, and (iii) no Default or Potential Default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88</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exists or will arise after giving pro forma effect to such designation or re-designation;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for purposes of determining compliance with </w:t>
      </w:r>
      <w:r>
        <w:rPr>
          <w:rFonts w:ascii="Times New Roman" w:cs="Times New Roman" w:eastAsia="Times New Roman" w:hAnsi="Times New Roman"/>
          <w:sz w:val="19"/>
          <w:szCs w:val="19"/>
          <w:b w:val="1"/>
          <w:bCs w:val="1"/>
          <w:i w:val="1"/>
          <w:iCs w:val="1"/>
          <w:color w:val="auto"/>
        </w:rPr>
        <w:t xml:space="preserve">Section 10.8 </w:t>
      </w:r>
      <w:r>
        <w:rPr>
          <w:rFonts w:ascii="Times New Roman" w:cs="Times New Roman" w:eastAsia="Times New Roman" w:hAnsi="Times New Roman"/>
          <w:sz w:val="19"/>
          <w:szCs w:val="19"/>
          <w:color w:val="auto"/>
        </w:rPr>
        <w:t>hereof, (x) all outstanding loans, advances, and investments in such designated or re-designated Subsidiary shall be deemed to have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been made on (and shall be valued as of) the date of such designation or re-designation, as applicable, and (y) Adjusted EBITDA for the most-recently-ended four fiscal quarters shall exclude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for such period the EBITDA of such designated or re-designated Subsidiary. Subject to </w:t>
      </w:r>
      <w:r>
        <w:rPr>
          <w:rFonts w:ascii="Times New Roman" w:cs="Times New Roman" w:eastAsia="Times New Roman" w:hAnsi="Times New Roman"/>
          <w:sz w:val="19"/>
          <w:szCs w:val="19"/>
          <w:b w:val="1"/>
          <w:bCs w:val="1"/>
          <w:i w:val="1"/>
          <w:iCs w:val="1"/>
          <w:color w:val="auto"/>
        </w:rPr>
        <w:t>Section 15.9(g)</w:t>
      </w:r>
      <w:r>
        <w:rPr>
          <w:rFonts w:ascii="Times New Roman" w:cs="Times New Roman" w:eastAsia="Times New Roman" w:hAnsi="Times New Roman"/>
          <w:sz w:val="19"/>
          <w:szCs w:val="19"/>
          <w:color w:val="auto"/>
        </w:rPr>
        <w:t>, Administrative Agent shall execute documentation reasonably required to release any Restricted Subsidiary which is re-designated by Borrower as an Unrestricted Subsidiary from its Guaranty.</w:t>
      </w:r>
    </w:p>
    <w:p>
      <w:pPr>
        <w:spacing w:after="0" w:line="178" w:lineRule="exact"/>
        <w:rPr>
          <w:sz w:val="20"/>
          <w:szCs w:val="20"/>
          <w:color w:val="auto"/>
        </w:rPr>
      </w:pPr>
    </w:p>
    <w:p>
      <w:pPr>
        <w:jc w:val="both"/>
        <w:ind w:firstLine="776"/>
        <w:spacing w:after="0" w:line="253" w:lineRule="auto"/>
        <w:tabs>
          <w:tab w:leader="none" w:pos="1262"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may re-designate any Unrestricted Subsidiary as a Restricted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(i) such Subsidiary shall have complied with </w:t>
      </w:r>
      <w:r>
        <w:rPr>
          <w:rFonts w:ascii="Times New Roman" w:cs="Times New Roman" w:eastAsia="Times New Roman" w:hAnsi="Times New Roman"/>
          <w:sz w:val="19"/>
          <w:szCs w:val="19"/>
          <w:b w:val="1"/>
          <w:bCs w:val="1"/>
          <w:i w:val="1"/>
          <w:iCs w:val="1"/>
          <w:color w:val="auto"/>
        </w:rPr>
        <w:t>Section 9.10</w:t>
      </w:r>
      <w:r>
        <w:rPr>
          <w:rFonts w:ascii="Times New Roman" w:cs="Times New Roman" w:eastAsia="Times New Roman" w:hAnsi="Times New Roman"/>
          <w:sz w:val="19"/>
          <w:szCs w:val="19"/>
          <w:color w:val="auto"/>
        </w:rPr>
        <w:t xml:space="preserve"> hereof, (ii) Borrower shall deliver to Administrative Agent a revised </w:t>
      </w:r>
      <w:r>
        <w:rPr>
          <w:rFonts w:ascii="Times New Roman" w:cs="Times New Roman" w:eastAsia="Times New Roman" w:hAnsi="Times New Roman"/>
          <w:sz w:val="19"/>
          <w:szCs w:val="19"/>
          <w:b w:val="1"/>
          <w:bCs w:val="1"/>
          <w:i w:val="1"/>
          <w:iCs w:val="1"/>
          <w:color w:val="auto"/>
        </w:rPr>
        <w:t>Schedule 8.2</w:t>
      </w:r>
      <w:r>
        <w:rPr>
          <w:rFonts w:ascii="Times New Roman" w:cs="Times New Roman" w:eastAsia="Times New Roman" w:hAnsi="Times New Roman"/>
          <w:sz w:val="19"/>
          <w:szCs w:val="19"/>
          <w:color w:val="auto"/>
        </w:rPr>
        <w:t xml:space="preserve"> reflecting the re-designation of such Unrestricted Subsidiary as a Restricted Subsidiary within 30 days after it becomes a Restricted Subsidiary, (iii) after giving effect to such re-designation, such Subsidiary is in compliance with </w:t>
      </w:r>
      <w:r>
        <w:rPr>
          <w:rFonts w:ascii="Times New Roman" w:cs="Times New Roman" w:eastAsia="Times New Roman" w:hAnsi="Times New Roman"/>
          <w:sz w:val="19"/>
          <w:szCs w:val="19"/>
          <w:b w:val="1"/>
          <w:bCs w:val="1"/>
          <w:i w:val="1"/>
          <w:iCs w:val="1"/>
          <w:color w:val="auto"/>
        </w:rPr>
        <w:t>Section 10.16</w:t>
      </w:r>
      <w:r>
        <w:rPr>
          <w:rFonts w:ascii="Times New Roman" w:cs="Times New Roman" w:eastAsia="Times New Roman" w:hAnsi="Times New Roman"/>
          <w:sz w:val="19"/>
          <w:szCs w:val="19"/>
          <w:color w:val="auto"/>
        </w:rPr>
        <w:t xml:space="preserve">, and (iv) no Default or Potential Default exists or will arise after giving pro forma effect to such re-designation;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for purposes of determining compliance with </w:t>
      </w:r>
      <w:r>
        <w:rPr>
          <w:rFonts w:ascii="Times New Roman" w:cs="Times New Roman" w:eastAsia="Times New Roman" w:hAnsi="Times New Roman"/>
          <w:sz w:val="19"/>
          <w:szCs w:val="19"/>
          <w:b w:val="1"/>
          <w:bCs w:val="1"/>
          <w:i w:val="1"/>
          <w:iCs w:val="1"/>
          <w:color w:val="auto"/>
        </w:rPr>
        <w:t>Section 10.4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10.8</w:t>
      </w:r>
      <w:r>
        <w:rPr>
          <w:rFonts w:ascii="Times New Roman" w:cs="Times New Roman" w:eastAsia="Times New Roman" w:hAnsi="Times New Roman"/>
          <w:sz w:val="19"/>
          <w:szCs w:val="19"/>
          <w:color w:val="auto"/>
        </w:rPr>
        <w:t xml:space="preserve"> hereof, (x) all existing Debt of, and loans, advances, or investments made by, such re-designated Subsidiary shall be deemed to have been incurred on the date of such re-designation, and (y) Adjusted EBITDA for the most-recently-ended four fiscal quarters shall include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for such period the EBITDA of such re-designated Subsidiary.</w:t>
      </w:r>
    </w:p>
    <w:p>
      <w:pPr>
        <w:spacing w:after="0" w:line="170"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color w:val="auto"/>
        </w:rPr>
        <w:t xml:space="preserve">9.12 </w:t>
      </w:r>
      <w:r>
        <w:rPr>
          <w:rFonts w:ascii="Times New Roman" w:cs="Times New Roman" w:eastAsia="Times New Roman" w:hAnsi="Times New Roman"/>
          <w:sz w:val="19"/>
          <w:szCs w:val="19"/>
          <w:u w:val="single" w:color="auto"/>
          <w:color w:val="auto"/>
        </w:rPr>
        <w:t>Keepwell Requirements</w:t>
      </w:r>
      <w:r>
        <w:rPr>
          <w:rFonts w:ascii="Times New Roman" w:cs="Times New Roman" w:eastAsia="Times New Roman" w:hAnsi="Times New Roman"/>
          <w:sz w:val="19"/>
          <w:szCs w:val="19"/>
          <w:color w:val="auto"/>
        </w:rPr>
        <w:t>. Each Qualified ECP Guarantor, jointly and severally, absolutely, unconditionally and irrevocably undertakes to provide such funds or other support as may be needed from time to time by each other Guarantor to honor all of its obligations under this Agreement or any other Loan Paper in respect of Swap Obligations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each Qualified ECP Guarantor shall only be liable under this </w:t>
      </w:r>
      <w:r>
        <w:rPr>
          <w:rFonts w:ascii="Times New Roman" w:cs="Times New Roman" w:eastAsia="Times New Roman" w:hAnsi="Times New Roman"/>
          <w:sz w:val="19"/>
          <w:szCs w:val="19"/>
          <w:b w:val="1"/>
          <w:bCs w:val="1"/>
          <w:i w:val="1"/>
          <w:iCs w:val="1"/>
          <w:color w:val="auto"/>
        </w:rPr>
        <w:t xml:space="preserve">Section 9.12 </w:t>
      </w:r>
      <w:r>
        <w:rPr>
          <w:rFonts w:ascii="Times New Roman" w:cs="Times New Roman" w:eastAsia="Times New Roman" w:hAnsi="Times New Roman"/>
          <w:sz w:val="19"/>
          <w:szCs w:val="19"/>
          <w:color w:val="auto"/>
        </w:rPr>
        <w:t>for the maximum amount of such liability that can be hereby incurred without rendering its obligations under this</w:t>
      </w:r>
      <w:r>
        <w:rPr>
          <w:rFonts w:ascii="Times New Roman" w:cs="Times New Roman" w:eastAsia="Times New Roman" w:hAnsi="Times New Roman"/>
          <w:sz w:val="19"/>
          <w:szCs w:val="19"/>
          <w:b w:val="1"/>
          <w:bCs w:val="1"/>
          <w:i w:val="1"/>
          <w:iCs w:val="1"/>
          <w:color w:val="auto"/>
        </w:rPr>
        <w:t xml:space="preserve"> Section 9.12</w:t>
      </w:r>
      <w:r>
        <w:rPr>
          <w:rFonts w:ascii="Times New Roman" w:cs="Times New Roman" w:eastAsia="Times New Roman" w:hAnsi="Times New Roman"/>
          <w:sz w:val="19"/>
          <w:szCs w:val="19"/>
          <w:color w:val="auto"/>
        </w:rPr>
        <w:t>,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otherwise under this Agreement or any other Loan Paper, voidable under applicable law relating to fraudulent conveyance or fraudulent transfer, and not for any greater amount). The obligations of each Qualified ECP Guarantor under this Section shall remain in full force and effect until the full and final payment of the Obligations (other than contingent Obligations for which no claim has been made), termination of the Commitments of all Lenders and L/C Issuers, and termination of all L/Cs (or cash collateralization thereof as acceptable to the applicable L/C Issuer). Each Qualified ECP Guarantor intends that this </w:t>
      </w:r>
      <w:r>
        <w:rPr>
          <w:rFonts w:ascii="Times New Roman" w:cs="Times New Roman" w:eastAsia="Times New Roman" w:hAnsi="Times New Roman"/>
          <w:sz w:val="19"/>
          <w:szCs w:val="19"/>
          <w:b w:val="1"/>
          <w:bCs w:val="1"/>
          <w:i w:val="1"/>
          <w:iCs w:val="1"/>
          <w:color w:val="auto"/>
        </w:rPr>
        <w:t>Section 9.12</w:t>
      </w:r>
      <w:r>
        <w:rPr>
          <w:rFonts w:ascii="Times New Roman" w:cs="Times New Roman" w:eastAsia="Times New Roman" w:hAnsi="Times New Roman"/>
          <w:sz w:val="19"/>
          <w:szCs w:val="19"/>
          <w:color w:val="auto"/>
        </w:rPr>
        <w:t xml:space="preserve"> constitute, and this </w:t>
      </w:r>
      <w:r>
        <w:rPr>
          <w:rFonts w:ascii="Times New Roman" w:cs="Times New Roman" w:eastAsia="Times New Roman" w:hAnsi="Times New Roman"/>
          <w:sz w:val="19"/>
          <w:szCs w:val="19"/>
          <w:b w:val="1"/>
          <w:bCs w:val="1"/>
          <w:i w:val="1"/>
          <w:iCs w:val="1"/>
          <w:color w:val="auto"/>
        </w:rPr>
        <w:t>Section 9.12</w:t>
      </w:r>
      <w:r>
        <w:rPr>
          <w:rFonts w:ascii="Times New Roman" w:cs="Times New Roman" w:eastAsia="Times New Roman" w:hAnsi="Times New Roman"/>
          <w:sz w:val="19"/>
          <w:szCs w:val="19"/>
          <w:color w:val="auto"/>
        </w:rPr>
        <w:t xml:space="preserve"> shall be deemed to constitute, a “</w:t>
      </w:r>
      <w:r>
        <w:rPr>
          <w:rFonts w:ascii="Times New Roman" w:cs="Times New Roman" w:eastAsia="Times New Roman" w:hAnsi="Times New Roman"/>
          <w:sz w:val="19"/>
          <w:szCs w:val="19"/>
          <w:i w:val="1"/>
          <w:iCs w:val="1"/>
          <w:color w:val="auto"/>
        </w:rPr>
        <w:t>keepwell, support, or 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agreement</w:t>
      </w:r>
      <w:r>
        <w:rPr>
          <w:rFonts w:ascii="Times New Roman" w:cs="Times New Roman" w:eastAsia="Times New Roman" w:hAnsi="Times New Roman"/>
          <w:sz w:val="19"/>
          <w:szCs w:val="19"/>
          <w:color w:val="auto"/>
        </w:rPr>
        <w:t>” for the benefit of each other Guarantor for all purposes of</w:t>
      </w:r>
      <w:r>
        <w:rPr>
          <w:rFonts w:ascii="Times New Roman" w:cs="Times New Roman" w:eastAsia="Times New Roman" w:hAnsi="Times New Roman"/>
          <w:sz w:val="19"/>
          <w:szCs w:val="19"/>
          <w:i w:val="1"/>
          <w:iCs w:val="1"/>
          <w:color w:val="auto"/>
        </w:rPr>
        <w:t xml:space="preserve"> Section 1a(18)(A)(v)(II) </w:t>
      </w:r>
      <w:r>
        <w:rPr>
          <w:rFonts w:ascii="Times New Roman" w:cs="Times New Roman" w:eastAsia="Times New Roman" w:hAnsi="Times New Roman"/>
          <w:sz w:val="19"/>
          <w:szCs w:val="19"/>
          <w:color w:val="auto"/>
        </w:rPr>
        <w:t>of the Commodity Exchange Act.</w:t>
      </w:r>
    </w:p>
    <w:p>
      <w:pPr>
        <w:spacing w:after="0" w:line="169"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9.13 </w:t>
      </w:r>
      <w:r>
        <w:rPr>
          <w:rFonts w:ascii="Times New Roman" w:cs="Times New Roman" w:eastAsia="Times New Roman" w:hAnsi="Times New Roman"/>
          <w:sz w:val="19"/>
          <w:szCs w:val="19"/>
          <w:u w:val="single" w:color="auto"/>
          <w:color w:val="auto"/>
        </w:rPr>
        <w:t>Anti-Corruption Laws; Sanctions</w:t>
      </w:r>
      <w:r>
        <w:rPr>
          <w:rFonts w:ascii="Times New Roman" w:cs="Times New Roman" w:eastAsia="Times New Roman" w:hAnsi="Times New Roman"/>
          <w:sz w:val="19"/>
          <w:szCs w:val="19"/>
          <w:color w:val="auto"/>
        </w:rPr>
        <w:t>. Each Company will comply in all material respects with Anti-Corruption Laws applicable to such Company and other applicable anti-corruption legislation, and each Company will maintain compliance policies and procedures applicable to such Company with respect to applicable Anti-Corruption Laws and Sanctions.</w:t>
      </w:r>
    </w:p>
    <w:p>
      <w:pPr>
        <w:spacing w:after="0" w:line="1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b w:val="1"/>
          <w:bCs w:val="1"/>
          <w:u w:val="single" w:color="auto"/>
          <w:color w:val="auto"/>
        </w:rPr>
        <w:t>SECTION 10 NEGATIVE COVENANTS</w:t>
      </w:r>
      <w:r>
        <w:rPr>
          <w:rFonts w:ascii="Times New Roman" w:cs="Times New Roman" w:eastAsia="Times New Roman" w:hAnsi="Times New Roman"/>
          <w:sz w:val="19"/>
          <w:szCs w:val="19"/>
          <w:color w:val="auto"/>
        </w:rPr>
        <w:t>. So long as Lenders are committed to fund Loans and the L/C Issuers are committed to issue L/Cs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this Agreement, and thereafter until the Obligation is paid in full, Borrower covenants and agrees as follows:</w:t>
      </w:r>
    </w:p>
    <w:p>
      <w:pPr>
        <w:spacing w:after="0" w:line="138"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10.1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No Restricted Company shall use any portion of the proceeds of any Loan to pay the wages of employees, unless a timely payment to or deposit with the U.S. of all amounts of Tax required to be deducted and withheld with respect to such wages is also made.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89</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21" w:lineRule="exact"/>
        <w:rPr>
          <w:sz w:val="20"/>
          <w:szCs w:val="20"/>
          <w:color w:val="auto"/>
        </w:rPr>
      </w:pPr>
    </w:p>
    <w:p>
      <w:pPr>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10.2 </w:t>
      </w:r>
      <w:r>
        <w:rPr>
          <w:rFonts w:ascii="Times New Roman" w:cs="Times New Roman" w:eastAsia="Times New Roman" w:hAnsi="Times New Roman"/>
          <w:sz w:val="19"/>
          <w:szCs w:val="19"/>
          <w:u w:val="single" w:color="auto"/>
          <w:color w:val="auto"/>
        </w:rPr>
        <w:t>Payment of Obligations</w:t>
      </w:r>
      <w:r>
        <w:rPr>
          <w:rFonts w:ascii="Times New Roman" w:cs="Times New Roman" w:eastAsia="Times New Roman" w:hAnsi="Times New Roman"/>
          <w:sz w:val="19"/>
          <w:szCs w:val="19"/>
          <w:color w:val="auto"/>
        </w:rPr>
        <w:t xml:space="preserve">. No Restricted Company shall voluntarily prepay principal of, or interest on, or tender for, repurchase, redeem, repay, defease, or discharge, Subordinated Debt, High-Yield Debt or Convertible Debt Securities;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Borrower or VRI may:</w:t>
      </w:r>
    </w:p>
    <w:p>
      <w:pPr>
        <w:spacing w:after="0" w:line="143" w:lineRule="exact"/>
        <w:rPr>
          <w:sz w:val="20"/>
          <w:szCs w:val="20"/>
          <w:color w:val="auto"/>
        </w:rPr>
      </w:pPr>
    </w:p>
    <w:p>
      <w:pPr>
        <w:jc w:val="both"/>
        <w:ind w:firstLine="776"/>
        <w:spacing w:after="0" w:line="258" w:lineRule="auto"/>
        <w:tabs>
          <w:tab w:leader="none" w:pos="1171"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tender for, repurchase (including, without limitation, in open market transactions or private negotiated transactions), redeem, defease, or discharge Subordinated Debt, High-Yield Debt or Convertible Debt Securities,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(i) on and as of the date of each such redemption, no Default or Potential Default then exists or arises, and (ii) Borrower has delivered to Administrative Agent a certificate reflecting Availability and Unrestricted Cash in an aggregate amount of </w:t>
      </w:r>
      <w:r>
        <w:rPr>
          <w:rFonts w:ascii="Times New Roman" w:cs="Times New Roman" w:eastAsia="Times New Roman" w:hAnsi="Times New Roman"/>
          <w:sz w:val="19"/>
          <w:szCs w:val="19"/>
          <w:i w:val="1"/>
          <w:iCs w:val="1"/>
          <w:color w:val="auto"/>
        </w:rPr>
        <w:t>at least</w:t>
      </w:r>
      <w:r>
        <w:rPr>
          <w:rFonts w:ascii="Times New Roman" w:cs="Times New Roman" w:eastAsia="Times New Roman" w:hAnsi="Times New Roman"/>
          <w:sz w:val="19"/>
          <w:szCs w:val="19"/>
          <w:color w:val="auto"/>
        </w:rPr>
        <w:t xml:space="preserve"> $150,000,000 immediately after giving effect to such tender, repurchase, redemption, defeasance or discharge; and</w:t>
      </w:r>
    </w:p>
    <w:p>
      <w:pPr>
        <w:spacing w:after="0" w:line="164" w:lineRule="exact"/>
        <w:rPr>
          <w:rFonts w:ascii="Times New Roman" w:cs="Times New Roman" w:eastAsia="Times New Roman" w:hAnsi="Times New Roman"/>
          <w:sz w:val="19"/>
          <w:szCs w:val="19"/>
          <w:color w:val="auto"/>
        </w:rPr>
      </w:pPr>
    </w:p>
    <w:p>
      <w:pPr>
        <w:jc w:val="both"/>
        <w:ind w:firstLine="776"/>
        <w:spacing w:after="0" w:line="252" w:lineRule="auto"/>
        <w:tabs>
          <w:tab w:leader="none" w:pos="1228"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repay Subordinated Debt, High-Yield Debt or Convertible Debt Securities (i) with the proceeds of a Term Loan or an Incremental Term Loan, or (ii) in connection with the concurrent issuance of (A) Subordinated Debt,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(1) on and as of the date of such refinancing, no Default or Potential Default then exists or arises, (2) the Subordinated Debt issued in connection with such refinancing (“</w:t>
      </w:r>
      <w:r>
        <w:rPr>
          <w:rFonts w:ascii="Times New Roman" w:cs="Times New Roman" w:eastAsia="Times New Roman" w:hAnsi="Times New Roman"/>
          <w:sz w:val="19"/>
          <w:szCs w:val="19"/>
          <w:b w:val="1"/>
          <w:bCs w:val="1"/>
          <w:i w:val="1"/>
          <w:iCs w:val="1"/>
          <w:color w:val="auto"/>
        </w:rPr>
        <w:t>Replacement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Subordinated Debt</w:t>
      </w:r>
      <w:r>
        <w:rPr>
          <w:rFonts w:ascii="Times New Roman" w:cs="Times New Roman" w:eastAsia="Times New Roman" w:hAnsi="Times New Roman"/>
          <w:sz w:val="19"/>
          <w:szCs w:val="19"/>
          <w:color w:val="auto"/>
        </w:rPr>
        <w:t>”) satisfies the requirements for permitted Subordinated Debt as set forth in the Loan Papers, including, without limitation,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requirements imposed by the definition of “</w:t>
      </w:r>
      <w:r>
        <w:rPr>
          <w:rFonts w:ascii="Times New Roman" w:cs="Times New Roman" w:eastAsia="Times New Roman" w:hAnsi="Times New Roman"/>
          <w:sz w:val="19"/>
          <w:szCs w:val="19"/>
          <w:i w:val="1"/>
          <w:iCs w:val="1"/>
          <w:color w:val="auto"/>
        </w:rPr>
        <w:t>Subordinated Debt</w:t>
      </w:r>
      <w:r>
        <w:rPr>
          <w:rFonts w:ascii="Times New Roman" w:cs="Times New Roman" w:eastAsia="Times New Roman" w:hAnsi="Times New Roman"/>
          <w:sz w:val="19"/>
          <w:szCs w:val="19"/>
          <w:color w:val="auto"/>
        </w:rPr>
        <w:t xml:space="preserve">” in </w:t>
      </w:r>
      <w:r>
        <w:rPr>
          <w:rFonts w:ascii="Times New Roman" w:cs="Times New Roman" w:eastAsia="Times New Roman" w:hAnsi="Times New Roman"/>
          <w:sz w:val="19"/>
          <w:szCs w:val="19"/>
          <w:b w:val="1"/>
          <w:bCs w:val="1"/>
          <w:i w:val="1"/>
          <w:iCs w:val="1"/>
          <w:color w:val="auto"/>
        </w:rPr>
        <w:t>Section 1.1</w:t>
      </w:r>
      <w:r>
        <w:rPr>
          <w:rFonts w:ascii="Times New Roman" w:cs="Times New Roman" w:eastAsia="Times New Roman" w:hAnsi="Times New Roman"/>
          <w:sz w:val="19"/>
          <w:szCs w:val="19"/>
          <w:color w:val="auto"/>
        </w:rPr>
        <w:t xml:space="preserve"> and by </w:t>
      </w:r>
      <w:r>
        <w:rPr>
          <w:rFonts w:ascii="Times New Roman" w:cs="Times New Roman" w:eastAsia="Times New Roman" w:hAnsi="Times New Roman"/>
          <w:sz w:val="19"/>
          <w:szCs w:val="19"/>
          <w:b w:val="1"/>
          <w:bCs w:val="1"/>
          <w:i w:val="1"/>
          <w:iCs w:val="1"/>
          <w:color w:val="auto"/>
        </w:rPr>
        <w:t>Section 10.16</w:t>
      </w:r>
      <w:r>
        <w:rPr>
          <w:rFonts w:ascii="Times New Roman" w:cs="Times New Roman" w:eastAsia="Times New Roman" w:hAnsi="Times New Roman"/>
          <w:sz w:val="19"/>
          <w:szCs w:val="19"/>
          <w:color w:val="auto"/>
        </w:rPr>
        <w:t xml:space="preserve">, and (3) such Replacement Subordinated Debt has a final maturity date later than the final maturity date of the Debt so refinanced, or (B) High-Yield Debt or Convertible Debt Securities, </w:t>
      </w:r>
      <w:r>
        <w:rPr>
          <w:rFonts w:ascii="Times New Roman" w:cs="Times New Roman" w:eastAsia="Times New Roman" w:hAnsi="Times New Roman"/>
          <w:sz w:val="19"/>
          <w:szCs w:val="19"/>
          <w:i w:val="1"/>
          <w:iCs w:val="1"/>
          <w:color w:val="auto"/>
        </w:rPr>
        <w:t>so long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as </w:t>
      </w:r>
      <w:r>
        <w:rPr>
          <w:rFonts w:ascii="Times New Roman" w:cs="Times New Roman" w:eastAsia="Times New Roman" w:hAnsi="Times New Roman"/>
          <w:sz w:val="19"/>
          <w:szCs w:val="19"/>
          <w:color w:val="auto"/>
        </w:rPr>
        <w:t>on and as of the date of such refinancing, no Default or Potential Default then exists or arises and such High-Yield Debt or Convertible Debt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Securities, as applicable, have a final maturity date later than the final maturity date of the Debt so refinanced.</w:t>
      </w:r>
    </w:p>
    <w:p>
      <w:pPr>
        <w:spacing w:after="0" w:line="187"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10.3 </w:t>
      </w:r>
      <w:r>
        <w:rPr>
          <w:rFonts w:ascii="Times New Roman" w:cs="Times New Roman" w:eastAsia="Times New Roman" w:hAnsi="Times New Roman"/>
          <w:sz w:val="19"/>
          <w:szCs w:val="19"/>
          <w:u w:val="single" w:color="auto"/>
          <w:color w:val="auto"/>
        </w:rPr>
        <w:t>Employee Plans</w:t>
      </w:r>
      <w:r>
        <w:rPr>
          <w:rFonts w:ascii="Times New Roman" w:cs="Times New Roman" w:eastAsia="Times New Roman" w:hAnsi="Times New Roman"/>
          <w:sz w:val="19"/>
          <w:szCs w:val="19"/>
          <w:color w:val="auto"/>
        </w:rPr>
        <w:t xml:space="preserve">. Except where, individually or in the aggregate, a Material Adverse Event would not result or a Lien on the assets of any Restricted Company or Restricted Companies securing liability of any Restricted Company or Restricted Companies (individually or when aggregated with any liability of Restricted Companies contemplated elsewhere in this Section and in </w:t>
      </w:r>
      <w:r>
        <w:rPr>
          <w:rFonts w:ascii="Times New Roman" w:cs="Times New Roman" w:eastAsia="Times New Roman" w:hAnsi="Times New Roman"/>
          <w:sz w:val="19"/>
          <w:szCs w:val="19"/>
          <w:b w:val="1"/>
          <w:bCs w:val="1"/>
          <w:i w:val="1"/>
          <w:iCs w:val="1"/>
          <w:color w:val="auto"/>
        </w:rPr>
        <w:t>Section 8.8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Section 8.9</w:t>
      </w:r>
      <w:r>
        <w:rPr>
          <w:rFonts w:ascii="Times New Roman" w:cs="Times New Roman" w:eastAsia="Times New Roman" w:hAnsi="Times New Roman"/>
          <w:sz w:val="19"/>
          <w:szCs w:val="19"/>
          <w:color w:val="auto"/>
        </w:rPr>
        <w:t xml:space="preserve"> herein that is reasonably likely to be secured by Liens) in excess of the Threshold Amount is likely to result, no Restricted Company or any ERISA Affiliate shall permit any of the events or circumstances described in </w:t>
      </w:r>
      <w:r>
        <w:rPr>
          <w:rFonts w:ascii="Times New Roman" w:cs="Times New Roman" w:eastAsia="Times New Roman" w:hAnsi="Times New Roman"/>
          <w:sz w:val="19"/>
          <w:szCs w:val="19"/>
          <w:b w:val="1"/>
          <w:bCs w:val="1"/>
          <w:i w:val="1"/>
          <w:iCs w:val="1"/>
          <w:color w:val="auto"/>
        </w:rPr>
        <w:t>Section 8.10</w:t>
      </w:r>
      <w:r>
        <w:rPr>
          <w:rFonts w:ascii="Times New Roman" w:cs="Times New Roman" w:eastAsia="Times New Roman" w:hAnsi="Times New Roman"/>
          <w:sz w:val="19"/>
          <w:szCs w:val="19"/>
          <w:color w:val="auto"/>
        </w:rPr>
        <w:t xml:space="preserve"> to exist or occur.</w:t>
      </w:r>
    </w:p>
    <w:p>
      <w:pPr>
        <w:spacing w:after="0" w:line="18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10.4</w:t>
      </w:r>
      <w:r>
        <w:rPr>
          <w:sz w:val="20"/>
          <w:szCs w:val="20"/>
          <w:color w:val="auto"/>
        </w:rPr>
        <w:tab/>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No Restricted Company shall create, incur or suffer to exist any Debt, other than Permitted Debt.</w:t>
      </w:r>
    </w:p>
    <w:p>
      <w:pPr>
        <w:spacing w:after="0" w:line="206"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10.5 </w:t>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 xml:space="preserve">. No Restricted Company shall create, incur, or suffer or permit to be created or incurred or to exist any Lien upon any of its assets,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Permitted Liens.</w:t>
      </w:r>
    </w:p>
    <w:p>
      <w:pPr>
        <w:spacing w:after="0" w:line="156"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19"/>
          <w:szCs w:val="19"/>
          <w:color w:val="auto"/>
        </w:rPr>
        <w:t xml:space="preserve">10.6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Except for transactions which do not, in the aggregate, cost the Restricted Companies more than $2,000,000 in any fiscal year, no Restricted Company shall enter into or suffer to exist any transaction with any Affiliate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another Restricted Company), or guaranty, obtain any letter of credit or similar instrument in support of, or create, incur, or suffer to exist any Lien upon any of its assets as security for, any Debt or other obligation of any Affiliate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Debts or other obligations of another Restricted Company) unless (a) such transaction is an advance or equity contribution to an Unrestricted Subsidiary permitted by </w:t>
      </w:r>
      <w:r>
        <w:rPr>
          <w:rFonts w:ascii="Times New Roman" w:cs="Times New Roman" w:eastAsia="Times New Roman" w:hAnsi="Times New Roman"/>
          <w:sz w:val="19"/>
          <w:szCs w:val="19"/>
          <w:b w:val="1"/>
          <w:bCs w:val="1"/>
          <w:i w:val="1"/>
          <w:iCs w:val="1"/>
          <w:color w:val="auto"/>
        </w:rPr>
        <w:t>Sections 10.8(j)</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10.8(l)</w:t>
      </w:r>
      <w:r>
        <w:rPr>
          <w:rFonts w:ascii="Times New Roman" w:cs="Times New Roman" w:eastAsia="Times New Roman" w:hAnsi="Times New Roman"/>
          <w:sz w:val="19"/>
          <w:szCs w:val="19"/>
          <w:color w:val="auto"/>
        </w:rPr>
        <w:t xml:space="preserve"> or to a Person (other than a Company) in which a Restricted Company has made an investment permitted by </w:t>
      </w:r>
      <w:r>
        <w:rPr>
          <w:rFonts w:ascii="Times New Roman" w:cs="Times New Roman" w:eastAsia="Times New Roman" w:hAnsi="Times New Roman"/>
          <w:sz w:val="19"/>
          <w:szCs w:val="19"/>
          <w:b w:val="1"/>
          <w:bCs w:val="1"/>
          <w:i w:val="1"/>
          <w:iCs w:val="1"/>
          <w:color w:val="auto"/>
        </w:rPr>
        <w:t>Section 10.8(m)</w:t>
      </w:r>
      <w:r>
        <w:rPr>
          <w:rFonts w:ascii="Times New Roman" w:cs="Times New Roman" w:eastAsia="Times New Roman" w:hAnsi="Times New Roman"/>
          <w:sz w:val="19"/>
          <w:szCs w:val="19"/>
          <w:color w:val="auto"/>
        </w:rPr>
        <w:t xml:space="preserve">, (b) such transaction is described in </w:t>
      </w:r>
      <w:r>
        <w:rPr>
          <w:rFonts w:ascii="Times New Roman" w:cs="Times New Roman" w:eastAsia="Times New Roman" w:hAnsi="Times New Roman"/>
          <w:sz w:val="19"/>
          <w:szCs w:val="19"/>
          <w:b w:val="1"/>
          <w:bCs w:val="1"/>
          <w:i w:val="1"/>
          <w:iCs w:val="1"/>
          <w:color w:val="auto"/>
        </w:rPr>
        <w:t xml:space="preserve">Section 10.9 </w:t>
      </w:r>
      <w:r>
        <w:rPr>
          <w:rFonts w:ascii="Times New Roman" w:cs="Times New Roman" w:eastAsia="Times New Roman" w:hAnsi="Times New Roman"/>
          <w:sz w:val="19"/>
          <w:szCs w:val="19"/>
          <w:color w:val="auto"/>
        </w:rPr>
        <w:t>or on</w:t>
      </w:r>
      <w:r>
        <w:rPr>
          <w:rFonts w:ascii="Times New Roman" w:cs="Times New Roman" w:eastAsia="Times New Roman" w:hAnsi="Times New Roman"/>
          <w:sz w:val="19"/>
          <w:szCs w:val="19"/>
          <w:b w:val="1"/>
          <w:bCs w:val="1"/>
          <w:i w:val="1"/>
          <w:iCs w:val="1"/>
          <w:color w:val="auto"/>
        </w:rPr>
        <w:t xml:space="preserve"> Schedule 8.13</w:t>
      </w:r>
      <w:r>
        <w:rPr>
          <w:rFonts w:ascii="Times New Roman" w:cs="Times New Roman" w:eastAsia="Times New Roman" w:hAnsi="Times New Roman"/>
          <w:sz w:val="19"/>
          <w:szCs w:val="19"/>
          <w:color w:val="auto"/>
        </w:rPr>
        <w:t>, (c) such transaction is an investment in employee residences permitted by</w:t>
      </w:r>
      <w:r>
        <w:rPr>
          <w:rFonts w:ascii="Times New Roman" w:cs="Times New Roman" w:eastAsia="Times New Roman" w:hAnsi="Times New Roman"/>
          <w:sz w:val="19"/>
          <w:szCs w:val="19"/>
          <w:b w:val="1"/>
          <w:bCs w:val="1"/>
          <w:i w:val="1"/>
          <w:iCs w:val="1"/>
          <w:color w:val="auto"/>
        </w:rPr>
        <w:t xml:space="preserve"> Section 10.8(n)(iii)</w:t>
      </w:r>
      <w:r>
        <w:rPr>
          <w:rFonts w:ascii="Times New Roman" w:cs="Times New Roman" w:eastAsia="Times New Roman" w:hAnsi="Times New Roman"/>
          <w:sz w:val="19"/>
          <w:szCs w:val="19"/>
          <w:color w:val="auto"/>
        </w:rPr>
        <w:t>, or (d) such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transaction is upon fair and reasonable terms not materially less favorable than it could obtain or could become entitled to in an arm’s-length transaction with a Person that was not its Affiliate;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any Restricted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90</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1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 xml:space="preserve">may enter into Permitted Recourse Obligations or guarantees or other credit support permitted by </w:t>
      </w:r>
      <w:r>
        <w:rPr>
          <w:rFonts w:ascii="Times New Roman" w:cs="Times New Roman" w:eastAsia="Times New Roman" w:hAnsi="Times New Roman"/>
          <w:sz w:val="19"/>
          <w:szCs w:val="19"/>
          <w:b w:val="1"/>
          <w:bCs w:val="1"/>
          <w:i w:val="1"/>
          <w:iCs w:val="1"/>
          <w:color w:val="auto"/>
        </w:rPr>
        <w:t>clause (h)(ii)</w:t>
      </w:r>
      <w:r>
        <w:rPr>
          <w:rFonts w:ascii="Times New Roman" w:cs="Times New Roman" w:eastAsia="Times New Roman" w:hAnsi="Times New Roman"/>
          <w:sz w:val="19"/>
          <w:szCs w:val="19"/>
          <w:color w:val="auto"/>
        </w:rPr>
        <w:t xml:space="preserve"> of the definition of “</w:t>
      </w:r>
      <w:r>
        <w:rPr>
          <w:rFonts w:ascii="Times New Roman" w:cs="Times New Roman" w:eastAsia="Times New Roman" w:hAnsi="Times New Roman"/>
          <w:sz w:val="19"/>
          <w:szCs w:val="19"/>
          <w:i w:val="1"/>
          <w:iCs w:val="1"/>
          <w:color w:val="auto"/>
        </w:rPr>
        <w:t>Permitted Debt</w:t>
      </w:r>
      <w:r>
        <w:rPr>
          <w:rFonts w:ascii="Times New Roman" w:cs="Times New Roman" w:eastAsia="Times New Roman" w:hAnsi="Times New Roman"/>
          <w:sz w:val="19"/>
          <w:szCs w:val="19"/>
          <w:color w:val="auto"/>
        </w:rPr>
        <w:t xml:space="preserve">” in support of obligations of Unrestricted Subsidiaries,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no Default or Potential Default then exists or arises.</w:t>
      </w:r>
    </w:p>
    <w:p>
      <w:pPr>
        <w:spacing w:after="0" w:line="137" w:lineRule="exact"/>
        <w:rPr>
          <w:sz w:val="20"/>
          <w:szCs w:val="20"/>
          <w:color w:val="auto"/>
        </w:rPr>
      </w:pPr>
    </w:p>
    <w:p>
      <w:pPr>
        <w:jc w:val="both"/>
        <w:ind w:firstLine="618"/>
        <w:spacing w:after="0" w:line="27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Compliance with Laws and Documents</w:t>
      </w:r>
      <w:r>
        <w:rPr>
          <w:rFonts w:ascii="Times New Roman" w:cs="Times New Roman" w:eastAsia="Times New Roman" w:hAnsi="Times New Roman"/>
          <w:sz w:val="18"/>
          <w:szCs w:val="18"/>
          <w:color w:val="auto"/>
        </w:rPr>
        <w:t>. No Restricted Company shall (a) violate the provisions of any Laws or rulings of any Governmental Authority applicable to it or of any Material Agreement to which it is a party if that violation alone, or when aggregated with all other violations, would be a Material Adverse Event, (b) violate the provisions of its organizational documents if such violation would cause a Material Adverse Event, or (c) repeal, replace, or amend any provision of its organizational documents if that action would be a Material Adverse Event.</w:t>
      </w:r>
    </w:p>
    <w:p>
      <w:pPr>
        <w:spacing w:after="0" w:line="161"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10.8 </w:t>
      </w:r>
      <w:r>
        <w:rPr>
          <w:rFonts w:ascii="Times New Roman" w:cs="Times New Roman" w:eastAsia="Times New Roman" w:hAnsi="Times New Roman"/>
          <w:sz w:val="19"/>
          <w:szCs w:val="19"/>
          <w:u w:val="single" w:color="auto"/>
          <w:color w:val="auto"/>
        </w:rPr>
        <w:t>Loans, Advances and Investments</w:t>
      </w:r>
      <w:r>
        <w:rPr>
          <w:rFonts w:ascii="Times New Roman" w:cs="Times New Roman" w:eastAsia="Times New Roman" w:hAnsi="Times New Roman"/>
          <w:sz w:val="19"/>
          <w:szCs w:val="19"/>
          <w:color w:val="auto"/>
        </w:rPr>
        <w:t xml:space="preserve">. No Restricted Company shall make or suffer to exist any loan, advance, extension of credit or capital contribution to, make any investment in, purchase or commit to purchase any stock or other securities or evidences of Debt of, or interests in, any other Person, or permit to exist Permitted Recourse Obligations constituting Debt,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ind w:firstLine="776"/>
        <w:spacing w:after="0" w:line="282" w:lineRule="auto"/>
        <w:tabs>
          <w:tab w:leader="none" w:pos="1261"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expense accounts for and other loans or advances to its directors, officers, and employees in the ordinary course of business in accordance with applicable Law;</w:t>
      </w:r>
    </w:p>
    <w:p>
      <w:pPr>
        <w:spacing w:after="0" w:line="156" w:lineRule="exact"/>
        <w:rPr>
          <w:rFonts w:ascii="Times New Roman" w:cs="Times New Roman" w:eastAsia="Times New Roman" w:hAnsi="Times New Roman"/>
          <w:sz w:val="19"/>
          <w:szCs w:val="19"/>
          <w:color w:val="auto"/>
        </w:rPr>
      </w:pPr>
    </w:p>
    <w:p>
      <w:pPr>
        <w:jc w:val="both"/>
        <w:ind w:firstLine="776"/>
        <w:spacing w:after="0" w:line="261" w:lineRule="auto"/>
        <w:tabs>
          <w:tab w:leader="none" w:pos="124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marketable obligations issued or unconditionally guaranteed by an Approved Jurisdiction or issued by an agency of an Approved Jurisdiction and backed by the full faith and credit of such Approved Jurisdiction, in each case maturing within one year from the date of acquisition;</w:t>
      </w:r>
    </w:p>
    <w:p>
      <w:pPr>
        <w:spacing w:after="0" w:line="162" w:lineRule="exact"/>
        <w:rPr>
          <w:rFonts w:ascii="Times New Roman" w:cs="Times New Roman" w:eastAsia="Times New Roman" w:hAnsi="Times New Roman"/>
          <w:sz w:val="19"/>
          <w:szCs w:val="19"/>
          <w:color w:val="auto"/>
        </w:rPr>
      </w:pPr>
    </w:p>
    <w:p>
      <w:pPr>
        <w:jc w:val="both"/>
        <w:ind w:firstLine="776"/>
        <w:spacing w:after="0" w:line="259" w:lineRule="auto"/>
        <w:tabs>
          <w:tab w:leader="none" w:pos="1243"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short-term investment grade domestic and eurodollar certificates of deposit or time deposits that are fully insured by the Federal Deposit Insurance Corporation or similar agency of an Approved Jurisdiction or are issued by commercial banks organized under the Laws of an Approved Jurisdiction or any state or province of an Approved Jurisdiction having combined capital, surplus, and undivided profits of not less than $100,000,000 (as shown on its most recently published statement of condition);</w:t>
      </w:r>
    </w:p>
    <w:p>
      <w:pPr>
        <w:spacing w:after="0" w:line="173" w:lineRule="exact"/>
        <w:rPr>
          <w:rFonts w:ascii="Times New Roman" w:cs="Times New Roman" w:eastAsia="Times New Roman" w:hAnsi="Times New Roman"/>
          <w:sz w:val="19"/>
          <w:szCs w:val="19"/>
          <w:color w:val="auto"/>
        </w:rPr>
      </w:pPr>
    </w:p>
    <w:p>
      <w:pPr>
        <w:ind w:left="1180" w:hanging="404"/>
        <w:spacing w:after="0"/>
        <w:tabs>
          <w:tab w:leader="none" w:pos="118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commercial paper and similar obligations rated </w:t>
      </w:r>
      <w:r>
        <w:rPr>
          <w:rFonts w:ascii="Times New Roman" w:cs="Times New Roman" w:eastAsia="Times New Roman" w:hAnsi="Times New Roman"/>
          <w:sz w:val="19"/>
          <w:szCs w:val="19"/>
          <w:i w:val="1"/>
          <w:iCs w:val="1"/>
          <w:color w:val="auto"/>
        </w:rPr>
        <w:t>“P-1”</w:t>
      </w:r>
      <w:r>
        <w:rPr>
          <w:rFonts w:ascii="Times New Roman" w:cs="Times New Roman" w:eastAsia="Times New Roman" w:hAnsi="Times New Roman"/>
          <w:sz w:val="19"/>
          <w:szCs w:val="19"/>
          <w:color w:val="auto"/>
        </w:rPr>
        <w:t xml:space="preserve"> by Moody’s or </w:t>
      </w:r>
      <w:r>
        <w:rPr>
          <w:rFonts w:ascii="Times New Roman" w:cs="Times New Roman" w:eastAsia="Times New Roman" w:hAnsi="Times New Roman"/>
          <w:sz w:val="19"/>
          <w:szCs w:val="19"/>
          <w:i w:val="1"/>
          <w:iCs w:val="1"/>
          <w:color w:val="auto"/>
        </w:rPr>
        <w:t>“A-1”</w:t>
      </w:r>
      <w:r>
        <w:rPr>
          <w:rFonts w:ascii="Times New Roman" w:cs="Times New Roman" w:eastAsia="Times New Roman" w:hAnsi="Times New Roman"/>
          <w:sz w:val="19"/>
          <w:szCs w:val="19"/>
          <w:color w:val="auto"/>
        </w:rPr>
        <w:t xml:space="preserve"> by S&amp;P;</w:t>
      </w:r>
    </w:p>
    <w:p>
      <w:pPr>
        <w:spacing w:after="0" w:line="206" w:lineRule="exact"/>
        <w:rPr>
          <w:rFonts w:ascii="Times New Roman" w:cs="Times New Roman" w:eastAsia="Times New Roman" w:hAnsi="Times New Roman"/>
          <w:sz w:val="19"/>
          <w:szCs w:val="19"/>
          <w:color w:val="auto"/>
        </w:rPr>
      </w:pPr>
    </w:p>
    <w:p>
      <w:pPr>
        <w:ind w:firstLine="776"/>
        <w:spacing w:after="0" w:line="287" w:lineRule="auto"/>
        <w:tabs>
          <w:tab w:leader="none" w:pos="1215"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readily marketable Tax-free municipal bonds of a domestic issuer rated </w:t>
      </w:r>
      <w:r>
        <w:rPr>
          <w:rFonts w:ascii="Times New Roman" w:cs="Times New Roman" w:eastAsia="Times New Roman" w:hAnsi="Times New Roman"/>
          <w:sz w:val="19"/>
          <w:szCs w:val="19"/>
          <w:i w:val="1"/>
          <w:iCs w:val="1"/>
          <w:color w:val="auto"/>
        </w:rPr>
        <w:t>“A-2”</w:t>
      </w:r>
      <w:r>
        <w:rPr>
          <w:rFonts w:ascii="Times New Roman" w:cs="Times New Roman" w:eastAsia="Times New Roman" w:hAnsi="Times New Roman"/>
          <w:sz w:val="19"/>
          <w:szCs w:val="19"/>
          <w:color w:val="auto"/>
        </w:rPr>
        <w:t xml:space="preserve"> or better by Moody’s or </w:t>
      </w:r>
      <w:r>
        <w:rPr>
          <w:rFonts w:ascii="Times New Roman" w:cs="Times New Roman" w:eastAsia="Times New Roman" w:hAnsi="Times New Roman"/>
          <w:sz w:val="19"/>
          <w:szCs w:val="19"/>
          <w:i w:val="1"/>
          <w:iCs w:val="1"/>
          <w:color w:val="auto"/>
        </w:rPr>
        <w:t>“A”</w:t>
      </w:r>
      <w:r>
        <w:rPr>
          <w:rFonts w:ascii="Times New Roman" w:cs="Times New Roman" w:eastAsia="Times New Roman" w:hAnsi="Times New Roman"/>
          <w:sz w:val="19"/>
          <w:szCs w:val="19"/>
          <w:color w:val="auto"/>
        </w:rPr>
        <w:t xml:space="preserve"> or better by S&amp;P, and maturing within one year from the date of issuance;</w:t>
      </w:r>
    </w:p>
    <w:p>
      <w:pPr>
        <w:spacing w:after="0" w:line="132" w:lineRule="exact"/>
        <w:rPr>
          <w:rFonts w:ascii="Times New Roman" w:cs="Times New Roman" w:eastAsia="Times New Roman" w:hAnsi="Times New Roman"/>
          <w:sz w:val="19"/>
          <w:szCs w:val="19"/>
          <w:color w:val="auto"/>
        </w:rPr>
      </w:pPr>
    </w:p>
    <w:p>
      <w:pPr>
        <w:ind w:left="1160" w:hanging="384"/>
        <w:spacing w:after="0"/>
        <w:tabs>
          <w:tab w:leader="none" w:pos="116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mutual funds or money market accounts investing primarily in items described in clauses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b w:val="1"/>
          <w:bCs w:val="1"/>
          <w:i w:val="1"/>
          <w:iCs w:val="1"/>
          <w:color w:val="auto"/>
        </w:rPr>
        <w:t>(e)</w:t>
      </w:r>
      <w:r>
        <w:rPr>
          <w:rFonts w:ascii="Times New Roman" w:cs="Times New Roman" w:eastAsia="Times New Roman" w:hAnsi="Times New Roman"/>
          <w:sz w:val="19"/>
          <w:szCs w:val="19"/>
          <w:color w:val="auto"/>
        </w:rPr>
        <w:t xml:space="preserve"> above;</w:t>
      </w:r>
    </w:p>
    <w:p>
      <w:pPr>
        <w:spacing w:after="0" w:line="225" w:lineRule="exact"/>
        <w:rPr>
          <w:rFonts w:ascii="Times New Roman" w:cs="Times New Roman" w:eastAsia="Times New Roman" w:hAnsi="Times New Roman"/>
          <w:sz w:val="19"/>
          <w:szCs w:val="19"/>
          <w:color w:val="auto"/>
        </w:rPr>
      </w:pPr>
    </w:p>
    <w:p>
      <w:pPr>
        <w:ind w:left="1180" w:hanging="404"/>
        <w:spacing w:after="0"/>
        <w:tabs>
          <w:tab w:leader="none" w:pos="118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demand deposit accounts maintained in the ordinary course of business;</w:t>
      </w:r>
    </w:p>
    <w:p>
      <w:pPr>
        <w:spacing w:after="0" w:line="219" w:lineRule="exact"/>
        <w:rPr>
          <w:rFonts w:ascii="Times New Roman" w:cs="Times New Roman" w:eastAsia="Times New Roman" w:hAnsi="Times New Roman"/>
          <w:sz w:val="19"/>
          <w:szCs w:val="19"/>
          <w:color w:val="auto"/>
        </w:rPr>
      </w:pPr>
    </w:p>
    <w:p>
      <w:pPr>
        <w:ind w:firstLine="776"/>
        <w:spacing w:after="0" w:line="268" w:lineRule="auto"/>
        <w:tabs>
          <w:tab w:leader="none" w:pos="122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current trade and customer accounts receivable that are for goods furnished or services rendered in the ordinary course of business and that are payable in accordance with customary trade terms;</w:t>
      </w:r>
    </w:p>
    <w:p>
      <w:pPr>
        <w:spacing w:after="0" w:line="168" w:lineRule="exact"/>
        <w:rPr>
          <w:rFonts w:ascii="Times New Roman" w:cs="Times New Roman" w:eastAsia="Times New Roman" w:hAnsi="Times New Roman"/>
          <w:sz w:val="19"/>
          <w:szCs w:val="19"/>
          <w:color w:val="auto"/>
        </w:rPr>
      </w:pPr>
    </w:p>
    <w:p>
      <w:pPr>
        <w:ind w:firstLine="776"/>
        <w:spacing w:after="0" w:line="268" w:lineRule="auto"/>
        <w:tabs>
          <w:tab w:leader="none" w:pos="1216"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Hedges existing on the date hereof which have previously been approved by Administrative Agent and other Financial Hedges entered into after the date hereof under terms reasonably acceptable to Administrative Agent;</w:t>
      </w:r>
    </w:p>
    <w:p>
      <w:pPr>
        <w:spacing w:after="0" w:line="168" w:lineRule="exact"/>
        <w:rPr>
          <w:rFonts w:ascii="Times New Roman" w:cs="Times New Roman" w:eastAsia="Times New Roman" w:hAnsi="Times New Roman"/>
          <w:sz w:val="19"/>
          <w:szCs w:val="19"/>
          <w:color w:val="auto"/>
        </w:rPr>
      </w:pPr>
    </w:p>
    <w:p>
      <w:pPr>
        <w:ind w:firstLine="776"/>
        <w:spacing w:after="0" w:line="282" w:lineRule="auto"/>
        <w:tabs>
          <w:tab w:leader="none" w:pos="1209"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loans, advances, and investments of the Restricted Companies existing as of April 30, 2018 (i) in the Existing Housing Districts, Existing Metro Districts, and Keystone/IntraWest LLC, which</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91</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1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9"/>
          <w:szCs w:val="19"/>
          <w:color w:val="auto"/>
        </w:rPr>
        <w:t xml:space="preserve">investments are identified on </w:t>
      </w:r>
      <w:r>
        <w:rPr>
          <w:rFonts w:ascii="Times New Roman" w:cs="Times New Roman" w:eastAsia="Times New Roman" w:hAnsi="Times New Roman"/>
          <w:sz w:val="19"/>
          <w:szCs w:val="19"/>
          <w:b w:val="1"/>
          <w:bCs w:val="1"/>
          <w:i w:val="1"/>
          <w:iCs w:val="1"/>
          <w:color w:val="auto"/>
        </w:rPr>
        <w:t>part (a)</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i w:val="1"/>
          <w:iCs w:val="1"/>
          <w:color w:val="auto"/>
        </w:rPr>
        <w:t>Schedule 10.8</w:t>
      </w:r>
      <w:r>
        <w:rPr>
          <w:rFonts w:ascii="Times New Roman" w:cs="Times New Roman" w:eastAsia="Times New Roman" w:hAnsi="Times New Roman"/>
          <w:sz w:val="19"/>
          <w:szCs w:val="19"/>
          <w:color w:val="auto"/>
        </w:rPr>
        <w:t xml:space="preserve">, and (ii) in Persons other than Restricted Companies, Existing Housing Districts, Existing Metro Districts, and Keystone IntraWest LLC, which loans and investments are identified on </w:t>
      </w:r>
      <w:r>
        <w:rPr>
          <w:rFonts w:ascii="Times New Roman" w:cs="Times New Roman" w:eastAsia="Times New Roman" w:hAnsi="Times New Roman"/>
          <w:sz w:val="19"/>
          <w:szCs w:val="19"/>
          <w:b w:val="1"/>
          <w:bCs w:val="1"/>
          <w:i w:val="1"/>
          <w:iCs w:val="1"/>
          <w:color w:val="auto"/>
        </w:rPr>
        <w:t>part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i w:val="1"/>
          <w:iCs w:val="1"/>
          <w:color w:val="auto"/>
        </w:rPr>
        <w:t>Schedule 10.8</w:t>
      </w:r>
      <w:r>
        <w:rPr>
          <w:rFonts w:ascii="Times New Roman" w:cs="Times New Roman" w:eastAsia="Times New Roman" w:hAnsi="Times New Roman"/>
          <w:sz w:val="19"/>
          <w:szCs w:val="19"/>
          <w:color w:val="auto"/>
        </w:rPr>
        <w:t>;</w:t>
      </w:r>
    </w:p>
    <w:p>
      <w:pPr>
        <w:spacing w:after="0" w:line="137" w:lineRule="exact"/>
        <w:rPr>
          <w:sz w:val="20"/>
          <w:szCs w:val="20"/>
          <w:color w:val="auto"/>
        </w:rPr>
      </w:pPr>
    </w:p>
    <w:p>
      <w:pPr>
        <w:ind w:firstLine="776"/>
        <w:spacing w:after="0" w:line="282" w:lineRule="auto"/>
        <w:tabs>
          <w:tab w:leader="none" w:pos="1279"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additional loans, advances, and investments in Restricted Companies, including, without limitation, investments in Persons that become Restricted Subsidiaries upon transactions consummated in compliance with </w:t>
      </w:r>
      <w:r>
        <w:rPr>
          <w:rFonts w:ascii="Times New Roman" w:cs="Times New Roman" w:eastAsia="Times New Roman" w:hAnsi="Times New Roman"/>
          <w:sz w:val="19"/>
          <w:szCs w:val="19"/>
          <w:b w:val="1"/>
          <w:bCs w:val="1"/>
          <w:i w:val="1"/>
          <w:iCs w:val="1"/>
          <w:color w:val="auto"/>
        </w:rPr>
        <w:t>Section 10.11</w:t>
      </w:r>
      <w:r>
        <w:rPr>
          <w:rFonts w:ascii="Times New Roman" w:cs="Times New Roman" w:eastAsia="Times New Roman" w:hAnsi="Times New Roman"/>
          <w:sz w:val="19"/>
          <w:szCs w:val="19"/>
          <w:color w:val="auto"/>
        </w:rPr>
        <w:t xml:space="preserve"> herein;</w:t>
      </w:r>
    </w:p>
    <w:p>
      <w:pPr>
        <w:spacing w:after="0" w:line="143" w:lineRule="exact"/>
        <w:rPr>
          <w:rFonts w:ascii="Times New Roman" w:cs="Times New Roman" w:eastAsia="Times New Roman" w:hAnsi="Times New Roman"/>
          <w:sz w:val="19"/>
          <w:szCs w:val="19"/>
          <w:color w:val="auto"/>
        </w:rPr>
      </w:pPr>
    </w:p>
    <w:p>
      <w:pPr>
        <w:jc w:val="both"/>
        <w:ind w:firstLine="776"/>
        <w:spacing w:after="0" w:line="254" w:lineRule="auto"/>
        <w:tabs>
          <w:tab w:leader="none" w:pos="1158"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loans, advances, and investments in Similar Businesses (including, without limitation, any loans, advances, and investments made in any Unrestricted Subsidiaries in a Similar Business and the amount of any Permitted Recourse Obligations constituting Debt and other credit support and contingent obligations with respect to Debt of such Unrestricted Subsidiaries),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(i) no Default or Potential Default exists or arises, and (ii) the aggregate amount of all loans, advances, and investments made pursuant to this </w:t>
      </w:r>
      <w:r>
        <w:rPr>
          <w:rFonts w:ascii="Times New Roman" w:cs="Times New Roman" w:eastAsia="Times New Roman" w:hAnsi="Times New Roman"/>
          <w:sz w:val="19"/>
          <w:szCs w:val="19"/>
          <w:b w:val="1"/>
          <w:bCs w:val="1"/>
          <w:i w:val="1"/>
          <w:iCs w:val="1"/>
          <w:color w:val="auto"/>
        </w:rPr>
        <w:t>clause (l)</w:t>
      </w:r>
      <w:r>
        <w:rPr>
          <w:rFonts w:ascii="Times New Roman" w:cs="Times New Roman" w:eastAsia="Times New Roman" w:hAnsi="Times New Roman"/>
          <w:sz w:val="19"/>
          <w:szCs w:val="19"/>
          <w:color w:val="auto"/>
        </w:rPr>
        <w:t xml:space="preserve"> (determined with respect to each such loan and advance based on the value thereof on the date of determination, determined with respect to each such investment based on the value thereof on the date made, and determined with respect to each such Permitted Recourse Obligation constituting Debt and other credit support and contingent obligation based on the maximum potential financial exposure therefrom on the date of determination) does not exceed the Investment Limit (Similar Businesses);</w:t>
      </w:r>
    </w:p>
    <w:p>
      <w:pPr>
        <w:spacing w:after="0" w:line="171" w:lineRule="exact"/>
        <w:rPr>
          <w:rFonts w:ascii="Times New Roman" w:cs="Times New Roman" w:eastAsia="Times New Roman" w:hAnsi="Times New Roman"/>
          <w:sz w:val="19"/>
          <w:szCs w:val="19"/>
          <w:color w:val="auto"/>
        </w:rPr>
      </w:pPr>
    </w:p>
    <w:p>
      <w:pPr>
        <w:jc w:val="both"/>
        <w:ind w:firstLine="776"/>
        <w:spacing w:after="0" w:line="254" w:lineRule="auto"/>
        <w:tabs>
          <w:tab w:leader="none" w:pos="1352"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loans, advances, and investments in joint ventures in which a Restricted Company has an Equity Interest (including, without limitation, credit support and contingent obligations with respect to Debt of such joint ventures),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(i) no Default or Potential Default exists or arises, and (ii) the aggregate amount of all loans, advances, and investments made pursuant to this </w:t>
      </w:r>
      <w:r>
        <w:rPr>
          <w:rFonts w:ascii="Times New Roman" w:cs="Times New Roman" w:eastAsia="Times New Roman" w:hAnsi="Times New Roman"/>
          <w:sz w:val="19"/>
          <w:szCs w:val="19"/>
          <w:b w:val="1"/>
          <w:bCs w:val="1"/>
          <w:i w:val="1"/>
          <w:iCs w:val="1"/>
          <w:color w:val="auto"/>
        </w:rPr>
        <w:t>clause (m)</w:t>
      </w:r>
      <w:r>
        <w:rPr>
          <w:rFonts w:ascii="Times New Roman" w:cs="Times New Roman" w:eastAsia="Times New Roman" w:hAnsi="Times New Roman"/>
          <w:sz w:val="19"/>
          <w:szCs w:val="19"/>
          <w:color w:val="auto"/>
        </w:rPr>
        <w:t xml:space="preserve"> (determined with respect to each such loan and advance based on the value thereof on the date of determination, determined with respect to each such investment based on the value thereof on the date made, and determined with respect to each such credit support and contingent obligation based on the maximum potential financial exposure therefrom on the date of determination) does not exceed the Investment Limit (Joint Ventures);</w:t>
      </w:r>
    </w:p>
    <w:p>
      <w:pPr>
        <w:spacing w:after="0" w:line="183" w:lineRule="exact"/>
        <w:rPr>
          <w:rFonts w:ascii="Times New Roman" w:cs="Times New Roman" w:eastAsia="Times New Roman" w:hAnsi="Times New Roman"/>
          <w:sz w:val="19"/>
          <w:szCs w:val="19"/>
          <w:color w:val="auto"/>
        </w:rPr>
      </w:pPr>
    </w:p>
    <w:p>
      <w:pPr>
        <w:ind w:left="1180" w:hanging="404"/>
        <w:spacing w:after="0"/>
        <w:tabs>
          <w:tab w:leader="none" w:pos="118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investments:</w:t>
      </w:r>
    </w:p>
    <w:p>
      <w:pPr>
        <w:spacing w:after="0" w:line="206" w:lineRule="exact"/>
        <w:rPr>
          <w:sz w:val="20"/>
          <w:szCs w:val="20"/>
          <w:color w:val="auto"/>
        </w:rPr>
      </w:pPr>
    </w:p>
    <w:p>
      <w:pPr>
        <w:ind w:left="1240" w:hanging="464"/>
        <w:spacing w:after="0"/>
        <w:tabs>
          <w:tab w:leader="none" w:pos="12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capital contribution, in an amount not to exceed $650,000, in Boulder/Beaver LLC;</w:t>
      </w:r>
    </w:p>
    <w:p>
      <w:pPr>
        <w:spacing w:after="0" w:line="219" w:lineRule="exact"/>
        <w:rPr>
          <w:rFonts w:ascii="Times New Roman" w:cs="Times New Roman" w:eastAsia="Times New Roman" w:hAnsi="Times New Roman"/>
          <w:sz w:val="19"/>
          <w:szCs w:val="19"/>
          <w:color w:val="auto"/>
        </w:rPr>
      </w:pPr>
    </w:p>
    <w:p>
      <w:pPr>
        <w:ind w:firstLine="776"/>
        <w:spacing w:after="0" w:line="296" w:lineRule="auto"/>
        <w:tabs>
          <w:tab w:leader="none" w:pos="123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workers compensation reserve account, established pursuant to a self-insurance permit from the Department of Labor or comparable agency in any state in which the Companies’ businesses are located, invested exclusively in items described in </w:t>
      </w:r>
      <w:r>
        <w:rPr>
          <w:rFonts w:ascii="Times New Roman" w:cs="Times New Roman" w:eastAsia="Times New Roman" w:hAnsi="Times New Roman"/>
          <w:sz w:val="18"/>
          <w:szCs w:val="18"/>
          <w:b w:val="1"/>
          <w:bCs w:val="1"/>
          <w:i w:val="1"/>
          <w:iCs w:val="1"/>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b w:val="1"/>
          <w:bCs w:val="1"/>
          <w:i w:val="1"/>
          <w:iCs w:val="1"/>
          <w:color w:val="auto"/>
        </w:rPr>
        <w:t>(f)</w:t>
      </w:r>
      <w:r>
        <w:rPr>
          <w:rFonts w:ascii="Times New Roman" w:cs="Times New Roman" w:eastAsia="Times New Roman" w:hAnsi="Times New Roman"/>
          <w:sz w:val="18"/>
          <w:szCs w:val="18"/>
          <w:color w:val="auto"/>
        </w:rPr>
        <w:t xml:space="preserve"> above; and</w:t>
      </w:r>
    </w:p>
    <w:p>
      <w:pPr>
        <w:spacing w:after="0" w:line="146" w:lineRule="exact"/>
        <w:rPr>
          <w:rFonts w:ascii="Times New Roman" w:cs="Times New Roman" w:eastAsia="Times New Roman" w:hAnsi="Times New Roman"/>
          <w:sz w:val="18"/>
          <w:szCs w:val="18"/>
          <w:color w:val="auto"/>
        </w:rPr>
      </w:pPr>
    </w:p>
    <w:p>
      <w:pPr>
        <w:ind w:firstLine="776"/>
        <w:spacing w:after="0" w:line="282" w:lineRule="auto"/>
        <w:tabs>
          <w:tab w:leader="none" w:pos="1236"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loans and contributions to employees for investments in employee residences as part of such employees’ compensation packages not to exceed $10,000,000 in the aggregate;</w:t>
      </w:r>
    </w:p>
    <w:p>
      <w:pPr>
        <w:spacing w:after="0" w:line="137" w:lineRule="exact"/>
        <w:rPr>
          <w:sz w:val="20"/>
          <w:szCs w:val="20"/>
          <w:color w:val="auto"/>
        </w:rPr>
      </w:pPr>
    </w:p>
    <w:p>
      <w:pPr>
        <w:jc w:val="both"/>
        <w:ind w:firstLine="776"/>
        <w:spacing w:after="0" w:line="264" w:lineRule="auto"/>
        <w:tabs>
          <w:tab w:leader="none" w:pos="1198"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no Default or Potential Default exists or arises, investments set forth on </w:t>
      </w:r>
      <w:r>
        <w:rPr>
          <w:rFonts w:ascii="Times New Roman" w:cs="Times New Roman" w:eastAsia="Times New Roman" w:hAnsi="Times New Roman"/>
          <w:sz w:val="19"/>
          <w:szCs w:val="19"/>
          <w:b w:val="1"/>
          <w:bCs w:val="1"/>
          <w:i w:val="1"/>
          <w:iCs w:val="1"/>
          <w:color w:val="auto"/>
        </w:rPr>
        <w:t>part (c)</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i w:val="1"/>
          <w:iCs w:val="1"/>
          <w:color w:val="auto"/>
        </w:rPr>
        <w:t>Schedule 10.8</w:t>
      </w:r>
      <w:r>
        <w:rPr>
          <w:rFonts w:ascii="Times New Roman" w:cs="Times New Roman" w:eastAsia="Times New Roman" w:hAnsi="Times New Roman"/>
          <w:sz w:val="19"/>
          <w:szCs w:val="19"/>
          <w:color w:val="auto"/>
        </w:rPr>
        <w:t xml:space="preserve">, which investments are made (i) as a result of the exercise of put options by the owners thereof, and (ii) in accordance with the agreements set forth on </w:t>
      </w:r>
      <w:r>
        <w:rPr>
          <w:rFonts w:ascii="Times New Roman" w:cs="Times New Roman" w:eastAsia="Times New Roman" w:hAnsi="Times New Roman"/>
          <w:sz w:val="19"/>
          <w:szCs w:val="19"/>
          <w:b w:val="1"/>
          <w:bCs w:val="1"/>
          <w:i w:val="1"/>
          <w:iCs w:val="1"/>
          <w:color w:val="auto"/>
        </w:rPr>
        <w:t>part (c)</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i w:val="1"/>
          <w:iCs w:val="1"/>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10.8 </w:t>
      </w:r>
      <w:r>
        <w:rPr>
          <w:rFonts w:ascii="Times New Roman" w:cs="Times New Roman" w:eastAsia="Times New Roman" w:hAnsi="Times New Roman"/>
          <w:sz w:val="19"/>
          <w:szCs w:val="19"/>
          <w:color w:val="auto"/>
        </w:rPr>
        <w:t>as in effect on the Closing Date;</w:t>
      </w:r>
    </w:p>
    <w:p>
      <w:pPr>
        <w:spacing w:after="0" w:line="173" w:lineRule="exact"/>
        <w:rPr>
          <w:rFonts w:ascii="Times New Roman" w:cs="Times New Roman" w:eastAsia="Times New Roman" w:hAnsi="Times New Roman"/>
          <w:sz w:val="19"/>
          <w:szCs w:val="19"/>
          <w:color w:val="auto"/>
        </w:rPr>
      </w:pPr>
    </w:p>
    <w:p>
      <w:pPr>
        <w:jc w:val="both"/>
        <w:ind w:firstLine="776"/>
        <w:spacing w:after="0" w:line="261" w:lineRule="auto"/>
        <w:tabs>
          <w:tab w:leader="none" w:pos="121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short-term repurchase agreements with major banks and authorized dealers, fully collateralized to at least 100% of market value by marketable obligations issued or unconditionally guaranteed by an Approved Jurisdiction or issued by any agency of an Approved Jurisdiction and backed by the full faith and credit of such Approved Jurisdiction;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92</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18" w:lineRule="exact"/>
        <w:rPr>
          <w:sz w:val="20"/>
          <w:szCs w:val="20"/>
          <w:color w:val="auto"/>
        </w:rPr>
      </w:pPr>
    </w:p>
    <w:p>
      <w:pPr>
        <w:jc w:val="both"/>
        <w:ind w:left="-200" w:firstLine="776"/>
        <w:spacing w:after="0" w:line="260" w:lineRule="auto"/>
        <w:tabs>
          <w:tab w:leader="none" w:pos="1014"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short-term variable rate demand notes that invest in tax-free municipal bonds of domestic issuers rated “</w:t>
      </w:r>
      <w:r>
        <w:rPr>
          <w:rFonts w:ascii="Times New Roman" w:cs="Times New Roman" w:eastAsia="Times New Roman" w:hAnsi="Times New Roman"/>
          <w:sz w:val="19"/>
          <w:szCs w:val="19"/>
          <w:i w:val="1"/>
          <w:iCs w:val="1"/>
          <w:color w:val="auto"/>
        </w:rPr>
        <w:t>A-2</w:t>
      </w:r>
      <w:r>
        <w:rPr>
          <w:rFonts w:ascii="Times New Roman" w:cs="Times New Roman" w:eastAsia="Times New Roman" w:hAnsi="Times New Roman"/>
          <w:sz w:val="19"/>
          <w:szCs w:val="19"/>
          <w:color w:val="auto"/>
        </w:rPr>
        <w:t>” or better by Moody’s or “</w:t>
      </w:r>
      <w:r>
        <w:rPr>
          <w:rFonts w:ascii="Times New Roman" w:cs="Times New Roman" w:eastAsia="Times New Roman" w:hAnsi="Times New Roman"/>
          <w:sz w:val="19"/>
          <w:szCs w:val="19"/>
          <w:i w:val="1"/>
          <w:iCs w:val="1"/>
          <w:color w:val="auto"/>
        </w:rPr>
        <w:t>A</w:t>
      </w:r>
      <w:r>
        <w:rPr>
          <w:rFonts w:ascii="Times New Roman" w:cs="Times New Roman" w:eastAsia="Times New Roman" w:hAnsi="Times New Roman"/>
          <w:sz w:val="19"/>
          <w:szCs w:val="19"/>
          <w:color w:val="auto"/>
        </w:rPr>
        <w:t>” or better by S&amp;P that are supported by irrevocable letters of credit issued by commercial banks organized under the laws of an Approved Jurisdiction or any state or province of an Approved Jurisdiction having combined capital, surplus, and undivided profits of not less than $100,000,000;</w:t>
      </w:r>
    </w:p>
    <w:p>
      <w:pPr>
        <w:spacing w:after="0" w:line="164" w:lineRule="exact"/>
        <w:rPr>
          <w:rFonts w:ascii="Times New Roman" w:cs="Times New Roman" w:eastAsia="Times New Roman" w:hAnsi="Times New Roman"/>
          <w:sz w:val="19"/>
          <w:szCs w:val="19"/>
          <w:color w:val="auto"/>
        </w:rPr>
      </w:pPr>
    </w:p>
    <w:p>
      <w:pPr>
        <w:jc w:val="both"/>
        <w:ind w:left="-200" w:firstLine="776"/>
        <w:spacing w:after="0" w:line="268" w:lineRule="auto"/>
        <w:tabs>
          <w:tab w:leader="none" w:pos="977"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no Default or Potential Default exists or arises, loans to Persons in which a Restricted Company does not have an Equity Interest,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the aggregate amount of all loans made pursuant to this </w:t>
      </w:r>
      <w:r>
        <w:rPr>
          <w:rFonts w:ascii="Times New Roman" w:cs="Times New Roman" w:eastAsia="Times New Roman" w:hAnsi="Times New Roman"/>
          <w:sz w:val="19"/>
          <w:szCs w:val="19"/>
          <w:b w:val="1"/>
          <w:bCs w:val="1"/>
          <w:i w:val="1"/>
          <w:iCs w:val="1"/>
          <w:color w:val="auto"/>
        </w:rPr>
        <w:t>clause (r)</w:t>
      </w:r>
      <w:r>
        <w:rPr>
          <w:rFonts w:ascii="Times New Roman" w:cs="Times New Roman" w:eastAsia="Times New Roman" w:hAnsi="Times New Roman"/>
          <w:sz w:val="19"/>
          <w:szCs w:val="19"/>
          <w:color w:val="auto"/>
        </w:rPr>
        <w:t xml:space="preserve"> (determined with respect to each such loan based on the value thereof on the date of determination) does not exceed $15,000,000;</w:t>
      </w:r>
    </w:p>
    <w:p>
      <w:pPr>
        <w:spacing w:after="0" w:line="152" w:lineRule="exact"/>
        <w:rPr>
          <w:rFonts w:ascii="Times New Roman" w:cs="Times New Roman" w:eastAsia="Times New Roman" w:hAnsi="Times New Roman"/>
          <w:sz w:val="19"/>
          <w:szCs w:val="19"/>
          <w:color w:val="auto"/>
        </w:rPr>
      </w:pPr>
    </w:p>
    <w:p>
      <w:pPr>
        <w:jc w:val="both"/>
        <w:ind w:left="-200" w:firstLine="776"/>
        <w:spacing w:after="0" w:line="260" w:lineRule="auto"/>
        <w:tabs>
          <w:tab w:leader="none" w:pos="981"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Permitted Recourse Obligations not constituting Debt;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for the avoidance of doubt, if an event or circumstance occurs that triggers a direct payment liability or reimbursement obligation (as opposed to a contingent or performance obligation) of any Restricted Company to a lender or other party to whom such Permitted Recourse Obligation is owed, then such Permitted Recourse Obligation will no longer be permitted pursuant to this </w:t>
      </w:r>
      <w:r>
        <w:rPr>
          <w:rFonts w:ascii="Times New Roman" w:cs="Times New Roman" w:eastAsia="Times New Roman" w:hAnsi="Times New Roman"/>
          <w:sz w:val="19"/>
          <w:szCs w:val="19"/>
          <w:b w:val="1"/>
          <w:bCs w:val="1"/>
          <w:i w:val="1"/>
          <w:iCs w:val="1"/>
          <w:color w:val="auto"/>
        </w:rPr>
        <w:t>clause (s)</w:t>
      </w:r>
      <w:r>
        <w:rPr>
          <w:rFonts w:ascii="Times New Roman" w:cs="Times New Roman" w:eastAsia="Times New Roman" w:hAnsi="Times New Roman"/>
          <w:sz w:val="19"/>
          <w:szCs w:val="19"/>
          <w:color w:val="auto"/>
        </w:rPr>
        <w:t>;</w:t>
      </w:r>
    </w:p>
    <w:p>
      <w:pPr>
        <w:spacing w:after="0" w:line="177" w:lineRule="exact"/>
        <w:rPr>
          <w:rFonts w:ascii="Times New Roman" w:cs="Times New Roman" w:eastAsia="Times New Roman" w:hAnsi="Times New Roman"/>
          <w:sz w:val="19"/>
          <w:szCs w:val="19"/>
          <w:color w:val="auto"/>
        </w:rPr>
      </w:pPr>
    </w:p>
    <w:p>
      <w:pPr>
        <w:jc w:val="both"/>
        <w:ind w:left="-200" w:firstLine="776"/>
        <w:spacing w:after="0" w:line="252" w:lineRule="auto"/>
        <w:tabs>
          <w:tab w:leader="none" w:pos="958"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loans, advances, and investments in Similar Businesses (including, without limitation, any loans, advances, and investments made in any Unrestricted Subsidiaries in a Similar Business and the amount of any Permitted Recourse Obligations constituting Debt and other credit support and contingent obligations with respect to Debt of such Unrestricted Subsidiaries) or joint ventures in which a Restricted Company has an Equity Interest (including, without limitation, credit support and contingent obligations with respect to Debt of such joint ventures),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 xml:space="preserve"> (i) no Default or Potential Default exists or arises, (ii) Borrower has delivered to Administrative Agent a certificate reflecting Availability and Unrestricted Cash in an aggregate amount of </w:t>
      </w:r>
      <w:r>
        <w:rPr>
          <w:rFonts w:ascii="Times New Roman" w:cs="Times New Roman" w:eastAsia="Times New Roman" w:hAnsi="Times New Roman"/>
          <w:sz w:val="19"/>
          <w:szCs w:val="19"/>
          <w:i w:val="1"/>
          <w:iCs w:val="1"/>
          <w:color w:val="auto"/>
        </w:rPr>
        <w:t>at least</w:t>
      </w:r>
      <w:r>
        <w:rPr>
          <w:rFonts w:ascii="Times New Roman" w:cs="Times New Roman" w:eastAsia="Times New Roman" w:hAnsi="Times New Roman"/>
          <w:sz w:val="19"/>
          <w:szCs w:val="19"/>
          <w:color w:val="auto"/>
        </w:rPr>
        <w:t xml:space="preserve"> $150,000,000 immediately after giving effect to such loan, advance, or investment, and (iii) the Total Leverage Ratio is less than 3.75 to 1.00;</w:t>
      </w:r>
    </w:p>
    <w:p>
      <w:pPr>
        <w:spacing w:after="0" w:line="184" w:lineRule="exact"/>
        <w:rPr>
          <w:rFonts w:ascii="Times New Roman" w:cs="Times New Roman" w:eastAsia="Times New Roman" w:hAnsi="Times New Roman"/>
          <w:sz w:val="19"/>
          <w:szCs w:val="19"/>
          <w:color w:val="auto"/>
        </w:rPr>
      </w:pPr>
    </w:p>
    <w:p>
      <w:pPr>
        <w:ind w:left="-200" w:firstLine="776"/>
        <w:spacing w:after="0" w:line="268" w:lineRule="auto"/>
        <w:tabs>
          <w:tab w:leader="none" w:pos="1023"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loans, advances, investments in the Whistler Acquisition Subsidiaries required to consummate the Whistler Acquisition and (ii) loans, advances, investments in the Peak Resorts Acquisition Subsidiaries to consummate the Peak Resorts Acquisition;</w:t>
      </w:r>
    </w:p>
    <w:p>
      <w:pPr>
        <w:spacing w:after="0" w:line="168" w:lineRule="exact"/>
        <w:rPr>
          <w:rFonts w:ascii="Times New Roman" w:cs="Times New Roman" w:eastAsia="Times New Roman" w:hAnsi="Times New Roman"/>
          <w:sz w:val="19"/>
          <w:szCs w:val="19"/>
          <w:color w:val="auto"/>
        </w:rPr>
      </w:pPr>
    </w:p>
    <w:p>
      <w:pPr>
        <w:jc w:val="both"/>
        <w:ind w:left="-200" w:firstLine="776"/>
        <w:spacing w:after="0" w:line="261" w:lineRule="auto"/>
        <w:tabs>
          <w:tab w:leader="none" w:pos="112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loans, advances, and investments in Unrestricted Subsidiaries as contemplated by the Whistler Acquisition Agreement, in an equivalent amount to any Distributions made by Borrower and permitted pursuant to </w:t>
      </w:r>
      <w:r>
        <w:rPr>
          <w:rFonts w:ascii="Times New Roman" w:cs="Times New Roman" w:eastAsia="Times New Roman" w:hAnsi="Times New Roman"/>
          <w:sz w:val="19"/>
          <w:szCs w:val="19"/>
          <w:b w:val="1"/>
          <w:bCs w:val="1"/>
          <w:i w:val="1"/>
          <w:iCs w:val="1"/>
          <w:color w:val="auto"/>
        </w:rPr>
        <w:t>Section 10.9</w:t>
      </w:r>
      <w:r>
        <w:rPr>
          <w:rFonts w:ascii="Times New Roman" w:cs="Times New Roman" w:eastAsia="Times New Roman" w:hAnsi="Times New Roman"/>
          <w:sz w:val="19"/>
          <w:szCs w:val="19"/>
          <w:color w:val="auto"/>
        </w:rPr>
        <w:t>, in order to enable an equivalent Distribution to be made to the holders of the Equity Interests of Exchangeco or any successor entity thereto; and</w:t>
      </w:r>
    </w:p>
    <w:p>
      <w:pPr>
        <w:spacing w:after="0" w:line="175" w:lineRule="exact"/>
        <w:rPr>
          <w:rFonts w:ascii="Times New Roman" w:cs="Times New Roman" w:eastAsia="Times New Roman" w:hAnsi="Times New Roman"/>
          <w:sz w:val="19"/>
          <w:szCs w:val="19"/>
          <w:color w:val="auto"/>
        </w:rPr>
      </w:pPr>
    </w:p>
    <w:p>
      <w:pPr>
        <w:ind w:left="1020" w:hanging="444"/>
        <w:spacing w:after="0"/>
        <w:tabs>
          <w:tab w:leader="none" w:pos="102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Equity Hedges in connection with the issuance of convertible debt securities.</w:t>
      </w:r>
    </w:p>
    <w:p>
      <w:pPr>
        <w:spacing w:after="0" w:line="200" w:lineRule="exact"/>
        <w:rPr>
          <w:sz w:val="20"/>
          <w:szCs w:val="20"/>
          <w:color w:val="auto"/>
        </w:rPr>
      </w:pPr>
    </w:p>
    <w:p>
      <w:pPr>
        <w:ind w:left="420"/>
        <w:spacing w:after="0"/>
        <w:tabs>
          <w:tab w:leader="none" w:pos="1020" w:val="left"/>
        </w:tabs>
        <w:rPr>
          <w:sz w:val="20"/>
          <w:szCs w:val="20"/>
          <w:color w:val="auto"/>
        </w:rPr>
      </w:pPr>
      <w:r>
        <w:rPr>
          <w:rFonts w:ascii="Times New Roman" w:cs="Times New Roman" w:eastAsia="Times New Roman" w:hAnsi="Times New Roman"/>
          <w:sz w:val="19"/>
          <w:szCs w:val="19"/>
          <w:color w:val="auto"/>
        </w:rPr>
        <w:t>10.9</w:t>
      </w:r>
      <w:r>
        <w:rPr>
          <w:sz w:val="20"/>
          <w:szCs w:val="20"/>
          <w:color w:val="auto"/>
        </w:rPr>
        <w:tab/>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b w:val="1"/>
          <w:bCs w:val="1"/>
          <w:i w:val="1"/>
          <w:iCs w:val="1"/>
          <w:color w:val="auto"/>
        </w:rPr>
        <w:t>Schedule 10.9</w:t>
      </w:r>
      <w:r>
        <w:rPr>
          <w:rFonts w:ascii="Times New Roman" w:cs="Times New Roman" w:eastAsia="Times New Roman" w:hAnsi="Times New Roman"/>
          <w:sz w:val="18"/>
          <w:szCs w:val="18"/>
          <w:color w:val="auto"/>
        </w:rPr>
        <w:t>, no Restricted Company shall make any Distribution,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 follows:</w:t>
      </w:r>
    </w:p>
    <w:p>
      <w:pPr>
        <w:spacing w:after="0" w:line="225" w:lineRule="exact"/>
        <w:rPr>
          <w:sz w:val="20"/>
          <w:szCs w:val="20"/>
          <w:color w:val="auto"/>
        </w:rPr>
      </w:pPr>
    </w:p>
    <w:p>
      <w:pPr>
        <w:ind w:left="980" w:hanging="404"/>
        <w:spacing w:after="0"/>
        <w:tabs>
          <w:tab w:leader="none" w:pos="98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VRI may make payments of approximately $100,000 accruing to certain option holders;</w:t>
      </w:r>
    </w:p>
    <w:p>
      <w:pPr>
        <w:spacing w:after="0" w:line="206" w:lineRule="exact"/>
        <w:rPr>
          <w:rFonts w:ascii="Times New Roman" w:cs="Times New Roman" w:eastAsia="Times New Roman" w:hAnsi="Times New Roman"/>
          <w:sz w:val="19"/>
          <w:szCs w:val="19"/>
          <w:color w:val="auto"/>
        </w:rPr>
      </w:pPr>
    </w:p>
    <w:p>
      <w:pPr>
        <w:ind w:left="980" w:hanging="404"/>
        <w:spacing w:after="0"/>
        <w:tabs>
          <w:tab w:leader="none" w:pos="98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Company may make Distributions to a Restricted Company;</w:t>
      </w:r>
    </w:p>
    <w:p>
      <w:pPr>
        <w:spacing w:after="0" w:line="219" w:lineRule="exact"/>
        <w:rPr>
          <w:rFonts w:ascii="Times New Roman" w:cs="Times New Roman" w:eastAsia="Times New Roman" w:hAnsi="Times New Roman"/>
          <w:sz w:val="19"/>
          <w:szCs w:val="19"/>
          <w:color w:val="auto"/>
        </w:rPr>
      </w:pPr>
    </w:p>
    <w:p>
      <w:pPr>
        <w:jc w:val="both"/>
        <w:ind w:left="-200" w:firstLine="776"/>
        <w:spacing w:after="0" w:line="261" w:lineRule="auto"/>
        <w:tabs>
          <w:tab w:leader="none" w:pos="977"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VRI issues any Subordinated Debt which is subsequently converted to preferred stock, VRI may, if no Default or Potential Default exists (or would result therefrom), pay dividends on such stock at an annual rate which is less than or equal to the annual rate of interest payable on such Subordinated Debt prior to its conversion, so long as the terms on such preferred stock are no more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ectPr>
          <w:pgSz w:w="11900" w:h="16838" w:orient="portrait"/>
          <w:cols w:equalWidth="0" w:num="1">
            <w:col w:w="11040"/>
          </w:cols>
          <w:pgMar w:left="520" w:top="1440" w:right="339" w:bottom="1440" w:gutter="0" w:footer="0" w:header="0"/>
        </w:sectPr>
      </w:pPr>
    </w:p>
    <w:bookmarkStart w:id="144" w:name="page145"/>
    <w:bookmarkEnd w:id="144"/>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color w:val="auto"/>
        </w:rPr>
        <w:t>favorable to the holders of the preferred stock than the terms afforded to the holders of the Subordinated Debt set forth in the indenture and other documents evidencing or executed in connection with such Subordinated Debt;</w:t>
      </w:r>
    </w:p>
    <w:p>
      <w:pPr>
        <w:spacing w:after="0" w:line="143" w:lineRule="exact"/>
        <w:rPr>
          <w:sz w:val="20"/>
          <w:szCs w:val="20"/>
          <w:color w:val="auto"/>
        </w:rPr>
      </w:pPr>
    </w:p>
    <w:p>
      <w:pPr>
        <w:ind w:left="780"/>
        <w:spacing w:after="0"/>
        <w:tabs>
          <w:tab w:leader="none" w:pos="1160" w:val="left"/>
        </w:tabs>
        <w:rPr>
          <w:sz w:val="20"/>
          <w:szCs w:val="20"/>
          <w:color w:val="auto"/>
        </w:rPr>
      </w:pPr>
      <w:r>
        <w:rPr>
          <w:rFonts w:ascii="Times New Roman" w:cs="Times New Roman" w:eastAsia="Times New Roman" w:hAnsi="Times New Roman"/>
          <w:sz w:val="19"/>
          <w:szCs w:val="19"/>
          <w:color w:val="auto"/>
        </w:rPr>
        <w:t>(d)</w:t>
      </w:r>
      <w:r>
        <w:rPr>
          <w:sz w:val="20"/>
          <w:szCs w:val="20"/>
          <w:color w:val="auto"/>
        </w:rPr>
        <w:tab/>
      </w:r>
      <w:r>
        <w:rPr>
          <w:rFonts w:ascii="Times New Roman" w:cs="Times New Roman" w:eastAsia="Times New Roman" w:hAnsi="Times New Roman"/>
          <w:sz w:val="18"/>
          <w:szCs w:val="18"/>
          <w:color w:val="auto"/>
        </w:rPr>
        <w:t>VRI may make additional Distributions as follows:</w:t>
      </w:r>
    </w:p>
    <w:p>
      <w:pPr>
        <w:spacing w:after="0" w:line="219" w:lineRule="exact"/>
        <w:rPr>
          <w:sz w:val="20"/>
          <w:szCs w:val="20"/>
          <w:color w:val="auto"/>
        </w:rPr>
      </w:pPr>
    </w:p>
    <w:p>
      <w:pPr>
        <w:jc w:val="both"/>
        <w:ind w:firstLine="776"/>
        <w:spacing w:after="0" w:line="250" w:lineRule="auto"/>
        <w:tabs>
          <w:tab w:leader="none" w:pos="1307"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no Default or Potential Default exists or arises after giving pro forma effect thereto, (B) Borrower has delivered to Administrative Agent a certificate reflecting Availability and Unrestricted Cash in an aggregate amount of at least $150,000,000 immediately after giving effect to such Distribution, and (C) the Total Leverage Ratio equals or exceeds 3.75 to 1.00, then VRI may make Distributions in an amount, when aggregated with all other Distributions by VRI from and after the Closing Date (including, without limitation, all Distributions pursuant to this </w:t>
      </w:r>
      <w:r>
        <w:rPr>
          <w:rFonts w:ascii="Times New Roman" w:cs="Times New Roman" w:eastAsia="Times New Roman" w:hAnsi="Times New Roman"/>
          <w:sz w:val="19"/>
          <w:szCs w:val="19"/>
          <w:b w:val="1"/>
          <w:bCs w:val="1"/>
          <w:i w:val="1"/>
          <w:iCs w:val="1"/>
          <w:color w:val="auto"/>
        </w:rPr>
        <w:t>clause (d)(i)</w:t>
      </w:r>
      <w:r>
        <w:rPr>
          <w:rFonts w:ascii="Times New Roman" w:cs="Times New Roman" w:eastAsia="Times New Roman" w:hAnsi="Times New Roman"/>
          <w:sz w:val="19"/>
          <w:szCs w:val="19"/>
          <w:color w:val="auto"/>
        </w:rPr>
        <w:t>, but excluding all Distributions pursuant to</w:t>
      </w:r>
      <w:r>
        <w:rPr>
          <w:rFonts w:ascii="Times New Roman" w:cs="Times New Roman" w:eastAsia="Times New Roman" w:hAnsi="Times New Roman"/>
          <w:sz w:val="19"/>
          <w:szCs w:val="19"/>
          <w:b w:val="1"/>
          <w:bCs w:val="1"/>
          <w:i w:val="1"/>
          <w:iCs w:val="1"/>
          <w:color w:val="auto"/>
        </w:rPr>
        <w:t xml:space="preserve"> clauses (d)(ii)</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(d)(iii)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i w:val="1"/>
          <w:iCs w:val="1"/>
          <w:color w:val="auto"/>
        </w:rPr>
        <w:t xml:space="preserve"> (e) </w:t>
      </w:r>
      <w:r>
        <w:rPr>
          <w:rFonts w:ascii="Times New Roman" w:cs="Times New Roman" w:eastAsia="Times New Roman" w:hAnsi="Times New Roman"/>
          <w:sz w:val="19"/>
          <w:szCs w:val="19"/>
          <w:color w:val="auto"/>
        </w:rPr>
        <w:t>through</w:t>
      </w:r>
      <w:r>
        <w:rPr>
          <w:rFonts w:ascii="Times New Roman" w:cs="Times New Roman" w:eastAsia="Times New Roman" w:hAnsi="Times New Roman"/>
          <w:sz w:val="19"/>
          <w:szCs w:val="19"/>
          <w:b w:val="1"/>
          <w:bCs w:val="1"/>
          <w:i w:val="1"/>
          <w:iCs w:val="1"/>
          <w:color w:val="auto"/>
        </w:rPr>
        <w:t xml:space="preserve"> (h) </w:t>
      </w:r>
      <w:r>
        <w:rPr>
          <w:rFonts w:ascii="Times New Roman" w:cs="Times New Roman" w:eastAsia="Times New Roman" w:hAnsi="Times New Roman"/>
          <w:sz w:val="19"/>
          <w:szCs w:val="19"/>
          <w:color w:val="auto"/>
        </w:rPr>
        <w:t>below), not to exceed the sum of (v)</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$200,000,000,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(w) 50% of Consolidated Net Income from and after February 1, 2014 (determined as of the last day of the most-recently-ended fiscal quarter of the Restricted Companies),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(x) if Consolidated Net Income from and after February 1, 2014 (determined as of the last day of the most-recently-ended fiscal quarter of the Restricted Companies) is a deficit, 100% of such deficit,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(y) 100% of the Restricted Companies’ net cash proceeds from the issuance of Equity Interests by any Restricted Company from and after the Closing Date,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(z) the sum of repayments of Subordinated Debt, High-Yield Debt or Convertible Debt Securities pursuant to </w:t>
      </w:r>
      <w:r>
        <w:rPr>
          <w:rFonts w:ascii="Times New Roman" w:cs="Times New Roman" w:eastAsia="Times New Roman" w:hAnsi="Times New Roman"/>
          <w:sz w:val="19"/>
          <w:szCs w:val="19"/>
          <w:b w:val="1"/>
          <w:bCs w:val="1"/>
          <w:i w:val="1"/>
          <w:iCs w:val="1"/>
          <w:color w:val="auto"/>
        </w:rPr>
        <w:t>Section 10.2(a)</w:t>
      </w:r>
      <w:r>
        <w:rPr>
          <w:rFonts w:ascii="Times New Roman" w:cs="Times New Roman" w:eastAsia="Times New Roman" w:hAnsi="Times New Roman"/>
          <w:sz w:val="19"/>
          <w:szCs w:val="19"/>
          <w:color w:val="auto"/>
        </w:rPr>
        <w:t xml:space="preserve"> (other than any such repayment in connection with a refinancing of Subordinated Debt, High-Yield Debt or Convertible Debt Securities, as applicable, permitted under this Agreement);</w:t>
      </w:r>
    </w:p>
    <w:p>
      <w:pPr>
        <w:spacing w:after="0" w:line="192" w:lineRule="exact"/>
        <w:rPr>
          <w:rFonts w:ascii="Times New Roman" w:cs="Times New Roman" w:eastAsia="Times New Roman" w:hAnsi="Times New Roman"/>
          <w:sz w:val="19"/>
          <w:szCs w:val="19"/>
          <w:color w:val="auto"/>
        </w:rPr>
      </w:pPr>
    </w:p>
    <w:p>
      <w:pPr>
        <w:jc w:val="both"/>
        <w:ind w:firstLine="776"/>
        <w:spacing w:after="0" w:line="259" w:lineRule="auto"/>
        <w:tabs>
          <w:tab w:leader="none" w:pos="1351"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no Default or Potential Default exists or arises after giving pro forma effect thereto, (B) Borrower has delivered to Administrative Agent a certificate reflecting Availability and Unrestricted Cash in an aggregate amount of </w:t>
      </w:r>
      <w:r>
        <w:rPr>
          <w:rFonts w:ascii="Times New Roman" w:cs="Times New Roman" w:eastAsia="Times New Roman" w:hAnsi="Times New Roman"/>
          <w:sz w:val="19"/>
          <w:szCs w:val="19"/>
          <w:i w:val="1"/>
          <w:iCs w:val="1"/>
          <w:color w:val="auto"/>
        </w:rPr>
        <w:t>at least</w:t>
      </w:r>
      <w:r>
        <w:rPr>
          <w:rFonts w:ascii="Times New Roman" w:cs="Times New Roman" w:eastAsia="Times New Roman" w:hAnsi="Times New Roman"/>
          <w:sz w:val="19"/>
          <w:szCs w:val="19"/>
          <w:color w:val="auto"/>
        </w:rPr>
        <w:t xml:space="preserve"> $75,000,000 immediately after giving effect to such Distribution, and (C) the Total Leverage Ratio is less than 3.75 to 1.00, then VRI may make Distributions in an unlimited amount; and</w:t>
      </w:r>
    </w:p>
    <w:p>
      <w:pPr>
        <w:spacing w:after="0" w:line="164" w:lineRule="exact"/>
        <w:rPr>
          <w:rFonts w:ascii="Times New Roman" w:cs="Times New Roman" w:eastAsia="Times New Roman" w:hAnsi="Times New Roman"/>
          <w:sz w:val="19"/>
          <w:szCs w:val="19"/>
          <w:color w:val="auto"/>
        </w:rPr>
      </w:pPr>
    </w:p>
    <w:p>
      <w:pPr>
        <w:jc w:val="both"/>
        <w:ind w:firstLine="776"/>
        <w:spacing w:after="0" w:line="259" w:lineRule="auto"/>
        <w:tabs>
          <w:tab w:leader="none" w:pos="1236"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no Default or Potential Default exists or arises after giving pro forma effect thereto, then VRI may pay dividends in an amount not to exceed, for any fiscal quarter, the greater of (a) $160,000,000, or (b) an amount equal to twenty percent (20%) of Adjusted EBITDA for the trailing twelve month period ended on the last day of the most-recently ended fiscal quarter (as calculated in the Compliance Certificate most-recently delivered pursuant to </w:t>
      </w:r>
      <w:r>
        <w:rPr>
          <w:rFonts w:ascii="Times New Roman" w:cs="Times New Roman" w:eastAsia="Times New Roman" w:hAnsi="Times New Roman"/>
          <w:sz w:val="19"/>
          <w:szCs w:val="19"/>
          <w:b w:val="1"/>
          <w:bCs w:val="1"/>
          <w:i w:val="1"/>
          <w:iCs w:val="1"/>
          <w:color w:val="auto"/>
        </w:rPr>
        <w:t>Section 9.1(a)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(b)</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jc w:val="both"/>
        <w:ind w:firstLine="776"/>
        <w:spacing w:after="0" w:line="261" w:lineRule="auto"/>
        <w:tabs>
          <w:tab w:leader="none" w:pos="1267"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no Default or Potential Default exists or arises after giving pro forma effect thereto, VRI may make Distributions on Equity Interests (other than Disqualified Equity Interests) payable solely in the form of common stock or other common equity interests of VRI;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that </w:t>
      </w:r>
      <w:r>
        <w:rPr>
          <w:rFonts w:ascii="Times New Roman" w:cs="Times New Roman" w:eastAsia="Times New Roman" w:hAnsi="Times New Roman"/>
          <w:sz w:val="19"/>
          <w:szCs w:val="19"/>
          <w:color w:val="auto"/>
        </w:rPr>
        <w:t>VRI may make Distributions on Disqualified Equity Interests in the form of additional Disqualified Equity Interests of the same type;</w:t>
      </w:r>
    </w:p>
    <w:p>
      <w:pPr>
        <w:spacing w:after="0" w:line="162" w:lineRule="exact"/>
        <w:rPr>
          <w:rFonts w:ascii="Times New Roman" w:cs="Times New Roman" w:eastAsia="Times New Roman" w:hAnsi="Times New Roman"/>
          <w:sz w:val="19"/>
          <w:szCs w:val="19"/>
          <w:color w:val="auto"/>
        </w:rPr>
      </w:pPr>
    </w:p>
    <w:p>
      <w:pPr>
        <w:ind w:firstLine="776"/>
        <w:spacing w:after="0" w:line="282" w:lineRule="auto"/>
        <w:tabs>
          <w:tab w:leader="none" w:pos="115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no Default or Potential Default exists or arises after giving pro forma effect thereto, the Companies may make Distributions to their respective employees, officers, or directors in an aggregate amount not exceeding $2,000,000 in any twelve (12) month period;</w:t>
      </w:r>
    </w:p>
    <w:p>
      <w:pPr>
        <w:spacing w:after="0" w:line="156" w:lineRule="exact"/>
        <w:rPr>
          <w:rFonts w:ascii="Times New Roman" w:cs="Times New Roman" w:eastAsia="Times New Roman" w:hAnsi="Times New Roman"/>
          <w:sz w:val="19"/>
          <w:szCs w:val="19"/>
          <w:color w:val="auto"/>
        </w:rPr>
      </w:pPr>
    </w:p>
    <w:p>
      <w:pPr>
        <w:jc w:val="both"/>
        <w:ind w:firstLine="776"/>
        <w:spacing w:after="0" w:line="261" w:lineRule="auto"/>
        <w:tabs>
          <w:tab w:leader="none" w:pos="1208"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no Default or Potential Default exists or arises after giving pro forma effect thereto, the redemption, repurchase, or other acquisition of Equity Interests of VRI in exchange for, or out of the net cash proceeds of the substantially concurrent sale (other than to a Subsidiary of VRI) of, Equity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94</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color w:val="auto"/>
        </w:rPr>
        <w:t>Interests of VRI (except for any such redemption, repurchase, or acquisition effected through the concurrent issuance of Disqualified Equity Interests of the same type); and</w:t>
      </w:r>
    </w:p>
    <w:p>
      <w:pPr>
        <w:spacing w:after="0" w:line="143" w:lineRule="exact"/>
        <w:rPr>
          <w:sz w:val="20"/>
          <w:szCs w:val="20"/>
          <w:color w:val="auto"/>
        </w:rPr>
      </w:pPr>
    </w:p>
    <w:p>
      <w:pPr>
        <w:ind w:firstLine="776"/>
        <w:spacing w:after="0" w:line="282" w:lineRule="auto"/>
        <w:tabs>
          <w:tab w:leader="none" w:pos="1258"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no Default or Potential Default exists or arises after giving pro forma effect thereto, any Restricted Company may make Distributions of net cash proceeds from Designated Condominium Sales.</w:t>
      </w:r>
    </w:p>
    <w:p>
      <w:pPr>
        <w:spacing w:after="0" w:line="143"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 xml:space="preserve">10.10 </w:t>
      </w:r>
      <w:r>
        <w:rPr>
          <w:rFonts w:ascii="Times New Roman" w:cs="Times New Roman" w:eastAsia="Times New Roman" w:hAnsi="Times New Roman"/>
          <w:sz w:val="19"/>
          <w:szCs w:val="19"/>
          <w:u w:val="single" w:color="auto"/>
          <w:color w:val="auto"/>
        </w:rPr>
        <w:t>Sale of Assets</w:t>
      </w:r>
      <w:r>
        <w:rPr>
          <w:rFonts w:ascii="Times New Roman" w:cs="Times New Roman" w:eastAsia="Times New Roman" w:hAnsi="Times New Roman"/>
          <w:sz w:val="19"/>
          <w:szCs w:val="19"/>
          <w:color w:val="auto"/>
        </w:rPr>
        <w:t xml:space="preserve">. No Restricted Company may sell, assign, lease, transfer, or otherwise dispose of Critical Assets in an aggregate amount (taking into account all dispositions after the Closing Date) in excess of 10% of Total Assets (measured prior to giving effect to such sale, assignment, lease transfer or disposal), if the ratio described in </w:t>
      </w:r>
      <w:r>
        <w:rPr>
          <w:rFonts w:ascii="Times New Roman" w:cs="Times New Roman" w:eastAsia="Times New Roman" w:hAnsi="Times New Roman"/>
          <w:sz w:val="19"/>
          <w:szCs w:val="19"/>
          <w:b w:val="1"/>
          <w:bCs w:val="1"/>
          <w:i w:val="1"/>
          <w:iCs w:val="1"/>
          <w:color w:val="auto"/>
        </w:rPr>
        <w:t>Section 11.1</w:t>
      </w:r>
      <w:r>
        <w:rPr>
          <w:rFonts w:ascii="Times New Roman" w:cs="Times New Roman" w:eastAsia="Times New Roman" w:hAnsi="Times New Roman"/>
          <w:sz w:val="19"/>
          <w:szCs w:val="19"/>
          <w:color w:val="auto"/>
        </w:rPr>
        <w:t xml:space="preserve"> would,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(taking the disposition into account), increase as a result of such disposition.</w:t>
      </w:r>
    </w:p>
    <w:p>
      <w:pPr>
        <w:spacing w:after="0" w:line="17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10.11</w:t>
      </w:r>
      <w:r>
        <w:rPr>
          <w:sz w:val="20"/>
          <w:szCs w:val="20"/>
          <w:color w:val="auto"/>
        </w:rPr>
        <w:tab/>
      </w:r>
      <w:r>
        <w:rPr>
          <w:rFonts w:ascii="Times New Roman" w:cs="Times New Roman" w:eastAsia="Times New Roman" w:hAnsi="Times New Roman"/>
          <w:sz w:val="18"/>
          <w:szCs w:val="18"/>
          <w:u w:val="single" w:color="auto"/>
          <w:color w:val="auto"/>
        </w:rPr>
        <w:t>Acquisitions, Mergers, and Dissolutions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firstLine="776"/>
        <w:spacing w:after="0" w:line="268" w:lineRule="auto"/>
        <w:tabs>
          <w:tab w:leader="none" w:pos="1188"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Restricted Company may not acquire all or any substantial portion of the capital stock (or other equity or voting interests) of any other Person, acquire all or any substantial portion of the assets of any other Person, merge or consolidate with any other Person, or liquidate, wind up or dissolve (or suffer any liquidation or dissolution), except as follows:</w:t>
      </w:r>
    </w:p>
    <w:p>
      <w:pPr>
        <w:spacing w:after="0" w:line="157" w:lineRule="exact"/>
        <w:rPr>
          <w:sz w:val="20"/>
          <w:szCs w:val="20"/>
          <w:color w:val="auto"/>
        </w:rPr>
      </w:pPr>
    </w:p>
    <w:p>
      <w:pPr>
        <w:jc w:val="both"/>
        <w:ind w:firstLine="776"/>
        <w:spacing w:after="0" w:line="259" w:lineRule="auto"/>
        <w:tabs>
          <w:tab w:leader="none" w:pos="1158"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Restricted Company may acquire all or any substantial portion of the capital stock (or other equity or voting interests) issued by any other Restricted Company, acquire all or any substantial portion of the assets of any other Restricted Company, and merge or consolidate with any other Restricted Company (and, in the case of such merger or consolidation or, in the case of the conveyance or distribution of such assets, the non-surviving or selling entity, as the case may be, may be liquidated, wound up or dissolved), </w:t>
      </w:r>
      <w:r>
        <w:rPr>
          <w:rFonts w:ascii="Times New Roman" w:cs="Times New Roman" w:eastAsia="Times New Roman" w:hAnsi="Times New Roman"/>
          <w:sz w:val="19"/>
          <w:szCs w:val="19"/>
          <w:i w:val="1"/>
          <w:iCs w:val="1"/>
          <w:color w:val="auto"/>
        </w:rPr>
        <w:t>so long</w:t>
      </w:r>
      <w:r>
        <w:rPr>
          <w:rFonts w:ascii="Times New Roman" w:cs="Times New Roman" w:eastAsia="Times New Roman" w:hAnsi="Times New Roman"/>
          <w:sz w:val="19"/>
          <w:szCs w:val="19"/>
          <w:color w:val="auto"/>
        </w:rPr>
        <w:t xml:space="preserve"> as:</w:t>
      </w:r>
    </w:p>
    <w:p>
      <w:pPr>
        <w:spacing w:after="0" w:line="177" w:lineRule="exact"/>
        <w:rPr>
          <w:sz w:val="20"/>
          <w:szCs w:val="20"/>
          <w:color w:val="auto"/>
        </w:rPr>
      </w:pPr>
    </w:p>
    <w:p>
      <w:pPr>
        <w:jc w:val="both"/>
        <w:ind w:firstLine="776"/>
        <w:spacing w:after="0" w:line="254" w:lineRule="auto"/>
        <w:tabs>
          <w:tab w:leader="none" w:pos="124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 merger or consolidation, (1) if VRI is a party to such merger or consolidation, then VRI is the surviving entity, (2) if Borrower is a party to such merger or consolidation, then Borrower is the surviving entity, (3) if neither VRI nor Borrower is a party to such merger or consolidation, then another Restricted Company is the surviving entity, and (4) the surviving entity delivers Guaranties and Security Documents to the extent required under </w:t>
      </w:r>
      <w:r>
        <w:rPr>
          <w:rFonts w:ascii="Times New Roman" w:cs="Times New Roman" w:eastAsia="Times New Roman" w:hAnsi="Times New Roman"/>
          <w:sz w:val="19"/>
          <w:szCs w:val="19"/>
          <w:b w:val="1"/>
          <w:bCs w:val="1"/>
          <w:i w:val="1"/>
          <w:iCs w:val="1"/>
          <w:color w:val="auto"/>
        </w:rPr>
        <w:t>Section 9.10</w:t>
      </w:r>
      <w:r>
        <w:rPr>
          <w:rFonts w:ascii="Times New Roman" w:cs="Times New Roman" w:eastAsia="Times New Roman" w:hAnsi="Times New Roman"/>
          <w:sz w:val="19"/>
          <w:szCs w:val="19"/>
          <w:color w:val="auto"/>
        </w:rPr>
        <w:t>; and</w:t>
      </w:r>
    </w:p>
    <w:p>
      <w:pPr>
        <w:spacing w:after="0" w:line="182" w:lineRule="exact"/>
        <w:rPr>
          <w:rFonts w:ascii="Times New Roman" w:cs="Times New Roman" w:eastAsia="Times New Roman" w:hAnsi="Times New Roman"/>
          <w:sz w:val="19"/>
          <w:szCs w:val="19"/>
          <w:color w:val="auto"/>
        </w:rPr>
      </w:pPr>
    </w:p>
    <w:p>
      <w:pPr>
        <w:ind w:firstLine="776"/>
        <w:spacing w:after="0" w:line="268" w:lineRule="auto"/>
        <w:tabs>
          <w:tab w:leader="none" w:pos="1267"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Critical Assets are acquired by a Restricted Company in connection with the foregoing transactions, such Restricted Company must be in compliance with </w:t>
      </w:r>
      <w:r>
        <w:rPr>
          <w:rFonts w:ascii="Times New Roman" w:cs="Times New Roman" w:eastAsia="Times New Roman" w:hAnsi="Times New Roman"/>
          <w:sz w:val="19"/>
          <w:szCs w:val="19"/>
          <w:b w:val="1"/>
          <w:bCs w:val="1"/>
          <w:i w:val="1"/>
          <w:iCs w:val="1"/>
          <w:color w:val="auto"/>
        </w:rPr>
        <w:t>Section 9.7(b)</w:t>
      </w:r>
      <w:r>
        <w:rPr>
          <w:rFonts w:ascii="Times New Roman" w:cs="Times New Roman" w:eastAsia="Times New Roman" w:hAnsi="Times New Roman"/>
          <w:sz w:val="19"/>
          <w:szCs w:val="19"/>
          <w:color w:val="auto"/>
        </w:rPr>
        <w:t xml:space="preserve"> after giving effect thereto; and</w:t>
      </w:r>
    </w:p>
    <w:p>
      <w:pPr>
        <w:spacing w:after="0" w:line="169" w:lineRule="exact"/>
        <w:rPr>
          <w:sz w:val="20"/>
          <w:szCs w:val="20"/>
          <w:color w:val="auto"/>
        </w:rPr>
      </w:pPr>
    </w:p>
    <w:p>
      <w:pPr>
        <w:jc w:val="both"/>
        <w:ind w:firstLine="776"/>
        <w:spacing w:after="0" w:line="259" w:lineRule="auto"/>
        <w:tabs>
          <w:tab w:leader="none" w:pos="1202"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Restricted Company may acquire all or any substantial portion of the capital stock (or other equity or voting interests) issued by any Person (other than a Restricted Company), acquire all or any substantial portion of the assets of any Person (other than a Restricted Company), or merge or consolidate with any other Person (other than a Restricted Company) (and, in the case of such merger or consolidation, the non-surviving entity may be liquidated, wound up or dissolved), </w:t>
      </w:r>
      <w:r>
        <w:rPr>
          <w:rFonts w:ascii="Times New Roman" w:cs="Times New Roman" w:eastAsia="Times New Roman" w:hAnsi="Times New Roman"/>
          <w:sz w:val="19"/>
          <w:szCs w:val="19"/>
          <w:i w:val="1"/>
          <w:iCs w:val="1"/>
          <w:color w:val="auto"/>
        </w:rPr>
        <w:t>so long as</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both"/>
        <w:ind w:firstLine="776"/>
        <w:spacing w:after="0" w:line="259" w:lineRule="auto"/>
        <w:tabs>
          <w:tab w:leader="none" w:pos="124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 merger or consolidation, (1) if VRI is a party to such merger or consolidation, then VRI is the surviving entity, (2) if Borrower is a party to such merger or consolidation, then Borrower is the surviving entity, (3) if neither VRI nor Borrower is a party to such merger or consolidation, then another Restricted Company is the surviving entity and (4) the surviving entity delivers Guaranties and Security Documents to the extent required under </w:t>
      </w:r>
      <w:r>
        <w:rPr>
          <w:rFonts w:ascii="Times New Roman" w:cs="Times New Roman" w:eastAsia="Times New Roman" w:hAnsi="Times New Roman"/>
          <w:sz w:val="19"/>
          <w:szCs w:val="19"/>
          <w:b w:val="1"/>
          <w:bCs w:val="1"/>
          <w:i w:val="1"/>
          <w:iCs w:val="1"/>
          <w:color w:val="auto"/>
        </w:rPr>
        <w:t>Section 9.10</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95</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22" w:lineRule="exact"/>
        <w:rPr>
          <w:sz w:val="20"/>
          <w:szCs w:val="20"/>
          <w:color w:val="auto"/>
        </w:rPr>
      </w:pPr>
    </w:p>
    <w:p>
      <w:pPr>
        <w:ind w:left="-200" w:firstLine="776"/>
        <w:spacing w:after="0" w:line="282" w:lineRule="auto"/>
        <w:tabs>
          <w:tab w:leader="none" w:pos="1067"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Critical Assets are acquired by a Restricted Company in connection with the foregoing transactions, such Restricted Company must be in compliance with </w:t>
      </w:r>
      <w:r>
        <w:rPr>
          <w:rFonts w:ascii="Times New Roman" w:cs="Times New Roman" w:eastAsia="Times New Roman" w:hAnsi="Times New Roman"/>
          <w:sz w:val="19"/>
          <w:szCs w:val="19"/>
          <w:b w:val="1"/>
          <w:bCs w:val="1"/>
          <w:i w:val="1"/>
          <w:iCs w:val="1"/>
          <w:color w:val="auto"/>
        </w:rPr>
        <w:t>Section 9.7(b)</w:t>
      </w:r>
      <w:r>
        <w:rPr>
          <w:rFonts w:ascii="Times New Roman" w:cs="Times New Roman" w:eastAsia="Times New Roman" w:hAnsi="Times New Roman"/>
          <w:sz w:val="19"/>
          <w:szCs w:val="19"/>
          <w:color w:val="auto"/>
        </w:rPr>
        <w:t xml:space="preserve"> after giving effect thereto;</w:t>
      </w:r>
    </w:p>
    <w:p>
      <w:pPr>
        <w:spacing w:after="0" w:line="143" w:lineRule="exact"/>
        <w:rPr>
          <w:rFonts w:ascii="Times New Roman" w:cs="Times New Roman" w:eastAsia="Times New Roman" w:hAnsi="Times New Roman"/>
          <w:sz w:val="19"/>
          <w:szCs w:val="19"/>
          <w:color w:val="auto"/>
        </w:rPr>
      </w:pPr>
    </w:p>
    <w:p>
      <w:pPr>
        <w:ind w:left="-200" w:firstLine="776"/>
        <w:spacing w:after="0" w:line="282" w:lineRule="auto"/>
        <w:tabs>
          <w:tab w:leader="none" w:pos="1088"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certifies in writing to Administrative Agent as follows (with such calculations and other supporting evidence attached thereto as Administrative Agent shall request):</w:t>
      </w:r>
    </w:p>
    <w:p>
      <w:pPr>
        <w:spacing w:after="0" w:line="143" w:lineRule="exact"/>
        <w:rPr>
          <w:sz w:val="20"/>
          <w:szCs w:val="20"/>
          <w:color w:val="auto"/>
        </w:rPr>
      </w:pPr>
    </w:p>
    <w:p>
      <w:pPr>
        <w:jc w:val="both"/>
        <w:ind w:left="-200" w:firstLine="776"/>
        <w:spacing w:after="0" w:line="259" w:lineRule="auto"/>
        <w:tabs>
          <w:tab w:leader="none" w:pos="1008"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 the ratio of Net Funded Debt on the closing date of the transaction to Adjusted EBITDA for the most-recently-ended four fiscal quarters, after giving pro forma effect to the transaction, is less than or equal to 6.25 to 1.00, and (y) the ratio of outstanding secured Net Funded Debt on the closing date of the transaction to Adjusted EBITDA for the most-recently-ended four fiscal quarters, after giving pro forma effect to the transaction, is less than or equal to 4.00 to 1.00,</w:t>
      </w:r>
    </w:p>
    <w:p>
      <w:pPr>
        <w:spacing w:after="0" w:line="171" w:lineRule="exact"/>
        <w:rPr>
          <w:rFonts w:ascii="Times New Roman" w:cs="Times New Roman" w:eastAsia="Times New Roman" w:hAnsi="Times New Roman"/>
          <w:sz w:val="19"/>
          <w:szCs w:val="19"/>
          <w:color w:val="auto"/>
        </w:rPr>
      </w:pPr>
    </w:p>
    <w:p>
      <w:pPr>
        <w:ind w:left="980" w:hanging="404"/>
        <w:spacing w:after="0"/>
        <w:tabs>
          <w:tab w:leader="none" w:pos="98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other Person is engaged in a business in which a Restricted Company would be permitted to engage under </w:t>
      </w:r>
      <w:r>
        <w:rPr>
          <w:rFonts w:ascii="Times New Roman" w:cs="Times New Roman" w:eastAsia="Times New Roman" w:hAnsi="Times New Roman"/>
          <w:sz w:val="19"/>
          <w:szCs w:val="19"/>
          <w:b w:val="1"/>
          <w:bCs w:val="1"/>
          <w:i w:val="1"/>
          <w:iCs w:val="1"/>
          <w:color w:val="auto"/>
        </w:rPr>
        <w:t>Section 10.14</w:t>
      </w:r>
      <w:r>
        <w:rPr>
          <w:rFonts w:ascii="Times New Roman" w:cs="Times New Roman" w:eastAsia="Times New Roman" w:hAnsi="Times New Roman"/>
          <w:sz w:val="19"/>
          <w:szCs w:val="19"/>
          <w:color w:val="auto"/>
        </w:rPr>
        <w:t>,</w:t>
      </w:r>
    </w:p>
    <w:p>
      <w:pPr>
        <w:spacing w:after="0" w:line="212" w:lineRule="exact"/>
        <w:rPr>
          <w:rFonts w:ascii="Times New Roman" w:cs="Times New Roman" w:eastAsia="Times New Roman" w:hAnsi="Times New Roman"/>
          <w:sz w:val="19"/>
          <w:szCs w:val="19"/>
          <w:color w:val="auto"/>
        </w:rPr>
      </w:pPr>
    </w:p>
    <w:p>
      <w:pPr>
        <w:ind w:left="-200" w:firstLine="776"/>
        <w:spacing w:after="0" w:line="282" w:lineRule="auto"/>
        <w:tabs>
          <w:tab w:leader="none" w:pos="981"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closing of any such transaction, the transaction has been approved and recommended by the board of directors of the Person to be acquired or from which such business is to be acquired,</w:t>
      </w:r>
    </w:p>
    <w:p>
      <w:pPr>
        <w:spacing w:after="0" w:line="156" w:lineRule="exact"/>
        <w:rPr>
          <w:rFonts w:ascii="Times New Roman" w:cs="Times New Roman" w:eastAsia="Times New Roman" w:hAnsi="Times New Roman"/>
          <w:sz w:val="19"/>
          <w:szCs w:val="19"/>
          <w:color w:val="auto"/>
        </w:rPr>
      </w:pPr>
    </w:p>
    <w:p>
      <w:pPr>
        <w:ind w:left="-200" w:firstLine="776"/>
        <w:spacing w:after="0" w:line="268" w:lineRule="auto"/>
        <w:tabs>
          <w:tab w:leader="none" w:pos="983"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closing of any transaction, after giving effect to such acquisition or merger, the acquiring party is Solvent and the Restricted Companies, on a consolidated basis, are Solvent, and</w:t>
      </w:r>
    </w:p>
    <w:p>
      <w:pPr>
        <w:spacing w:after="0" w:line="168" w:lineRule="exact"/>
        <w:rPr>
          <w:rFonts w:ascii="Times New Roman" w:cs="Times New Roman" w:eastAsia="Times New Roman" w:hAnsi="Times New Roman"/>
          <w:sz w:val="19"/>
          <w:szCs w:val="19"/>
          <w:color w:val="auto"/>
        </w:rPr>
      </w:pPr>
    </w:p>
    <w:p>
      <w:pPr>
        <w:ind w:left="-200" w:firstLine="776"/>
        <w:spacing w:after="0" w:line="268" w:lineRule="auto"/>
        <w:tabs>
          <w:tab w:leader="none" w:pos="987"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closing of any transaction, no Default or Potential Default exists or shall occur as a result of, and after giving effect to, such transaction, and</w:t>
      </w:r>
    </w:p>
    <w:p>
      <w:pPr>
        <w:spacing w:after="0" w:line="169" w:lineRule="exact"/>
        <w:rPr>
          <w:sz w:val="20"/>
          <w:szCs w:val="20"/>
          <w:color w:val="auto"/>
        </w:rPr>
      </w:pPr>
    </w:p>
    <w:p>
      <w:pPr>
        <w:jc w:val="both"/>
        <w:ind w:left="-200" w:firstLine="776"/>
        <w:spacing w:after="0" w:line="252" w:lineRule="auto"/>
        <w:tabs>
          <w:tab w:leader="none" w:pos="1229"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any such transaction for which the sum of the Purchase Price exceeds $50,000,000, Borrower delivers to Administrative Agent (1) at least 15 days prior to the closing date of the transaction, a written description of the transaction, including the funding sources, the Purchase Price, calculations demonstrating pro forma compliance with the terms and conditions of the Loan Papers after giving effect to the transaction (including compliance with the Restricted Companies’ applicable financial covenants), and estimates of any actual and identifiable cost synergies, and a draft of the applicable purchase agreement or merger agreement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a draft of the applicable purchase agreement or merger agreement is not available at least 15 days prior to the closing date of the transaction, then such draft may be delivered as soon as available, but in any event no later than 5 days prior to the closing date of the transaction), and (2) on or prior to the closing date of the transaction, a copy of the executed purchase agreement or executed merger agreement relating to the transaction (and, to the extent available, all schedules and exhibits thereto).</w:t>
      </w:r>
    </w:p>
    <w:p>
      <w:pPr>
        <w:spacing w:after="0" w:line="176" w:lineRule="exact"/>
        <w:rPr>
          <w:sz w:val="20"/>
          <w:szCs w:val="20"/>
          <w:color w:val="auto"/>
        </w:rPr>
      </w:pPr>
    </w:p>
    <w:p>
      <w:pPr>
        <w:ind w:left="1040" w:hanging="464"/>
        <w:spacing w:after="0"/>
        <w:tabs>
          <w:tab w:leader="none" w:pos="104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VRI, VHI and the Whistler Acquisition Subsidiaries may consummate the Whistler Acquisition.</w:t>
      </w:r>
    </w:p>
    <w:p>
      <w:pPr>
        <w:spacing w:after="0" w:line="219" w:lineRule="exact"/>
        <w:rPr>
          <w:rFonts w:ascii="Times New Roman" w:cs="Times New Roman" w:eastAsia="Times New Roman" w:hAnsi="Times New Roman"/>
          <w:sz w:val="19"/>
          <w:szCs w:val="19"/>
          <w:color w:val="auto"/>
        </w:rPr>
      </w:pPr>
    </w:p>
    <w:p>
      <w:pPr>
        <w:ind w:left="1040" w:hanging="464"/>
        <w:spacing w:after="0"/>
        <w:tabs>
          <w:tab w:leader="none" w:pos="104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VRAD Holdings, Inc. and the Peak Resorts Acquisition Subsidiaries may consummate the Peak Resorts Acquisition</w:t>
      </w:r>
    </w:p>
    <w:p>
      <w:pPr>
        <w:spacing w:after="0" w:line="206" w:lineRule="exact"/>
        <w:rPr>
          <w:sz w:val="20"/>
          <w:szCs w:val="20"/>
          <w:color w:val="auto"/>
        </w:rPr>
      </w:pPr>
    </w:p>
    <w:p>
      <w:pPr>
        <w:ind w:left="-200" w:firstLine="776"/>
        <w:spacing w:after="0" w:line="282" w:lineRule="auto"/>
        <w:tabs>
          <w:tab w:leader="none" w:pos="98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Restricted Company (other than VRI or Borrower) that does not own any assets may be dissolved provided that Borrower gives Administrative Agent prior written notice of such dissolution.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96</w:t>
      </w:r>
    </w:p>
    <w:p>
      <w:pPr>
        <w:sectPr>
          <w:pgSz w:w="11900" w:h="16838" w:orient="portrait"/>
          <w:cols w:equalWidth="0" w:num="1">
            <w:col w:w="11040"/>
          </w:cols>
          <w:pgMar w:left="520" w:top="1440" w:right="339" w:bottom="1440" w:gutter="0" w:footer="0" w:header="0"/>
        </w:sectPr>
      </w:pPr>
    </w:p>
    <w:bookmarkStart w:id="147" w:name="page148"/>
    <w:bookmarkEnd w:id="147"/>
    <w:p>
      <w:pPr>
        <w:spacing w:after="0" w:line="116" w:lineRule="exact"/>
        <w:rPr>
          <w:sz w:val="20"/>
          <w:szCs w:val="20"/>
          <w:color w:val="auto"/>
        </w:rPr>
      </w:pPr>
    </w:p>
    <w:p>
      <w:pPr>
        <w:jc w:val="both"/>
        <w:ind w:firstLine="776"/>
        <w:spacing w:after="0" w:line="264" w:lineRule="auto"/>
        <w:tabs>
          <w:tab w:leader="none" w:pos="1179"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limited liability company organized or formed under the laws of the State of Delaware (a “</w:t>
      </w:r>
      <w:r>
        <w:rPr>
          <w:rFonts w:ascii="Times New Roman" w:cs="Times New Roman" w:eastAsia="Times New Roman" w:hAnsi="Times New Roman"/>
          <w:sz w:val="19"/>
          <w:szCs w:val="19"/>
          <w:b w:val="1"/>
          <w:bCs w:val="1"/>
          <w:i w:val="1"/>
          <w:iCs w:val="1"/>
          <w:color w:val="auto"/>
        </w:rPr>
        <w:t>Delaware LLC</w:t>
      </w:r>
      <w:r>
        <w:rPr>
          <w:rFonts w:ascii="Times New Roman" w:cs="Times New Roman" w:eastAsia="Times New Roman" w:hAnsi="Times New Roman"/>
          <w:sz w:val="19"/>
          <w:szCs w:val="19"/>
          <w:color w:val="auto"/>
        </w:rPr>
        <w:t>”) shall divide into two or more Delaware LLCs pursuant to Section 18-217 of the Delaware Limited Liability Company Act without giving Administrative Agent prior written notice of such division.</w:t>
      </w:r>
    </w:p>
    <w:p>
      <w:pPr>
        <w:spacing w:after="0" w:line="174"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 xml:space="preserve">10.12 </w:t>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No Restricted Company shall assign or transfer any of its Rights or cause to be delegated its duties or obligations under any of the Loan Papers.</w:t>
      </w:r>
    </w:p>
    <w:p>
      <w:pPr>
        <w:spacing w:after="0" w:line="165" w:lineRule="exact"/>
        <w:rPr>
          <w:sz w:val="20"/>
          <w:szCs w:val="20"/>
          <w:color w:val="auto"/>
        </w:rPr>
      </w:pPr>
    </w:p>
    <w:p>
      <w:pPr>
        <w:jc w:val="both"/>
        <w:ind w:firstLine="618"/>
        <w:spacing w:after="0" w:line="255" w:lineRule="auto"/>
        <w:rPr>
          <w:sz w:val="20"/>
          <w:szCs w:val="20"/>
          <w:color w:val="auto"/>
        </w:rPr>
      </w:pPr>
      <w:r>
        <w:rPr>
          <w:rFonts w:ascii="Times New Roman" w:cs="Times New Roman" w:eastAsia="Times New Roman" w:hAnsi="Times New Roman"/>
          <w:sz w:val="19"/>
          <w:szCs w:val="19"/>
          <w:color w:val="auto"/>
        </w:rPr>
        <w:t xml:space="preserve">10.13 </w:t>
      </w:r>
      <w:r>
        <w:rPr>
          <w:rFonts w:ascii="Times New Roman" w:cs="Times New Roman" w:eastAsia="Times New Roman" w:hAnsi="Times New Roman"/>
          <w:sz w:val="19"/>
          <w:szCs w:val="19"/>
          <w:u w:val="single" w:color="auto"/>
          <w:color w:val="auto"/>
        </w:rPr>
        <w:t>Fiscal Year and Accounting Methods</w:t>
      </w:r>
      <w:r>
        <w:rPr>
          <w:rFonts w:ascii="Times New Roman" w:cs="Times New Roman" w:eastAsia="Times New Roman" w:hAnsi="Times New Roman"/>
          <w:sz w:val="19"/>
          <w:szCs w:val="19"/>
          <w:color w:val="auto"/>
        </w:rPr>
        <w:t>. No Restricted Company shall change its method of accounting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immaterial changes in methods or as required by GAAP), nor, without first obtaining Administrative Agent’s written consent, change its fiscal year. In the event that any Restricted Company changes its fiscal year, to the extent requested by Administrative Agent or Required Lenders, Borrower, Administrative Agent, Required Lenders, and Guarantors agree to negotiate such amendments to this Agreement and other Loan Papers as necessary to effect the change of its fiscal year.</w:t>
      </w:r>
    </w:p>
    <w:p>
      <w:pPr>
        <w:spacing w:after="0" w:line="179" w:lineRule="exact"/>
        <w:rPr>
          <w:sz w:val="20"/>
          <w:szCs w:val="20"/>
          <w:color w:val="auto"/>
        </w:rPr>
      </w:pPr>
    </w:p>
    <w:p>
      <w:pPr>
        <w:jc w:val="both"/>
        <w:ind w:firstLine="618"/>
        <w:spacing w:after="0" w:line="260" w:lineRule="auto"/>
        <w:rPr>
          <w:sz w:val="20"/>
          <w:szCs w:val="20"/>
          <w:color w:val="auto"/>
        </w:rPr>
      </w:pPr>
      <w:r>
        <w:rPr>
          <w:rFonts w:ascii="Times New Roman" w:cs="Times New Roman" w:eastAsia="Times New Roman" w:hAnsi="Times New Roman"/>
          <w:sz w:val="19"/>
          <w:szCs w:val="19"/>
          <w:color w:val="auto"/>
        </w:rPr>
        <w:t xml:space="preserve">10.14 </w:t>
      </w:r>
      <w:r>
        <w:rPr>
          <w:rFonts w:ascii="Times New Roman" w:cs="Times New Roman" w:eastAsia="Times New Roman" w:hAnsi="Times New Roman"/>
          <w:sz w:val="19"/>
          <w:szCs w:val="19"/>
          <w:u w:val="single" w:color="auto"/>
          <w:color w:val="auto"/>
        </w:rPr>
        <w:t>New Businesses</w:t>
      </w:r>
      <w:r>
        <w:rPr>
          <w:rFonts w:ascii="Times New Roman" w:cs="Times New Roman" w:eastAsia="Times New Roman" w:hAnsi="Times New Roman"/>
          <w:sz w:val="19"/>
          <w:szCs w:val="19"/>
          <w:color w:val="auto"/>
        </w:rPr>
        <w:t xml:space="preserve">. No Restricted Company shall engage in any business,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the businesses in which they are engaged on the Closing Date and any other Similar Business; </w:t>
      </w:r>
      <w:r>
        <w:rPr>
          <w:rFonts w:ascii="Times New Roman" w:cs="Times New Roman" w:eastAsia="Times New Roman" w:hAnsi="Times New Roman"/>
          <w:sz w:val="19"/>
          <w:szCs w:val="19"/>
          <w:i w:val="1"/>
          <w:iCs w:val="1"/>
          <w:color w:val="auto"/>
        </w:rPr>
        <w:t>provided, however, that</w:t>
      </w:r>
      <w:r>
        <w:rPr>
          <w:rFonts w:ascii="Times New Roman" w:cs="Times New Roman" w:eastAsia="Times New Roman" w:hAnsi="Times New Roman"/>
          <w:sz w:val="19"/>
          <w:szCs w:val="19"/>
          <w:color w:val="auto"/>
        </w:rPr>
        <w:t xml:space="preserve"> the foregoing shall not be construed to prohibit the cessation by any Restricted Company of its business activities or the sale or transfer of the business or assets of such Restricted Company to the extent not otherwise prohibited by this Agreement.</w:t>
      </w:r>
    </w:p>
    <w:p>
      <w:pPr>
        <w:spacing w:after="0" w:line="165"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10.15 </w:t>
      </w:r>
      <w:r>
        <w:rPr>
          <w:rFonts w:ascii="Times New Roman" w:cs="Times New Roman" w:eastAsia="Times New Roman" w:hAnsi="Times New Roman"/>
          <w:sz w:val="19"/>
          <w:szCs w:val="19"/>
          <w:u w:val="single" w:color="auto"/>
          <w:color w:val="auto"/>
        </w:rPr>
        <w:t>Government Regulations</w:t>
      </w:r>
      <w:r>
        <w:rPr>
          <w:rFonts w:ascii="Times New Roman" w:cs="Times New Roman" w:eastAsia="Times New Roman" w:hAnsi="Times New Roman"/>
          <w:sz w:val="19"/>
          <w:szCs w:val="19"/>
          <w:color w:val="auto"/>
        </w:rPr>
        <w:t xml:space="preserve">. No Restricted Company shall conduct its business in a way that it becomes regulated under the </w:t>
      </w:r>
      <w:r>
        <w:rPr>
          <w:rFonts w:ascii="Times New Roman" w:cs="Times New Roman" w:eastAsia="Times New Roman" w:hAnsi="Times New Roman"/>
          <w:sz w:val="19"/>
          <w:szCs w:val="19"/>
          <w:i w:val="1"/>
          <w:iCs w:val="1"/>
          <w:color w:val="auto"/>
        </w:rPr>
        <w:t>Investment Company Act of 1940</w:t>
      </w:r>
      <w:r>
        <w:rPr>
          <w:rFonts w:ascii="Times New Roman" w:cs="Times New Roman" w:eastAsia="Times New Roman" w:hAnsi="Times New Roman"/>
          <w:sz w:val="19"/>
          <w:szCs w:val="19"/>
          <w:color w:val="auto"/>
        </w:rPr>
        <w:t>, as amended.</w:t>
      </w:r>
    </w:p>
    <w:p>
      <w:pPr>
        <w:spacing w:after="0" w:line="156" w:lineRule="exact"/>
        <w:rPr>
          <w:sz w:val="20"/>
          <w:szCs w:val="20"/>
          <w:color w:val="auto"/>
        </w:rPr>
      </w:pPr>
    </w:p>
    <w:p>
      <w:pPr>
        <w:jc w:val="both"/>
        <w:ind w:firstLine="618"/>
        <w:spacing w:after="0" w:line="26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Burdensome Agreements</w:t>
      </w:r>
      <w:r>
        <w:rPr>
          <w:rFonts w:ascii="Times New Roman" w:cs="Times New Roman" w:eastAsia="Times New Roman" w:hAnsi="Times New Roman"/>
          <w:sz w:val="18"/>
          <w:szCs w:val="18"/>
          <w:color w:val="auto"/>
        </w:rPr>
        <w:t xml:space="preserve">. No Restricted Company shall enter into, incur, or permit to exist any agreement or other arrangement (other than this Agreement or any other Loan Paper) that prohibits, restricts, or imposes any condition upon (a) the ability of any Restricted Company to create, incur, or permit to exist any Lien upon any of its property or assets securing Debt, or (b) the ability of any Restricted Company to pay dividends or other Distributions with respect to any shares of its capital stock to Borrower or any Guarantor, to otherwise transfer property or assets to Borrower or any Guarantor, to make or repay loans or advances to Borrower or any other Guarantor, or to guarantee the Debt of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 </w:t>
      </w:r>
      <w:r>
        <w:rPr>
          <w:rFonts w:ascii="Times New Roman" w:cs="Times New Roman" w:eastAsia="Times New Roman" w:hAnsi="Times New Roman"/>
          <w:sz w:val="18"/>
          <w:szCs w:val="18"/>
          <w:color w:val="auto"/>
        </w:rPr>
        <w:t>(x)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clauses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shall not apply to (A) restrictions and conditions (1) imposed by Law, the Loan Papers,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documentation for Debt constituting “</w:t>
      </w:r>
      <w:r>
        <w:rPr>
          <w:rFonts w:ascii="Times New Roman" w:cs="Times New Roman" w:eastAsia="Times New Roman" w:hAnsi="Times New Roman"/>
          <w:sz w:val="18"/>
          <w:szCs w:val="18"/>
          <w:i w:val="1"/>
          <w:iCs w:val="1"/>
          <w:color w:val="auto"/>
        </w:rPr>
        <w:t>Permitted Debt</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b w:val="1"/>
          <w:bCs w:val="1"/>
          <w:i w:val="1"/>
          <w:iCs w:val="1"/>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w:t>
      </w:r>
      <w:r>
        <w:rPr>
          <w:rFonts w:ascii="Times New Roman" w:cs="Times New Roman" w:eastAsia="Times New Roman" w:hAnsi="Times New Roman"/>
          <w:sz w:val="18"/>
          <w:szCs w:val="18"/>
          <w:color w:val="auto"/>
        </w:rPr>
        <w:t xml:space="preserve"> (solely with respect to Debt existing at the time of such acquisition, except to the extent entered into in connection therewith or in contemplation thereof), or </w:t>
      </w:r>
      <w:r>
        <w:rPr>
          <w:rFonts w:ascii="Times New Roman" w:cs="Times New Roman" w:eastAsia="Times New Roman" w:hAnsi="Times New Roman"/>
          <w:sz w:val="18"/>
          <w:szCs w:val="18"/>
          <w:b w:val="1"/>
          <w:bCs w:val="1"/>
          <w:i w:val="1"/>
          <w:iCs w:val="1"/>
          <w:color w:val="auto"/>
        </w:rPr>
        <w:t>(q)</w:t>
      </w:r>
      <w:r>
        <w:rPr>
          <w:rFonts w:ascii="Times New Roman" w:cs="Times New Roman" w:eastAsia="Times New Roman" w:hAnsi="Times New Roman"/>
          <w:sz w:val="18"/>
          <w:szCs w:val="18"/>
          <w:color w:val="auto"/>
        </w:rPr>
        <w:t xml:space="preserve"> of the definition thereof, so long as such restrictions do not prevent, impede, or impair (I) the creation of Liens and Guaranties in favor of Lenders under the Loan Papers or (II) the satisfaction of the obligations of Borrower and Guarantors under the Loan Papers, (2) contained in agreements relating to the sale of a Subsidiary or other asset, so long as the sale of such Subsidiary or other asset is permitted pursuant to this Agreement, and (3) contained in agreements set forth on </w:t>
      </w:r>
      <w:r>
        <w:rPr>
          <w:rFonts w:ascii="Times New Roman" w:cs="Times New Roman" w:eastAsia="Times New Roman" w:hAnsi="Times New Roman"/>
          <w:sz w:val="18"/>
          <w:szCs w:val="18"/>
          <w:b w:val="1"/>
          <w:bCs w:val="1"/>
          <w:i w:val="1"/>
          <w:iCs w:val="1"/>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10.16</w:t>
      </w:r>
      <w:r>
        <w:rPr>
          <w:rFonts w:ascii="Times New Roman" w:cs="Times New Roman" w:eastAsia="Times New Roman" w:hAnsi="Times New Roman"/>
          <w:sz w:val="18"/>
          <w:szCs w:val="18"/>
          <w:color w:val="auto"/>
        </w:rPr>
        <w:t>, (B) the Northstar Leases, and (C) the Canyons-Park City Lease as in effect on the Closing Date, and (y)</w:t>
      </w:r>
      <w:r>
        <w:rPr>
          <w:rFonts w:ascii="Times New Roman" w:cs="Times New Roman" w:eastAsia="Times New Roman" w:hAnsi="Times New Roman"/>
          <w:sz w:val="18"/>
          <w:szCs w:val="18"/>
          <w:b w:val="1"/>
          <w:bCs w:val="1"/>
          <w:i w:val="1"/>
          <w:iCs w:val="1"/>
          <w:color w:val="auto"/>
        </w:rPr>
        <w:t xml:space="preserve"> clause (a) </w:t>
      </w:r>
      <w:r>
        <w:rPr>
          <w:rFonts w:ascii="Times New Roman" w:cs="Times New Roman" w:eastAsia="Times New Roman" w:hAnsi="Times New Roman"/>
          <w:sz w:val="18"/>
          <w:szCs w:val="18"/>
          <w:color w:val="auto"/>
        </w:rPr>
        <w:t>above shall not apply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customary provisions in leases and other agreements restricting the assignment thereof or the granting of Liens on leased or licensed property.</w:t>
      </w:r>
    </w:p>
    <w:p>
      <w:pPr>
        <w:spacing w:after="0" w:line="160"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10.17 </w:t>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xml:space="preserve">. Borrower shall not, and Borrower shall not permit any other Restricted Company to, use any part of the proceeds of any Loan, directly or indirectly, for a purpose which violates any Law, including, without limitation, the provisions of </w:t>
      </w:r>
      <w:r>
        <w:rPr>
          <w:rFonts w:ascii="Times New Roman" w:cs="Times New Roman" w:eastAsia="Times New Roman" w:hAnsi="Times New Roman"/>
          <w:sz w:val="19"/>
          <w:szCs w:val="19"/>
          <w:i w:val="1"/>
          <w:iCs w:val="1"/>
          <w:color w:val="auto"/>
        </w:rPr>
        <w:t>Regulations U</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i w:val="1"/>
          <w:iCs w:val="1"/>
          <w:color w:val="auto"/>
        </w:rPr>
        <w:t>X</w:t>
      </w:r>
      <w:r>
        <w:rPr>
          <w:rFonts w:ascii="Times New Roman" w:cs="Times New Roman" w:eastAsia="Times New Roman" w:hAnsi="Times New Roman"/>
          <w:sz w:val="19"/>
          <w:szCs w:val="19"/>
          <w:color w:val="auto"/>
        </w:rPr>
        <w:t xml:space="preserve"> (as enacted by the Board of Governors of the Federal Reserve System, as amended).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97</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21"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10.18 </w:t>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 (a) VRI shall have no direct Subsidiaries other than Borrower and Gillett, (b) Gillett shall have no Subsidiaries, and VRI shall not permit Gillett to have any Subsidiaries, and (c) Gillett shall not own any Critical Assets, and VRI shall not permit Gillett to own any Critical Assets.</w:t>
      </w:r>
    </w:p>
    <w:p>
      <w:pPr>
        <w:spacing w:after="0" w:line="176"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10.19 </w:t>
      </w:r>
      <w:r>
        <w:rPr>
          <w:rFonts w:ascii="Times New Roman" w:cs="Times New Roman" w:eastAsia="Times New Roman" w:hAnsi="Times New Roman"/>
          <w:sz w:val="19"/>
          <w:szCs w:val="19"/>
          <w:u w:val="single" w:color="auto"/>
          <w:color w:val="auto"/>
        </w:rPr>
        <w:t>Sanctions; Anti-Corruption Laws</w:t>
      </w:r>
      <w:r>
        <w:rPr>
          <w:rFonts w:ascii="Times New Roman" w:cs="Times New Roman" w:eastAsia="Times New Roman" w:hAnsi="Times New Roman"/>
          <w:sz w:val="19"/>
          <w:szCs w:val="19"/>
          <w:color w:val="auto"/>
        </w:rPr>
        <w:t>. Borrower shall not, and Borrower shall not permit any other Restricted Company to, directly or indirectly, use the proceeds of any Loan or otherwise make available such proceeds (a) to fund any activities of or business with any individual or entity that, at the time of such funding, is the subject of Sanctions or located, organized or resident in a Designated Jurisdiction, (b) in any other manner that will result in a violation by Borrower, any Restricted Company or any individual or entity participating in the transaction, whether as Lender, Joint Lead Arranger, Administrative Agent, L/C Issuer or otherwise, of Sanctions, or (c) for any purpose which would breach any Anti-Corruption Law.</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u w:val="single" w:color="auto"/>
          <w:color w:val="auto"/>
        </w:rPr>
        <w:t>SECTION 11 FINANCIAL COVENANTS</w:t>
      </w:r>
      <w:r>
        <w:rPr>
          <w:rFonts w:ascii="Times New Roman" w:cs="Times New Roman" w:eastAsia="Times New Roman" w:hAnsi="Times New Roman"/>
          <w:sz w:val="19"/>
          <w:szCs w:val="19"/>
          <w:color w:val="auto"/>
        </w:rPr>
        <w:t>. So long as Lenders are committed to fund Loans and the L/C Issuers are committed to issue L/Cs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this Agreement, and thereafter until the Obligation is paid and performed in full (except for provisions under the Loan Papers expressly intended to survive payment of the Obligation and termination of the Loan Papers), Borrower covenants and agrees to comply with each of the following ratios. Borrower shall calculate each such ratio after giving effect to the provisions of Section 1.3 hereof.</w:t>
      </w:r>
    </w:p>
    <w:p>
      <w:pPr>
        <w:spacing w:after="0" w:line="178"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11.1 </w:t>
      </w:r>
      <w:r>
        <w:rPr>
          <w:rFonts w:ascii="Times New Roman" w:cs="Times New Roman" w:eastAsia="Times New Roman" w:hAnsi="Times New Roman"/>
          <w:sz w:val="19"/>
          <w:szCs w:val="19"/>
          <w:u w:val="single" w:color="auto"/>
          <w:color w:val="auto"/>
        </w:rPr>
        <w:t>Maximum Leverage Ratio</w:t>
      </w:r>
      <w:r>
        <w:rPr>
          <w:rFonts w:ascii="Times New Roman" w:cs="Times New Roman" w:eastAsia="Times New Roman" w:hAnsi="Times New Roman"/>
          <w:sz w:val="19"/>
          <w:szCs w:val="19"/>
          <w:color w:val="auto"/>
        </w:rPr>
        <w:t>. As calculated as of the last day of each fiscal quarter of the Restricted Companies set forth below, the Restricted Companies shall not permit the ratio of (a) the unpaid principal amount of Net Funded Debt existing as of such last day to (b) Adjusted EBITDA for the four fiscal quarters ending on such last day to exceed 6.25 to 1.00 for each fiscal quarter.</w:t>
      </w:r>
    </w:p>
    <w:p>
      <w:pPr>
        <w:spacing w:after="0" w:line="176"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11.2 </w:t>
      </w:r>
      <w:r>
        <w:rPr>
          <w:rFonts w:ascii="Times New Roman" w:cs="Times New Roman" w:eastAsia="Times New Roman" w:hAnsi="Times New Roman"/>
          <w:sz w:val="19"/>
          <w:szCs w:val="19"/>
          <w:u w:val="single" w:color="auto"/>
          <w:color w:val="auto"/>
        </w:rPr>
        <w:t>Interest Coverage Ratio</w:t>
      </w:r>
      <w:r>
        <w:rPr>
          <w:rFonts w:ascii="Times New Roman" w:cs="Times New Roman" w:eastAsia="Times New Roman" w:hAnsi="Times New Roman"/>
          <w:sz w:val="19"/>
          <w:szCs w:val="19"/>
          <w:color w:val="auto"/>
        </w:rPr>
        <w:t xml:space="preserve">. As calculated as of the last day of each fiscal quarter of the Restricted Companies, the Restricted Companies shall not permit the ratio of (a) Adjusted EBITDA for the four fiscal quarters ending on such last day to (b) interest on Funded Debt (excluding amortization of deferred financing costs and original issue discounts and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with respect to any Capital Lease permitted under this Agreement, interest attributable thereto shall be limited to that portion of the lease payments that is characterized as an interest expense under GAAP and paid in cash during the applicable period) in such four fiscal quarters to be less than 2.00 to 1.00.</w:t>
      </w:r>
    </w:p>
    <w:p>
      <w:pPr>
        <w:spacing w:after="0" w:line="170"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 xml:space="preserve">11.3 </w:t>
      </w:r>
      <w:r>
        <w:rPr>
          <w:rFonts w:ascii="Times New Roman" w:cs="Times New Roman" w:eastAsia="Times New Roman" w:hAnsi="Times New Roman"/>
          <w:sz w:val="19"/>
          <w:szCs w:val="19"/>
          <w:u w:val="single" w:color="auto"/>
          <w:color w:val="auto"/>
        </w:rPr>
        <w:t>Senior Secured Leverage Ratio</w:t>
      </w:r>
      <w:r>
        <w:rPr>
          <w:rFonts w:ascii="Times New Roman" w:cs="Times New Roman" w:eastAsia="Times New Roman" w:hAnsi="Times New Roman"/>
          <w:sz w:val="19"/>
          <w:szCs w:val="19"/>
          <w:color w:val="auto"/>
        </w:rPr>
        <w:t>. As calculated as of the last day of each fiscal quarter of the Restricted Companies, the Restricted Companies shall not permit the ratio of (a) the unpaid principal amount of outstanding secured Net Funded Debt existing as of such last day to (b) Adjusted EBITDA for the four fiscal quarters ending on such last day to exceed 4.00 to 1.00 for each fiscal quarter.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SECTION 12  DEFAULT</w:t>
      </w:r>
      <w:r>
        <w:rPr>
          <w:rFonts w:ascii="Times New Roman" w:cs="Times New Roman" w:eastAsia="Times New Roman" w:hAnsi="Times New Roman"/>
          <w:sz w:val="19"/>
          <w:szCs w:val="19"/>
          <w:color w:val="auto"/>
        </w:rPr>
        <w:t>. The term “Default” means the occurrence of any one or more of the following events:</w:t>
      </w:r>
    </w:p>
    <w:p>
      <w:pPr>
        <w:spacing w:after="0" w:line="217" w:lineRule="exact"/>
        <w:rPr>
          <w:sz w:val="20"/>
          <w:szCs w:val="20"/>
          <w:color w:val="auto"/>
        </w:rPr>
      </w:pPr>
    </w:p>
    <w:p>
      <w:pPr>
        <w:jc w:val="both"/>
        <w:ind w:firstLine="618"/>
        <w:spacing w:after="0" w:line="273"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Payment of Obligation</w:t>
      </w:r>
      <w:r>
        <w:rPr>
          <w:rFonts w:ascii="Times New Roman" w:cs="Times New Roman" w:eastAsia="Times New Roman" w:hAnsi="Times New Roman"/>
          <w:sz w:val="18"/>
          <w:szCs w:val="18"/>
          <w:color w:val="auto"/>
        </w:rPr>
        <w:t xml:space="preserve">. The failure or refusal of any Company to pay (a) any principal payment contemplated by </w:t>
      </w:r>
      <w:r>
        <w:rPr>
          <w:rFonts w:ascii="Times New Roman" w:cs="Times New Roman" w:eastAsia="Times New Roman" w:hAnsi="Times New Roman"/>
          <w:sz w:val="18"/>
          <w:szCs w:val="18"/>
          <w:b w:val="1"/>
          <w:bCs w:val="1"/>
          <w:i w:val="1"/>
          <w:iCs w:val="1"/>
          <w:color w:val="auto"/>
        </w:rPr>
        <w:t>Sections 3.2(b)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3.2(c)</w:t>
      </w:r>
      <w:r>
        <w:rPr>
          <w:rFonts w:ascii="Times New Roman" w:cs="Times New Roman" w:eastAsia="Times New Roman" w:hAnsi="Times New Roman"/>
          <w:sz w:val="18"/>
          <w:szCs w:val="18"/>
          <w:color w:val="auto"/>
        </w:rPr>
        <w:t xml:space="preserve"> of this Agreement after such payment becomes due and payable hereunder, (b) any principal payment (</w:t>
      </w:r>
      <w:r>
        <w:rPr>
          <w:rFonts w:ascii="Times New Roman" w:cs="Times New Roman" w:eastAsia="Times New Roman" w:hAnsi="Times New Roman"/>
          <w:sz w:val="18"/>
          <w:szCs w:val="18"/>
          <w:i w:val="1"/>
          <w:iCs w:val="1"/>
          <w:color w:val="auto"/>
        </w:rPr>
        <w:t>other than</w:t>
      </w:r>
      <w:r>
        <w:rPr>
          <w:rFonts w:ascii="Times New Roman" w:cs="Times New Roman" w:eastAsia="Times New Roman" w:hAnsi="Times New Roman"/>
          <w:sz w:val="18"/>
          <w:szCs w:val="18"/>
          <w:color w:val="auto"/>
        </w:rPr>
        <w:t xml:space="preserve"> those contemplated by </w:t>
      </w:r>
      <w:r>
        <w:rPr>
          <w:rFonts w:ascii="Times New Roman" w:cs="Times New Roman" w:eastAsia="Times New Roman" w:hAnsi="Times New Roman"/>
          <w:sz w:val="18"/>
          <w:szCs w:val="18"/>
          <w:b w:val="1"/>
          <w:bCs w:val="1"/>
          <w:i w:val="1"/>
          <w:iCs w:val="1"/>
          <w:color w:val="auto"/>
        </w:rPr>
        <w:t xml:space="preserve">Sections 3.2(b)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3.2(c)</w:t>
      </w:r>
      <w:r>
        <w:rPr>
          <w:rFonts w:ascii="Times New Roman" w:cs="Times New Roman" w:eastAsia="Times New Roman" w:hAnsi="Times New Roman"/>
          <w:sz w:val="18"/>
          <w:szCs w:val="18"/>
          <w:color w:val="auto"/>
        </w:rPr>
        <w:t>) or interest payment contemplated to be made hereunder within 3 Business Days after demand therefor by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Agent, (c) any amount contemplated to be paid hereunder in respect of fees, costs, expenses, or indemnities within 10 Business Days after demand therefor by Administrative Agent and (d) any amount in respect of its reimbursement obligations in connection with any drawing under an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98</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L/C (including, without limitation, any L/C Borrowing) within 3 Business Days after demand therefor by Administrative Agent.</w:t>
      </w:r>
    </w:p>
    <w:p>
      <w:pPr>
        <w:spacing w:after="0" w:line="21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12.2</w:t>
      </w:r>
      <w:r>
        <w:rPr>
          <w:sz w:val="20"/>
          <w:szCs w:val="20"/>
          <w:color w:val="auto"/>
        </w:rPr>
        <w:tab/>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failure or refusal of any Company to punctually and properly perform, observe, and comply with:</w:t>
      </w:r>
    </w:p>
    <w:p>
      <w:pPr>
        <w:spacing w:after="0" w:line="200" w:lineRule="exact"/>
        <w:rPr>
          <w:sz w:val="20"/>
          <w:szCs w:val="20"/>
          <w:color w:val="auto"/>
        </w:rPr>
      </w:pPr>
    </w:p>
    <w:p>
      <w:pPr>
        <w:ind w:left="780"/>
        <w:spacing w:after="0"/>
        <w:tabs>
          <w:tab w:leader="none" w:pos="116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8"/>
          <w:szCs w:val="18"/>
          <w:color w:val="auto"/>
        </w:rPr>
        <w:t xml:space="preserve">Any covenant, agreement, or condition applicable to it contained in </w:t>
      </w:r>
      <w:r>
        <w:rPr>
          <w:rFonts w:ascii="Times New Roman" w:cs="Times New Roman" w:eastAsia="Times New Roman" w:hAnsi="Times New Roman"/>
          <w:sz w:val="18"/>
          <w:szCs w:val="18"/>
          <w:b w:val="1"/>
          <w:bCs w:val="1"/>
          <w:i w:val="1"/>
          <w:iCs w:val="1"/>
          <w:color w:val="auto"/>
        </w:rPr>
        <w:t>Sections 9.2,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Sections 10.1, 10.3, 10.6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10.7</w:t>
      </w:r>
      <w:r>
        <w:rPr>
          <w:rFonts w:ascii="Times New Roman" w:cs="Times New Roman" w:eastAsia="Times New Roman" w:hAnsi="Times New Roman"/>
          <w:sz w:val="18"/>
          <w:szCs w:val="18"/>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or </w:t>
      </w:r>
      <w:r>
        <w:rPr>
          <w:rFonts w:ascii="Times New Roman" w:cs="Times New Roman" w:eastAsia="Times New Roman" w:hAnsi="Times New Roman"/>
          <w:sz w:val="19"/>
          <w:szCs w:val="19"/>
          <w:b w:val="1"/>
          <w:bCs w:val="1"/>
          <w:i w:val="1"/>
          <w:iCs w:val="1"/>
          <w:color w:val="auto"/>
        </w:rPr>
        <w:t>11</w:t>
      </w:r>
      <w:r>
        <w:rPr>
          <w:rFonts w:ascii="Times New Roman" w:cs="Times New Roman" w:eastAsia="Times New Roman" w:hAnsi="Times New Roman"/>
          <w:sz w:val="19"/>
          <w:szCs w:val="19"/>
          <w:color w:val="auto"/>
        </w:rPr>
        <w:t>; or</w:t>
      </w:r>
    </w:p>
    <w:p>
      <w:pPr>
        <w:spacing w:after="0" w:line="190" w:lineRule="exact"/>
        <w:rPr>
          <w:sz w:val="20"/>
          <w:szCs w:val="20"/>
          <w:color w:val="auto"/>
        </w:rPr>
      </w:pPr>
    </w:p>
    <w:p>
      <w:pPr>
        <w:ind w:firstLine="776"/>
        <w:spacing w:after="0" w:line="287" w:lineRule="auto"/>
        <w:tabs>
          <w:tab w:leader="none" w:pos="1263"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covenant, agreement, or condition applicable to it contained in any Loan Paper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the covenants to pay the Obligation and the covenants in </w:t>
      </w:r>
      <w:r>
        <w:rPr>
          <w:rFonts w:ascii="Times New Roman" w:cs="Times New Roman" w:eastAsia="Times New Roman" w:hAnsi="Times New Roman"/>
          <w:sz w:val="19"/>
          <w:szCs w:val="19"/>
          <w:b w:val="1"/>
          <w:bCs w:val="1"/>
          <w:i w:val="1"/>
          <w:iCs w:val="1"/>
          <w:color w:val="auto"/>
        </w:rPr>
        <w:t>clause (a)</w:t>
      </w:r>
      <w:r>
        <w:rPr>
          <w:rFonts w:ascii="Times New Roman" w:cs="Times New Roman" w:eastAsia="Times New Roman" w:hAnsi="Times New Roman"/>
          <w:sz w:val="19"/>
          <w:szCs w:val="19"/>
          <w:color w:val="auto"/>
        </w:rPr>
        <w:t xml:space="preserve"> preceding), and such failure or refusal continues for 30 days.</w:t>
      </w:r>
    </w:p>
    <w:p>
      <w:pPr>
        <w:spacing w:after="0" w:line="15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12.3</w:t>
      </w:r>
      <w:r>
        <w:rPr>
          <w:sz w:val="20"/>
          <w:szCs w:val="20"/>
          <w:color w:val="auto"/>
        </w:rPr>
        <w:tab/>
      </w:r>
      <w:r>
        <w:rPr>
          <w:rFonts w:ascii="Times New Roman" w:cs="Times New Roman" w:eastAsia="Times New Roman" w:hAnsi="Times New Roman"/>
          <w:sz w:val="19"/>
          <w:szCs w:val="19"/>
          <w:u w:val="single" w:color="auto"/>
          <w:color w:val="auto"/>
        </w:rPr>
        <w:t>Debtor Relief</w:t>
      </w:r>
      <w:r>
        <w:rPr>
          <w:rFonts w:ascii="Times New Roman" w:cs="Times New Roman" w:eastAsia="Times New Roman" w:hAnsi="Times New Roman"/>
          <w:sz w:val="19"/>
          <w:szCs w:val="19"/>
          <w:color w:val="auto"/>
        </w:rPr>
        <w:t>. Any Restricted Company (a) fails, or admits in writing its inability, to pay its Debts generally as they become due,</w:t>
      </w:r>
    </w:p>
    <w:p>
      <w:pPr>
        <w:spacing w:after="0" w:line="20" w:lineRule="exact"/>
        <w:rPr>
          <w:sz w:val="20"/>
          <w:szCs w:val="20"/>
          <w:color w:val="auto"/>
        </w:rPr>
      </w:pPr>
    </w:p>
    <w:p>
      <w:pPr>
        <w:jc w:val="both"/>
        <w:ind w:firstLine="3"/>
        <w:spacing w:after="0" w:line="252" w:lineRule="auto"/>
        <w:tabs>
          <w:tab w:leader="none" w:pos="292"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voluntarily seeks, consents to, or acquiesces in the benefit of any Debtor Relief Law, (c) becomes a party to or is made the subject of any proceeding provided for by any Debtor Relief Law that could suspend or otherwise adversely affect the Rights of Administrative Agent or any Lender granted in the Loan Papers (unless, if the proceeding is involuntary, the applicable petition is dismissed within 60 days after its filing), (d) becomes subject to an order for relief granted under the Bankruptcy Reform Act of 1978, as amended from time to time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as a creditor or claimant), or (e) takes any action to authorize any of the foregoing actions set forth in </w:t>
      </w:r>
      <w:r>
        <w:rPr>
          <w:rFonts w:ascii="Times New Roman" w:cs="Times New Roman" w:eastAsia="Times New Roman" w:hAnsi="Times New Roman"/>
          <w:sz w:val="19"/>
          <w:szCs w:val="19"/>
          <w:b w:val="1"/>
          <w:bCs w:val="1"/>
          <w:i w:val="1"/>
          <w:iCs w:val="1"/>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b w:val="1"/>
          <w:bCs w:val="1"/>
          <w:i w:val="1"/>
          <w:iCs w:val="1"/>
          <w:color w:val="auto"/>
        </w:rPr>
        <w:t>(d)</w:t>
      </w:r>
      <w:r>
        <w:rPr>
          <w:rFonts w:ascii="Times New Roman" w:cs="Times New Roman" w:eastAsia="Times New Roman" w:hAnsi="Times New Roman"/>
          <w:sz w:val="19"/>
          <w:szCs w:val="19"/>
          <w:color w:val="auto"/>
        </w:rPr>
        <w:t xml:space="preserve"> herein.</w:t>
      </w:r>
    </w:p>
    <w:p>
      <w:pPr>
        <w:spacing w:after="0" w:line="172"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9"/>
          <w:szCs w:val="19"/>
          <w:color w:val="auto"/>
        </w:rPr>
        <w:t xml:space="preserve">12.4 </w:t>
      </w:r>
      <w:r>
        <w:rPr>
          <w:rFonts w:ascii="Times New Roman" w:cs="Times New Roman" w:eastAsia="Times New Roman" w:hAnsi="Times New Roman"/>
          <w:sz w:val="19"/>
          <w:szCs w:val="19"/>
          <w:u w:val="single" w:color="auto"/>
          <w:color w:val="auto"/>
        </w:rPr>
        <w:t>Judgments and Attachments.</w:t>
      </w:r>
      <w:r>
        <w:rPr>
          <w:rFonts w:ascii="Times New Roman" w:cs="Times New Roman" w:eastAsia="Times New Roman" w:hAnsi="Times New Roman"/>
          <w:sz w:val="19"/>
          <w:szCs w:val="19"/>
          <w:color w:val="auto"/>
        </w:rPr>
        <w:t xml:space="preserve"> Any Restricted Company fails, within 60 days after entry, to pay, bond, or otherwise discharge any judgment or order for the payment of money in excess of $15,000,000 (individually or collectively) or any warrant of attachment, sequestration, or similar proceeding against any assets of any Restricted Company having a value (individually or collectively) of $15,000,000, which is neither (a) stayed on appeal nor (b) diligently contested in good faith by appropriate proceedings and adequate reserves have been set aside on its books in accordance with GAAP.</w:t>
      </w:r>
    </w:p>
    <w:p>
      <w:pPr>
        <w:spacing w:after="0" w:line="165"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12.5 </w:t>
      </w:r>
      <w:r>
        <w:rPr>
          <w:rFonts w:ascii="Times New Roman" w:cs="Times New Roman" w:eastAsia="Times New Roman" w:hAnsi="Times New Roman"/>
          <w:sz w:val="19"/>
          <w:szCs w:val="19"/>
          <w:u w:val="single" w:color="auto"/>
          <w:color w:val="auto"/>
        </w:rPr>
        <w:t>Government Action</w:t>
      </w:r>
      <w:r>
        <w:rPr>
          <w:rFonts w:ascii="Times New Roman" w:cs="Times New Roman" w:eastAsia="Times New Roman" w:hAnsi="Times New Roman"/>
          <w:sz w:val="19"/>
          <w:szCs w:val="19"/>
          <w:color w:val="auto"/>
        </w:rPr>
        <w:t>. Any Governmental Authority condemns, seizes, or otherwise appropriates, or takes custody or control of all or any substantial portion of the Critical Assets.</w:t>
      </w:r>
    </w:p>
    <w:p>
      <w:pPr>
        <w:spacing w:after="0" w:line="143"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12.6 </w:t>
      </w:r>
      <w:r>
        <w:rPr>
          <w:rFonts w:ascii="Times New Roman" w:cs="Times New Roman" w:eastAsia="Times New Roman" w:hAnsi="Times New Roman"/>
          <w:sz w:val="19"/>
          <w:szCs w:val="19"/>
          <w:u w:val="single" w:color="auto"/>
          <w:color w:val="auto"/>
        </w:rPr>
        <w:t>Misrepresentation</w:t>
      </w:r>
      <w:r>
        <w:rPr>
          <w:rFonts w:ascii="Times New Roman" w:cs="Times New Roman" w:eastAsia="Times New Roman" w:hAnsi="Times New Roman"/>
          <w:sz w:val="19"/>
          <w:szCs w:val="19"/>
          <w:color w:val="auto"/>
        </w:rPr>
        <w:t>. Any material representation or warranty made or deemed made by any Company in connection with any Loan Paper at any time proves to have been materially incorrect when made.</w:t>
      </w:r>
    </w:p>
    <w:p>
      <w:pPr>
        <w:spacing w:after="0" w:line="14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12.7</w:t>
      </w:r>
      <w:r>
        <w:rPr>
          <w:sz w:val="20"/>
          <w:szCs w:val="20"/>
          <w:color w:val="auto"/>
        </w:rPr>
        <w:tab/>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There shall occur a Change of Control Transaction.</w:t>
      </w:r>
    </w:p>
    <w:p>
      <w:pPr>
        <w:spacing w:after="0" w:line="213" w:lineRule="exact"/>
        <w:rPr>
          <w:sz w:val="20"/>
          <w:szCs w:val="20"/>
          <w:color w:val="auto"/>
        </w:rPr>
      </w:pPr>
    </w:p>
    <w:p>
      <w:pPr>
        <w:jc w:val="both"/>
        <w:ind w:firstLine="618"/>
        <w:spacing w:after="0" w:line="273"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Default Under Other Agreements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b w:val="1"/>
          <w:bCs w:val="1"/>
          <w:i w:val="1"/>
          <w:iCs w:val="1"/>
          <w:color w:val="auto"/>
        </w:rPr>
        <w:t>Section 12.9</w:t>
      </w:r>
      <w:r>
        <w:rPr>
          <w:rFonts w:ascii="Times New Roman" w:cs="Times New Roman" w:eastAsia="Times New Roman" w:hAnsi="Times New Roman"/>
          <w:sz w:val="18"/>
          <w:szCs w:val="18"/>
          <w:color w:val="auto"/>
        </w:rPr>
        <w:t xml:space="preserve"> below, (a) any Restricted Company fails to pay when due (after lapse of any applicable grace period) any recourse Debt in excess (individually or collectively) of $15,000,000; or (b) any default exists under any agreement to which any Restricted Company is a party, the effect of which is to cause, or to permit any Person (</w:t>
      </w:r>
      <w:r>
        <w:rPr>
          <w:rFonts w:ascii="Times New Roman" w:cs="Times New Roman" w:eastAsia="Times New Roman" w:hAnsi="Times New Roman"/>
          <w:sz w:val="18"/>
          <w:szCs w:val="18"/>
          <w:i w:val="1"/>
          <w:iCs w:val="1"/>
          <w:color w:val="auto"/>
        </w:rPr>
        <w:t>other than</w:t>
      </w:r>
      <w:r>
        <w:rPr>
          <w:rFonts w:ascii="Times New Roman" w:cs="Times New Roman" w:eastAsia="Times New Roman" w:hAnsi="Times New Roman"/>
          <w:sz w:val="18"/>
          <w:szCs w:val="18"/>
          <w:color w:val="auto"/>
        </w:rPr>
        <w:t xml:space="preserve"> a Restricted Company) to cause, any recourse obligation in excess (individually or collectively) of $15,000,000 to become due and payable by any Restricted Company before its stated maturity,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to the extent such obligation is declared to be due and payable as a result of the sale of any asset to which it relates.</w:t>
      </w:r>
    </w:p>
    <w:p>
      <w:pPr>
        <w:spacing w:after="0" w:line="16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12.9</w:t>
      </w:r>
      <w:r>
        <w:rPr>
          <w:sz w:val="20"/>
          <w:szCs w:val="20"/>
          <w:color w:val="auto"/>
        </w:rPr>
        <w:tab/>
      </w:r>
      <w:r>
        <w:rPr>
          <w:rFonts w:ascii="Times New Roman" w:cs="Times New Roman" w:eastAsia="Times New Roman" w:hAnsi="Times New Roman"/>
          <w:sz w:val="18"/>
          <w:szCs w:val="18"/>
          <w:u w:val="single" w:color="auto"/>
          <w:color w:val="auto"/>
        </w:rPr>
        <w:t>Subordinated Debt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99</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17" w:lineRule="exact"/>
        <w:rPr>
          <w:sz w:val="20"/>
          <w:szCs w:val="20"/>
          <w:color w:val="auto"/>
        </w:rPr>
      </w:pPr>
    </w:p>
    <w:p>
      <w:pPr>
        <w:jc w:val="both"/>
        <w:ind w:firstLine="776"/>
        <w:spacing w:after="0" w:line="255" w:lineRule="auto"/>
        <w:tabs>
          <w:tab w:leader="none" w:pos="1262"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occurrence of any “</w:t>
      </w:r>
      <w:r>
        <w:rPr>
          <w:rFonts w:ascii="Times New Roman" w:cs="Times New Roman" w:eastAsia="Times New Roman" w:hAnsi="Times New Roman"/>
          <w:sz w:val="19"/>
          <w:szCs w:val="19"/>
          <w:i w:val="1"/>
          <w:iCs w:val="1"/>
          <w:color w:val="auto"/>
        </w:rPr>
        <w:t>default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event of default</w:t>
      </w:r>
      <w:r>
        <w:rPr>
          <w:rFonts w:ascii="Times New Roman" w:cs="Times New Roman" w:eastAsia="Times New Roman" w:hAnsi="Times New Roman"/>
          <w:sz w:val="19"/>
          <w:szCs w:val="19"/>
          <w:color w:val="auto"/>
        </w:rPr>
        <w:t>,” or other breach under or with respect to any Subordinated Debt, which “</w:t>
      </w:r>
      <w:r>
        <w:rPr>
          <w:rFonts w:ascii="Times New Roman" w:cs="Times New Roman" w:eastAsia="Times New Roman" w:hAnsi="Times New Roman"/>
          <w:sz w:val="19"/>
          <w:szCs w:val="19"/>
          <w:i w:val="1"/>
          <w:iCs w:val="1"/>
          <w:color w:val="auto"/>
        </w:rPr>
        <w:t>default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event of default</w:t>
      </w:r>
      <w:r>
        <w:rPr>
          <w:rFonts w:ascii="Times New Roman" w:cs="Times New Roman" w:eastAsia="Times New Roman" w:hAnsi="Times New Roman"/>
          <w:sz w:val="19"/>
          <w:szCs w:val="19"/>
          <w:color w:val="auto"/>
        </w:rPr>
        <w:t>,” or other breach remains uncured (after lapse of any applicable cure periods) on any date of determination; (ii) the trustee with respect to, or any holder of, any Subordinated Debt shall effectively declare all or any portion of such Debt or obligation thereunder due and payable prior to the stated maturity thereof; or (iii) any obligations under the Subordinated Debt become due before its stated maturity by acceleration of the maturity thereof.</w:t>
      </w:r>
    </w:p>
    <w:p>
      <w:pPr>
        <w:spacing w:after="0" w:line="182" w:lineRule="exact"/>
        <w:rPr>
          <w:rFonts w:ascii="Times New Roman" w:cs="Times New Roman" w:eastAsia="Times New Roman" w:hAnsi="Times New Roman"/>
          <w:sz w:val="19"/>
          <w:szCs w:val="19"/>
          <w:color w:val="auto"/>
        </w:rPr>
      </w:pPr>
    </w:p>
    <w:p>
      <w:pPr>
        <w:jc w:val="both"/>
        <w:ind w:firstLine="776"/>
        <w:spacing w:after="0" w:line="252" w:lineRule="auto"/>
        <w:tabs>
          <w:tab w:leader="none" w:pos="1351"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directly or indirectly (including, without limitation, any payment in respect of any sinking fund, defeasance, redemption, or payment of any dividend or distribution) by any Company of any amount of any Subordinated Debt in a manner or at a time during which such payment is not permitted under the terms of the Loan Papers or under any instrument or document evidencing or creating the Subordinated Debt, including, without limitation, any subordination provisions set forth therein, or if an event shall occur, including, without limitation, a “</w:t>
      </w:r>
      <w:r>
        <w:rPr>
          <w:rFonts w:ascii="Times New Roman" w:cs="Times New Roman" w:eastAsia="Times New Roman" w:hAnsi="Times New Roman"/>
          <w:sz w:val="19"/>
          <w:szCs w:val="19"/>
          <w:i w:val="1"/>
          <w:iCs w:val="1"/>
          <w:color w:val="auto"/>
        </w:rPr>
        <w:t>Change of Control</w:t>
      </w:r>
      <w:r>
        <w:rPr>
          <w:rFonts w:ascii="Times New Roman" w:cs="Times New Roman" w:eastAsia="Times New Roman" w:hAnsi="Times New Roman"/>
          <w:sz w:val="19"/>
          <w:szCs w:val="19"/>
          <w:color w:val="auto"/>
        </w:rPr>
        <w:t>” as defined in any agreement evidencing or creating the Subordinated Debt, and (i) such event results in the ability of the trustee or the holders of any such Debt or obligation to request or require (or any Company shall automatically be so required) to redeem or repurchase such Debt or obligation, or (ii) any Company shall initiate notice of redemption to holders of the Subordinated Debt or obligation, in connection with a redemption of any Debt or obligation arising under such agreements or instruments.</w:t>
      </w:r>
    </w:p>
    <w:p>
      <w:pPr>
        <w:spacing w:after="0" w:line="187"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 xml:space="preserve">12.10 </w:t>
      </w:r>
      <w:r>
        <w:rPr>
          <w:rFonts w:ascii="Times New Roman" w:cs="Times New Roman" w:eastAsia="Times New Roman" w:hAnsi="Times New Roman"/>
          <w:sz w:val="19"/>
          <w:szCs w:val="19"/>
          <w:u w:val="single" w:color="auto"/>
          <w:color w:val="auto"/>
        </w:rPr>
        <w:t>Validity and Enforceability of Loan Papers</w:t>
      </w:r>
      <w:r>
        <w:rPr>
          <w:rFonts w:ascii="Times New Roman" w:cs="Times New Roman" w:eastAsia="Times New Roman" w:hAnsi="Times New Roman"/>
          <w:sz w:val="19"/>
          <w:szCs w:val="19"/>
          <w:color w:val="auto"/>
        </w:rPr>
        <w:t>. Except in accordance with its terms or as otherwise expressly permitted by this Agreement, any Loan Paper at any time after its execution and delivery ceases to be in full force and effect in any material respect or is declared to be null and void or its validity or enforceability is contested by any Company party thereto or any Company denies that it has any further liability or obligations under any Loan Paper to which it is a party.</w:t>
      </w:r>
    </w:p>
    <w:p>
      <w:pPr>
        <w:spacing w:after="0" w:line="164" w:lineRule="exact"/>
        <w:rPr>
          <w:sz w:val="20"/>
          <w:szCs w:val="20"/>
          <w:color w:val="auto"/>
        </w:rPr>
      </w:pPr>
    </w:p>
    <w:p>
      <w:pPr>
        <w:jc w:val="both"/>
        <w:ind w:firstLine="618"/>
        <w:spacing w:after="0" w:line="267"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Employee Plans</w:t>
      </w:r>
      <w:r>
        <w:rPr>
          <w:rFonts w:ascii="Times New Roman" w:cs="Times New Roman" w:eastAsia="Times New Roman" w:hAnsi="Times New Roman"/>
          <w:sz w:val="18"/>
          <w:szCs w:val="18"/>
          <w:color w:val="auto"/>
        </w:rPr>
        <w:t xml:space="preserve">. Except where the occurrence or existence, individually or in the aggregate, is not a Material Adverse Event or, in any event, likely to result in a Lien on the assets of any Company or the Companies securing liability for any Company or the Companies (individually or when aggregated with any liability of the Companies contemplated by </w:t>
      </w:r>
      <w:r>
        <w:rPr>
          <w:rFonts w:ascii="Times New Roman" w:cs="Times New Roman" w:eastAsia="Times New Roman" w:hAnsi="Times New Roman"/>
          <w:sz w:val="18"/>
          <w:szCs w:val="18"/>
          <w:b w:val="1"/>
          <w:bCs w:val="1"/>
          <w:i w:val="1"/>
          <w:iCs w:val="1"/>
          <w:color w:val="auto"/>
        </w:rPr>
        <w:t>Section 8.8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Section 8.9</w:t>
      </w:r>
      <w:r>
        <w:rPr>
          <w:rFonts w:ascii="Times New Roman" w:cs="Times New Roman" w:eastAsia="Times New Roman" w:hAnsi="Times New Roman"/>
          <w:sz w:val="18"/>
          <w:szCs w:val="18"/>
          <w:color w:val="auto"/>
        </w:rPr>
        <w:t xml:space="preserve"> herein that is reasonably likely to be secured by Liens) in excess of the Threshold Amount, (a) an Employee Plan or Multiemployer Plan, as applicable, has any “</w:t>
      </w:r>
      <w:r>
        <w:rPr>
          <w:rFonts w:ascii="Times New Roman" w:cs="Times New Roman" w:eastAsia="Times New Roman" w:hAnsi="Times New Roman"/>
          <w:sz w:val="18"/>
          <w:szCs w:val="18"/>
          <w:i w:val="1"/>
          <w:iCs w:val="1"/>
          <w:color w:val="auto"/>
        </w:rPr>
        <w:t>unpaid minimum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contribution</w:t>
      </w:r>
      <w:r>
        <w:rPr>
          <w:rFonts w:ascii="Times New Roman" w:cs="Times New Roman" w:eastAsia="Times New Roman" w:hAnsi="Times New Roman"/>
          <w:sz w:val="18"/>
          <w:szCs w:val="18"/>
          <w:color w:val="auto"/>
        </w:rPr>
        <w:t>” (as described in</w:t>
      </w:r>
      <w:r>
        <w:rPr>
          <w:rFonts w:ascii="Times New Roman" w:cs="Times New Roman" w:eastAsia="Times New Roman" w:hAnsi="Times New Roman"/>
          <w:sz w:val="18"/>
          <w:szCs w:val="18"/>
          <w:i w:val="1"/>
          <w:iCs w:val="1"/>
          <w:color w:val="auto"/>
        </w:rPr>
        <w:t xml:space="preserve"> section 4971(c)(4) </w:t>
      </w:r>
      <w:r>
        <w:rPr>
          <w:rFonts w:ascii="Times New Roman" w:cs="Times New Roman" w:eastAsia="Times New Roman" w:hAnsi="Times New Roman"/>
          <w:sz w:val="18"/>
          <w:szCs w:val="18"/>
          <w:color w:val="auto"/>
        </w:rPr>
        <w:t>of the Code), whether or not waived, or any</w:t>
      </w:r>
      <w:r>
        <w:rPr>
          <w:rFonts w:ascii="Times New Roman" w:cs="Times New Roman" w:eastAsia="Times New Roman" w:hAnsi="Times New Roman"/>
          <w:sz w:val="18"/>
          <w:szCs w:val="18"/>
          <w:i w:val="1"/>
          <w:iCs w:val="1"/>
          <w:color w:val="auto"/>
        </w:rPr>
        <w:t xml:space="preserve"> “accumulated funding deficiency” </w:t>
      </w:r>
      <w:r>
        <w:rPr>
          <w:rFonts w:ascii="Times New Roman" w:cs="Times New Roman" w:eastAsia="Times New Roman" w:hAnsi="Times New Roman"/>
          <w:sz w:val="18"/>
          <w:szCs w:val="18"/>
          <w:color w:val="auto"/>
        </w:rPr>
        <w:t>(as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defined in </w:t>
      </w:r>
      <w:r>
        <w:rPr>
          <w:rFonts w:ascii="Times New Roman" w:cs="Times New Roman" w:eastAsia="Times New Roman" w:hAnsi="Times New Roman"/>
          <w:sz w:val="18"/>
          <w:szCs w:val="18"/>
          <w:i w:val="1"/>
          <w:iCs w:val="1"/>
          <w:color w:val="auto"/>
        </w:rPr>
        <w:t>section 302</w:t>
      </w:r>
      <w:r>
        <w:rPr>
          <w:rFonts w:ascii="Times New Roman" w:cs="Times New Roman" w:eastAsia="Times New Roman" w:hAnsi="Times New Roman"/>
          <w:sz w:val="18"/>
          <w:szCs w:val="18"/>
          <w:color w:val="auto"/>
        </w:rPr>
        <w:t xml:space="preserve"> of ERISA or </w:t>
      </w:r>
      <w:r>
        <w:rPr>
          <w:rFonts w:ascii="Times New Roman" w:cs="Times New Roman" w:eastAsia="Times New Roman" w:hAnsi="Times New Roman"/>
          <w:sz w:val="18"/>
          <w:szCs w:val="18"/>
          <w:i w:val="1"/>
          <w:iCs w:val="1"/>
          <w:color w:val="auto"/>
        </w:rPr>
        <w:t>section 412</w:t>
      </w:r>
      <w:r>
        <w:rPr>
          <w:rFonts w:ascii="Times New Roman" w:cs="Times New Roman" w:eastAsia="Times New Roman" w:hAnsi="Times New Roman"/>
          <w:sz w:val="18"/>
          <w:szCs w:val="18"/>
          <w:color w:val="auto"/>
        </w:rPr>
        <w:t xml:space="preserve"> of the Code), (b) a Company or an ERISA Affiliate incurs liability under ERISA to the PBGC in connection with any Employee Plan (other than required insurance premiums paid when due), (c) a Company or an ERISA Affiliate withdraws in whole or in part from participation in a Multiemployer Plan, (d) a Company, an ERISA Affiliate, or a Multiemployer Plan to which a Company or any ERISA Affiliate contributes to or has contributed to, receives notice concerning the determination that the Multiemployer Plan is, or is expected to be, insolvent or in reorganization, within the meaning of </w:t>
      </w:r>
      <w:r>
        <w:rPr>
          <w:rFonts w:ascii="Times New Roman" w:cs="Times New Roman" w:eastAsia="Times New Roman" w:hAnsi="Times New Roman"/>
          <w:sz w:val="18"/>
          <w:szCs w:val="18"/>
          <w:i w:val="1"/>
          <w:iCs w:val="1"/>
          <w:color w:val="auto"/>
        </w:rPr>
        <w:t>Title IV</w:t>
      </w:r>
      <w:r>
        <w:rPr>
          <w:rFonts w:ascii="Times New Roman" w:cs="Times New Roman" w:eastAsia="Times New Roman" w:hAnsi="Times New Roman"/>
          <w:sz w:val="18"/>
          <w:szCs w:val="18"/>
          <w:color w:val="auto"/>
        </w:rPr>
        <w:t xml:space="preserve"> of ERISA, (e) a Company or an ERISA Affiliate engages in any </w:t>
      </w:r>
      <w:r>
        <w:rPr>
          <w:rFonts w:ascii="Times New Roman" w:cs="Times New Roman" w:eastAsia="Times New Roman" w:hAnsi="Times New Roman"/>
          <w:sz w:val="18"/>
          <w:szCs w:val="18"/>
          <w:i w:val="1"/>
          <w:iCs w:val="1"/>
          <w:color w:val="auto"/>
        </w:rPr>
        <w:t>“prohibited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w:t>
      </w:r>
      <w:r>
        <w:rPr>
          <w:rFonts w:ascii="Times New Roman" w:cs="Times New Roman" w:eastAsia="Times New Roman" w:hAnsi="Times New Roman"/>
          <w:sz w:val="18"/>
          <w:szCs w:val="18"/>
          <w:color w:val="auto"/>
        </w:rPr>
        <w:t>” (as defined in</w:t>
      </w:r>
      <w:r>
        <w:rPr>
          <w:rFonts w:ascii="Times New Roman" w:cs="Times New Roman" w:eastAsia="Times New Roman" w:hAnsi="Times New Roman"/>
          <w:sz w:val="18"/>
          <w:szCs w:val="18"/>
          <w:i w:val="1"/>
          <w:iCs w:val="1"/>
          <w:color w:val="auto"/>
        </w:rPr>
        <w:t xml:space="preserve"> section 406 </w:t>
      </w:r>
      <w:r>
        <w:rPr>
          <w:rFonts w:ascii="Times New Roman" w:cs="Times New Roman" w:eastAsia="Times New Roman" w:hAnsi="Times New Roman"/>
          <w:sz w:val="18"/>
          <w:szCs w:val="18"/>
          <w:color w:val="auto"/>
        </w:rPr>
        <w:t>of ERISA or</w:t>
      </w:r>
      <w:r>
        <w:rPr>
          <w:rFonts w:ascii="Times New Roman" w:cs="Times New Roman" w:eastAsia="Times New Roman" w:hAnsi="Times New Roman"/>
          <w:sz w:val="18"/>
          <w:szCs w:val="18"/>
          <w:i w:val="1"/>
          <w:iCs w:val="1"/>
          <w:color w:val="auto"/>
        </w:rPr>
        <w:t xml:space="preserve"> section 4975 </w:t>
      </w:r>
      <w:r>
        <w:rPr>
          <w:rFonts w:ascii="Times New Roman" w:cs="Times New Roman" w:eastAsia="Times New Roman" w:hAnsi="Times New Roman"/>
          <w:sz w:val="18"/>
          <w:szCs w:val="18"/>
          <w:color w:val="auto"/>
        </w:rPr>
        <w:t>of the Code), or (f) a</w:t>
      </w:r>
      <w:r>
        <w:rPr>
          <w:rFonts w:ascii="Times New Roman" w:cs="Times New Roman" w:eastAsia="Times New Roman" w:hAnsi="Times New Roman"/>
          <w:sz w:val="18"/>
          <w:szCs w:val="18"/>
          <w:i w:val="1"/>
          <w:iCs w:val="1"/>
          <w:color w:val="auto"/>
        </w:rPr>
        <w:t xml:space="preserve"> “reportable event” </w:t>
      </w:r>
      <w:r>
        <w:rPr>
          <w:rFonts w:ascii="Times New Roman" w:cs="Times New Roman" w:eastAsia="Times New Roman" w:hAnsi="Times New Roman"/>
          <w:sz w:val="18"/>
          <w:szCs w:val="18"/>
          <w:color w:val="auto"/>
        </w:rPr>
        <w:t>(as defined in</w:t>
      </w:r>
      <w:r>
        <w:rPr>
          <w:rFonts w:ascii="Times New Roman" w:cs="Times New Roman" w:eastAsia="Times New Roman" w:hAnsi="Times New Roman"/>
          <w:sz w:val="18"/>
          <w:szCs w:val="18"/>
          <w:i w:val="1"/>
          <w:iCs w:val="1"/>
          <w:color w:val="auto"/>
        </w:rPr>
        <w:t xml:space="preserve"> section 4043 </w:t>
      </w:r>
      <w:r>
        <w:rPr>
          <w:rFonts w:ascii="Times New Roman" w:cs="Times New Roman" w:eastAsia="Times New Roman" w:hAnsi="Times New Roman"/>
          <w:sz w:val="18"/>
          <w:szCs w:val="18"/>
          <w:color w:val="auto"/>
        </w:rPr>
        <w:t>of ERISA)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with respect to an Employee Plan, excluding events for which the notice requirement is waived under applicable PBGC regulations.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SECTION 13  RIGHTS AND REMEDIES.</w:t>
      </w:r>
    </w:p>
    <w:p>
      <w:pPr>
        <w:spacing w:after="0" w:line="22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13.1</w:t>
      </w:r>
      <w:r>
        <w:rPr>
          <w:sz w:val="20"/>
          <w:szCs w:val="20"/>
          <w:color w:val="auto"/>
        </w:rPr>
        <w:tab/>
      </w:r>
      <w:r>
        <w:rPr>
          <w:rFonts w:ascii="Times New Roman" w:cs="Times New Roman" w:eastAsia="Times New Roman" w:hAnsi="Times New Roman"/>
          <w:sz w:val="18"/>
          <w:szCs w:val="18"/>
          <w:u w:val="single" w:color="auto"/>
          <w:color w:val="auto"/>
        </w:rPr>
        <w:t>Remedies Upon Default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firstLine="776"/>
        <w:spacing w:after="0" w:line="289" w:lineRule="auto"/>
        <w:tabs>
          <w:tab w:leader="none" w:pos="1222"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Default exists under </w:t>
      </w:r>
      <w:r>
        <w:rPr>
          <w:rFonts w:ascii="Times New Roman" w:cs="Times New Roman" w:eastAsia="Times New Roman" w:hAnsi="Times New Roman"/>
          <w:sz w:val="19"/>
          <w:szCs w:val="19"/>
          <w:b w:val="1"/>
          <w:bCs w:val="1"/>
          <w:i w:val="1"/>
          <w:iCs w:val="1"/>
          <w:color w:val="auto"/>
        </w:rPr>
        <w:t>Section 12.3</w:t>
      </w:r>
      <w:r>
        <w:rPr>
          <w:rFonts w:ascii="Times New Roman" w:cs="Times New Roman" w:eastAsia="Times New Roman" w:hAnsi="Times New Roman"/>
          <w:sz w:val="19"/>
          <w:szCs w:val="19"/>
          <w:color w:val="auto"/>
        </w:rPr>
        <w:t>, the commitment to extend credit under this Agreement automatically terminates, the entire unpaid balance of the Obligation automatically becomes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100</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color w:val="auto"/>
        </w:rPr>
        <w:t>due and payable without any action of any kind whatsoever, and Borrower must provide cash collateral in an amount equal to the then-existing L/C Exposure.</w:t>
      </w:r>
    </w:p>
    <w:p>
      <w:pPr>
        <w:spacing w:after="0" w:line="137" w:lineRule="exact"/>
        <w:rPr>
          <w:sz w:val="20"/>
          <w:szCs w:val="20"/>
          <w:color w:val="auto"/>
        </w:rPr>
      </w:pPr>
    </w:p>
    <w:p>
      <w:pPr>
        <w:jc w:val="both"/>
        <w:ind w:firstLine="776"/>
        <w:spacing w:after="0" w:line="270" w:lineRule="auto"/>
        <w:tabs>
          <w:tab w:leader="none" w:pos="1269"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Default exists, subject to the terms of </w:t>
      </w:r>
      <w:r>
        <w:rPr>
          <w:rFonts w:ascii="Times New Roman" w:cs="Times New Roman" w:eastAsia="Times New Roman" w:hAnsi="Times New Roman"/>
          <w:sz w:val="18"/>
          <w:szCs w:val="18"/>
          <w:b w:val="1"/>
          <w:bCs w:val="1"/>
          <w:i w:val="1"/>
          <w:iCs w:val="1"/>
          <w:color w:val="auto"/>
        </w:rPr>
        <w:t>Section 14.5</w:t>
      </w:r>
      <w:r>
        <w:rPr>
          <w:rFonts w:ascii="Times New Roman" w:cs="Times New Roman" w:eastAsia="Times New Roman" w:hAnsi="Times New Roman"/>
          <w:sz w:val="18"/>
          <w:szCs w:val="18"/>
          <w:color w:val="auto"/>
        </w:rPr>
        <w:t xml:space="preserve">, Administrative Agent may (with the consent of, and must, upon the request of, Required Lenders), do any one or more of the following: (i) if the maturity of the Obligation has not already been accelerated under </w:t>
      </w:r>
      <w:r>
        <w:rPr>
          <w:rFonts w:ascii="Times New Roman" w:cs="Times New Roman" w:eastAsia="Times New Roman" w:hAnsi="Times New Roman"/>
          <w:sz w:val="18"/>
          <w:szCs w:val="18"/>
          <w:b w:val="1"/>
          <w:bCs w:val="1"/>
          <w:i w:val="1"/>
          <w:iCs w:val="1"/>
          <w:color w:val="auto"/>
        </w:rPr>
        <w:t>Section 13.1(a)</w:t>
      </w:r>
      <w:r>
        <w:rPr>
          <w:rFonts w:ascii="Times New Roman" w:cs="Times New Roman" w:eastAsia="Times New Roman" w:hAnsi="Times New Roman"/>
          <w:sz w:val="18"/>
          <w:szCs w:val="18"/>
          <w:color w:val="auto"/>
        </w:rPr>
        <w:t>, declare the entire unpaid balance of all or any part of the Obligation immediately due and payable, whereupon it is due and payable;</w:t>
      </w:r>
    </w:p>
    <w:p>
      <w:pPr>
        <w:spacing w:after="0" w:line="2" w:lineRule="exact"/>
        <w:rPr>
          <w:rFonts w:ascii="Times New Roman" w:cs="Times New Roman" w:eastAsia="Times New Roman" w:hAnsi="Times New Roman"/>
          <w:sz w:val="18"/>
          <w:szCs w:val="18"/>
          <w:color w:val="auto"/>
        </w:rPr>
      </w:pPr>
    </w:p>
    <w:p>
      <w:pPr>
        <w:jc w:val="both"/>
        <w:ind w:firstLine="3"/>
        <w:spacing w:after="0" w:line="254" w:lineRule="auto"/>
        <w:tabs>
          <w:tab w:leader="none" w:pos="282"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terminate the Commitments of Lenders; (iii) reduce any claim to judgment; (iv) demand Borrower to provide cash collateral in an amount equal to the L/C Exposure then existing; and (v) exercise any and all other legal or equitable Rights afforded by the Loan Papers, the Laws of the State of New York, or any other applicable jurisdiction.</w:t>
      </w:r>
    </w:p>
    <w:p>
      <w:pPr>
        <w:spacing w:after="0" w:line="178" w:lineRule="exact"/>
        <w:rPr>
          <w:sz w:val="20"/>
          <w:szCs w:val="20"/>
          <w:color w:val="auto"/>
        </w:rPr>
      </w:pPr>
    </w:p>
    <w:p>
      <w:pPr>
        <w:jc w:val="both"/>
        <w:ind w:firstLine="618"/>
        <w:spacing w:after="0" w:line="260" w:lineRule="auto"/>
        <w:rPr>
          <w:sz w:val="20"/>
          <w:szCs w:val="20"/>
          <w:color w:val="auto"/>
        </w:rPr>
      </w:pPr>
      <w:r>
        <w:rPr>
          <w:rFonts w:ascii="Times New Roman" w:cs="Times New Roman" w:eastAsia="Times New Roman" w:hAnsi="Times New Roman"/>
          <w:sz w:val="19"/>
          <w:szCs w:val="19"/>
          <w:color w:val="auto"/>
        </w:rPr>
        <w:t xml:space="preserve">13.2 </w:t>
      </w:r>
      <w:r>
        <w:rPr>
          <w:rFonts w:ascii="Times New Roman" w:cs="Times New Roman" w:eastAsia="Times New Roman" w:hAnsi="Times New Roman"/>
          <w:sz w:val="19"/>
          <w:szCs w:val="19"/>
          <w:u w:val="single" w:color="auto"/>
          <w:color w:val="auto"/>
        </w:rPr>
        <w:t>Company Waivers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To the extent permitted by Law, each Company waives presentment and demand for payment, protest,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notice of intention to accelerate, notice of acceleration and notice of protest and nonpayment, and agrees that its liability with respect to all or any part of the Obligation is not affected by any renewal or extension in the time of payment of all or any part of the Obligation, by any indulgence, or by any release or change in any security for the payment of all or any part of the Obligation.</w:t>
      </w:r>
    </w:p>
    <w:p>
      <w:pPr>
        <w:spacing w:after="0" w:line="165"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13.3 </w:t>
      </w:r>
      <w:r>
        <w:rPr>
          <w:rFonts w:ascii="Times New Roman" w:cs="Times New Roman" w:eastAsia="Times New Roman" w:hAnsi="Times New Roman"/>
          <w:sz w:val="19"/>
          <w:szCs w:val="19"/>
          <w:u w:val="single" w:color="auto"/>
          <w:color w:val="auto"/>
        </w:rPr>
        <w:t>Performance by Administrative Agent</w:t>
      </w:r>
      <w:r>
        <w:rPr>
          <w:rFonts w:ascii="Times New Roman" w:cs="Times New Roman" w:eastAsia="Times New Roman" w:hAnsi="Times New Roman"/>
          <w:sz w:val="19"/>
          <w:szCs w:val="19"/>
          <w:color w:val="auto"/>
        </w:rPr>
        <w:t xml:space="preserve">. If any covenant, duty, or agreement of any Company is not performed in accordance with the terms of the Loan Papers, Administrative Agent may, while a Default exists, at its option (but subject to the approval of Required Lenders), perform, or attempt to perform that covenant, duty, or agreement on behalf of that Company (and any amount expended by Administrative Agent in its performance or attempted performance is payable by the Companies, jointly and severally, to Administrative Agent on demand, becomes part of the Obligation, and bears interest at the Default Rate from the date of Administrative Agent’s expenditure until paid). However, Administrative Agent does not assume and shall never have,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by its express written consent, any liability or responsibility for the performance of any covenant, duty, or agreement of any Company.</w:t>
      </w:r>
    </w:p>
    <w:p>
      <w:pPr>
        <w:spacing w:after="0" w:line="171"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 xml:space="preserve">13.4 </w:t>
      </w:r>
      <w:r>
        <w:rPr>
          <w:rFonts w:ascii="Times New Roman" w:cs="Times New Roman" w:eastAsia="Times New Roman" w:hAnsi="Times New Roman"/>
          <w:sz w:val="19"/>
          <w:szCs w:val="19"/>
          <w:u w:val="single" w:color="auto"/>
          <w:color w:val="auto"/>
        </w:rPr>
        <w:t>Not in Control</w:t>
      </w:r>
      <w:r>
        <w:rPr>
          <w:rFonts w:ascii="Times New Roman" w:cs="Times New Roman" w:eastAsia="Times New Roman" w:hAnsi="Times New Roman"/>
          <w:sz w:val="19"/>
          <w:szCs w:val="19"/>
          <w:color w:val="auto"/>
        </w:rPr>
        <w:t xml:space="preserve">. None of the covenants or other provisions contained in any Loan Paper shall, or shall be deemed to, give Administrative Agent, the L/C Issuers, or Lenders the Right to exercise control over the assets (including, without limitation, real property), affairs, or management of any Company; the power of Administrative Agent, the L/C Issuers, and Lenders is limited to the Right to exercise the remedies provided in this </w:t>
      </w:r>
      <w:r>
        <w:rPr>
          <w:rFonts w:ascii="Times New Roman" w:cs="Times New Roman" w:eastAsia="Times New Roman" w:hAnsi="Times New Roman"/>
          <w:sz w:val="19"/>
          <w:szCs w:val="19"/>
          <w:b w:val="1"/>
          <w:bCs w:val="1"/>
          <w:i w:val="1"/>
          <w:iCs w:val="1"/>
          <w:color w:val="auto"/>
        </w:rPr>
        <w:t>Section 13</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13.5 </w:t>
      </w:r>
      <w:r>
        <w:rPr>
          <w:rFonts w:ascii="Times New Roman" w:cs="Times New Roman" w:eastAsia="Times New Roman" w:hAnsi="Times New Roman"/>
          <w:sz w:val="19"/>
          <w:szCs w:val="19"/>
          <w:u w:val="single" w:color="auto"/>
          <w:color w:val="auto"/>
        </w:rPr>
        <w:t>Course of Dealing</w:t>
      </w:r>
      <w:r>
        <w:rPr>
          <w:rFonts w:ascii="Times New Roman" w:cs="Times New Roman" w:eastAsia="Times New Roman" w:hAnsi="Times New Roman"/>
          <w:sz w:val="19"/>
          <w:szCs w:val="19"/>
          <w:color w:val="auto"/>
        </w:rPr>
        <w:t>. The acceptance by Administrative Agent or Lenders of any partial payment on the Obligation shall not be deemed to be a waiver of any Default then existing. No waiver by Administrative Agent, the L/C Issuers, Required Lenders, Required Revolver Lenders, Required Term Loan Lenders or Lenders of any Default shall be deemed to be a waiver of any other then-existing or subsequent Default. No delay or omission by Administrative Agent, the L/C Issuers, Required Lenders, Required Revolver Lenders, Required Term Loan Lenders or Lenders in exercising any Right under the Loan Papers will impair that Right or be construed as a waiver thereof or any acquiescence therein, nor will any single or partial exercise of any Right preclude other or further exercise thereof or the exercise of any other Right under the Loan Papers or otherwise.</w:t>
      </w:r>
    </w:p>
    <w:p>
      <w:pPr>
        <w:spacing w:after="0" w:line="184"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13.6 </w:t>
      </w:r>
      <w:r>
        <w:rPr>
          <w:rFonts w:ascii="Times New Roman" w:cs="Times New Roman" w:eastAsia="Times New Roman" w:hAnsi="Times New Roman"/>
          <w:sz w:val="19"/>
          <w:szCs w:val="19"/>
          <w:u w:val="single" w:color="auto"/>
          <w:color w:val="auto"/>
        </w:rPr>
        <w:t>Cumulative Rights</w:t>
      </w:r>
      <w:r>
        <w:rPr>
          <w:rFonts w:ascii="Times New Roman" w:cs="Times New Roman" w:eastAsia="Times New Roman" w:hAnsi="Times New Roman"/>
          <w:sz w:val="19"/>
          <w:szCs w:val="19"/>
          <w:color w:val="auto"/>
        </w:rPr>
        <w:t>. Notwithstanding anything to the contrary provided herein, all Rights available to Administrative Agent, the L/C Issuers, Required Lenders, Required Revolver Lenders, Required Term Loan Lenders and Lenders under the Loan Papers are cumulative of and in addition to all other Rights granted to Administrative Agent, the L/C Issuers, Required Lenders, Required Revolver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101</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Lenders, Required Term Loan Lenders and Lenders at Law or in equity, whether or not the Obligation is due and payable and whether or not Administrative Agent, the L/C Issuers, Required Lenders, Required Revolver Lenders, Required Term Loan Lenders or Lenders have instituted any suit for collection, foreclosure, or other action in connection with the Loan Papers.</w:t>
      </w:r>
    </w:p>
    <w:p>
      <w:pPr>
        <w:spacing w:after="0" w:line="176" w:lineRule="exact"/>
        <w:rPr>
          <w:sz w:val="20"/>
          <w:szCs w:val="20"/>
          <w:color w:val="auto"/>
        </w:rPr>
      </w:pPr>
    </w:p>
    <w:p>
      <w:pPr>
        <w:jc w:val="both"/>
        <w:ind w:firstLine="618"/>
        <w:spacing w:after="0" w:line="265"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Notwithstanding anything to the contrary contained herein or in any other Loan Paper, the authority to enforce rights and remedies hereunder and under the other Loan Papers against the Companies or any of them shall be vested exclusively in, and all actions and proceedings at law in connection with such enforcement shall be instituted and maintained exclusively by, Administrative Agent in accordance with </w:t>
      </w:r>
      <w:r>
        <w:rPr>
          <w:rFonts w:ascii="Times New Roman" w:cs="Times New Roman" w:eastAsia="Times New Roman" w:hAnsi="Times New Roman"/>
          <w:sz w:val="18"/>
          <w:szCs w:val="18"/>
          <w:b w:val="1"/>
          <w:bCs w:val="1"/>
          <w:i w:val="1"/>
          <w:iCs w:val="1"/>
          <w:color w:val="auto"/>
        </w:rPr>
        <w:t xml:space="preserve">Section 13.1 </w:t>
      </w:r>
      <w:r>
        <w:rPr>
          <w:rFonts w:ascii="Times New Roman" w:cs="Times New Roman" w:eastAsia="Times New Roman" w:hAnsi="Times New Roman"/>
          <w:sz w:val="18"/>
          <w:szCs w:val="18"/>
          <w:color w:val="auto"/>
        </w:rPr>
        <w:t>for the benefit of all the Lenders and the L/C Issuers;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shall not prohibit (a) Administrative Agent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from exercising on its own behalf the rights and remedies that inure to its benefit (solely in its capacity as Administrative Agent) hereunder and under the other Loan Papers, (b) the L/C Issuers from exercising the rights and remedies that inure to its benefit (solely in its capacity as L/C Issuer) hereunder and under the other Loan Paper, (c) any Lender from exercising setoff rights in accordance with </w:t>
      </w:r>
      <w:r>
        <w:rPr>
          <w:rFonts w:ascii="Times New Roman" w:cs="Times New Roman" w:eastAsia="Times New Roman" w:hAnsi="Times New Roman"/>
          <w:sz w:val="18"/>
          <w:szCs w:val="18"/>
          <w:b w:val="1"/>
          <w:bCs w:val="1"/>
          <w:i w:val="1"/>
          <w:iCs w:val="1"/>
          <w:color w:val="auto"/>
        </w:rPr>
        <w:t>Section 15.13</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b w:val="1"/>
          <w:bCs w:val="1"/>
          <w:i w:val="1"/>
          <w:iCs w:val="1"/>
          <w:color w:val="auto"/>
        </w:rPr>
        <w:t>Section 3.12</w:t>
      </w:r>
      <w:r>
        <w:rPr>
          <w:rFonts w:ascii="Times New Roman" w:cs="Times New Roman" w:eastAsia="Times New Roman" w:hAnsi="Times New Roman"/>
          <w:sz w:val="18"/>
          <w:szCs w:val="18"/>
          <w:color w:val="auto"/>
        </w:rPr>
        <w:t>), or (d) any Lender from filing proofs of claim or appearing and filing pleadings on its own behalf during the pendency of a proceeding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relative to any Company under any Debtor Relief Law;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Paper, then (i) Required Lenders shall have the rights otherwise ascribed to Administrative Agent pursuant to </w:t>
      </w:r>
      <w:r>
        <w:rPr>
          <w:rFonts w:ascii="Times New Roman" w:cs="Times New Roman" w:eastAsia="Times New Roman" w:hAnsi="Times New Roman"/>
          <w:sz w:val="18"/>
          <w:szCs w:val="18"/>
          <w:b w:val="1"/>
          <w:bCs w:val="1"/>
          <w:i w:val="1"/>
          <w:iCs w:val="1"/>
          <w:color w:val="auto"/>
        </w:rPr>
        <w:t xml:space="preserve">Section 13.1 </w:t>
      </w:r>
      <w:r>
        <w:rPr>
          <w:rFonts w:ascii="Times New Roman" w:cs="Times New Roman" w:eastAsia="Times New Roman" w:hAnsi="Times New Roman"/>
          <w:sz w:val="18"/>
          <w:szCs w:val="18"/>
          <w:color w:val="auto"/>
        </w:rPr>
        <w:t>and (ii) in addition to the matters set forth in</w:t>
      </w:r>
      <w:r>
        <w:rPr>
          <w:rFonts w:ascii="Times New Roman" w:cs="Times New Roman" w:eastAsia="Times New Roman" w:hAnsi="Times New Roman"/>
          <w:sz w:val="18"/>
          <w:szCs w:val="18"/>
          <w:b w:val="1"/>
          <w:bCs w:val="1"/>
          <w:i w:val="1"/>
          <w:iCs w:val="1"/>
          <w:color w:val="auto"/>
        </w:rPr>
        <w:t xml:space="preserve"> clauses (b)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i w:val="1"/>
          <w:iCs w:val="1"/>
          <w:color w:val="auto"/>
        </w:rPr>
        <w:t xml:space="preserve"> (d) </w:t>
      </w:r>
      <w:r>
        <w:rPr>
          <w:rFonts w:ascii="Times New Roman" w:cs="Times New Roman" w:eastAsia="Times New Roman" w:hAnsi="Times New Roman"/>
          <w:sz w:val="18"/>
          <w:szCs w:val="18"/>
          <w:color w:val="auto"/>
        </w:rPr>
        <w:t>of the preceding proviso and subject to</w:t>
      </w:r>
      <w:r>
        <w:rPr>
          <w:rFonts w:ascii="Times New Roman" w:cs="Times New Roman" w:eastAsia="Times New Roman" w:hAnsi="Times New Roman"/>
          <w:sz w:val="18"/>
          <w:szCs w:val="18"/>
          <w:b w:val="1"/>
          <w:bCs w:val="1"/>
          <w:i w:val="1"/>
          <w:iCs w:val="1"/>
          <w:color w:val="auto"/>
        </w:rPr>
        <w:t xml:space="preserve"> Section 3.12</w:t>
      </w:r>
      <w:r>
        <w:rPr>
          <w:rFonts w:ascii="Times New Roman" w:cs="Times New Roman" w:eastAsia="Times New Roman" w:hAnsi="Times New Roman"/>
          <w:sz w:val="18"/>
          <w:szCs w:val="18"/>
          <w:color w:val="auto"/>
        </w:rPr>
        <w:t>, any Lender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with the consent of Required Lenders, enforce any rights and remedies available to it and as authorized by Required Lenders.</w:t>
      </w:r>
    </w:p>
    <w:p>
      <w:pPr>
        <w:spacing w:after="0" w:line="181"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13.8 </w:t>
      </w:r>
      <w:r>
        <w:rPr>
          <w:rFonts w:ascii="Times New Roman" w:cs="Times New Roman" w:eastAsia="Times New Roman" w:hAnsi="Times New Roman"/>
          <w:sz w:val="19"/>
          <w:szCs w:val="19"/>
          <w:u w:val="single" w:color="auto"/>
          <w:color w:val="auto"/>
        </w:rPr>
        <w:t>Application of Proceeds</w:t>
      </w:r>
      <w:r>
        <w:rPr>
          <w:rFonts w:ascii="Times New Roman" w:cs="Times New Roman" w:eastAsia="Times New Roman" w:hAnsi="Times New Roman"/>
          <w:sz w:val="19"/>
          <w:szCs w:val="19"/>
          <w:color w:val="auto"/>
        </w:rPr>
        <w:t xml:space="preserve">. Any and all proceeds ever received by Administrative Agent or Lenders from the exercise of any Rights pertaining to the Obligation shall be applied to the Obligation according to </w:t>
      </w:r>
      <w:r>
        <w:rPr>
          <w:rFonts w:ascii="Times New Roman" w:cs="Times New Roman" w:eastAsia="Times New Roman" w:hAnsi="Times New Roman"/>
          <w:sz w:val="19"/>
          <w:szCs w:val="19"/>
          <w:b w:val="1"/>
          <w:bCs w:val="1"/>
          <w:i w:val="1"/>
          <w:iCs w:val="1"/>
          <w:color w:val="auto"/>
        </w:rPr>
        <w:t>Section 3.10</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13.9 </w:t>
      </w:r>
      <w:r>
        <w:rPr>
          <w:rFonts w:ascii="Times New Roman" w:cs="Times New Roman" w:eastAsia="Times New Roman" w:hAnsi="Times New Roman"/>
          <w:sz w:val="19"/>
          <w:szCs w:val="19"/>
          <w:u w:val="single" w:color="auto"/>
          <w:color w:val="auto"/>
        </w:rPr>
        <w:t>Diminution in Value of Collateral</w:t>
      </w:r>
      <w:r>
        <w:rPr>
          <w:rFonts w:ascii="Times New Roman" w:cs="Times New Roman" w:eastAsia="Times New Roman" w:hAnsi="Times New Roman"/>
          <w:sz w:val="19"/>
          <w:szCs w:val="19"/>
          <w:color w:val="auto"/>
        </w:rPr>
        <w:t>. Neither Administrative Agent nor any Lender has any liability or responsibility whatsoever for any diminution in or loss of value of any Collateral or other collateral ever securing payment or performance of all or any part of the Obligation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diminution in or loss of value caused by its gross negligence or willful misconduct).</w:t>
      </w:r>
    </w:p>
    <w:p>
      <w:pPr>
        <w:spacing w:after="0" w:line="176"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13.10 </w:t>
      </w:r>
      <w:r>
        <w:rPr>
          <w:rFonts w:ascii="Times New Roman" w:cs="Times New Roman" w:eastAsia="Times New Roman" w:hAnsi="Times New Roman"/>
          <w:sz w:val="19"/>
          <w:szCs w:val="19"/>
          <w:u w:val="single" w:color="auto"/>
          <w:color w:val="auto"/>
        </w:rPr>
        <w:t>Certain Proceedings</w:t>
      </w:r>
      <w:r>
        <w:rPr>
          <w:rFonts w:ascii="Times New Roman" w:cs="Times New Roman" w:eastAsia="Times New Roman" w:hAnsi="Times New Roman"/>
          <w:sz w:val="19"/>
          <w:szCs w:val="19"/>
          <w:color w:val="auto"/>
        </w:rPr>
        <w:t>. The Companies will promptly execute and deliver, or cause the execution and delivery of, all applications, certificates, instruments, registration statements and all other documents and papers Administrative Agent, the L/C Issuers, Required Lenders, Required Revolver Lenders, Required Term Loan Lenders or Lenders reasonably request in connection with the obtaining of any consent, approval, registration, qualification, permit, license, or authorization of any Governmental Authority or other Person necessary or appropriate for the effective exercise of any Rights under the Loan Papers. Because Borrower agrees that Administrative Agent’s, the L/C Issuers’, Required Lenders’, Required Revolver Lenders’, Required Term Loan Lenders’ and Lenders’ remedies at Law for failure of the Companies to comply with the provisions of this paragraph would be inadequate and that failure would not be adequately compensable in damages, Borrower agrees that the covenants of this paragraph may be specifically enforced.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SECTION 14  ADMINISTRATIVE AGENT.</w:t>
      </w:r>
    </w:p>
    <w:p>
      <w:pPr>
        <w:spacing w:after="0" w:line="210"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14.1 </w:t>
      </w:r>
      <w:r>
        <w:rPr>
          <w:rFonts w:ascii="Times New Roman" w:cs="Times New Roman" w:eastAsia="Times New Roman" w:hAnsi="Times New Roman"/>
          <w:sz w:val="19"/>
          <w:szCs w:val="19"/>
          <w:u w:val="single" w:color="auto"/>
          <w:color w:val="auto"/>
        </w:rPr>
        <w:t>Appointment and Authority</w:t>
      </w:r>
      <w:r>
        <w:rPr>
          <w:rFonts w:ascii="Times New Roman" w:cs="Times New Roman" w:eastAsia="Times New Roman" w:hAnsi="Times New Roman"/>
          <w:sz w:val="19"/>
          <w:szCs w:val="19"/>
          <w:color w:val="auto"/>
        </w:rPr>
        <w:t>. Each Lender and each L/C Issuer hereby irrevocably appoints Bank of America to act on its behalf as Administrative Agent hereunder and under the other Loan Papers and authorizes Administrative Agent to take such actions on its behalf and to exercise such</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102</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powers as are delegated to Administrative Agent by the terms hereof or thereof, together with such actions and powers as are reasonably incidental thereto. The provisions of this Article are solely for the benefit of Administrative Agent, Lenders, and the L/C Issuers, and neither Borrower nor any other Company have rights as a third party beneficiary of any of such provisions. It is understood and agreed that the use of the term “</w:t>
      </w:r>
      <w:r>
        <w:rPr>
          <w:rFonts w:ascii="Times New Roman" w:cs="Times New Roman" w:eastAsia="Times New Roman" w:hAnsi="Times New Roman"/>
          <w:sz w:val="19"/>
          <w:szCs w:val="19"/>
          <w:i w:val="1"/>
          <w:iCs w:val="1"/>
          <w:color w:val="auto"/>
        </w:rPr>
        <w:t>agent</w:t>
      </w:r>
      <w:r>
        <w:rPr>
          <w:rFonts w:ascii="Times New Roman" w:cs="Times New Roman" w:eastAsia="Times New Roman" w:hAnsi="Times New Roman"/>
          <w:sz w:val="19"/>
          <w:szCs w:val="19"/>
          <w:color w:val="auto"/>
        </w:rPr>
        <w:t>” herein or in any other Loan Papers (or any other similar term) with reference to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4"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14.2 </w:t>
      </w:r>
      <w:r>
        <w:rPr>
          <w:rFonts w:ascii="Times New Roman" w:cs="Times New Roman" w:eastAsia="Times New Roman" w:hAnsi="Times New Roman"/>
          <w:sz w:val="19"/>
          <w:szCs w:val="19"/>
          <w:u w:val="single" w:color="auto"/>
          <w:color w:val="auto"/>
        </w:rPr>
        <w:t>Delegation of Duties</w:t>
      </w:r>
      <w:r>
        <w:rPr>
          <w:rFonts w:ascii="Times New Roman" w:cs="Times New Roman" w:eastAsia="Times New Roman" w:hAnsi="Times New Roman"/>
          <w:sz w:val="19"/>
          <w:szCs w:val="19"/>
          <w:color w:val="auto"/>
        </w:rPr>
        <w:t>. Administrative Agent may perform any and all of its duties and exercise its rights and powers hereunder or under any other Loan Paper by or through any one or more sub-agents appointed in good faith by Administrative Agent. Administrative Agent and any such sub-agent may perform any and all of its duties and exercise its rights and powers by or through their respective Related Parties. The exculpatory provisions of this Article shall apply to any such sub-agent and to the Related Parties of Administrative Agent and any such sub-agent, and shall apply to their respective activities in connection with the syndication of the credit facilities provided for herein as well as activities as Administrative Agent. Administrative Agent shall not be responsible for the negligence or misconduct of any sub-agents except to the extent that a court of competent jurisdiction determines in a final and non-appealable judgment that Administrative Agent acted with gross negligence or willful misconduct in the selection of such sub-agents.</w:t>
      </w:r>
    </w:p>
    <w:p>
      <w:pPr>
        <w:spacing w:after="0" w:line="174"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14.3 </w:t>
      </w:r>
      <w:r>
        <w:rPr>
          <w:rFonts w:ascii="Times New Roman" w:cs="Times New Roman" w:eastAsia="Times New Roman" w:hAnsi="Times New Roman"/>
          <w:sz w:val="19"/>
          <w:szCs w:val="19"/>
          <w:u w:val="single" w:color="auto"/>
          <w:color w:val="auto"/>
        </w:rPr>
        <w:t>Rights as a Lender</w:t>
      </w:r>
      <w:r>
        <w:rPr>
          <w:rFonts w:ascii="Times New Roman" w:cs="Times New Roman" w:eastAsia="Times New Roman" w:hAnsi="Times New Roman"/>
          <w:sz w:val="19"/>
          <w:szCs w:val="19"/>
          <w:color w:val="auto"/>
        </w:rPr>
        <w:t>. The Person serving as Administrative Agent hereunder shall have the same rights and powers in its capacity as a Lender as any other Lender and may exercise the same as though it were not Administrative Agent and the term “</w:t>
      </w:r>
      <w:r>
        <w:rPr>
          <w:rFonts w:ascii="Times New Roman" w:cs="Times New Roman" w:eastAsia="Times New Roman" w:hAnsi="Times New Roman"/>
          <w:sz w:val="19"/>
          <w:szCs w:val="19"/>
          <w:i w:val="1"/>
          <w:iCs w:val="1"/>
          <w:color w:val="auto"/>
        </w:rPr>
        <w:t>Lender</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i w:val="1"/>
          <w:iCs w:val="1"/>
          <w:color w:val="auto"/>
        </w:rPr>
        <w:t>Lenders</w:t>
      </w:r>
      <w:r>
        <w:rPr>
          <w:rFonts w:ascii="Times New Roman" w:cs="Times New Roman" w:eastAsia="Times New Roman" w:hAnsi="Times New Roman"/>
          <w:sz w:val="19"/>
          <w:szCs w:val="19"/>
          <w:color w:val="auto"/>
        </w:rPr>
        <w:t>” shall, unless otherwise expressly indicated or unless the context otherwise requires, include the Person serving as Administrative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Administrative Agent hereunder and without any duty to account therefor to Lenders. Lenders acknowledge that, pursuant to such activities, Bank of America or its Affiliates may receive information regarding any Restricted Company or its Affiliates (including information that may be subject to confidentiality obligations in favor of such Restricted Company or such Affiliate) and acknowledge that Administrative Agent shall be under no obligation to provide such information to them.</w:t>
      </w:r>
    </w:p>
    <w:p>
      <w:pPr>
        <w:spacing w:after="0" w:line="189"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19"/>
          <w:szCs w:val="19"/>
          <w:color w:val="auto"/>
        </w:rPr>
        <w:t xml:space="preserve">14.4 </w:t>
      </w:r>
      <w:r>
        <w:rPr>
          <w:rFonts w:ascii="Times New Roman" w:cs="Times New Roman" w:eastAsia="Times New Roman" w:hAnsi="Times New Roman"/>
          <w:sz w:val="19"/>
          <w:szCs w:val="19"/>
          <w:u w:val="single" w:color="auto"/>
          <w:color w:val="auto"/>
        </w:rPr>
        <w:t>Reliance by Administrative Agent</w:t>
      </w:r>
      <w:r>
        <w:rPr>
          <w:rFonts w:ascii="Times New Roman" w:cs="Times New Roman" w:eastAsia="Times New Roman" w:hAnsi="Times New Roman"/>
          <w:sz w:val="19"/>
          <w:szCs w:val="19"/>
          <w:color w:val="auto"/>
        </w:rPr>
        <w:t>.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an L/C, that by its terms must be fulfilled to the satisfaction of a Lender or an L/C Issuer, Administrative Agent may presume that such condition is satisfactory to such Lender or the applicable L/C Issuer unless Administrative Agent shall have received notice to the contrary from such Lender or the applicable L/C Issuer prior to the making of such Loan or the issuance of such L/C. Administrative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103</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21"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14.5 </w:t>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 Administrative Agent shall not have any duties or obligations except those expressly set forth herein and in the other Loan Papers, and its duties hereunder shall be administrative in nature. Without limiting the generality of the foregoing, Administrative Agent:</w:t>
      </w:r>
    </w:p>
    <w:p>
      <w:pPr>
        <w:spacing w:after="0" w:line="176" w:lineRule="exact"/>
        <w:rPr>
          <w:sz w:val="20"/>
          <w:szCs w:val="20"/>
          <w:color w:val="auto"/>
        </w:rPr>
      </w:pPr>
    </w:p>
    <w:p>
      <w:pPr>
        <w:ind w:left="1200" w:hanging="424"/>
        <w:spacing w:after="0"/>
        <w:tabs>
          <w:tab w:leader="none" w:pos="120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be subject to any fiduciary or other implied duties, regardless of whether a Default or Potential Default has occurred and is</w:t>
      </w:r>
    </w:p>
    <w:p>
      <w:pPr>
        <w:spacing w:after="0" w:line="20"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continuing;</w:t>
      </w:r>
    </w:p>
    <w:p>
      <w:pPr>
        <w:spacing w:after="0" w:line="199" w:lineRule="exact"/>
        <w:rPr>
          <w:rFonts w:ascii="Times New Roman" w:cs="Times New Roman" w:eastAsia="Times New Roman" w:hAnsi="Times New Roman"/>
          <w:sz w:val="19"/>
          <w:szCs w:val="19"/>
          <w:color w:val="auto"/>
        </w:rPr>
      </w:pPr>
    </w:p>
    <w:p>
      <w:pPr>
        <w:jc w:val="both"/>
        <w:ind w:firstLine="776"/>
        <w:spacing w:after="0" w:line="254" w:lineRule="auto"/>
        <w:tabs>
          <w:tab w:leader="none" w:pos="1193"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not have any duty to take any discretionary action or exercise any discretionary powers, except discretionary rights and powers expressly contemplated hereby or by the other Loan Papers that Administrative Agent is required to exercise as directed in writing by Required Lenders, Required Revolver Lenders or Required Term Loan Lenders, as applicable (or such other number or percentage of Lenders as shall be expressly provided for herein or in the other Loan Papers),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Administrative Agent shall not be required to take any action that, in its opinion or the opinion of its counsel, may expose Administrative Agent to liability or that is contrary to any Loan Paper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1" w:lineRule="exact"/>
        <w:rPr>
          <w:rFonts w:ascii="Times New Roman" w:cs="Times New Roman" w:eastAsia="Times New Roman" w:hAnsi="Times New Roman"/>
          <w:sz w:val="19"/>
          <w:szCs w:val="19"/>
          <w:color w:val="auto"/>
        </w:rPr>
      </w:pPr>
    </w:p>
    <w:p>
      <w:pPr>
        <w:jc w:val="both"/>
        <w:ind w:firstLine="776"/>
        <w:spacing w:after="0" w:line="261" w:lineRule="auto"/>
        <w:tabs>
          <w:tab w:leader="none" w:pos="1194"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except as expressly set forth herein and in the other Loan Papers, have any duty to disclose, and shall not be liable for the failure to disclose, any information relating to Borrower or any of its Affiliates that is communicated to or obtained by the Person serving as Administrative Agent or any of its Affiliates in any capacity.</w:t>
      </w:r>
    </w:p>
    <w:p>
      <w:pPr>
        <w:spacing w:after="0" w:line="176" w:lineRule="exact"/>
        <w:rPr>
          <w:sz w:val="20"/>
          <w:szCs w:val="20"/>
          <w:color w:val="auto"/>
        </w:rPr>
      </w:pPr>
    </w:p>
    <w:p>
      <w:pPr>
        <w:jc w:val="both"/>
        <w:ind w:firstLine="773"/>
        <w:spacing w:after="0" w:line="254" w:lineRule="auto"/>
        <w:rPr>
          <w:sz w:val="20"/>
          <w:szCs w:val="20"/>
          <w:color w:val="auto"/>
        </w:rPr>
      </w:pPr>
      <w:r>
        <w:rPr>
          <w:rFonts w:ascii="Times New Roman" w:cs="Times New Roman" w:eastAsia="Times New Roman" w:hAnsi="Times New Roman"/>
          <w:sz w:val="19"/>
          <w:szCs w:val="19"/>
          <w:color w:val="auto"/>
        </w:rPr>
        <w:t xml:space="preserve">Administrative Agent shall not be liable for any action taken or not taken by it (i) with the consent or at the request of Required Lenders, Required Revolver Lenders or Required Term Loan Lenders, as applicable (or such other number or percentage of Lenders as shall be necessary, or as Administrative Agent shall believe in good faith shall be necessary, under the circumstances as provided in </w:t>
      </w:r>
      <w:r>
        <w:rPr>
          <w:rFonts w:ascii="Times New Roman" w:cs="Times New Roman" w:eastAsia="Times New Roman" w:hAnsi="Times New Roman"/>
          <w:sz w:val="19"/>
          <w:szCs w:val="19"/>
          <w:b w:val="1"/>
          <w:bCs w:val="1"/>
          <w:i w:val="1"/>
          <w:iCs w:val="1"/>
          <w:color w:val="auto"/>
        </w:rPr>
        <w:t>Sections 15.9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13.1</w:t>
      </w:r>
      <w:r>
        <w:rPr>
          <w:rFonts w:ascii="Times New Roman" w:cs="Times New Roman" w:eastAsia="Times New Roman" w:hAnsi="Times New Roman"/>
          <w:sz w:val="19"/>
          <w:szCs w:val="19"/>
          <w:color w:val="auto"/>
        </w:rPr>
        <w:t>), or (ii) in the absence of its own gross negligence or willful misconduct as determined by a court of competent jurisdiction by final and nonappealable judgment. Administrative Agent shall be deemed not to have knowledge of any Default or Potential Default unless and until notice describing such Default or Potential Default is given to Administrative Agent by Borrower, a Lender, or an L/C Issuer.</w:t>
      </w:r>
    </w:p>
    <w:p>
      <w:pPr>
        <w:spacing w:after="0" w:line="171" w:lineRule="exact"/>
        <w:rPr>
          <w:sz w:val="20"/>
          <w:szCs w:val="20"/>
          <w:color w:val="auto"/>
        </w:rPr>
      </w:pPr>
    </w:p>
    <w:p>
      <w:pPr>
        <w:jc w:val="both"/>
        <w:ind w:firstLine="773"/>
        <w:spacing w:after="0" w:line="254" w:lineRule="auto"/>
        <w:rPr>
          <w:sz w:val="20"/>
          <w:szCs w:val="20"/>
          <w:color w:val="auto"/>
        </w:rPr>
      </w:pPr>
      <w:r>
        <w:rPr>
          <w:rFonts w:ascii="Times New Roman" w:cs="Times New Roman" w:eastAsia="Times New Roman" w:hAnsi="Times New Roman"/>
          <w:sz w:val="19"/>
          <w:szCs w:val="19"/>
          <w:color w:val="auto"/>
        </w:rPr>
        <w:t xml:space="preserve">Administrative Agent shall not be responsible for or have any duty to ascertain or inquire into (i) any statement, warranty, or representation made in or in connection with this Agreement or any other Loan Paper,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Potential Default, (iv) the validity, enforceability, effectiveness, or genuineness of this Agreement, any other Loan Paper, or any other agreement, instrument, or document, or (v) the satisfaction of any condition set forth in </w:t>
      </w:r>
      <w:r>
        <w:rPr>
          <w:rFonts w:ascii="Times New Roman" w:cs="Times New Roman" w:eastAsia="Times New Roman" w:hAnsi="Times New Roman"/>
          <w:sz w:val="19"/>
          <w:szCs w:val="19"/>
          <w:b w:val="1"/>
          <w:bCs w:val="1"/>
          <w:i w:val="1"/>
          <w:iCs w:val="1"/>
          <w:color w:val="auto"/>
        </w:rPr>
        <w:t>Section 7</w:t>
      </w:r>
      <w:r>
        <w:rPr>
          <w:rFonts w:ascii="Times New Roman" w:cs="Times New Roman" w:eastAsia="Times New Roman" w:hAnsi="Times New Roman"/>
          <w:sz w:val="19"/>
          <w:szCs w:val="19"/>
          <w:color w:val="auto"/>
        </w:rPr>
        <w:t xml:space="preserve"> or elsewhere herein, other than to confirm receipt of items expressly required to be delivered to Administrative Agent.</w:t>
      </w:r>
    </w:p>
    <w:p>
      <w:pPr>
        <w:spacing w:after="0" w:line="184"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14.6 </w:t>
      </w:r>
      <w:r>
        <w:rPr>
          <w:rFonts w:ascii="Times New Roman" w:cs="Times New Roman" w:eastAsia="Times New Roman" w:hAnsi="Times New Roman"/>
          <w:sz w:val="19"/>
          <w:szCs w:val="19"/>
          <w:u w:val="single" w:color="auto"/>
          <w:color w:val="auto"/>
        </w:rPr>
        <w:t>Resignation or Removal as Administrative Agent</w:t>
      </w:r>
      <w:r>
        <w:rPr>
          <w:rFonts w:ascii="Times New Roman" w:cs="Times New Roman" w:eastAsia="Times New Roman" w:hAnsi="Times New Roman"/>
          <w:sz w:val="19"/>
          <w:szCs w:val="19"/>
          <w:color w:val="auto"/>
        </w:rPr>
        <w:t>. (a) Administrative Agent may at any time give notice of its resignation to Lenders, the L/C Issuers, and Borrower. Upon receipt of any such notice of resignation, Required Lenders shall have the right to appoint a successor, which shall be a bank with an office in the United States, or an Affiliate of any such bank with an office in the United States, and shall be consented to by Borrower at all times other than during the existence of a Default or Potential Default (which consent of Borrower shall not be unreasonably withheld). If no such successor shall have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104</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been so appointed by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9"/>
          <w:szCs w:val="19"/>
          <w:b w:val="1"/>
          <w:bCs w:val="1"/>
          <w:i w:val="1"/>
          <w:iCs w:val="1"/>
          <w:color w:val="auto"/>
        </w:rPr>
        <w:t>Resignation Effective Date</w:t>
      </w:r>
      <w:r>
        <w:rPr>
          <w:rFonts w:ascii="Times New Roman" w:cs="Times New Roman" w:eastAsia="Times New Roman" w:hAnsi="Times New Roman"/>
          <w:sz w:val="19"/>
          <w:szCs w:val="19"/>
          <w:color w:val="auto"/>
        </w:rPr>
        <w:t xml:space="preserve">”), then the retiring Administrative Agent may, after consultation with Borrower, on behalf of Lenders and the L/C Issuers, appoint a successor Administrative Agent meeting the qualifications set forth above;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if Administrative Agent shall notify Borrower and Lenders that no qualifying Person has accepted such appointment, then such resignation shall nonetheless become effective in accordance with such notice.</w:t>
      </w:r>
    </w:p>
    <w:p>
      <w:pPr>
        <w:spacing w:after="0" w:line="177" w:lineRule="exact"/>
        <w:rPr>
          <w:sz w:val="20"/>
          <w:szCs w:val="20"/>
          <w:color w:val="auto"/>
        </w:rPr>
      </w:pPr>
    </w:p>
    <w:p>
      <w:pPr>
        <w:jc w:val="both"/>
        <w:ind w:firstLine="776"/>
        <w:spacing w:after="0" w:line="256" w:lineRule="auto"/>
        <w:tabs>
          <w:tab w:leader="none" w:pos="1224"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Person serving as Administrative Agent is a Defaulting Lender pursuant to </w:t>
      </w:r>
      <w:r>
        <w:rPr>
          <w:rFonts w:ascii="Times New Roman" w:cs="Times New Roman" w:eastAsia="Times New Roman" w:hAnsi="Times New Roman"/>
          <w:sz w:val="19"/>
          <w:szCs w:val="19"/>
          <w:b w:val="1"/>
          <w:bCs w:val="1"/>
          <w:i w:val="1"/>
          <w:iCs w:val="1"/>
          <w:color w:val="auto"/>
        </w:rPr>
        <w:t>clause (d)</w:t>
      </w:r>
      <w:r>
        <w:rPr>
          <w:rFonts w:ascii="Times New Roman" w:cs="Times New Roman" w:eastAsia="Times New Roman" w:hAnsi="Times New Roman"/>
          <w:sz w:val="19"/>
          <w:szCs w:val="19"/>
          <w:color w:val="auto"/>
        </w:rPr>
        <w:t xml:space="preserve"> of the definition thereof, the Required Lenders may, to the extent permitted by applicable law, by notice in writing to Borrower and such Person remove such Person as Administrative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9"/>
          <w:szCs w:val="19"/>
          <w:b w:val="1"/>
          <w:bCs w:val="1"/>
          <w:i w:val="1"/>
          <w:iCs w:val="1"/>
          <w:color w:val="auto"/>
        </w:rPr>
        <w:t>Removal Effective Date</w:t>
      </w:r>
      <w:r>
        <w:rPr>
          <w:rFonts w:ascii="Times New Roman" w:cs="Times New Roman" w:eastAsia="Times New Roman" w:hAnsi="Times New Roman"/>
          <w:sz w:val="19"/>
          <w:szCs w:val="19"/>
          <w:color w:val="auto"/>
        </w:rPr>
        <w:t>”), then such removal shall nonetheless become effective in accordance with such notice on the Removal Effective Date.</w:t>
      </w:r>
    </w:p>
    <w:p>
      <w:pPr>
        <w:spacing w:after="0" w:line="180" w:lineRule="exact"/>
        <w:rPr>
          <w:rFonts w:ascii="Times New Roman" w:cs="Times New Roman" w:eastAsia="Times New Roman" w:hAnsi="Times New Roman"/>
          <w:sz w:val="19"/>
          <w:szCs w:val="19"/>
          <w:color w:val="auto"/>
        </w:rPr>
      </w:pPr>
    </w:p>
    <w:p>
      <w:pPr>
        <w:jc w:val="both"/>
        <w:ind w:firstLine="776"/>
        <w:spacing w:after="0" w:line="254" w:lineRule="auto"/>
        <w:tabs>
          <w:tab w:leader="none" w:pos="1329"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effect from the Resignation Effective Date or the Removal Effective Date (as applicable) (1) the retiring or removed Administrative Agent shall be discharged from its duties and obligations hereunder and under the other Loan Papers (except that in the case of any collateral security held by Administrative Agent on behalf of Lenders or the L/C Issuers under any of the Loan Papers, the retiring Administrative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Agent shall continue to hold such collateral security until such time as a successor Administrative Agent or collateral agent is appointed), and</w:t>
      </w:r>
    </w:p>
    <w:p>
      <w:pPr>
        <w:spacing w:after="0" w:line="8" w:lineRule="exact"/>
        <w:rPr>
          <w:sz w:val="20"/>
          <w:szCs w:val="20"/>
          <w:color w:val="auto"/>
        </w:rPr>
      </w:pPr>
    </w:p>
    <w:p>
      <w:pPr>
        <w:jc w:val="both"/>
        <w:ind w:firstLine="3"/>
        <w:spacing w:after="0" w:line="265" w:lineRule="auto"/>
        <w:tabs>
          <w:tab w:leader="none" w:pos="26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indemnity payments or other amounts then owed to the retiring or removed Administrative Agent, all payments, communications, and determinations provided to be made by, to, or through Administrative Agent shall instead be made by or to each Lender and the applicable L/C Issuer directly, until such time as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8"/>
          <w:szCs w:val="18"/>
          <w:b w:val="1"/>
          <w:bCs w:val="1"/>
          <w:i w:val="1"/>
          <w:iCs w:val="1"/>
          <w:color w:val="auto"/>
        </w:rPr>
        <w:t>Section 4.1(g)</w:t>
      </w:r>
      <w:r>
        <w:rPr>
          <w:rFonts w:ascii="Times New Roman" w:cs="Times New Roman" w:eastAsia="Times New Roman" w:hAnsi="Times New Roman"/>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Papers (if not already discharged therefrom as provided above in this Section). The fees payable by Borrower to a successor Administrative Agent shall be the same as those payable to its predecessor unless otherwise agreed between Borrower and such successor. After the retiring Administrative Agent’s resignation hereunder and under the other Loan Papers, the provisions of this </w:t>
      </w:r>
      <w:r>
        <w:rPr>
          <w:rFonts w:ascii="Times New Roman" w:cs="Times New Roman" w:eastAsia="Times New Roman" w:hAnsi="Times New Roman"/>
          <w:sz w:val="18"/>
          <w:szCs w:val="18"/>
          <w:b w:val="1"/>
          <w:bCs w:val="1"/>
          <w:i w:val="1"/>
          <w:iCs w:val="1"/>
          <w:color w:val="auto"/>
        </w:rPr>
        <w:t>Section 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Section 15.4</w:t>
      </w:r>
      <w:r>
        <w:rPr>
          <w:rFonts w:ascii="Times New Roman" w:cs="Times New Roman" w:eastAsia="Times New Roman" w:hAnsi="Times New Roman"/>
          <w:sz w:val="18"/>
          <w:szCs w:val="18"/>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61" w:lineRule="exact"/>
        <w:rPr>
          <w:sz w:val="20"/>
          <w:szCs w:val="20"/>
          <w:color w:val="auto"/>
        </w:rPr>
      </w:pPr>
    </w:p>
    <w:p>
      <w:pPr>
        <w:jc w:val="both"/>
        <w:ind w:firstLine="773"/>
        <w:spacing w:after="0" w:line="254" w:lineRule="auto"/>
        <w:rPr>
          <w:sz w:val="20"/>
          <w:szCs w:val="20"/>
          <w:color w:val="auto"/>
        </w:rPr>
      </w:pPr>
      <w:r>
        <w:rPr>
          <w:rFonts w:ascii="Times New Roman" w:cs="Times New Roman" w:eastAsia="Times New Roman" w:hAnsi="Times New Roman"/>
          <w:sz w:val="19"/>
          <w:szCs w:val="19"/>
          <w:color w:val="auto"/>
        </w:rPr>
        <w:t xml:space="preserve">Any resignation by Bank of America as Administrative Agent pursuant to this Section shall also constitute its resignation as L/C Issuer. If Bank of America resigns as an L/C Issuer, it shall retain all the rights, powers, privileges and duties of an L/C Issuer hereunder with respect to all L/Cs outstanding as of the effective date of its resignation as an L/C Issuer and all L/C Obligations with respect thereto, including the right to require the Lenders to make Base Rate Loans, Daily SOFR Rate Loans or fund risk participations in Unreimbursed Amounts pursuant to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2.3(c)</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Upon the appointment by Borrower of a successor L/C Issuer hereunder (which successor shall in all cases be a Lender other than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Defaulting Lender), (a) such successor shall succeed to and become vested with all of the rights, powers, privileges, and duties of the retiring L/C Issuer, (b) the retiring L/C Issuer shall be discharged from all of</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105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their respective duties and obligations hereunder or under the other Loan Papers, and (c) the successor L/C Issuer shall issue letters of credit in substitution for the L/Cs, if any, outstanding at the time of such succession or make other arrangements satisfactory to the retiring L/C Issuer to effectively assume the obligations of the retiring L/C Issuer with respect to such L/Cs.</w:t>
      </w:r>
    </w:p>
    <w:p>
      <w:pPr>
        <w:spacing w:after="0" w:line="176"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14.7 </w:t>
      </w:r>
      <w:r>
        <w:rPr>
          <w:rFonts w:ascii="Times New Roman" w:cs="Times New Roman" w:eastAsia="Times New Roman" w:hAnsi="Times New Roman"/>
          <w:sz w:val="19"/>
          <w:szCs w:val="19"/>
          <w:u w:val="single" w:color="auto"/>
          <w:color w:val="auto"/>
        </w:rPr>
        <w:t>Non-Reliance on Administrative Agent and Other Lenders</w:t>
      </w:r>
      <w:r>
        <w:rPr>
          <w:rFonts w:ascii="Times New Roman" w:cs="Times New Roman" w:eastAsia="Times New Roman" w:hAnsi="Times New Roman"/>
          <w:sz w:val="19"/>
          <w:szCs w:val="19"/>
          <w:color w:val="auto"/>
        </w:rPr>
        <w:t>. Each Lender and each L/C Issuer acknowledges that it has, independently and without reliance upon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Paper, or any related agreement or any document furnished hereunder or thereunder.</w:t>
      </w:r>
    </w:p>
    <w:p>
      <w:pPr>
        <w:spacing w:after="0" w:line="200" w:lineRule="exact"/>
        <w:rPr>
          <w:sz w:val="20"/>
          <w:szCs w:val="20"/>
          <w:color w:val="auto"/>
        </w:rPr>
      </w:pPr>
    </w:p>
    <w:p>
      <w:pPr>
        <w:spacing w:after="0" w:line="214"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 xml:space="preserve">14.8 </w:t>
      </w:r>
      <w:r>
        <w:rPr>
          <w:rFonts w:ascii="Times New Roman" w:cs="Times New Roman" w:eastAsia="Times New Roman" w:hAnsi="Times New Roman"/>
          <w:sz w:val="19"/>
          <w:szCs w:val="19"/>
          <w:u w:val="single" w:color="auto"/>
          <w:color w:val="auto"/>
        </w:rPr>
        <w:t>Administrative Agent May File Proofs of Claim</w:t>
      </w:r>
      <w:r>
        <w:rPr>
          <w:rFonts w:ascii="Times New Roman" w:cs="Times New Roman" w:eastAsia="Times New Roman" w:hAnsi="Times New Roman"/>
          <w:sz w:val="19"/>
          <w:szCs w:val="19"/>
          <w:color w:val="auto"/>
        </w:rPr>
        <w:t>. In case of the pendency of any proceeding under any Debtor Relief Law or any other judicial proceeding relative to any Restricted Company, Administrative Agent (irrespective of whether the principal of any Loan or L/C Exposure shall then be due and payable as herein expressed or by declaration or otherwise and irrespective of whether Administrative Agent shall have made any demand on Borrower) shall be entitled and empowered, by intervention in such proceeding or otherwise:</w:t>
      </w:r>
    </w:p>
    <w:p>
      <w:pPr>
        <w:spacing w:after="0" w:line="164" w:lineRule="exact"/>
        <w:rPr>
          <w:sz w:val="20"/>
          <w:szCs w:val="20"/>
          <w:color w:val="auto"/>
        </w:rPr>
      </w:pPr>
    </w:p>
    <w:p>
      <w:pPr>
        <w:jc w:val="both"/>
        <w:ind w:firstLine="776"/>
        <w:spacing w:after="0" w:line="258" w:lineRule="auto"/>
        <w:tabs>
          <w:tab w:leader="none" w:pos="1182"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file and prove a claim for the whole amount of the principal and interest owing and unpaid in respect of the Loans, L/C Exposure, and all other Obligation that are owing and unpaid and to file such other documents as may be necessary or advisable in order to have the claims of Lenders and Administrative Agent (including any claim for the reasonable compensation, expenses, disbursements, and advances of Lenders and Administrative Agent, and their respective agents and counsel and all other amounts due Lenders, Administrative Agent and the L/C Issuers, as applicable, under </w:t>
      </w:r>
      <w:r>
        <w:rPr>
          <w:rFonts w:ascii="Times New Roman" w:cs="Times New Roman" w:eastAsia="Times New Roman" w:hAnsi="Times New Roman"/>
          <w:sz w:val="19"/>
          <w:szCs w:val="19"/>
          <w:b w:val="1"/>
          <w:bCs w:val="1"/>
          <w:i w:val="1"/>
          <w:iCs w:val="1"/>
          <w:color w:val="auto"/>
        </w:rPr>
        <w:t>Sections 5.3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5.4</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15.4</w:t>
      </w:r>
      <w:r>
        <w:rPr>
          <w:rFonts w:ascii="Times New Roman" w:cs="Times New Roman" w:eastAsia="Times New Roman" w:hAnsi="Times New Roman"/>
          <w:sz w:val="19"/>
          <w:szCs w:val="19"/>
          <w:color w:val="auto"/>
        </w:rPr>
        <w:t>) allowed in such judicial proceeding; and</w:t>
      </w:r>
    </w:p>
    <w:p>
      <w:pPr>
        <w:spacing w:after="0" w:line="164" w:lineRule="exact"/>
        <w:rPr>
          <w:rFonts w:ascii="Times New Roman" w:cs="Times New Roman" w:eastAsia="Times New Roman" w:hAnsi="Times New Roman"/>
          <w:sz w:val="19"/>
          <w:szCs w:val="19"/>
          <w:color w:val="auto"/>
        </w:rPr>
      </w:pPr>
    </w:p>
    <w:p>
      <w:pPr>
        <w:ind w:left="1180" w:hanging="404"/>
        <w:spacing w:after="0"/>
        <w:tabs>
          <w:tab w:leader="none" w:pos="118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collect and receive any monies or other property payable or deliverable on any such claims and to distribute the same;</w:t>
      </w:r>
    </w:p>
    <w:p>
      <w:pPr>
        <w:spacing w:after="0" w:line="219" w:lineRule="exact"/>
        <w:rPr>
          <w:sz w:val="20"/>
          <w:szCs w:val="20"/>
          <w:color w:val="auto"/>
        </w:rPr>
      </w:pPr>
    </w:p>
    <w:p>
      <w:pPr>
        <w:jc w:val="both"/>
        <w:ind w:firstLine="773"/>
        <w:spacing w:after="0" w:line="259" w:lineRule="auto"/>
        <w:rPr>
          <w:sz w:val="20"/>
          <w:szCs w:val="20"/>
          <w:color w:val="auto"/>
        </w:rPr>
      </w:pPr>
      <w:r>
        <w:rPr>
          <w:rFonts w:ascii="Times New Roman" w:cs="Times New Roman" w:eastAsia="Times New Roman" w:hAnsi="Times New Roman"/>
          <w:sz w:val="19"/>
          <w:szCs w:val="19"/>
          <w:color w:val="auto"/>
        </w:rPr>
        <w:t xml:space="preserve">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Lenders, to pay to Administrative Agent any amount due for the reasonable compensation, expenses, disbursements, and advances of Administrative Agent and its agents and counsel, and any other amounts due Administrative Agent under </w:t>
      </w:r>
      <w:r>
        <w:rPr>
          <w:rFonts w:ascii="Times New Roman" w:cs="Times New Roman" w:eastAsia="Times New Roman" w:hAnsi="Times New Roman"/>
          <w:sz w:val="19"/>
          <w:szCs w:val="19"/>
          <w:b w:val="1"/>
          <w:bCs w:val="1"/>
          <w:i w:val="1"/>
          <w:iCs w:val="1"/>
          <w:color w:val="auto"/>
        </w:rPr>
        <w:t>Sections 5.4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15.4</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Nothing contained herein shall be deemed to authorize Administrative Agent to authorize or consent to or accept or adopt on behalf of any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Lender any plan of reorganization, arrangement, adjustment or composition affecting the Obligation or the rights of any Lender or to authorize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Administrative Agent to vote in respect of the claim of any Lender in any such proceeding.</w:t>
      </w:r>
    </w:p>
    <w:p>
      <w:pPr>
        <w:spacing w:after="0" w:line="199"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14.9 </w:t>
      </w:r>
      <w:r>
        <w:rPr>
          <w:rFonts w:ascii="Times New Roman" w:cs="Times New Roman" w:eastAsia="Times New Roman" w:hAnsi="Times New Roman"/>
          <w:sz w:val="19"/>
          <w:szCs w:val="19"/>
          <w:u w:val="single" w:color="auto"/>
          <w:color w:val="auto"/>
        </w:rPr>
        <w:t>Collateral and Guaranty Matters</w:t>
      </w:r>
      <w:r>
        <w:rPr>
          <w:rFonts w:ascii="Times New Roman" w:cs="Times New Roman" w:eastAsia="Times New Roman" w:hAnsi="Times New Roman"/>
          <w:sz w:val="19"/>
          <w:szCs w:val="19"/>
          <w:color w:val="auto"/>
        </w:rPr>
        <w:t>. (a) Upon the occurrence and continuance of a Default, Lenders agree to promptly confer in order that Required Lenders or Lenders, as the case may be, may agree upon a course of action for the enforcement of the Rights of Lenders; and Administrative Agent shall be entitled to refrain from taking any action (without incurring any liability to any Person for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106</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so refraining) unless and until Administrative Agent shall have received instructions from Required Lenders. All Rights of action under the Loan Papers and all Rights to the Collateral, if any, hereunder may be enforced by Administrative Agent and any suit or proceeding instituted by Administrative Agent in furtherance of such enforcement shall be brought in its name as Administrative Agent without the necessity of joining as plaintiffs or defendants any other Lender, and the recovery of any judgment shall be for the benefit of Lenders subject to the expenses of Administrative Agent. In actions with respect to any property of any Restricted Company, Administrative Agent is acting for the ratable benefit of each Lender. Any and all agreements to subordinate (whether made heretofore or hereafter) other indebtedness or obligations of any Restricted Company to the Obligation shall be construed as being for the ratable benefit of each Lender.</w:t>
      </w:r>
    </w:p>
    <w:p>
      <w:pPr>
        <w:spacing w:after="0" w:line="167" w:lineRule="exact"/>
        <w:rPr>
          <w:sz w:val="20"/>
          <w:szCs w:val="20"/>
          <w:color w:val="auto"/>
        </w:rPr>
      </w:pPr>
    </w:p>
    <w:p>
      <w:pPr>
        <w:jc w:val="both"/>
        <w:ind w:firstLine="776"/>
        <w:spacing w:after="0" w:line="253" w:lineRule="auto"/>
        <w:tabs>
          <w:tab w:leader="none" w:pos="1203"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authorizes and directs Administrative Agent to enter into the Security Documents for the benefit of Lenders.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to the extent unanimity is required hereunder, (i) each Lender agrees that any action taken by Required Lenders in accordance with the provisions of the Loan Papers, and the exercise by Required Lenders of the powers set forth herein or therein, </w:t>
      </w:r>
      <w:r>
        <w:rPr>
          <w:rFonts w:ascii="Times New Roman" w:cs="Times New Roman" w:eastAsia="Times New Roman" w:hAnsi="Times New Roman"/>
          <w:sz w:val="19"/>
          <w:szCs w:val="19"/>
          <w:i w:val="1"/>
          <w:iCs w:val="1"/>
          <w:color w:val="auto"/>
        </w:rPr>
        <w:t>together with</w:t>
      </w:r>
      <w:r>
        <w:rPr>
          <w:rFonts w:ascii="Times New Roman" w:cs="Times New Roman" w:eastAsia="Times New Roman" w:hAnsi="Times New Roman"/>
          <w:sz w:val="19"/>
          <w:szCs w:val="19"/>
          <w:color w:val="auto"/>
        </w:rPr>
        <w:t xml:space="preserve"> such other powers as are reasonably incidental thereto, shall be authorized and binding upon all Lenders, (ii) each Revolver Lender agrees that any action taken by Required Revolver Lenders in accordance with the provisions of the Loan Papers, and the exercise by Required Revolver Lenders of the powers set forth herein or therein, </w:t>
      </w:r>
      <w:r>
        <w:rPr>
          <w:rFonts w:ascii="Times New Roman" w:cs="Times New Roman" w:eastAsia="Times New Roman" w:hAnsi="Times New Roman"/>
          <w:sz w:val="19"/>
          <w:szCs w:val="19"/>
          <w:i w:val="1"/>
          <w:iCs w:val="1"/>
          <w:color w:val="auto"/>
        </w:rPr>
        <w:t>together with</w:t>
      </w:r>
      <w:r>
        <w:rPr>
          <w:rFonts w:ascii="Times New Roman" w:cs="Times New Roman" w:eastAsia="Times New Roman" w:hAnsi="Times New Roman"/>
          <w:sz w:val="19"/>
          <w:szCs w:val="19"/>
          <w:color w:val="auto"/>
        </w:rPr>
        <w:t xml:space="preserve"> such other powers as are reasonably incidental thereto, shall be authorized and binding upon all Revolver Lenders, and (iii) each Term Loan Lender agrees that any action taken by Required Term Loan Lenders in accordance with the provisions of the Loan Papers, and the exercise by Required Term Loan Lenders of the powers set forth herein or therein, </w:t>
      </w:r>
      <w:r>
        <w:rPr>
          <w:rFonts w:ascii="Times New Roman" w:cs="Times New Roman" w:eastAsia="Times New Roman" w:hAnsi="Times New Roman"/>
          <w:sz w:val="19"/>
          <w:szCs w:val="19"/>
          <w:i w:val="1"/>
          <w:iCs w:val="1"/>
          <w:color w:val="auto"/>
        </w:rPr>
        <w:t>together with</w:t>
      </w:r>
      <w:r>
        <w:rPr>
          <w:rFonts w:ascii="Times New Roman" w:cs="Times New Roman" w:eastAsia="Times New Roman" w:hAnsi="Times New Roman"/>
          <w:sz w:val="19"/>
          <w:szCs w:val="19"/>
          <w:color w:val="auto"/>
        </w:rPr>
        <w:t xml:space="preserve"> such other powers as are reasonably incidental thereto, shall be authorized and binding upon all Term Loan Lenders.</w:t>
      </w:r>
    </w:p>
    <w:p>
      <w:pPr>
        <w:spacing w:after="0" w:line="184" w:lineRule="exact"/>
        <w:rPr>
          <w:rFonts w:ascii="Times New Roman" w:cs="Times New Roman" w:eastAsia="Times New Roman" w:hAnsi="Times New Roman"/>
          <w:sz w:val="19"/>
          <w:szCs w:val="19"/>
          <w:color w:val="auto"/>
        </w:rPr>
      </w:pPr>
    </w:p>
    <w:p>
      <w:pPr>
        <w:jc w:val="both"/>
        <w:ind w:firstLine="776"/>
        <w:spacing w:after="0" w:line="261" w:lineRule="auto"/>
        <w:tabs>
          <w:tab w:leader="none" w:pos="1210"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Administrative Agent is hereby authorized on behalf of all Lenders, without the necessity of any notice to or further consent from any Lender, from time to time to take any action with respect to any Collateral or Security Documents which may be necessary to perfect and maintain perfected the Liens upon the Collateral granted pursuant to the Security Documents.</w:t>
      </w:r>
    </w:p>
    <w:p>
      <w:pPr>
        <w:spacing w:after="0" w:line="162" w:lineRule="exact"/>
        <w:rPr>
          <w:rFonts w:ascii="Times New Roman" w:cs="Times New Roman" w:eastAsia="Times New Roman" w:hAnsi="Times New Roman"/>
          <w:sz w:val="19"/>
          <w:szCs w:val="19"/>
          <w:color w:val="auto"/>
        </w:rPr>
      </w:pPr>
    </w:p>
    <w:p>
      <w:pPr>
        <w:jc w:val="both"/>
        <w:ind w:firstLine="776"/>
        <w:spacing w:after="0" w:line="252" w:lineRule="auto"/>
        <w:tabs>
          <w:tab w:leader="none" w:pos="1181"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Administrative Agent shall have no obligation whatsoever to any Lender or to any other Person to assure that the Collateral exists or is owned by any Restricted Company or is cared for, protected, or insured or has been encumbered or that the Liens granted to Administrative Agent herein or pursuant hereto have been properly or sufficiently or lawfully created, perfected, protected, or enforced, or are entitled to any particular priority, or to exercise at all or in any particular manner or under any duty of care, disclosure, or fidelity, or to continue exercising, any of the Rights granted or available to Administrative Agent in this </w:t>
      </w:r>
      <w:r>
        <w:rPr>
          <w:rFonts w:ascii="Times New Roman" w:cs="Times New Roman" w:eastAsia="Times New Roman" w:hAnsi="Times New Roman"/>
          <w:sz w:val="19"/>
          <w:szCs w:val="19"/>
          <w:b w:val="1"/>
          <w:bCs w:val="1"/>
          <w:i w:val="1"/>
          <w:iCs w:val="1"/>
          <w:color w:val="auto"/>
        </w:rPr>
        <w:t>Section 14.9</w:t>
      </w:r>
      <w:r>
        <w:rPr>
          <w:rFonts w:ascii="Times New Roman" w:cs="Times New Roman" w:eastAsia="Times New Roman" w:hAnsi="Times New Roman"/>
          <w:sz w:val="19"/>
          <w:szCs w:val="19"/>
          <w:color w:val="auto"/>
        </w:rPr>
        <w:t xml:space="preserve"> or in any of the Security Documents; </w:t>
      </w:r>
      <w:r>
        <w:rPr>
          <w:rFonts w:ascii="Times New Roman" w:cs="Times New Roman" w:eastAsia="Times New Roman" w:hAnsi="Times New Roman"/>
          <w:sz w:val="19"/>
          <w:szCs w:val="19"/>
          <w:i w:val="1"/>
          <w:iCs w:val="1"/>
          <w:color w:val="auto"/>
        </w:rPr>
        <w:t>it being understood</w:t>
      </w:r>
      <w:r>
        <w:rPr>
          <w:rFonts w:ascii="Times New Roman" w:cs="Times New Roman" w:eastAsia="Times New Roman" w:hAnsi="Times New Roman"/>
          <w:sz w:val="19"/>
          <w:szCs w:val="19"/>
          <w:color w:val="auto"/>
        </w:rPr>
        <w:t xml:space="preserve"> and agreed that in respect of the Collateral, or any act, omission, or event related thereto, Administrative Agent may act in any manner it may deem appropriate, in its sole discretion, given Administrative Agent’s own interest in the Collateral as one of Lenders and that Administrative Agent shall have no duty or liability whatsoever to any Lender, </w:t>
      </w:r>
      <w:r>
        <w:rPr>
          <w:rFonts w:ascii="Times New Roman" w:cs="Times New Roman" w:eastAsia="Times New Roman" w:hAnsi="Times New Roman"/>
          <w:sz w:val="19"/>
          <w:szCs w:val="19"/>
          <w:i w:val="1"/>
          <w:iCs w:val="1"/>
          <w:color w:val="auto"/>
        </w:rPr>
        <w:t>other than</w:t>
      </w:r>
      <w:r>
        <w:rPr>
          <w:rFonts w:ascii="Times New Roman" w:cs="Times New Roman" w:eastAsia="Times New Roman" w:hAnsi="Times New Roman"/>
          <w:sz w:val="19"/>
          <w:szCs w:val="19"/>
          <w:color w:val="auto"/>
        </w:rPr>
        <w:t xml:space="preserve"> to act without gross negligence or willful misconduct.</w:t>
      </w:r>
    </w:p>
    <w:p>
      <w:pPr>
        <w:spacing w:after="0" w:line="186" w:lineRule="exact"/>
        <w:rPr>
          <w:rFonts w:ascii="Times New Roman" w:cs="Times New Roman" w:eastAsia="Times New Roman" w:hAnsi="Times New Roman"/>
          <w:sz w:val="19"/>
          <w:szCs w:val="19"/>
          <w:color w:val="auto"/>
        </w:rPr>
      </w:pPr>
    </w:p>
    <w:p>
      <w:pPr>
        <w:jc w:val="both"/>
        <w:ind w:firstLine="776"/>
        <w:spacing w:after="0" w:line="254" w:lineRule="auto"/>
        <w:tabs>
          <w:tab w:leader="none" w:pos="1300"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Lenders irrevocably authorize Administrative Agent (or in the case of Bond Rights, the L/C Issuers), at its option and in its discretion, (i) to release any Lien on any property granted to or held by Administrative Agent under any Loan Paper (A) upon termination of the Total Commitment and payment in full of all Obligation (other than contingent indemnification obligations) and the expiration or termination of all L/Cs, (B) as permitted under </w:t>
      </w:r>
      <w:r>
        <w:rPr>
          <w:rFonts w:ascii="Times New Roman" w:cs="Times New Roman" w:eastAsia="Times New Roman" w:hAnsi="Times New Roman"/>
          <w:sz w:val="19"/>
          <w:szCs w:val="19"/>
          <w:b w:val="1"/>
          <w:bCs w:val="1"/>
          <w:i w:val="1"/>
          <w:iCs w:val="1"/>
          <w:color w:val="auto"/>
        </w:rPr>
        <w:t>Section 9.11</w:t>
      </w:r>
      <w:r>
        <w:rPr>
          <w:rFonts w:ascii="Times New Roman" w:cs="Times New Roman" w:eastAsia="Times New Roman" w:hAnsi="Times New Roman"/>
          <w:sz w:val="19"/>
          <w:szCs w:val="19"/>
          <w:color w:val="auto"/>
        </w:rPr>
        <w:t xml:space="preserve">, (C) constituting property being sold or disposed of as permitted under </w:t>
      </w:r>
      <w:r>
        <w:rPr>
          <w:rFonts w:ascii="Times New Roman" w:cs="Times New Roman" w:eastAsia="Times New Roman" w:hAnsi="Times New Roman"/>
          <w:sz w:val="19"/>
          <w:szCs w:val="19"/>
          <w:b w:val="1"/>
          <w:bCs w:val="1"/>
          <w:i w:val="1"/>
          <w:iCs w:val="1"/>
          <w:color w:val="auto"/>
        </w:rPr>
        <w:t>Section 10.10</w:t>
      </w:r>
      <w:r>
        <w:rPr>
          <w:rFonts w:ascii="Times New Roman" w:cs="Times New Roman" w:eastAsia="Times New Roman" w:hAnsi="Times New Roman"/>
          <w:sz w:val="19"/>
          <w:szCs w:val="19"/>
          <w:color w:val="auto"/>
        </w:rPr>
        <w:t xml:space="preserve">, if Administrative Agent determines that the property being sold or disposed is being sold or disposed in accordance with the requirements and limitations of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10.10 </w:t>
      </w:r>
      <w:r>
        <w:rPr>
          <w:rFonts w:ascii="Times New Roman" w:cs="Times New Roman" w:eastAsia="Times New Roman" w:hAnsi="Times New Roman"/>
          <w:sz w:val="19"/>
          <w:szCs w:val="19"/>
          <w:color w:val="auto"/>
        </w:rPr>
        <w:t>and Administrative Agent concurrently receives all mandatory prepayments with respect thereto, if</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107</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any, or (D) if approved, authorized, or ratified in writing by Required Lenders, subject to </w:t>
      </w:r>
      <w:r>
        <w:rPr>
          <w:rFonts w:ascii="Times New Roman" w:cs="Times New Roman" w:eastAsia="Times New Roman" w:hAnsi="Times New Roman"/>
          <w:sz w:val="18"/>
          <w:szCs w:val="18"/>
          <w:b w:val="1"/>
          <w:bCs w:val="1"/>
          <w:i w:val="1"/>
          <w:iCs w:val="1"/>
          <w:color w:val="auto"/>
        </w:rPr>
        <w:t>Section 15.9</w:t>
      </w:r>
      <w:r>
        <w:rPr>
          <w:rFonts w:ascii="Times New Roman" w:cs="Times New Roman" w:eastAsia="Times New Roman" w:hAnsi="Times New Roman"/>
          <w:sz w:val="18"/>
          <w:szCs w:val="18"/>
          <w:color w:val="auto"/>
        </w:rPr>
        <w:t xml:space="preserve">, unless such Liens are held under any Bond Document; (ii) to release (or authorize the release by the applicable L/C Issuer of) any Collateral held by Administrative Agent (or the applicable L/C Issuer) under or pursuant to any Bond Document upon the reimbursement of any Bond Purchase Drawing in accordance with </w:t>
      </w:r>
      <w:r>
        <w:rPr>
          <w:rFonts w:ascii="Times New Roman" w:cs="Times New Roman" w:eastAsia="Times New Roman" w:hAnsi="Times New Roman"/>
          <w:sz w:val="18"/>
          <w:szCs w:val="18"/>
          <w:b w:val="1"/>
          <w:bCs w:val="1"/>
          <w:i w:val="1"/>
          <w:iCs w:val="1"/>
          <w:color w:val="auto"/>
        </w:rPr>
        <w:t>Section 2.3(i)</w:t>
      </w:r>
      <w:r>
        <w:rPr>
          <w:rFonts w:ascii="Times New Roman" w:cs="Times New Roman" w:eastAsia="Times New Roman" w:hAnsi="Times New Roman"/>
          <w:sz w:val="18"/>
          <w:szCs w:val="18"/>
          <w:color w:val="auto"/>
        </w:rPr>
        <w:t xml:space="preserve"> herein; and (iii) to release any Restricted Company from its Guaranty (A) upon full payment of the Obligation, (B) as permitted under </w:t>
      </w:r>
      <w:r>
        <w:rPr>
          <w:rFonts w:ascii="Times New Roman" w:cs="Times New Roman" w:eastAsia="Times New Roman" w:hAnsi="Times New Roman"/>
          <w:sz w:val="18"/>
          <w:szCs w:val="18"/>
          <w:b w:val="1"/>
          <w:bCs w:val="1"/>
          <w:i w:val="1"/>
          <w:iCs w:val="1"/>
          <w:color w:val="auto"/>
        </w:rPr>
        <w:t>Section 9.11</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firstLine="3"/>
        <w:spacing w:after="0" w:line="250" w:lineRule="auto"/>
        <w:tabs>
          <w:tab w:leader="none" w:pos="318"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the sale of disposition of the stock (or other equity interest) issued by such Restricted Company permitted under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10.10</w:t>
      </w:r>
      <w:r>
        <w:rPr>
          <w:rFonts w:ascii="Times New Roman" w:cs="Times New Roman" w:eastAsia="Times New Roman" w:hAnsi="Times New Roman"/>
          <w:sz w:val="19"/>
          <w:szCs w:val="19"/>
          <w:color w:val="auto"/>
        </w:rPr>
        <w:t>, if Administrative Agent determines that the disposition or sale is in accordance with the requirements and limitations of</w:t>
      </w:r>
      <w:r>
        <w:rPr>
          <w:rFonts w:ascii="Times New Roman" w:cs="Times New Roman" w:eastAsia="Times New Roman" w:hAnsi="Times New Roman"/>
          <w:sz w:val="19"/>
          <w:szCs w:val="19"/>
          <w:b w:val="1"/>
          <w:bCs w:val="1"/>
          <w:i w:val="1"/>
          <w:iCs w:val="1"/>
          <w:color w:val="auto"/>
        </w:rPr>
        <w:t xml:space="preserve"> Section 10.10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Administrative Agent concurrently receives all mandatory prepayments with respect thereto, if any, or (D) if approved, authorized, or ratified in writing by Required Lenders, subject to </w:t>
      </w:r>
      <w:r>
        <w:rPr>
          <w:rFonts w:ascii="Times New Roman" w:cs="Times New Roman" w:eastAsia="Times New Roman" w:hAnsi="Times New Roman"/>
          <w:sz w:val="19"/>
          <w:szCs w:val="19"/>
          <w:b w:val="1"/>
          <w:bCs w:val="1"/>
          <w:i w:val="1"/>
          <w:iCs w:val="1"/>
          <w:color w:val="auto"/>
        </w:rPr>
        <w:t>Section 15.9</w:t>
      </w:r>
      <w:r>
        <w:rPr>
          <w:rFonts w:ascii="Times New Roman" w:cs="Times New Roman" w:eastAsia="Times New Roman" w:hAnsi="Times New Roman"/>
          <w:sz w:val="19"/>
          <w:szCs w:val="19"/>
          <w:color w:val="auto"/>
        </w:rPr>
        <w:t xml:space="preserve">. Upon request by Administrative Agent at any time, Required Lenders will confirm in writing Administrative Agent’s authority to release any Guarantor from its obligations under the Guaranty pursuant to this </w:t>
      </w:r>
      <w:r>
        <w:rPr>
          <w:rFonts w:ascii="Times New Roman" w:cs="Times New Roman" w:eastAsia="Times New Roman" w:hAnsi="Times New Roman"/>
          <w:sz w:val="19"/>
          <w:szCs w:val="19"/>
          <w:b w:val="1"/>
          <w:bCs w:val="1"/>
          <w:i w:val="1"/>
          <w:iCs w:val="1"/>
          <w:color w:val="auto"/>
        </w:rPr>
        <w:t>Section 14.9</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In the event a Restricted Subsidiary ceases to be a Wholly Owned Subsidiary of a Restricted Company, such Person shall cease to be a Guarantor as permitted under this </w:t>
      </w:r>
      <w:r>
        <w:rPr>
          <w:rFonts w:ascii="Times New Roman" w:cs="Times New Roman" w:eastAsia="Times New Roman" w:hAnsi="Times New Roman"/>
          <w:sz w:val="19"/>
          <w:szCs w:val="19"/>
          <w:b w:val="1"/>
          <w:bCs w:val="1"/>
          <w:i w:val="1"/>
          <w:iCs w:val="1"/>
          <w:color w:val="auto"/>
        </w:rPr>
        <w:t>Section 14.9</w:t>
      </w:r>
      <w:r>
        <w:rPr>
          <w:rFonts w:ascii="Times New Roman" w:cs="Times New Roman" w:eastAsia="Times New Roman" w:hAnsi="Times New Roman"/>
          <w:sz w:val="19"/>
          <w:szCs w:val="19"/>
          <w:color w:val="auto"/>
        </w:rPr>
        <w:t xml:space="preserve"> only if such transaction was for a bona fide purpose (and not for the purpose of releasing such Person from the Guaranty Agreement or any Security Documents) and, if involving the transfer, assignment, sale, or other disposition of any Equity Interest, was only with Persons that are not non-Wholly Owned Subsidiaries or Affiliates of Borrower or any Subsidiary.</w:t>
      </w:r>
    </w:p>
    <w:p>
      <w:pPr>
        <w:spacing w:after="0" w:line="179" w:lineRule="exact"/>
        <w:rPr>
          <w:rFonts w:ascii="Times New Roman" w:cs="Times New Roman" w:eastAsia="Times New Roman" w:hAnsi="Times New Roman"/>
          <w:sz w:val="19"/>
          <w:szCs w:val="19"/>
          <w:color w:val="auto"/>
        </w:rPr>
      </w:pPr>
    </w:p>
    <w:p>
      <w:pPr>
        <w:jc w:val="both"/>
        <w:ind w:firstLine="776"/>
        <w:spacing w:after="0" w:line="252" w:lineRule="auto"/>
        <w:tabs>
          <w:tab w:leader="none" w:pos="1237"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furtherance of the authorizations set forth in this </w:t>
      </w:r>
      <w:r>
        <w:rPr>
          <w:rFonts w:ascii="Times New Roman" w:cs="Times New Roman" w:eastAsia="Times New Roman" w:hAnsi="Times New Roman"/>
          <w:sz w:val="19"/>
          <w:szCs w:val="19"/>
          <w:b w:val="1"/>
          <w:bCs w:val="1"/>
          <w:i w:val="1"/>
          <w:iCs w:val="1"/>
          <w:color w:val="auto"/>
        </w:rPr>
        <w:t>Section 14.9</w:t>
      </w:r>
      <w:r>
        <w:rPr>
          <w:rFonts w:ascii="Times New Roman" w:cs="Times New Roman" w:eastAsia="Times New Roman" w:hAnsi="Times New Roman"/>
          <w:sz w:val="19"/>
          <w:szCs w:val="19"/>
          <w:color w:val="auto"/>
        </w:rPr>
        <w:t xml:space="preserve">, each Lender and each L/C Issuer hereby irrevocably appoints Administrative Agent its attorney-in-fact, with full power of substitution, for and on behalf of and in the name of each such Lender and each such L/C Issuer, (i) to enter into Security Documents (including, without limitation, any appointments of substitute trustees under any Security Document), (ii) to take action with respect to the Collateral and Security Documents to perfect, maintain, and preserve Lenders’ and the L/C Issuers’ Liens, as applicable, and (iii) to execute instruments of release or to take other action necessary to release Liens upon any Collateral to the extent authorized in </w:t>
      </w:r>
      <w:r>
        <w:rPr>
          <w:rFonts w:ascii="Times New Roman" w:cs="Times New Roman" w:eastAsia="Times New Roman" w:hAnsi="Times New Roman"/>
          <w:sz w:val="19"/>
          <w:szCs w:val="19"/>
          <w:b w:val="1"/>
          <w:bCs w:val="1"/>
          <w:i w:val="1"/>
          <w:iCs w:val="1"/>
          <w:color w:val="auto"/>
        </w:rPr>
        <w:t>clause (e)</w:t>
      </w:r>
      <w:r>
        <w:rPr>
          <w:rFonts w:ascii="Times New Roman" w:cs="Times New Roman" w:eastAsia="Times New Roman" w:hAnsi="Times New Roman"/>
          <w:sz w:val="19"/>
          <w:szCs w:val="19"/>
          <w:color w:val="auto"/>
        </w:rPr>
        <w:t xml:space="preserve"> hereof. This power of attorney shall be liberally, not restrictively, construed so as to give the greatest latitude to Administrative Agent’s power, as attorney, relative to the Collateral matters described in this </w:t>
      </w:r>
      <w:r>
        <w:rPr>
          <w:rFonts w:ascii="Times New Roman" w:cs="Times New Roman" w:eastAsia="Times New Roman" w:hAnsi="Times New Roman"/>
          <w:sz w:val="19"/>
          <w:szCs w:val="19"/>
          <w:b w:val="1"/>
          <w:bCs w:val="1"/>
          <w:i w:val="1"/>
          <w:iCs w:val="1"/>
          <w:color w:val="auto"/>
        </w:rPr>
        <w:t>Section 14.9</w:t>
      </w:r>
      <w:r>
        <w:rPr>
          <w:rFonts w:ascii="Times New Roman" w:cs="Times New Roman" w:eastAsia="Times New Roman" w:hAnsi="Times New Roman"/>
          <w:sz w:val="19"/>
          <w:szCs w:val="19"/>
          <w:color w:val="auto"/>
        </w:rPr>
        <w:t xml:space="preserve">. The powers and authorities herein conferred on Administrative Agent may be exercised by Administrative Agent through any Person who, at the time of the execution of a particular instrument, is an officer of Administrative Agent. The power of attorney conferred by this </w:t>
      </w:r>
      <w:r>
        <w:rPr>
          <w:rFonts w:ascii="Times New Roman" w:cs="Times New Roman" w:eastAsia="Times New Roman" w:hAnsi="Times New Roman"/>
          <w:sz w:val="19"/>
          <w:szCs w:val="19"/>
          <w:b w:val="1"/>
          <w:bCs w:val="1"/>
          <w:i w:val="1"/>
          <w:iCs w:val="1"/>
          <w:color w:val="auto"/>
        </w:rPr>
        <w:t>Section 14.9(f)</w:t>
      </w:r>
      <w:r>
        <w:rPr>
          <w:rFonts w:ascii="Times New Roman" w:cs="Times New Roman" w:eastAsia="Times New Roman" w:hAnsi="Times New Roman"/>
          <w:sz w:val="19"/>
          <w:szCs w:val="19"/>
          <w:color w:val="auto"/>
        </w:rPr>
        <w:t xml:space="preserve"> is granted for valuable consideration and is coupled with an interest and is irrevocable so long as the Obligation, or any part thereof, shall remain unpaid, Lenders are obligated to make any Loans, or the L/C Issuers are obligated to issue L/Cs, under the Loan Papers.</w:t>
      </w:r>
    </w:p>
    <w:p>
      <w:pPr>
        <w:spacing w:after="0" w:line="174"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color w:val="auto"/>
        </w:rPr>
        <w:t xml:space="preserve">14.10 </w:t>
      </w:r>
      <w:r>
        <w:rPr>
          <w:rFonts w:ascii="Times New Roman" w:cs="Times New Roman" w:eastAsia="Times New Roman" w:hAnsi="Times New Roman"/>
          <w:sz w:val="19"/>
          <w:szCs w:val="19"/>
          <w:u w:val="single" w:color="auto"/>
          <w:color w:val="auto"/>
        </w:rPr>
        <w:t>Financial Hedges</w:t>
      </w:r>
      <w:r>
        <w:rPr>
          <w:rFonts w:ascii="Times New Roman" w:cs="Times New Roman" w:eastAsia="Times New Roman" w:hAnsi="Times New Roman"/>
          <w:sz w:val="19"/>
          <w:szCs w:val="19"/>
          <w:color w:val="auto"/>
        </w:rPr>
        <w:t xml:space="preserve"> To the extent any Lender or any Affiliate of a Lender issues a Financial Hedge in accordance with the requirements of the Loan Papers and accepts the benefits of the Liens in the Collateral arising pursuant to the Security Documents, such Lender (for itself and on behalf of any such Affiliates) agrees (a) to appoint Administrative Agent, as its nominee and agent, to act for and on behalf of such Lender or Affiliate thereof in connection with the Security Documents and (b) to be bound by the terms of this </w:t>
      </w:r>
      <w:r>
        <w:rPr>
          <w:rFonts w:ascii="Times New Roman" w:cs="Times New Roman" w:eastAsia="Times New Roman" w:hAnsi="Times New Roman"/>
          <w:sz w:val="19"/>
          <w:szCs w:val="19"/>
          <w:b w:val="1"/>
          <w:bCs w:val="1"/>
          <w:i w:val="1"/>
          <w:iCs w:val="1"/>
          <w:color w:val="auto"/>
        </w:rPr>
        <w:t>Section 14</w:t>
      </w:r>
      <w:r>
        <w:rPr>
          <w:rFonts w:ascii="Times New Roman" w:cs="Times New Roman" w:eastAsia="Times New Roman" w:hAnsi="Times New Roman"/>
          <w:sz w:val="19"/>
          <w:szCs w:val="19"/>
          <w:color w:val="auto"/>
        </w:rPr>
        <w:t xml:space="preserve">; whereupon all references to </w:t>
      </w:r>
      <w:r>
        <w:rPr>
          <w:rFonts w:ascii="Times New Roman" w:cs="Times New Roman" w:eastAsia="Times New Roman" w:hAnsi="Times New Roman"/>
          <w:sz w:val="19"/>
          <w:szCs w:val="19"/>
          <w:i w:val="1"/>
          <w:iCs w:val="1"/>
          <w:color w:val="auto"/>
        </w:rPr>
        <w:t>“Lender”</w:t>
      </w:r>
      <w:r>
        <w:rPr>
          <w:rFonts w:ascii="Times New Roman" w:cs="Times New Roman" w:eastAsia="Times New Roman" w:hAnsi="Times New Roman"/>
          <w:sz w:val="19"/>
          <w:szCs w:val="19"/>
          <w:color w:val="auto"/>
        </w:rPr>
        <w:t xml:space="preserve"> in this </w:t>
      </w:r>
      <w:r>
        <w:rPr>
          <w:rFonts w:ascii="Times New Roman" w:cs="Times New Roman" w:eastAsia="Times New Roman" w:hAnsi="Times New Roman"/>
          <w:sz w:val="19"/>
          <w:szCs w:val="19"/>
          <w:b w:val="1"/>
          <w:bCs w:val="1"/>
          <w:i w:val="1"/>
          <w:iCs w:val="1"/>
          <w:color w:val="auto"/>
        </w:rPr>
        <w:t>Section 14</w:t>
      </w:r>
      <w:r>
        <w:rPr>
          <w:rFonts w:ascii="Times New Roman" w:cs="Times New Roman" w:eastAsia="Times New Roman" w:hAnsi="Times New Roman"/>
          <w:sz w:val="19"/>
          <w:szCs w:val="19"/>
          <w:color w:val="auto"/>
        </w:rPr>
        <w:t xml:space="preserve"> and in the Security Documents shall include, on any date of determination, any Lender or Affiliate of a Lender that is party to a then-effective Financial Hedge which complies with the requirements of the Loan Papers. Additionally, if the Obligation owed to any Lender or Affiliate of a Lender consists </w:t>
      </w:r>
      <w:r>
        <w:rPr>
          <w:rFonts w:ascii="Times New Roman" w:cs="Times New Roman" w:eastAsia="Times New Roman" w:hAnsi="Times New Roman"/>
          <w:sz w:val="19"/>
          <w:szCs w:val="19"/>
          <w:i w:val="1"/>
          <w:iCs w:val="1"/>
          <w:color w:val="auto"/>
        </w:rPr>
        <w:t>solely</w:t>
      </w:r>
      <w:r>
        <w:rPr>
          <w:rFonts w:ascii="Times New Roman" w:cs="Times New Roman" w:eastAsia="Times New Roman" w:hAnsi="Times New Roman"/>
          <w:sz w:val="19"/>
          <w:szCs w:val="19"/>
          <w:color w:val="auto"/>
        </w:rPr>
        <w:t xml:space="preserve"> of Debt arising under a Financial Hedge (such Lender or Affiliate being referred to in this </w:t>
      </w:r>
      <w:r>
        <w:rPr>
          <w:rFonts w:ascii="Times New Roman" w:cs="Times New Roman" w:eastAsia="Times New Roman" w:hAnsi="Times New Roman"/>
          <w:sz w:val="19"/>
          <w:szCs w:val="19"/>
          <w:b w:val="1"/>
          <w:bCs w:val="1"/>
          <w:i w:val="1"/>
          <w:iCs w:val="1"/>
          <w:color w:val="auto"/>
        </w:rPr>
        <w:t xml:space="preserve">Section 14.10 </w:t>
      </w:r>
      <w:r>
        <w:rPr>
          <w:rFonts w:ascii="Times New Roman" w:cs="Times New Roman" w:eastAsia="Times New Roman" w:hAnsi="Times New Roman"/>
          <w:sz w:val="19"/>
          <w:szCs w:val="19"/>
          <w:color w:val="auto"/>
        </w:rPr>
        <w:t>as an</w:t>
      </w:r>
      <w:r>
        <w:rPr>
          <w:rFonts w:ascii="Times New Roman" w:cs="Times New Roman" w:eastAsia="Times New Roman" w:hAnsi="Times New Roman"/>
          <w:sz w:val="19"/>
          <w:szCs w:val="19"/>
          <w:b w:val="1"/>
          <w:bCs w:val="1"/>
          <w:i w:val="1"/>
          <w:iCs w:val="1"/>
          <w:color w:val="auto"/>
        </w:rPr>
        <w:t xml:space="preserve"> “Issuing Lender”</w:t>
      </w:r>
      <w:r>
        <w:rPr>
          <w:rFonts w:ascii="Times New Roman" w:cs="Times New Roman" w:eastAsia="Times New Roman" w:hAnsi="Times New Roman"/>
          <w:sz w:val="19"/>
          <w:szCs w:val="19"/>
          <w:color w:val="auto"/>
        </w:rPr>
        <w:t>), then such Issuing Lender (by accepting the benefits of any Security Documents) acknowledges and agrees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pursuant to the Loan Papers and without notice to or consent of such Issuing Lender: (w) Liens in the Collateral may be released in whole or in part; (x) all Guaranties may be released; (y) any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108</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color w:val="auto"/>
        </w:rPr>
        <w:t>Security Document may be amended, modified, supplemented, or restated; and (z) all or any part of the Collateral may be permitted to secure other Debt.</w:t>
      </w:r>
    </w:p>
    <w:p>
      <w:pPr>
        <w:spacing w:after="0" w:line="143"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14.11 </w:t>
      </w:r>
      <w:r>
        <w:rPr>
          <w:rFonts w:ascii="Times New Roman" w:cs="Times New Roman" w:eastAsia="Times New Roman" w:hAnsi="Times New Roman"/>
          <w:sz w:val="19"/>
          <w:szCs w:val="19"/>
          <w:u w:val="single" w:color="auto"/>
          <w:color w:val="auto"/>
        </w:rPr>
        <w:t>Bond L/Cs and Bond Documents</w:t>
      </w:r>
      <w:r>
        <w:rPr>
          <w:rFonts w:ascii="Times New Roman" w:cs="Times New Roman" w:eastAsia="Times New Roman" w:hAnsi="Times New Roman"/>
          <w:sz w:val="19"/>
          <w:szCs w:val="19"/>
          <w:color w:val="auto"/>
        </w:rPr>
        <w:t>. In addition to the authorizations set forth in Section 14.9, each Lender and each L/C Issuer hereby authorize Administrative Agent or the L/C Issuers, as the case may be, to execute and deliver all certificates, documents, agreements, and instruments required to be delivered after the Closing Date pursuant to or in connection with any Bond L/C and Bond Documents executed in connection therewith, and to take such actions as Administrative Agent or the L/C Issuers, as the case may be, deems necessary in connection therewith. This authorization shall be liberally, not restrictively, construed so as to give the greatest latitude to Administrative Agent’s or the applicable L/C Issuer’s authority, as the case may be, relative to the Bonds, Bond L/Cs, and Bond Documents. The powers and authorities herein conferred on Administrative Agent and the L/C Issuers may be exercised by Administrative Agent or the applicable L/C Issuer, as the case may be, through any Person who, at the time of the execution of a particular instrument, is an officer of Administrative Agent or such L/C Issuer, as applicable.</w:t>
      </w:r>
    </w:p>
    <w:p>
      <w:pPr>
        <w:spacing w:after="0" w:line="189"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14.12 </w:t>
      </w:r>
      <w:r>
        <w:rPr>
          <w:rFonts w:ascii="Times New Roman" w:cs="Times New Roman" w:eastAsia="Times New Roman" w:hAnsi="Times New Roman"/>
          <w:sz w:val="19"/>
          <w:szCs w:val="19"/>
          <w:u w:val="single" w:color="auto"/>
          <w:color w:val="auto"/>
        </w:rPr>
        <w:t>No Other Duties, Etc</w:t>
      </w:r>
      <w:r>
        <w:rPr>
          <w:rFonts w:ascii="Times New Roman" w:cs="Times New Roman" w:eastAsia="Times New Roman" w:hAnsi="Times New Roman"/>
          <w:sz w:val="19"/>
          <w:szCs w:val="19"/>
          <w:color w:val="auto"/>
        </w:rPr>
        <w:t>. Anything herein to the contrary notwithstanding, none of the co-syndication agents, co-documentation agents, joint lead arrangers, or joint bookrunners listed on the cover page hereof shall have any powers, duties, or responsibilities under this Agreement or any of the other Loan Papers, except in its capacity, as applicable, as Administrative Agent, a Lender, or an L/C Issuer hereunder.</w:t>
      </w:r>
    </w:p>
    <w:p>
      <w:pPr>
        <w:spacing w:after="0" w:line="163"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color w:val="auto"/>
        </w:rPr>
        <w:t xml:space="preserve">14.13 </w:t>
      </w:r>
      <w:r>
        <w:rPr>
          <w:rFonts w:ascii="Times New Roman" w:cs="Times New Roman" w:eastAsia="Times New Roman" w:hAnsi="Times New Roman"/>
          <w:sz w:val="19"/>
          <w:szCs w:val="19"/>
          <w:u w:val="single" w:color="auto"/>
          <w:color w:val="auto"/>
        </w:rPr>
        <w:t>Recovery of Erroneous Payments</w:t>
      </w:r>
      <w:r>
        <w:rPr>
          <w:rFonts w:ascii="Times New Roman" w:cs="Times New Roman" w:eastAsia="Times New Roman" w:hAnsi="Times New Roman"/>
          <w:sz w:val="19"/>
          <w:szCs w:val="19"/>
          <w:color w:val="auto"/>
        </w:rPr>
        <w:t>. Without limitation of any other provision in this Agreement, if at any time Administrative Agent makes a payment hereunder in error to any Lender or any L/C Issuer (the “</w:t>
      </w:r>
      <w:r>
        <w:rPr>
          <w:rFonts w:ascii="Times New Roman" w:cs="Times New Roman" w:eastAsia="Times New Roman" w:hAnsi="Times New Roman"/>
          <w:sz w:val="19"/>
          <w:szCs w:val="19"/>
          <w:b w:val="1"/>
          <w:bCs w:val="1"/>
          <w:i w:val="1"/>
          <w:iCs w:val="1"/>
          <w:color w:val="auto"/>
        </w:rPr>
        <w:t>Credit Party</w:t>
      </w:r>
      <w:r>
        <w:rPr>
          <w:rFonts w:ascii="Times New Roman" w:cs="Times New Roman" w:eastAsia="Times New Roman" w:hAnsi="Times New Roman"/>
          <w:sz w:val="19"/>
          <w:szCs w:val="19"/>
          <w:color w:val="auto"/>
        </w:rPr>
        <w:t>”), whether or not in respect of an Obligation due and owing by Borrower at such time, where such payment is a Rescindable Amount, then in any such event, each Credit Party receiving a Rescindable Amount severally agrees to repay to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Administrative Agent, at the greater of the Federal Funds Rate and a rate determined by Administrative Agent in accordance with banking industry rules on interbank compensation. Each Credit Party irrevocably waives any and all defenses, including any “</w:t>
      </w:r>
      <w:r>
        <w:rPr>
          <w:rFonts w:ascii="Times New Roman" w:cs="Times New Roman" w:eastAsia="Times New Roman" w:hAnsi="Times New Roman"/>
          <w:sz w:val="19"/>
          <w:szCs w:val="19"/>
          <w:i w:val="1"/>
          <w:iCs w:val="1"/>
          <w:color w:val="auto"/>
        </w:rPr>
        <w:t>discharge for value</w:t>
      </w:r>
      <w:r>
        <w:rPr>
          <w:rFonts w:ascii="Times New Roman" w:cs="Times New Roman" w:eastAsia="Times New Roman" w:hAnsi="Times New Roman"/>
          <w:sz w:val="19"/>
          <w:szCs w:val="19"/>
          <w:color w:val="auto"/>
        </w:rPr>
        <w:t>” (under which a creditor might otherwise claim a right to retain funds mistakenly paid by a third party in respect of a debt owed by another) or similar defense to its obligation to return any Rescindable Amount. Administrative Agent shall inform each Credit Party promptly upon determining that any payment made to such Credit Party comprised, in whole or in part, a Rescindable Amount.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SECTION 15  MISCELLANEOUS.</w:t>
      </w:r>
    </w:p>
    <w:p>
      <w:pPr>
        <w:spacing w:after="0" w:line="223"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 xml:space="preserve">15.1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captions, and arrangements used in any of the Loan Papers are, unless specified otherwise, for convenience only and shall not be deemed to limit, amplify, or modify the terms of the Loan Papers, nor affect the meaning thereof.</w:t>
      </w:r>
    </w:p>
    <w:p>
      <w:pPr>
        <w:spacing w:after="0" w:line="169"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 xml:space="preserve">15.2 </w:t>
      </w:r>
      <w:r>
        <w:rPr>
          <w:rFonts w:ascii="Times New Roman" w:cs="Times New Roman" w:eastAsia="Times New Roman" w:hAnsi="Times New Roman"/>
          <w:sz w:val="19"/>
          <w:szCs w:val="19"/>
          <w:u w:val="single" w:color="auto"/>
          <w:color w:val="auto"/>
        </w:rPr>
        <w:t>Nonbusiness Days; Time</w:t>
      </w:r>
      <w:r>
        <w:rPr>
          <w:rFonts w:ascii="Times New Roman" w:cs="Times New Roman" w:eastAsia="Times New Roman" w:hAnsi="Times New Roman"/>
          <w:sz w:val="19"/>
          <w:szCs w:val="19"/>
          <w:color w:val="auto"/>
        </w:rPr>
        <w:t>. Any payment or action that is due under any Loan Paper on a non-Business Day may be delayed until the next-succeeding Business Day (but interest shall continue to accrue on any applicable payment until payment is in fact made) unless the payment concerns a Term Reference Rate Loan, in which case if the next-succeeding Business Day is in the next calendar month, then such payment shall be made on the next-preceding Business Day.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109</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2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15.3</w:t>
      </w:r>
      <w:r>
        <w:rPr>
          <w:sz w:val="20"/>
          <w:szCs w:val="20"/>
          <w:color w:val="auto"/>
        </w:rPr>
        <w:tab/>
      </w:r>
      <w:r>
        <w:rPr>
          <w:rFonts w:ascii="Times New Roman" w:cs="Times New Roman" w:eastAsia="Times New Roman" w:hAnsi="Times New Roman"/>
          <w:sz w:val="18"/>
          <w:szCs w:val="18"/>
          <w:u w:val="single" w:color="auto"/>
          <w:color w:val="auto"/>
        </w:rPr>
        <w:t>Notices and Other Communications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firstLine="776"/>
        <w:spacing w:after="0" w:line="256" w:lineRule="auto"/>
        <w:tabs>
          <w:tab w:leader="none" w:pos="1171"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Notices Generally</w:t>
      </w:r>
      <w:r>
        <w:rPr>
          <w:rFonts w:ascii="Times New Roman" w:cs="Times New Roman" w:eastAsia="Times New Roman" w:hAnsi="Times New Roman"/>
          <w:sz w:val="19"/>
          <w:szCs w:val="19"/>
          <w:color w:val="auto"/>
        </w:rPr>
        <w:t>. Except in the case of notices and other communications expressly permitted to be given by telephone (and except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as provided in </w:t>
      </w:r>
      <w:r>
        <w:rPr>
          <w:rFonts w:ascii="Times New Roman" w:cs="Times New Roman" w:eastAsia="Times New Roman" w:hAnsi="Times New Roman"/>
          <w:sz w:val="19"/>
          <w:szCs w:val="19"/>
          <w:b w:val="1"/>
          <w:bCs w:val="1"/>
          <w:i w:val="1"/>
          <w:iCs w:val="1"/>
          <w:color w:val="auto"/>
        </w:rPr>
        <w:t>subsection (b)</w:t>
      </w:r>
      <w:r>
        <w:rPr>
          <w:rFonts w:ascii="Times New Roman" w:cs="Times New Roman" w:eastAsia="Times New Roman" w:hAnsi="Times New Roman"/>
          <w:sz w:val="19"/>
          <w:szCs w:val="19"/>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81" w:lineRule="exact"/>
        <w:rPr>
          <w:sz w:val="20"/>
          <w:szCs w:val="20"/>
          <w:color w:val="auto"/>
        </w:rPr>
      </w:pPr>
    </w:p>
    <w:p>
      <w:pPr>
        <w:ind w:firstLine="776"/>
        <w:spacing w:after="0" w:line="282" w:lineRule="auto"/>
        <w:tabs>
          <w:tab w:leader="none" w:pos="1198"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to Borrower, Administrative Agent or either L/C Issuer, to the address, telecopier number, electronic mail address, or telephone number specified for such Person on </w:t>
      </w:r>
      <w:r>
        <w:rPr>
          <w:rFonts w:ascii="Times New Roman" w:cs="Times New Roman" w:eastAsia="Times New Roman" w:hAnsi="Times New Roman"/>
          <w:sz w:val="19"/>
          <w:szCs w:val="19"/>
          <w:b w:val="1"/>
          <w:bCs w:val="1"/>
          <w:i w:val="1"/>
          <w:iCs w:val="1"/>
          <w:color w:val="auto"/>
        </w:rPr>
        <w:t>Schedule 1</w:t>
      </w:r>
      <w:r>
        <w:rPr>
          <w:rFonts w:ascii="Times New Roman" w:cs="Times New Roman" w:eastAsia="Times New Roman" w:hAnsi="Times New Roman"/>
          <w:sz w:val="19"/>
          <w:szCs w:val="19"/>
          <w:color w:val="auto"/>
        </w:rPr>
        <w:t>; and</w:t>
      </w:r>
    </w:p>
    <w:p>
      <w:pPr>
        <w:spacing w:after="0" w:line="143" w:lineRule="exact"/>
        <w:rPr>
          <w:rFonts w:ascii="Times New Roman" w:cs="Times New Roman" w:eastAsia="Times New Roman" w:hAnsi="Times New Roman"/>
          <w:sz w:val="19"/>
          <w:szCs w:val="19"/>
          <w:color w:val="auto"/>
        </w:rPr>
      </w:pPr>
    </w:p>
    <w:p>
      <w:pPr>
        <w:jc w:val="both"/>
        <w:ind w:firstLine="776"/>
        <w:spacing w:after="0" w:line="261" w:lineRule="auto"/>
        <w:tabs>
          <w:tab w:leader="none" w:pos="1192"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Borrower).</w:t>
      </w:r>
    </w:p>
    <w:p>
      <w:pPr>
        <w:spacing w:after="0" w:line="176" w:lineRule="exact"/>
        <w:rPr>
          <w:sz w:val="20"/>
          <w:szCs w:val="20"/>
          <w:color w:val="auto"/>
        </w:rPr>
      </w:pPr>
    </w:p>
    <w:p>
      <w:pPr>
        <w:jc w:val="both"/>
        <w:ind w:firstLine="773"/>
        <w:spacing w:after="0" w:line="254" w:lineRule="auto"/>
        <w:rPr>
          <w:sz w:val="20"/>
          <w:szCs w:val="20"/>
          <w:color w:val="auto"/>
        </w:rPr>
      </w:pPr>
      <w:r>
        <w:rPr>
          <w:rFonts w:ascii="Times New Roman" w:cs="Times New Roman" w:eastAsia="Times New Roman" w:hAnsi="Times New Roman"/>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w:t>
      </w:r>
      <w:r>
        <w:rPr>
          <w:rFonts w:ascii="Times New Roman" w:cs="Times New Roman" w:eastAsia="Times New Roman" w:hAnsi="Times New Roman"/>
          <w:sz w:val="19"/>
          <w:szCs w:val="19"/>
          <w:i w:val="1"/>
          <w:iCs w:val="1"/>
          <w:color w:val="auto"/>
        </w:rPr>
        <w:t>except that</w:t>
      </w:r>
      <w:r>
        <w:rPr>
          <w:rFonts w:ascii="Times New Roman" w:cs="Times New Roman" w:eastAsia="Times New Roman" w:hAnsi="Times New Roman"/>
          <w:sz w:val="19"/>
          <w:szCs w:val="19"/>
          <w:color w:val="auto"/>
        </w:rPr>
        <w:t xml:space="preserve">,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9"/>
          <w:szCs w:val="19"/>
          <w:b w:val="1"/>
          <w:bCs w:val="1"/>
          <w:i w:val="1"/>
          <w:iCs w:val="1"/>
          <w:color w:val="auto"/>
        </w:rPr>
        <w:t>subsection (b)</w:t>
      </w:r>
      <w:r>
        <w:rPr>
          <w:rFonts w:ascii="Times New Roman" w:cs="Times New Roman" w:eastAsia="Times New Roman" w:hAnsi="Times New Roman"/>
          <w:sz w:val="19"/>
          <w:szCs w:val="19"/>
          <w:color w:val="auto"/>
        </w:rPr>
        <w:t xml:space="preserve"> below, shall be effective as provided in such </w:t>
      </w:r>
      <w:r>
        <w:rPr>
          <w:rFonts w:ascii="Times New Roman" w:cs="Times New Roman" w:eastAsia="Times New Roman" w:hAnsi="Times New Roman"/>
          <w:sz w:val="19"/>
          <w:szCs w:val="19"/>
          <w:b w:val="1"/>
          <w:bCs w:val="1"/>
          <w:i w:val="1"/>
          <w:iCs w:val="1"/>
          <w:color w:val="auto"/>
        </w:rPr>
        <w:t>subsection (b)</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jc w:val="both"/>
        <w:ind w:firstLine="776"/>
        <w:spacing w:after="0" w:line="253" w:lineRule="auto"/>
        <w:tabs>
          <w:tab w:leader="none" w:pos="1259"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Electronic Communications</w:t>
      </w:r>
      <w:r>
        <w:rPr>
          <w:rFonts w:ascii="Times New Roman" w:cs="Times New Roman" w:eastAsia="Times New Roman" w:hAnsi="Times New Roman"/>
          <w:sz w:val="19"/>
          <w:szCs w:val="19"/>
          <w:color w:val="auto"/>
        </w:rPr>
        <w:t>. Notices and other communications to Lenders and the L/C Issuers hereunder may be delivered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furnished by electronic communication (including e-mail, FpML messaging and Internet or intranet websites) pursuant to procedures approved by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the foregoing shall not apply to notices to any Lender or either L/C Issuer pursuant to </w:t>
      </w:r>
      <w:r>
        <w:rPr>
          <w:rFonts w:ascii="Times New Roman" w:cs="Times New Roman" w:eastAsia="Times New Roman" w:hAnsi="Times New Roman"/>
          <w:sz w:val="19"/>
          <w:szCs w:val="19"/>
          <w:b w:val="1"/>
          <w:bCs w:val="1"/>
          <w:i w:val="1"/>
          <w:iCs w:val="1"/>
          <w:color w:val="auto"/>
        </w:rPr>
        <w:t>Section 2</w:t>
      </w:r>
      <w:r>
        <w:rPr>
          <w:rFonts w:ascii="Times New Roman" w:cs="Times New Roman" w:eastAsia="Times New Roman" w:hAnsi="Times New Roman"/>
          <w:sz w:val="19"/>
          <w:szCs w:val="19"/>
          <w:color w:val="auto"/>
        </w:rPr>
        <w:t xml:space="preserve"> if such Lender or such L/C Issuer, as applicable, has notified Administrative Agent that it is incapable of receiving notices under such </w:t>
      </w:r>
      <w:r>
        <w:rPr>
          <w:rFonts w:ascii="Times New Roman" w:cs="Times New Roman" w:eastAsia="Times New Roman" w:hAnsi="Times New Roman"/>
          <w:sz w:val="19"/>
          <w:szCs w:val="19"/>
          <w:b w:val="1"/>
          <w:bCs w:val="1"/>
          <w:i w:val="1"/>
          <w:iCs w:val="1"/>
          <w:color w:val="auto"/>
        </w:rPr>
        <w:t>Section 2</w:t>
      </w:r>
      <w:r>
        <w:rPr>
          <w:rFonts w:ascii="Times New Roman" w:cs="Times New Roman" w:eastAsia="Times New Roman" w:hAnsi="Times New Roman"/>
          <w:sz w:val="19"/>
          <w:szCs w:val="19"/>
          <w:color w:val="auto"/>
        </w:rPr>
        <w:t xml:space="preserve"> by electronic communication. Administrative Agent or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approval of such procedures may be limited to particular notices or communications.</w:t>
      </w:r>
    </w:p>
    <w:p>
      <w:pPr>
        <w:spacing w:after="0" w:line="184" w:lineRule="exact"/>
        <w:rPr>
          <w:sz w:val="20"/>
          <w:szCs w:val="20"/>
          <w:color w:val="auto"/>
        </w:rPr>
      </w:pPr>
    </w:p>
    <w:p>
      <w:pPr>
        <w:jc w:val="both"/>
        <w:ind w:firstLine="773"/>
        <w:spacing w:after="0" w:line="254" w:lineRule="auto"/>
        <w:rPr>
          <w:sz w:val="20"/>
          <w:szCs w:val="20"/>
          <w:color w:val="auto"/>
        </w:rPr>
      </w:pPr>
      <w:r>
        <w:rPr>
          <w:rFonts w:ascii="Times New Roman" w:cs="Times New Roman" w:eastAsia="Times New Roman" w:hAnsi="Times New Roman"/>
          <w:sz w:val="19"/>
          <w:szCs w:val="19"/>
          <w:color w:val="auto"/>
        </w:rPr>
        <w:t>Unless Administrative Agent otherwise prescribes, (i) notices and other communications sent to an e-mail address shall be deemed received upon the sender’s receipt of an acknowledgement from the intended recipient (such as by the “</w:t>
      </w:r>
      <w:r>
        <w:rPr>
          <w:rFonts w:ascii="Times New Roman" w:cs="Times New Roman" w:eastAsia="Times New Roman" w:hAnsi="Times New Roman"/>
          <w:sz w:val="19"/>
          <w:szCs w:val="19"/>
          <w:i w:val="1"/>
          <w:iCs w:val="1"/>
          <w:color w:val="auto"/>
        </w:rPr>
        <w:t>return receipt requested</w:t>
      </w:r>
      <w:r>
        <w:rPr>
          <w:rFonts w:ascii="Times New Roman" w:cs="Times New Roman" w:eastAsia="Times New Roman" w:hAnsi="Times New Roman"/>
          <w:sz w:val="19"/>
          <w:szCs w:val="19"/>
          <w:color w:val="auto"/>
        </w:rPr>
        <w:t xml:space="preserve">”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9"/>
          <w:szCs w:val="19"/>
          <w:b w:val="1"/>
          <w:bCs w:val="1"/>
          <w:i w:val="1"/>
          <w:iCs w:val="1"/>
          <w:color w:val="auto"/>
        </w:rPr>
        <w:t>clause (i)</w:t>
      </w:r>
      <w:r>
        <w:rPr>
          <w:rFonts w:ascii="Times New Roman" w:cs="Times New Roman" w:eastAsia="Times New Roman" w:hAnsi="Times New Roman"/>
          <w:sz w:val="19"/>
          <w:szCs w:val="19"/>
          <w:color w:val="auto"/>
        </w:rPr>
        <w:t xml:space="preserve"> of notification that such notice or communication is available and identifying the website address therefor;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for both </w:t>
      </w:r>
      <w:r>
        <w:rPr>
          <w:rFonts w:ascii="Times New Roman" w:cs="Times New Roman" w:eastAsia="Times New Roman" w:hAnsi="Times New Roman"/>
          <w:sz w:val="19"/>
          <w:szCs w:val="19"/>
          <w:b w:val="1"/>
          <w:bCs w:val="1"/>
          <w:i w:val="1"/>
          <w:iCs w:val="1"/>
          <w:color w:val="auto"/>
        </w:rPr>
        <w:t>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(ii)</w:t>
      </w:r>
      <w:r>
        <w:rPr>
          <w:rFonts w:ascii="Times New Roman" w:cs="Times New Roman" w:eastAsia="Times New Roman" w:hAnsi="Times New Roman"/>
          <w:sz w:val="19"/>
          <w:szCs w:val="19"/>
          <w:color w:val="auto"/>
        </w:rPr>
        <w:t>, if such notice or other communication is not sent during the normal business hours of the recipient, such notice or communication shall be deemed to have been sent at the opening of business on the next Business Day for the recipient.</w:t>
      </w:r>
    </w:p>
    <w:p>
      <w:pPr>
        <w:spacing w:after="0" w:line="165" w:lineRule="exact"/>
        <w:rPr>
          <w:sz w:val="20"/>
          <w:szCs w:val="20"/>
          <w:color w:val="auto"/>
        </w:rPr>
      </w:pPr>
    </w:p>
    <w:p>
      <w:pPr>
        <w:ind w:firstLine="776"/>
        <w:spacing w:after="0" w:line="289" w:lineRule="auto"/>
        <w:tabs>
          <w:tab w:leader="none" w:pos="1274"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The Platform</w:t>
      </w:r>
      <w:r>
        <w:rPr>
          <w:rFonts w:ascii="Times New Roman" w:cs="Times New Roman" w:eastAsia="Times New Roman" w:hAnsi="Times New Roman"/>
          <w:sz w:val="19"/>
          <w:szCs w:val="19"/>
          <w:color w:val="auto"/>
        </w:rPr>
        <w:t>. THE PLATFORM IS PROVIDED “AS IS” AND “AS AVAILABLE.” THE AGENT PARTIES (AS DEFINED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BELOW) DO NOT WARRANT THE ACCURACY 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110</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Administrative Agent or any of its Related Parties (collectively, the “</w:t>
      </w:r>
      <w:r>
        <w:rPr>
          <w:rFonts w:ascii="Times New Roman" w:cs="Times New Roman" w:eastAsia="Times New Roman" w:hAnsi="Times New Roman"/>
          <w:sz w:val="19"/>
          <w:szCs w:val="19"/>
          <w:b w:val="1"/>
          <w:bCs w:val="1"/>
          <w:i w:val="1"/>
          <w:iCs w:val="1"/>
          <w:color w:val="auto"/>
        </w:rPr>
        <w:t>Agent Parties</w:t>
      </w:r>
      <w:r>
        <w:rPr>
          <w:rFonts w:ascii="Times New Roman" w:cs="Times New Roman" w:eastAsia="Times New Roman" w:hAnsi="Times New Roman"/>
          <w:sz w:val="19"/>
          <w:szCs w:val="19"/>
          <w:color w:val="auto"/>
        </w:rPr>
        <w:t xml:space="preserve">”) have any liability to Borrower, any Lender, either L/C Issuer, or any other Person for losses, claims, damages, liabilities, or expenses of any kind (whether in tort, contract, or otherwise) arising out of Borrower’s or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in no event shall any Agent Party have any liability to Borrower, any Lender, either L/C Issuer, or any other Person for indirect, special, incidental, consequential, or punitive damages (as opposed to direct or actual damages).</w:t>
      </w:r>
    </w:p>
    <w:p>
      <w:pPr>
        <w:spacing w:after="0" w:line="164" w:lineRule="exact"/>
        <w:rPr>
          <w:sz w:val="20"/>
          <w:szCs w:val="20"/>
          <w:color w:val="auto"/>
        </w:rPr>
      </w:pPr>
    </w:p>
    <w:p>
      <w:pPr>
        <w:jc w:val="both"/>
        <w:ind w:firstLine="776"/>
        <w:spacing w:after="0" w:line="252" w:lineRule="auto"/>
        <w:tabs>
          <w:tab w:leader="none" w:pos="1297"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Change of Address, Etc</w:t>
      </w:r>
      <w:r>
        <w:rPr>
          <w:rFonts w:ascii="Times New Roman" w:cs="Times New Roman" w:eastAsia="Times New Roman" w:hAnsi="Times New Roman"/>
          <w:sz w:val="19"/>
          <w:szCs w:val="19"/>
          <w:color w:val="auto"/>
        </w:rPr>
        <w:t>. Each of Borrower, Administrative Agent and the L/C Issuers may change its address, telecopier,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telephone number for notices and other communications hereunder by notice to the other parties hereto. Each other Lender may change its address, telecopier, or telephone number for notices and other communications hereunder by notice to Borrower, Administrative Agent and the L/C Issuers. In addition, each Lender agrees to notify Administrative Agent from time to time to ensure that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w:t>
      </w:r>
      <w:r>
        <w:rPr>
          <w:rFonts w:ascii="Times New Roman" w:cs="Times New Roman" w:eastAsia="Times New Roman" w:hAnsi="Times New Roman"/>
          <w:sz w:val="19"/>
          <w:szCs w:val="19"/>
          <w:i w:val="1"/>
          <w:iCs w:val="1"/>
          <w:color w:val="auto"/>
        </w:rPr>
        <w:t>Private Side Information</w:t>
      </w:r>
      <w:r>
        <w:rPr>
          <w:rFonts w:ascii="Times New Roman" w:cs="Times New Roman" w:eastAsia="Times New Roman" w:hAnsi="Times New Roman"/>
          <w:sz w:val="19"/>
          <w:szCs w:val="19"/>
          <w:color w:val="auto"/>
        </w:rPr>
        <w:t>”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w:t>
      </w:r>
      <w:r>
        <w:rPr>
          <w:rFonts w:ascii="Times New Roman" w:cs="Times New Roman" w:eastAsia="Times New Roman" w:hAnsi="Times New Roman"/>
          <w:sz w:val="19"/>
          <w:szCs w:val="19"/>
          <w:i w:val="1"/>
          <w:iCs w:val="1"/>
          <w:color w:val="auto"/>
        </w:rPr>
        <w:t>Public Side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Information</w:t>
      </w:r>
      <w:r>
        <w:rPr>
          <w:rFonts w:ascii="Times New Roman" w:cs="Times New Roman" w:eastAsia="Times New Roman" w:hAnsi="Times New Roman"/>
          <w:sz w:val="19"/>
          <w:szCs w:val="19"/>
          <w:color w:val="auto"/>
        </w:rPr>
        <w:t>” portion of the Platform and that may contain material non-public information with respect to Borrower or its securities for purposes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United States Federal or state securities laws.</w:t>
      </w:r>
    </w:p>
    <w:p>
      <w:pPr>
        <w:spacing w:after="0" w:line="180" w:lineRule="exact"/>
        <w:rPr>
          <w:rFonts w:ascii="Times New Roman" w:cs="Times New Roman" w:eastAsia="Times New Roman" w:hAnsi="Times New Roman"/>
          <w:sz w:val="19"/>
          <w:szCs w:val="19"/>
          <w:color w:val="auto"/>
        </w:rPr>
      </w:pPr>
    </w:p>
    <w:p>
      <w:pPr>
        <w:jc w:val="both"/>
        <w:ind w:firstLine="776"/>
        <w:spacing w:after="0" w:line="269" w:lineRule="auto"/>
        <w:tabs>
          <w:tab w:leader="none" w:pos="119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Reliance by Administrative Agent, L/C Issuers, and Lenders</w:t>
      </w:r>
      <w:r>
        <w:rPr>
          <w:rFonts w:ascii="Times New Roman" w:cs="Times New Roman" w:eastAsia="Times New Roman" w:hAnsi="Times New Roman"/>
          <w:sz w:val="18"/>
          <w:szCs w:val="18"/>
          <w:color w:val="auto"/>
        </w:rPr>
        <w:t>. Administrative Agent, the L/C Issuers, and Lenders shall be entitled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rely and act upon any notices (including telephonic notices and Loan Notices)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Administrative Agent, the L/C Issuers, each Lender, and the Related Parties of each of them from all losses, costs, expenses, and liabilities resulting from the reliance by such Person on each notice purportedly given by or on behalf of Borrower. All telephonic notices to and other telephonic communications with Administrative Agent may be recorded by Administrative Agent, and each of the parties hereto hereby consents to such recording.</w:t>
      </w:r>
    </w:p>
    <w:p>
      <w:pPr>
        <w:spacing w:after="0" w:line="17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15.4</w:t>
      </w:r>
      <w:r>
        <w:rPr>
          <w:sz w:val="20"/>
          <w:szCs w:val="20"/>
          <w:color w:val="auto"/>
        </w:rPr>
        <w:tab/>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firstLine="776"/>
        <w:spacing w:after="0" w:line="289" w:lineRule="auto"/>
        <w:tabs>
          <w:tab w:leader="none" w:pos="1313"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Costs and Expenses</w:t>
      </w:r>
      <w:r>
        <w:rPr>
          <w:rFonts w:ascii="Times New Roman" w:cs="Times New Roman" w:eastAsia="Times New Roman" w:hAnsi="Times New Roman"/>
          <w:sz w:val="19"/>
          <w:szCs w:val="19"/>
          <w:color w:val="auto"/>
        </w:rPr>
        <w:t>. Borrower shall pay (i) all reasonable out-of-pocket expenses incurred by Administrative Agent and its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Affiliates (including the reasonable fees, charges,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111</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disbursements of counsel for Administrative Agent) in connection with the syndication of the credit facilities provided for herein, the preparation, negotiation, execution, delivery, and administration of this Agreement and the other Loan Papers, or any amendments, modifications, or waivers of the provisions hereof or thereof (whether or not the transactions contemplated hereby or thereby shall be consummated), (ii) all reasonable out-of-pocket expenses incurred by the L/C Issuers in connection with the issuance, amendment, renewal, or extension of any L/C or any demand for payment thereunder, and (iii) all out-of-pocket expenses incurred by Administrative Agent, any Lender, or the L/C Issuers (including the fees, charges, and disbursements of any counsel for Administrative Agent, any Lender, or the L/C Issuers), and shall pay all fees and time charges for attorneys who may be employees of Administrative Agent, any Lender, or the L/C Issuers, in connection with the enforcement or protection of its rights (A) in connection with this Agreement and the other Loan Papers, including its rights under this Section, or (B) in connection with the Loans made or L/Cs issued hereunder, including all such out-of-pocket expenses incurred during any workout, restructuring, or negotiations in respect of such Loans or L/Cs.</w:t>
      </w:r>
    </w:p>
    <w:p>
      <w:pPr>
        <w:spacing w:after="0" w:line="182" w:lineRule="exact"/>
        <w:rPr>
          <w:sz w:val="20"/>
          <w:szCs w:val="20"/>
          <w:color w:val="auto"/>
        </w:rPr>
      </w:pPr>
    </w:p>
    <w:p>
      <w:pPr>
        <w:jc w:val="both"/>
        <w:ind w:firstLine="776"/>
        <w:spacing w:after="0" w:line="250" w:lineRule="auto"/>
        <w:tabs>
          <w:tab w:leader="none" w:pos="1233"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Indemnification by Borrower</w:t>
      </w:r>
      <w:r>
        <w:rPr>
          <w:rFonts w:ascii="Times New Roman" w:cs="Times New Roman" w:eastAsia="Times New Roman" w:hAnsi="Times New Roman"/>
          <w:sz w:val="19"/>
          <w:szCs w:val="19"/>
          <w:color w:val="auto"/>
        </w:rPr>
        <w:t>. Borrower shall indemnify Administrative Agent (and any sub-agent thereof), each Lender, and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L/C Issuers, and each Related Party of any of the foregoing Persons (each such Person being called an “</w:t>
      </w:r>
      <w:r>
        <w:rPr>
          <w:rFonts w:ascii="Times New Roman" w:cs="Times New Roman" w:eastAsia="Times New Roman" w:hAnsi="Times New Roman"/>
          <w:sz w:val="19"/>
          <w:szCs w:val="19"/>
          <w:b w:val="1"/>
          <w:bCs w:val="1"/>
          <w:i w:val="1"/>
          <w:iCs w:val="1"/>
          <w:color w:val="auto"/>
        </w:rPr>
        <w:t>Indemnitee</w:t>
      </w:r>
      <w:r>
        <w:rPr>
          <w:rFonts w:ascii="Times New Roman" w:cs="Times New Roman" w:eastAsia="Times New Roman" w:hAnsi="Times New Roman"/>
          <w:sz w:val="19"/>
          <w:szCs w:val="19"/>
          <w:color w:val="auto"/>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any Company arising out of, in connection with, or as a result of (i) the execution or delivery of this Agreement, any other Loan Paper, or any agreement or instrument contemplated hereby or thereby, the performance by the parties hereto of their respective obligations hereunder or thereunder, or the consummation of the transactions contemplated hereby or thereby, or, in the case of Administrative Agent (and any sub-agent thereof) and its Related Parties only, the administration of this Agreement and the other Loan Papers, (ii) any Loan or L/C or the use or proposed use of the proceeds therefrom (including any refusal by either L/C Issuer to honor a demand for payment under an L/C if the documents presented in connection with such demand do not strictly comply with the terms of such L/C), (iii) any actual or alleged presence or release of Hazardous Substances on or from any property owned or operated by Borrower or any other Company, or any liability under Environmental Laws related in any way to the or any other Company, or (iv) any actual or prospective claim, litigation, investigation, or proceeding relating to any of the foregoing, whether based on contract, tort, or any other theory, whether brought by a third party or by Borrower or any other Company, and regardless of whether any Indemnitee is a party thereto, </w:t>
      </w:r>
      <w:r>
        <w:rPr>
          <w:rFonts w:ascii="Times New Roman" w:cs="Times New Roman" w:eastAsia="Times New Roman" w:hAnsi="Times New Roman"/>
          <w:sz w:val="19"/>
          <w:szCs w:val="19"/>
          <w:b w:val="1"/>
          <w:bCs w:val="1"/>
          <w:color w:val="auto"/>
        </w:rPr>
        <w:t>IN ALL CASES, WHETHER OR NOT CAUSED BY OR ARISING, IN WHOLE OR IN PART,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OUT OF THE COMPARATIVE, CONTRIBUTORY, OR SOLE NEGLIGENCE OF THE INDEMNITEE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such indemnity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Borrower or any other Company against an Indemnitee for breach in bad faith of such Indemnitee’s obligations hereunder or under any other Loan Paper, if Borrower or another Restricted Company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4.1(c)</w:t>
      </w:r>
      <w:r>
        <w:rPr>
          <w:rFonts w:ascii="Times New Roman" w:cs="Times New Roman" w:eastAsia="Times New Roman" w:hAnsi="Times New Roman"/>
          <w:sz w:val="19"/>
          <w:szCs w:val="19"/>
          <w:color w:val="auto"/>
        </w:rPr>
        <w:t>, this</w:t>
      </w:r>
      <w:r>
        <w:rPr>
          <w:rFonts w:ascii="Times New Roman" w:cs="Times New Roman" w:eastAsia="Times New Roman" w:hAnsi="Times New Roman"/>
          <w:sz w:val="19"/>
          <w:szCs w:val="19"/>
          <w:b w:val="1"/>
          <w:bCs w:val="1"/>
          <w:i w:val="1"/>
          <w:iCs w:val="1"/>
          <w:color w:val="auto"/>
        </w:rPr>
        <w:t xml:space="preserve"> Section 15.4 </w:t>
      </w:r>
      <w:r>
        <w:rPr>
          <w:rFonts w:ascii="Times New Roman" w:cs="Times New Roman" w:eastAsia="Times New Roman" w:hAnsi="Times New Roman"/>
          <w:sz w:val="19"/>
          <w:szCs w:val="19"/>
          <w:color w:val="auto"/>
        </w:rPr>
        <w:t>shall not apply with respect to Taxes other than any Taxes that represent losses, claims, damages, etc. arising from any non-Tax claim.</w:t>
      </w:r>
    </w:p>
    <w:p>
      <w:pPr>
        <w:spacing w:after="0" w:line="187" w:lineRule="exact"/>
        <w:rPr>
          <w:rFonts w:ascii="Times New Roman" w:cs="Times New Roman" w:eastAsia="Times New Roman" w:hAnsi="Times New Roman"/>
          <w:sz w:val="19"/>
          <w:szCs w:val="19"/>
          <w:color w:val="auto"/>
        </w:rPr>
      </w:pPr>
    </w:p>
    <w:p>
      <w:pPr>
        <w:jc w:val="both"/>
        <w:ind w:firstLine="776"/>
        <w:spacing w:after="0" w:line="264" w:lineRule="auto"/>
        <w:tabs>
          <w:tab w:leader="none" w:pos="1287"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Reimbursement by Lenders</w:t>
      </w:r>
      <w:r>
        <w:rPr>
          <w:rFonts w:ascii="Times New Roman" w:cs="Times New Roman" w:eastAsia="Times New Roman" w:hAnsi="Times New Roman"/>
          <w:sz w:val="19"/>
          <w:szCs w:val="19"/>
          <w:color w:val="auto"/>
        </w:rPr>
        <w:t>. To the extent that Borrower for any reason fails to indefeasibly pay any amount required under</w:t>
      </w:r>
      <w:r>
        <w:rPr>
          <w:rFonts w:ascii="Times New Roman" w:cs="Times New Roman" w:eastAsia="Times New Roman" w:hAnsi="Times New Roman"/>
          <w:sz w:val="19"/>
          <w:szCs w:val="19"/>
          <w:b w:val="1"/>
          <w:bCs w:val="1"/>
          <w:i w:val="1"/>
          <w:iCs w:val="1"/>
          <w:color w:val="auto"/>
        </w:rPr>
        <w:t xml:space="preserve"> subsection (a)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i w:val="1"/>
          <w:iCs w:val="1"/>
          <w:color w:val="auto"/>
        </w:rPr>
        <w:t xml:space="preserve"> (b) </w:t>
      </w:r>
      <w:r>
        <w:rPr>
          <w:rFonts w:ascii="Times New Roman" w:cs="Times New Roman" w:eastAsia="Times New Roman" w:hAnsi="Times New Roman"/>
          <w:sz w:val="19"/>
          <w:szCs w:val="19"/>
          <w:color w:val="auto"/>
        </w:rPr>
        <w:t>of this Section to be paid by it to Administrative Agent (or any sub-agent thereof), the L/C Issuers, or any Related Party of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112</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foregoing, each Lender severally agrees to pay to Administrative Agent (or any such sub-agent), the L/C Issuers, or such Related Party, as the case may be, such Lender’s Commitment Percentage (determined as of the time that the applicable unreimbursed expense or indemnity payment is sought) of such unpaid amount,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the unreimbursed expense or indemnified loss, claim, damage, liability, or related expense, as the case may be, was incurred by or asserted against Administrative Agent (or any such sub-agent) or any L/C Issuer in its capacity as such, or against any Related Party of any of the foregoing acting for Administrative Agent (or any such sub-agent) any L/C Issuer in connection with such capacity. The obligations of Lenders under this </w:t>
      </w:r>
      <w:r>
        <w:rPr>
          <w:rFonts w:ascii="Times New Roman" w:cs="Times New Roman" w:eastAsia="Times New Roman" w:hAnsi="Times New Roman"/>
          <w:sz w:val="19"/>
          <w:szCs w:val="19"/>
          <w:b w:val="1"/>
          <w:bCs w:val="1"/>
          <w:i w:val="1"/>
          <w:iCs w:val="1"/>
          <w:color w:val="auto"/>
        </w:rPr>
        <w:t>subsection (c)</w:t>
      </w:r>
      <w:r>
        <w:rPr>
          <w:rFonts w:ascii="Times New Roman" w:cs="Times New Roman" w:eastAsia="Times New Roman" w:hAnsi="Times New Roman"/>
          <w:sz w:val="19"/>
          <w:szCs w:val="19"/>
          <w:color w:val="auto"/>
        </w:rPr>
        <w:t xml:space="preserve"> are subject to the provisions of </w:t>
      </w:r>
      <w:r>
        <w:rPr>
          <w:rFonts w:ascii="Times New Roman" w:cs="Times New Roman" w:eastAsia="Times New Roman" w:hAnsi="Times New Roman"/>
          <w:sz w:val="19"/>
          <w:szCs w:val="19"/>
          <w:b w:val="1"/>
          <w:bCs w:val="1"/>
          <w:i w:val="1"/>
          <w:iCs w:val="1"/>
          <w:color w:val="auto"/>
        </w:rPr>
        <w:t>Section 2.2(d)</w:t>
      </w:r>
      <w:r>
        <w:rPr>
          <w:rFonts w:ascii="Times New Roman" w:cs="Times New Roman" w:eastAsia="Times New Roman" w:hAnsi="Times New Roman"/>
          <w:sz w:val="19"/>
          <w:szCs w:val="19"/>
          <w:i w:val="1"/>
          <w:iCs w:val="1"/>
          <w:color w:val="auto"/>
        </w:rPr>
        <w:t>.</w:t>
      </w:r>
    </w:p>
    <w:p>
      <w:pPr>
        <w:spacing w:after="0" w:line="178" w:lineRule="exact"/>
        <w:rPr>
          <w:sz w:val="20"/>
          <w:szCs w:val="20"/>
          <w:color w:val="auto"/>
        </w:rPr>
      </w:pPr>
    </w:p>
    <w:p>
      <w:pPr>
        <w:jc w:val="both"/>
        <w:ind w:firstLine="776"/>
        <w:spacing w:after="0" w:line="251" w:lineRule="auto"/>
        <w:tabs>
          <w:tab w:leader="none" w:pos="1194"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Waiver of Consequential Damages, Etc</w:t>
      </w:r>
      <w:r>
        <w:rPr>
          <w:rFonts w:ascii="Times New Roman" w:cs="Times New Roman" w:eastAsia="Times New Roman" w:hAnsi="Times New Roman"/>
          <w:sz w:val="19"/>
          <w:szCs w:val="19"/>
          <w:color w:val="auto"/>
        </w:rPr>
        <w:t>. To the fullest extent permitted by applicable Law, each of Borrower and any Related Party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of Borrower that is a party to a Loan Paper from time to time shall not assert, and hereby waives, any claim against any Indemnitee, on any theory of liability, for special, indirect, consequential, or punitive damages (as opposed to direct or actual damages) arising out of, in connection with, or as a result of, this Agreement, any other Loan Paper, or any agreement or instrument contemplated hereby, the transactions contemplated hereby or thereby, any Loan or L/C, or the use of the proceeds thereof. No Indemnitee referred to in </w:t>
      </w:r>
      <w:r>
        <w:rPr>
          <w:rFonts w:ascii="Times New Roman" w:cs="Times New Roman" w:eastAsia="Times New Roman" w:hAnsi="Times New Roman"/>
          <w:sz w:val="19"/>
          <w:szCs w:val="19"/>
          <w:b w:val="1"/>
          <w:bCs w:val="1"/>
          <w:i w:val="1"/>
          <w:iCs w:val="1"/>
          <w:color w:val="auto"/>
        </w:rPr>
        <w:t>subsection (b)</w:t>
      </w:r>
      <w:r>
        <w:rPr>
          <w:rFonts w:ascii="Times New Roman" w:cs="Times New Roman" w:eastAsia="Times New Roman" w:hAnsi="Times New Roman"/>
          <w:sz w:val="19"/>
          <w:szCs w:val="19"/>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Papers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4" w:lineRule="exact"/>
        <w:rPr>
          <w:rFonts w:ascii="Times New Roman" w:cs="Times New Roman" w:eastAsia="Times New Roman" w:hAnsi="Times New Roman"/>
          <w:sz w:val="19"/>
          <w:szCs w:val="19"/>
          <w:color w:val="auto"/>
        </w:rPr>
      </w:pPr>
    </w:p>
    <w:p>
      <w:pPr>
        <w:ind w:left="1180" w:hanging="404"/>
        <w:spacing w:after="0"/>
        <w:tabs>
          <w:tab w:leader="none" w:pos="118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Payments</w:t>
      </w:r>
      <w:r>
        <w:rPr>
          <w:rFonts w:ascii="Times New Roman" w:cs="Times New Roman" w:eastAsia="Times New Roman" w:hAnsi="Times New Roman"/>
          <w:sz w:val="19"/>
          <w:szCs w:val="19"/>
          <w:color w:val="auto"/>
        </w:rPr>
        <w:t>. All amounts due under this Section shall be payable not later than ten Business Days after demand therefor.</w:t>
      </w:r>
    </w:p>
    <w:p>
      <w:pPr>
        <w:spacing w:after="0" w:line="219" w:lineRule="exact"/>
        <w:rPr>
          <w:rFonts w:ascii="Times New Roman" w:cs="Times New Roman" w:eastAsia="Times New Roman" w:hAnsi="Times New Roman"/>
          <w:sz w:val="19"/>
          <w:szCs w:val="19"/>
          <w:color w:val="auto"/>
        </w:rPr>
      </w:pPr>
    </w:p>
    <w:p>
      <w:pPr>
        <w:ind w:firstLine="776"/>
        <w:spacing w:after="0" w:line="275" w:lineRule="auto"/>
        <w:tabs>
          <w:tab w:leader="none" w:pos="115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Survival</w:t>
      </w:r>
      <w:r>
        <w:rPr>
          <w:rFonts w:ascii="Times New Roman" w:cs="Times New Roman" w:eastAsia="Times New Roman" w:hAnsi="Times New Roman"/>
          <w:sz w:val="19"/>
          <w:szCs w:val="19"/>
          <w:color w:val="auto"/>
        </w:rPr>
        <w:t>. The agreements in this Section shall survive the resignation of Administrative Agent and either L/C Issuer, the replacement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any Lender, the termination of the Total Commitment, and the repayment, satisfaction, or discharge of all the other Obligation.</w:t>
      </w:r>
    </w:p>
    <w:p>
      <w:pPr>
        <w:spacing w:after="0" w:line="162"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15.5 </w:t>
      </w:r>
      <w:r>
        <w:rPr>
          <w:rFonts w:ascii="Times New Roman" w:cs="Times New Roman" w:eastAsia="Times New Roman" w:hAnsi="Times New Roman"/>
          <w:sz w:val="19"/>
          <w:szCs w:val="19"/>
          <w:u w:val="single" w:color="auto"/>
          <w:color w:val="auto"/>
        </w:rPr>
        <w:t>Exceptions to Covenants; Conflict with Agreement</w:t>
      </w:r>
      <w:r>
        <w:rPr>
          <w:rFonts w:ascii="Times New Roman" w:cs="Times New Roman" w:eastAsia="Times New Roman" w:hAnsi="Times New Roman"/>
          <w:sz w:val="19"/>
          <w:szCs w:val="19"/>
          <w:color w:val="auto"/>
        </w:rPr>
        <w:t>. The Companies may not take or fail to take any action that is permitted as an exception to any of the covenants contained in any Loan Paper if that action or omission would result in the breach of any other covenant contained in any Loan Paper. Any conflict or ambiguity between the terms and provisions of this Agreement and the terms and provisions in any other Loan Paper is controlled by the terms and provisions of this Agreement.</w:t>
      </w:r>
    </w:p>
    <w:p>
      <w:pPr>
        <w:spacing w:after="0" w:line="18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15.6</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firstLine="776"/>
        <w:spacing w:after="0" w:line="256" w:lineRule="auto"/>
        <w:tabs>
          <w:tab w:leader="none" w:pos="1351"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GOVERNING LAW</w:t>
      </w:r>
      <w:r>
        <w:rPr>
          <w:rFonts w:ascii="Times New Roman" w:cs="Times New Roman" w:eastAsia="Times New Roman" w:hAnsi="Times New Roman"/>
          <w:sz w:val="19"/>
          <w:szCs w:val="19"/>
          <w:color w:val="auto"/>
        </w:rPr>
        <w:t>. THIS AGREEMENT AND THE OTHER LOAN PAPERS AND ANY CLAIMS, CONTROVERSY,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DISPUTE OR CAUSE OF ACTION (WHETHER IN CONTRACT OR TORT OR OTHERWISE) BASED UPON, ARISING OUT OF OR RELATING TO THIS AGREEMENT OR ANY OTHER LOAN PAPER (EXCEPT, AS TO ANY OTHER LOAN PAPER, AS EXPRESSLY SET FORTH THEREIN) AND THE TRANSACTIONS CONTEMPLATED HEREBY AND THEREBY SHALL BE GOVERNED BY, AND CONSTRUED IN ACCORDANCE WITH, THE LAW OF THE STATE OF NEW YORK.</w:t>
      </w:r>
    </w:p>
    <w:p>
      <w:pPr>
        <w:spacing w:after="0" w:line="174" w:lineRule="exact"/>
        <w:rPr>
          <w:rFonts w:ascii="Times New Roman" w:cs="Times New Roman" w:eastAsia="Times New Roman" w:hAnsi="Times New Roman"/>
          <w:sz w:val="19"/>
          <w:szCs w:val="19"/>
          <w:color w:val="auto"/>
        </w:rPr>
      </w:pPr>
    </w:p>
    <w:p>
      <w:pPr>
        <w:jc w:val="both"/>
        <w:ind w:firstLine="776"/>
        <w:spacing w:after="0" w:line="264" w:lineRule="auto"/>
        <w:tabs>
          <w:tab w:leader="none" w:pos="1658"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SUBMISSION TO JURISDICTION</w:t>
      </w:r>
      <w:r>
        <w:rPr>
          <w:rFonts w:ascii="Times New Roman" w:cs="Times New Roman" w:eastAsia="Times New Roman" w:hAnsi="Times New Roman"/>
          <w:sz w:val="19"/>
          <w:szCs w:val="19"/>
          <w:color w:val="auto"/>
        </w:rPr>
        <w:t>. BORROWER AND EACH OTHER COMPANY IRREVOCABLY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UNCONDITIONALLY AGREES THAT IT WILL NOT COMMENCE ANY ACTION, LITIGATION OR PROCEEDING OF ANY KIND OR DESCRIPTION, WHETHER IN LAW OR EQUITY, WHETHER IN CONTRACT OR IN TORT OR OTHERWISE,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113</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AGAINST ADMINISTRATIVE AGENT, ANY LENDER, THE L/C ISSUER, OR ANY RELATED PARTY OF THE FOREGOING IN ANY WAY RELATING TO THIS AGREEMENT OR ANY OTHER LOAN PAPER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PAPER SHALL AFFECT ANY RIGHT THAT ADMINISTRATIVE AGENT, ANY LENDER OR EITHER L/C ISSUER MAY OTHERWISE HAVE TO BRING ANY ACTION OR PROCEEDING RELATING TO THIS AGREEMENT OR ANY OTHER LOAN PAPER AGAINST BORROWER OR ANY OTHER COMPANY OR ITS PROPERTIES IN THE COURTS OF ANY JURISDICTION.</w:t>
      </w:r>
    </w:p>
    <w:p>
      <w:pPr>
        <w:spacing w:after="0" w:line="167" w:lineRule="exact"/>
        <w:rPr>
          <w:sz w:val="20"/>
          <w:szCs w:val="20"/>
          <w:color w:val="auto"/>
        </w:rPr>
      </w:pPr>
    </w:p>
    <w:p>
      <w:pPr>
        <w:jc w:val="both"/>
        <w:ind w:firstLine="776"/>
        <w:spacing w:after="0" w:line="255" w:lineRule="auto"/>
        <w:tabs>
          <w:tab w:leader="none" w:pos="1171"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WAIVER OF VENUE</w:t>
      </w:r>
      <w:r>
        <w:rPr>
          <w:rFonts w:ascii="Times New Roman" w:cs="Times New Roman" w:eastAsia="Times New Roman" w:hAnsi="Times New Roman"/>
          <w:sz w:val="19"/>
          <w:szCs w:val="19"/>
          <w:color w:val="auto"/>
        </w:rPr>
        <w:t>. BORROWER AND EACH OTHER COMPANY IRREVOCABLY AND UNCONDITIONALLY WAIVES,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TO THE FULLEST EXTENT PERMITTED BY APPLICABLE LAW, ANY OBJECTION THAT IT MAY NOW OR HEREAFTER HAVE TO THE LAYING OF VENUE OF ANY ACTION OR PROCEEDING ARISING OUT OF OR RELATING TO THIS AGREEMENT OR ANY OTHER LOAN PAPER IN ANY COURT REFERRED TO IN </w:t>
      </w:r>
      <w:r>
        <w:rPr>
          <w:rFonts w:ascii="Times New Roman" w:cs="Times New Roman" w:eastAsia="Times New Roman" w:hAnsi="Times New Roman"/>
          <w:sz w:val="19"/>
          <w:szCs w:val="19"/>
          <w:b w:val="1"/>
          <w:bCs w:val="1"/>
          <w:i w:val="1"/>
          <w:iCs w:val="1"/>
          <w:color w:val="auto"/>
        </w:rPr>
        <w:t>PARAGRAPH (B)</w:t>
      </w:r>
      <w:r>
        <w:rPr>
          <w:rFonts w:ascii="Times New Roman" w:cs="Times New Roman" w:eastAsia="Times New Roman" w:hAnsi="Times New Roman"/>
          <w:sz w:val="19"/>
          <w:szCs w:val="19"/>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65" w:lineRule="exact"/>
        <w:rPr>
          <w:rFonts w:ascii="Times New Roman" w:cs="Times New Roman" w:eastAsia="Times New Roman" w:hAnsi="Times New Roman"/>
          <w:sz w:val="19"/>
          <w:szCs w:val="19"/>
          <w:color w:val="auto"/>
        </w:rPr>
      </w:pPr>
    </w:p>
    <w:p>
      <w:pPr>
        <w:jc w:val="both"/>
        <w:ind w:firstLine="776"/>
        <w:spacing w:after="0" w:line="264" w:lineRule="auto"/>
        <w:tabs>
          <w:tab w:leader="none" w:pos="1336"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SERVICE OF PROCESS</w:t>
      </w:r>
      <w:r>
        <w:rPr>
          <w:rFonts w:ascii="Times New Roman" w:cs="Times New Roman" w:eastAsia="Times New Roman" w:hAnsi="Times New Roman"/>
          <w:sz w:val="19"/>
          <w:szCs w:val="19"/>
          <w:color w:val="auto"/>
        </w:rPr>
        <w:t>. EACH PARTY HERETO IRREVOCABLY CONSENTS TO SERVICE OF PROCESS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MANNER PROVIDED FOR NOTICES IN </w:t>
      </w:r>
      <w:r>
        <w:rPr>
          <w:rFonts w:ascii="Times New Roman" w:cs="Times New Roman" w:eastAsia="Times New Roman" w:hAnsi="Times New Roman"/>
          <w:sz w:val="19"/>
          <w:szCs w:val="19"/>
          <w:b w:val="1"/>
          <w:bCs w:val="1"/>
          <w:i w:val="1"/>
          <w:iCs w:val="1"/>
          <w:color w:val="auto"/>
        </w:rPr>
        <w:t>SECTION 15.3</w:t>
      </w:r>
      <w:r>
        <w:rPr>
          <w:rFonts w:ascii="Times New Roman" w:cs="Times New Roman" w:eastAsia="Times New Roman" w:hAnsi="Times New Roman"/>
          <w:sz w:val="19"/>
          <w:szCs w:val="19"/>
          <w:color w:val="auto"/>
        </w:rPr>
        <w:t>. NOTHING IN THIS AGREEMENT WILL AFFECT THE RIGHT OF ANY PARTY HERETO TO SERVE PROCESS IN ANY OTHER MANNER PERMITTED BY APPLICABLE LAW.</w:t>
      </w:r>
    </w:p>
    <w:p>
      <w:pPr>
        <w:spacing w:after="0" w:line="174"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15.7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provision of this Agreement or the other Loan Papers is held to be illegal, invalid, or unenforceable, (a) the legality, validity, and enforceability of the remaining provisions of this Agreement and the other Loan Papers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3" w:lineRule="exact"/>
        <w:rPr>
          <w:sz w:val="20"/>
          <w:szCs w:val="20"/>
          <w:color w:val="auto"/>
        </w:rPr>
      </w:pPr>
    </w:p>
    <w:p>
      <w:pPr>
        <w:jc w:val="both"/>
        <w:ind w:firstLine="618"/>
        <w:spacing w:after="0" w:line="267"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OTHER LOAN PAPER OR THE TRANSACTIONS CONTEMPLATED HEREBY OR THEREBY (WHETHER BASED ON CONTRACT, TORT, OR ANY OTHER THEORY). EACH PARTY HERETO</w:t>
      </w:r>
    </w:p>
    <w:p>
      <w:pPr>
        <w:spacing w:after="0"/>
        <w:rPr>
          <w:sz w:val="20"/>
          <w:szCs w:val="20"/>
          <w:color w:val="auto"/>
        </w:rPr>
      </w:pPr>
      <w:r>
        <w:rPr>
          <w:rFonts w:ascii="Times New Roman" w:cs="Times New Roman" w:eastAsia="Times New Roman" w:hAnsi="Times New Roman"/>
          <w:sz w:val="19"/>
          <w:szCs w:val="19"/>
          <w:color w:val="auto"/>
        </w:rPr>
        <w:t>(A) CERTIFIES THAT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114</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NO REPRESENTATIVE, AGENT, OR ATTORNEY OF ANY OTHER PERSON HAS REPRESENTED, EXPRESSLY OR OTHERWISE, THAT SUCH OTHER PERSON WOULD NOT, IN THE EVENT OF LITIGATION, SEEK TO ENFORCE THE FOREGOING WAIVER, AND</w:t>
      </w:r>
    </w:p>
    <w:p>
      <w:pPr>
        <w:spacing w:after="0" w:line="1" w:lineRule="exact"/>
        <w:rPr>
          <w:sz w:val="20"/>
          <w:szCs w:val="20"/>
          <w:color w:val="auto"/>
        </w:rPr>
      </w:pPr>
    </w:p>
    <w:p>
      <w:pPr>
        <w:ind w:firstLine="3"/>
        <w:spacing w:after="0" w:line="288" w:lineRule="auto"/>
        <w:tabs>
          <w:tab w:leader="none" w:pos="31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AND THE OTHER LOAN PAPERS BY, AMONG OTHER THINGS, THE MUTUAL WAIVERS AND CERTIFICATIONS IN THIS SECTION.</w:t>
      </w:r>
    </w:p>
    <w:p>
      <w:pPr>
        <w:spacing w:after="0" w:line="140"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 xml:space="preserve">15.9 </w:t>
      </w:r>
      <w:r>
        <w:rPr>
          <w:rFonts w:ascii="Times New Roman" w:cs="Times New Roman" w:eastAsia="Times New Roman" w:hAnsi="Times New Roman"/>
          <w:sz w:val="19"/>
          <w:szCs w:val="19"/>
          <w:u w:val="single" w:color="auto"/>
          <w:color w:val="auto"/>
        </w:rPr>
        <w:t>Amendments, Etc</w:t>
      </w:r>
      <w:r>
        <w:rPr>
          <w:rFonts w:ascii="Times New Roman" w:cs="Times New Roman" w:eastAsia="Times New Roman" w:hAnsi="Times New Roman"/>
          <w:sz w:val="19"/>
          <w:szCs w:val="19"/>
          <w:color w:val="auto"/>
        </w:rPr>
        <w:t xml:space="preserve">. No amendment or waiver of any provision of this Agreement or any other Loan Paper, and no consent to any departure by any Restricted Company therefrom, shall be effective unless in writing signed by Required Lenders, Borrower, and other applicable Restricted Companies, as the case may be, and acknowledged by Administrative Agent, and each such waiver or consent shall be effective only in the specific instance and for the specific purpose for which given;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no such amendment, waiver, or consent shall:</w:t>
      </w:r>
    </w:p>
    <w:p>
      <w:pPr>
        <w:spacing w:after="0" w:line="171" w:lineRule="exact"/>
        <w:rPr>
          <w:sz w:val="20"/>
          <w:szCs w:val="20"/>
          <w:color w:val="auto"/>
        </w:rPr>
      </w:pPr>
    </w:p>
    <w:p>
      <w:pPr>
        <w:ind w:left="1180" w:hanging="404"/>
        <w:spacing w:after="0"/>
        <w:tabs>
          <w:tab w:leader="none" w:pos="118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waive any condition set forth in </w:t>
      </w:r>
      <w:r>
        <w:rPr>
          <w:rFonts w:ascii="Times New Roman" w:cs="Times New Roman" w:eastAsia="Times New Roman" w:hAnsi="Times New Roman"/>
          <w:sz w:val="19"/>
          <w:szCs w:val="19"/>
          <w:b w:val="1"/>
          <w:bCs w:val="1"/>
          <w:i w:val="1"/>
          <w:iCs w:val="1"/>
          <w:color w:val="auto"/>
        </w:rPr>
        <w:t>Section 7.1</w:t>
      </w:r>
      <w:r>
        <w:rPr>
          <w:rFonts w:ascii="Times New Roman" w:cs="Times New Roman" w:eastAsia="Times New Roman" w:hAnsi="Times New Roman"/>
          <w:sz w:val="19"/>
          <w:szCs w:val="19"/>
          <w:color w:val="auto"/>
        </w:rPr>
        <w:t xml:space="preserve"> without the written consent of each Lender;</w:t>
      </w:r>
    </w:p>
    <w:p>
      <w:pPr>
        <w:spacing w:after="0" w:line="206" w:lineRule="exact"/>
        <w:rPr>
          <w:rFonts w:ascii="Times New Roman" w:cs="Times New Roman" w:eastAsia="Times New Roman" w:hAnsi="Times New Roman"/>
          <w:sz w:val="19"/>
          <w:szCs w:val="19"/>
          <w:color w:val="auto"/>
        </w:rPr>
      </w:pPr>
    </w:p>
    <w:p>
      <w:pPr>
        <w:ind w:firstLine="776"/>
        <w:spacing w:after="0" w:line="289" w:lineRule="auto"/>
        <w:tabs>
          <w:tab w:leader="none" w:pos="1181"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waive any condition set forth in </w:t>
      </w:r>
      <w:r>
        <w:rPr>
          <w:rFonts w:ascii="Times New Roman" w:cs="Times New Roman" w:eastAsia="Times New Roman" w:hAnsi="Times New Roman"/>
          <w:sz w:val="19"/>
          <w:szCs w:val="19"/>
          <w:b w:val="1"/>
          <w:bCs w:val="1"/>
          <w:i w:val="1"/>
          <w:iCs w:val="1"/>
          <w:color w:val="auto"/>
        </w:rPr>
        <w:t>Section 7.2</w:t>
      </w:r>
      <w:r>
        <w:rPr>
          <w:rFonts w:ascii="Times New Roman" w:cs="Times New Roman" w:eastAsia="Times New Roman" w:hAnsi="Times New Roman"/>
          <w:sz w:val="19"/>
          <w:szCs w:val="19"/>
          <w:color w:val="auto"/>
        </w:rPr>
        <w:t xml:space="preserve"> as to any Loan under the Revolver Facility or the Term Loan Facility without the written consent of the Required Revolver Lenders or the Required Term Loan Lenders, as the case may be;</w:t>
      </w:r>
    </w:p>
    <w:p>
      <w:pPr>
        <w:spacing w:after="0" w:line="143" w:lineRule="exact"/>
        <w:rPr>
          <w:rFonts w:ascii="Times New Roman" w:cs="Times New Roman" w:eastAsia="Times New Roman" w:hAnsi="Times New Roman"/>
          <w:sz w:val="19"/>
          <w:szCs w:val="19"/>
          <w:color w:val="auto"/>
        </w:rPr>
      </w:pPr>
    </w:p>
    <w:p>
      <w:pPr>
        <w:ind w:firstLine="776"/>
        <w:spacing w:after="0" w:line="275" w:lineRule="auto"/>
        <w:tabs>
          <w:tab w:leader="none" w:pos="1214"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extend or increase the Commitment of any Lender (or reinstate any Commitment terminated pursuant to </w:t>
      </w:r>
      <w:r>
        <w:rPr>
          <w:rFonts w:ascii="Times New Roman" w:cs="Times New Roman" w:eastAsia="Times New Roman" w:hAnsi="Times New Roman"/>
          <w:sz w:val="19"/>
          <w:szCs w:val="19"/>
          <w:b w:val="1"/>
          <w:bCs w:val="1"/>
          <w:i w:val="1"/>
          <w:iCs w:val="1"/>
          <w:color w:val="auto"/>
        </w:rPr>
        <w:t>Section 13.1</w:t>
      </w:r>
      <w:r>
        <w:rPr>
          <w:rFonts w:ascii="Times New Roman" w:cs="Times New Roman" w:eastAsia="Times New Roman" w:hAnsi="Times New Roman"/>
          <w:sz w:val="19"/>
          <w:szCs w:val="19"/>
          <w:color w:val="auto"/>
        </w:rPr>
        <w:t>) without the written consent of such Lender;</w:t>
      </w:r>
    </w:p>
    <w:p>
      <w:pPr>
        <w:spacing w:after="0" w:line="162" w:lineRule="exact"/>
        <w:rPr>
          <w:rFonts w:ascii="Times New Roman" w:cs="Times New Roman" w:eastAsia="Times New Roman" w:hAnsi="Times New Roman"/>
          <w:sz w:val="19"/>
          <w:szCs w:val="19"/>
          <w:color w:val="auto"/>
        </w:rPr>
      </w:pPr>
    </w:p>
    <w:p>
      <w:pPr>
        <w:ind w:firstLine="776"/>
        <w:spacing w:after="0" w:line="268" w:lineRule="auto"/>
        <w:tabs>
          <w:tab w:leader="none" w:pos="1181"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postpone any date fixed by this Agreement or any other Loan Paper for any payment of principal, interest, fees, or other amounts due to Lenders (or any of them) hereunder or under any other Loan Paper without the written consent of each Lender directly affected thereby;</w:t>
      </w:r>
    </w:p>
    <w:p>
      <w:pPr>
        <w:spacing w:after="0" w:line="168" w:lineRule="exact"/>
        <w:rPr>
          <w:rFonts w:ascii="Times New Roman" w:cs="Times New Roman" w:eastAsia="Times New Roman" w:hAnsi="Times New Roman"/>
          <w:sz w:val="19"/>
          <w:szCs w:val="19"/>
          <w:color w:val="auto"/>
        </w:rPr>
      </w:pPr>
    </w:p>
    <w:p>
      <w:pPr>
        <w:jc w:val="both"/>
        <w:ind w:firstLine="776"/>
        <w:spacing w:after="0" w:line="259" w:lineRule="auto"/>
        <w:tabs>
          <w:tab w:leader="none" w:pos="1203"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the principal of, or the rate of interest specified herein on, any Loan or L/C Borrowing, or any fees (other than fees covered by the Fee Letter) or other amounts payable hereunder or under any other Loan Paper without the written consent of each Lender directly affected thereby</w:t>
      </w:r>
      <w:r>
        <w:rPr>
          <w:rFonts w:ascii="Times New Roman" w:cs="Times New Roman" w:eastAsia="Times New Roman" w:hAnsi="Times New Roman"/>
          <w:sz w:val="19"/>
          <w:szCs w:val="19"/>
          <w:i w:val="1"/>
          <w:iCs w:val="1"/>
          <w:color w:val="auto"/>
        </w:rPr>
        <w:t>; 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only the consent of Required Lenders shall be necessary to amend the definition of “</w:t>
      </w:r>
      <w:r>
        <w:rPr>
          <w:rFonts w:ascii="Times New Roman" w:cs="Times New Roman" w:eastAsia="Times New Roman" w:hAnsi="Times New Roman"/>
          <w:sz w:val="19"/>
          <w:szCs w:val="19"/>
          <w:i w:val="1"/>
          <w:iCs w:val="1"/>
          <w:color w:val="auto"/>
        </w:rPr>
        <w:t>Default Rate</w:t>
      </w:r>
      <w:r>
        <w:rPr>
          <w:rFonts w:ascii="Times New Roman" w:cs="Times New Roman" w:eastAsia="Times New Roman" w:hAnsi="Times New Roman"/>
          <w:sz w:val="19"/>
          <w:szCs w:val="19"/>
          <w:color w:val="auto"/>
        </w:rPr>
        <w:t xml:space="preserve">” or to waive any obligation of Borrower to pay interest or L/C Fees (as described in </w:t>
      </w:r>
      <w:r>
        <w:rPr>
          <w:rFonts w:ascii="Times New Roman" w:cs="Times New Roman" w:eastAsia="Times New Roman" w:hAnsi="Times New Roman"/>
          <w:sz w:val="19"/>
          <w:szCs w:val="19"/>
          <w:b w:val="1"/>
          <w:bCs w:val="1"/>
          <w:i w:val="1"/>
          <w:iCs w:val="1"/>
          <w:color w:val="auto"/>
        </w:rPr>
        <w:t>Section 5.3(a)</w:t>
      </w:r>
      <w:r>
        <w:rPr>
          <w:rFonts w:ascii="Times New Roman" w:cs="Times New Roman" w:eastAsia="Times New Roman" w:hAnsi="Times New Roman"/>
          <w:sz w:val="19"/>
          <w:szCs w:val="19"/>
          <w:color w:val="auto"/>
        </w:rPr>
        <w:t>) at the Default Rate;</w:t>
      </w:r>
    </w:p>
    <w:p>
      <w:pPr>
        <w:spacing w:after="0" w:line="158" w:lineRule="exact"/>
        <w:rPr>
          <w:rFonts w:ascii="Times New Roman" w:cs="Times New Roman" w:eastAsia="Times New Roman" w:hAnsi="Times New Roman"/>
          <w:sz w:val="19"/>
          <w:szCs w:val="19"/>
          <w:color w:val="auto"/>
        </w:rPr>
      </w:pPr>
    </w:p>
    <w:p>
      <w:pPr>
        <w:jc w:val="both"/>
        <w:ind w:firstLine="776"/>
        <w:spacing w:after="0" w:line="264" w:lineRule="auto"/>
        <w:tabs>
          <w:tab w:leader="none" w:pos="1225"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amend, waive, modify, supplement, or otherwise change </w:t>
      </w:r>
      <w:r>
        <w:rPr>
          <w:rFonts w:ascii="Times New Roman" w:cs="Times New Roman" w:eastAsia="Times New Roman" w:hAnsi="Times New Roman"/>
          <w:sz w:val="19"/>
          <w:szCs w:val="19"/>
          <w:b w:val="1"/>
          <w:bCs w:val="1"/>
          <w:i w:val="1"/>
          <w:iCs w:val="1"/>
          <w:color w:val="auto"/>
        </w:rPr>
        <w:t>Sections 3.10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3.11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3.12</w:t>
      </w:r>
      <w:r>
        <w:rPr>
          <w:rFonts w:ascii="Times New Roman" w:cs="Times New Roman" w:eastAsia="Times New Roman" w:hAnsi="Times New Roman"/>
          <w:sz w:val="19"/>
          <w:szCs w:val="19"/>
          <w:color w:val="auto"/>
        </w:rPr>
        <w:t xml:space="preserve"> in any manner that would alter the pro rata sharing of payments, the reduction of Commitments and/or the order of application of funds or proceeds, required thereby without the written consent of each Lender adversely affected thereby;</w:t>
      </w:r>
    </w:p>
    <w:p>
      <w:pPr>
        <w:spacing w:after="0" w:line="169" w:lineRule="exact"/>
        <w:rPr>
          <w:rFonts w:ascii="Times New Roman" w:cs="Times New Roman" w:eastAsia="Times New Roman" w:hAnsi="Times New Roman"/>
          <w:sz w:val="19"/>
          <w:szCs w:val="19"/>
          <w:color w:val="auto"/>
        </w:rPr>
      </w:pPr>
    </w:p>
    <w:p>
      <w:pPr>
        <w:jc w:val="both"/>
        <w:ind w:firstLine="776"/>
        <w:spacing w:after="0" w:line="263" w:lineRule="auto"/>
        <w:tabs>
          <w:tab w:leader="none" w:pos="1217"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any provision of this Section, the definition of “</w:t>
      </w:r>
      <w:r>
        <w:rPr>
          <w:rFonts w:ascii="Times New Roman" w:cs="Times New Roman" w:eastAsia="Times New Roman" w:hAnsi="Times New Roman"/>
          <w:sz w:val="19"/>
          <w:szCs w:val="19"/>
          <w:i w:val="1"/>
          <w:iCs w:val="1"/>
          <w:color w:val="auto"/>
        </w:rPr>
        <w:t>Required Lenders</w:t>
      </w:r>
      <w:r>
        <w:rPr>
          <w:rFonts w:ascii="Times New Roman" w:cs="Times New Roman" w:eastAsia="Times New Roman" w:hAnsi="Times New Roman"/>
          <w:sz w:val="19"/>
          <w:szCs w:val="19"/>
          <w:color w:val="auto"/>
        </w:rPr>
        <w:t>,”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70" w:lineRule="exact"/>
        <w:rPr>
          <w:rFonts w:ascii="Times New Roman" w:cs="Times New Roman" w:eastAsia="Times New Roman" w:hAnsi="Times New Roman"/>
          <w:sz w:val="19"/>
          <w:szCs w:val="19"/>
          <w:color w:val="auto"/>
        </w:rPr>
      </w:pPr>
    </w:p>
    <w:p>
      <w:pPr>
        <w:ind w:left="1180" w:hanging="404"/>
        <w:spacing w:after="0"/>
        <w:tabs>
          <w:tab w:leader="none" w:pos="118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the definition of “</w:t>
      </w:r>
      <w:r>
        <w:rPr>
          <w:rFonts w:ascii="Times New Roman" w:cs="Times New Roman" w:eastAsia="Times New Roman" w:hAnsi="Times New Roman"/>
          <w:sz w:val="19"/>
          <w:szCs w:val="19"/>
          <w:i w:val="1"/>
          <w:iCs w:val="1"/>
          <w:color w:val="auto"/>
        </w:rPr>
        <w:t>Required Revolver Lenders</w:t>
      </w:r>
      <w:r>
        <w:rPr>
          <w:rFonts w:ascii="Times New Roman" w:cs="Times New Roman" w:eastAsia="Times New Roman" w:hAnsi="Times New Roman"/>
          <w:sz w:val="19"/>
          <w:szCs w:val="19"/>
          <w:color w:val="auto"/>
        </w:rPr>
        <w:t>” without the written consent of each Revolver Lender;</w:t>
      </w:r>
    </w:p>
    <w:p>
      <w:pPr>
        <w:spacing w:after="0" w:line="206" w:lineRule="exact"/>
        <w:rPr>
          <w:rFonts w:ascii="Times New Roman" w:cs="Times New Roman" w:eastAsia="Times New Roman" w:hAnsi="Times New Roman"/>
          <w:sz w:val="19"/>
          <w:szCs w:val="19"/>
          <w:color w:val="auto"/>
        </w:rPr>
      </w:pPr>
    </w:p>
    <w:p>
      <w:pPr>
        <w:ind w:left="1140" w:hanging="364"/>
        <w:spacing w:after="0"/>
        <w:tabs>
          <w:tab w:leader="none" w:pos="114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the definition of “</w:t>
      </w:r>
      <w:r>
        <w:rPr>
          <w:rFonts w:ascii="Times New Roman" w:cs="Times New Roman" w:eastAsia="Times New Roman" w:hAnsi="Times New Roman"/>
          <w:sz w:val="19"/>
          <w:szCs w:val="19"/>
          <w:i w:val="1"/>
          <w:iCs w:val="1"/>
          <w:color w:val="auto"/>
        </w:rPr>
        <w:t>Required Term Loan Lenders</w:t>
      </w:r>
      <w:r>
        <w:rPr>
          <w:rFonts w:ascii="Times New Roman" w:cs="Times New Roman" w:eastAsia="Times New Roman" w:hAnsi="Times New Roman"/>
          <w:sz w:val="19"/>
          <w:szCs w:val="19"/>
          <w:color w:val="auto"/>
        </w:rPr>
        <w:t>” without the written consent of each Term Loan Lender;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115</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22" w:lineRule="exact"/>
        <w:rPr>
          <w:sz w:val="20"/>
          <w:szCs w:val="20"/>
          <w:color w:val="auto"/>
        </w:rPr>
      </w:pPr>
    </w:p>
    <w:p>
      <w:pPr>
        <w:ind w:firstLine="776"/>
        <w:spacing w:after="0" w:line="282" w:lineRule="auto"/>
        <w:tabs>
          <w:tab w:leader="none" w:pos="1145"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 compliance with, amend, or release (in whole or in part) the Guaranty of VRI or the Guaranties of all or substantially all of the Restricted Subsidiaries without the consent of each Lender;</w:t>
      </w:r>
    </w:p>
    <w:p>
      <w:pPr>
        <w:spacing w:after="0" w:line="139" w:lineRule="exact"/>
        <w:rPr>
          <w:rFonts w:ascii="Times New Roman" w:cs="Times New Roman" w:eastAsia="Times New Roman" w:hAnsi="Times New Roman"/>
          <w:sz w:val="19"/>
          <w:szCs w:val="19"/>
          <w:color w:val="auto"/>
        </w:rPr>
      </w:pPr>
    </w:p>
    <w:p>
      <w:pPr>
        <w:ind w:firstLine="776"/>
        <w:spacing w:after="0" w:line="287" w:lineRule="auto"/>
        <w:tabs>
          <w:tab w:leader="none" w:pos="1322"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release all or substantially all of the Collateral without the consent of each Lender,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color w:val="auto"/>
        </w:rPr>
        <w:t xml:space="preserve"> that Administrative Agent or the applicable L/C Issuer, as applicable, may release Collateral in accordance with </w:t>
      </w:r>
      <w:r>
        <w:rPr>
          <w:rFonts w:ascii="Times New Roman" w:cs="Times New Roman" w:eastAsia="Times New Roman" w:hAnsi="Times New Roman"/>
          <w:sz w:val="19"/>
          <w:szCs w:val="19"/>
          <w:b w:val="1"/>
          <w:bCs w:val="1"/>
          <w:i w:val="1"/>
          <w:iCs w:val="1"/>
          <w:color w:val="auto"/>
        </w:rPr>
        <w:t>Section 14.9(e)</w:t>
      </w:r>
      <w:r>
        <w:rPr>
          <w:rFonts w:ascii="Times New Roman" w:cs="Times New Roman" w:eastAsia="Times New Roman" w:hAnsi="Times New Roman"/>
          <w:sz w:val="19"/>
          <w:szCs w:val="19"/>
          <w:color w:val="auto"/>
        </w:rPr>
        <w:t xml:space="preserve"> herein;</w:t>
      </w:r>
    </w:p>
    <w:p>
      <w:pPr>
        <w:spacing w:after="0" w:line="134" w:lineRule="exact"/>
        <w:rPr>
          <w:rFonts w:ascii="Times New Roman" w:cs="Times New Roman" w:eastAsia="Times New Roman" w:hAnsi="Times New Roman"/>
          <w:sz w:val="19"/>
          <w:szCs w:val="19"/>
          <w:color w:val="auto"/>
        </w:rPr>
      </w:pPr>
    </w:p>
    <w:p>
      <w:pPr>
        <w:ind w:left="1140" w:hanging="364"/>
        <w:spacing w:after="0"/>
        <w:tabs>
          <w:tab w:leader="none" w:pos="1140"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 the definition of “</w:t>
      </w:r>
      <w:r>
        <w:rPr>
          <w:rFonts w:ascii="Times New Roman" w:cs="Times New Roman" w:eastAsia="Times New Roman" w:hAnsi="Times New Roman"/>
          <w:sz w:val="19"/>
          <w:szCs w:val="19"/>
          <w:i w:val="1"/>
          <w:iCs w:val="1"/>
          <w:color w:val="auto"/>
        </w:rPr>
        <w:t>Alternative Currency</w:t>
      </w:r>
      <w:r>
        <w:rPr>
          <w:rFonts w:ascii="Times New Roman" w:cs="Times New Roman" w:eastAsia="Times New Roman" w:hAnsi="Times New Roman"/>
          <w:sz w:val="19"/>
          <w:szCs w:val="19"/>
          <w:color w:val="auto"/>
        </w:rPr>
        <w:t>” without the written consent of each L/C Issuer directly affected thereby; or</w:t>
      </w:r>
    </w:p>
    <w:p>
      <w:pPr>
        <w:spacing w:after="0" w:line="223" w:lineRule="exact"/>
        <w:rPr>
          <w:rFonts w:ascii="Times New Roman" w:cs="Times New Roman" w:eastAsia="Times New Roman" w:hAnsi="Times New Roman"/>
          <w:sz w:val="19"/>
          <w:szCs w:val="19"/>
          <w:color w:val="auto"/>
        </w:rPr>
      </w:pPr>
    </w:p>
    <w:p>
      <w:pPr>
        <w:jc w:val="both"/>
        <w:ind w:firstLine="776"/>
        <w:spacing w:after="0" w:line="259" w:lineRule="auto"/>
        <w:tabs>
          <w:tab w:leader="none" w:pos="1382"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subordinate, or have the effect of subordinating, the Obligations hereunder to any other Debt or other obligation or (ii) subordinate, or have the effect of subordinating, the Liens securing the Obligations hereunder, in each case, (A) other than to any other Debt or other obligation that is permitted by this Agreement as in effect on the Closing Date to rank senior in right of payment or lien priority to the Obligations or (B)without the written consent of each Lender;</w:t>
      </w:r>
    </w:p>
    <w:p>
      <w:pPr>
        <w:spacing w:after="0" w:line="160" w:lineRule="exact"/>
        <w:rPr>
          <w:sz w:val="20"/>
          <w:szCs w:val="20"/>
          <w:color w:val="auto"/>
        </w:rPr>
      </w:pPr>
    </w:p>
    <w:p>
      <w:pPr>
        <w:jc w:val="both"/>
        <w:ind w:firstLine="773"/>
        <w:spacing w:after="0" w:line="269"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 no amendment, waiver, or consent shall affect the Rights or duties of an L/C Issuer under this Agreement or any L/C Agreement relating to any L/C issued or to be issued by it unless signed by the L/C Issuer issuing such L/C in addition to Lender required above; (ii) no amendment, waiver, or consent shall, unless in writing and signed by Administrative Agent in addition to Lenders required above, affect the rights or duties of Administrative Agent under this Agreement or any other Loan Paper; and (iii)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such Defaulting Lender may not be increased or extended without the consent of such Defaulting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57" w:lineRule="exact"/>
        <w:rPr>
          <w:sz w:val="20"/>
          <w:szCs w:val="20"/>
          <w:color w:val="auto"/>
        </w:rPr>
      </w:pPr>
    </w:p>
    <w:p>
      <w:pPr>
        <w:jc w:val="both"/>
        <w:ind w:firstLine="773"/>
        <w:spacing w:after="0" w:line="252" w:lineRule="auto"/>
        <w:rPr>
          <w:sz w:val="20"/>
          <w:szCs w:val="20"/>
          <w:color w:val="auto"/>
        </w:rPr>
      </w:pPr>
      <w:r>
        <w:rPr>
          <w:rFonts w:ascii="Times New Roman" w:cs="Times New Roman" w:eastAsia="Times New Roman" w:hAnsi="Times New Roman"/>
          <w:sz w:val="19"/>
          <w:szCs w:val="19"/>
          <w:color w:val="auto"/>
        </w:rPr>
        <w:t xml:space="preserve">Notwithstanding any provision herein to the contrary, this Agreement may be amended with the written consent of Administrative Agent, Borrower, Guarantors and lenders providing the Incremental Term Loan Facility (i) to add one or more Incremental Term Loan Facilities to this Agreement (subject to the limitations in </w:t>
      </w:r>
      <w:r>
        <w:rPr>
          <w:rFonts w:ascii="Times New Roman" w:cs="Times New Roman" w:eastAsia="Times New Roman" w:hAnsi="Times New Roman"/>
          <w:sz w:val="19"/>
          <w:szCs w:val="19"/>
          <w:b w:val="1"/>
          <w:bCs w:val="1"/>
          <w:i w:val="1"/>
          <w:iCs w:val="1"/>
          <w:color w:val="auto"/>
        </w:rPr>
        <w:t>Section 2.5</w:t>
      </w:r>
      <w:r>
        <w:rPr>
          <w:rFonts w:ascii="Times New Roman" w:cs="Times New Roman" w:eastAsia="Times New Roman" w:hAnsi="Times New Roman"/>
          <w:sz w:val="19"/>
          <w:szCs w:val="19"/>
          <w:color w:val="auto"/>
        </w:rPr>
        <w:t xml:space="preserve">),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Papers with the obligations and liabilities from time to time outstanding in respect of the existing facilities hereunder, and (ii) in connection with the foregoing, to permit, as deemed appropriate by Administrative Agent, lenders providing the Incremental Term Loan Facility to participate in any required vote or action required to be approved by Required Lenders or by any other number, percentage, or class of Lenders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any amendment pursuant to </w:t>
      </w:r>
      <w:r>
        <w:rPr>
          <w:rFonts w:ascii="Times New Roman" w:cs="Times New Roman" w:eastAsia="Times New Roman" w:hAnsi="Times New Roman"/>
          <w:sz w:val="19"/>
          <w:szCs w:val="19"/>
          <w:b w:val="1"/>
          <w:bCs w:val="1"/>
          <w:i w:val="1"/>
          <w:iCs w:val="1"/>
          <w:color w:val="auto"/>
        </w:rPr>
        <w:t>clause (ii)</w:t>
      </w:r>
      <w:r>
        <w:rPr>
          <w:rFonts w:ascii="Times New Roman" w:cs="Times New Roman" w:eastAsia="Times New Roman" w:hAnsi="Times New Roman"/>
          <w:sz w:val="19"/>
          <w:szCs w:val="19"/>
          <w:color w:val="auto"/>
        </w:rPr>
        <w:t xml:space="preserve"> shall be consistent with the terms of this Agreement in effect on the Closing Date or otherwise approved by Required Lenders.</w:t>
      </w:r>
    </w:p>
    <w:p>
      <w:pPr>
        <w:spacing w:after="0" w:line="189"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15.10 </w:t>
      </w:r>
      <w:r>
        <w:rPr>
          <w:rFonts w:ascii="Times New Roman" w:cs="Times New Roman" w:eastAsia="Times New Roman" w:hAnsi="Times New Roman"/>
          <w:sz w:val="19"/>
          <w:szCs w:val="19"/>
          <w:u w:val="single" w:color="auto"/>
          <w:color w:val="auto"/>
        </w:rPr>
        <w:t>Counterparts; Integration; Effectiveness</w:t>
      </w:r>
      <w:r>
        <w:rPr>
          <w:rFonts w:ascii="Times New Roman" w:cs="Times New Roman" w:eastAsia="Times New Roman" w:hAnsi="Times New Roman"/>
          <w:sz w:val="19"/>
          <w:szCs w:val="19"/>
          <w:color w:val="auto"/>
        </w:rPr>
        <w:t>. This Agreement may be executed in counterparts (and by different parties hereto in different counterparts), each of which shall constitute an original, but all of which when taken together shall constitute a single contract. This Agreement and the other Loan Papers constitute the entire contract among the parties relating to the subject matter hereof and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116</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supersede any and all previous agreements and understandings, oral or written, relating to the subject matter hereof. Except as provided in </w:t>
      </w:r>
      <w:r>
        <w:rPr>
          <w:rFonts w:ascii="Times New Roman" w:cs="Times New Roman" w:eastAsia="Times New Roman" w:hAnsi="Times New Roman"/>
          <w:sz w:val="19"/>
          <w:szCs w:val="19"/>
          <w:b w:val="1"/>
          <w:bCs w:val="1"/>
          <w:i w:val="1"/>
          <w:iCs w:val="1"/>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7.1</w:t>
      </w:r>
      <w:r>
        <w:rPr>
          <w:rFonts w:ascii="Times New Roman" w:cs="Times New Roman" w:eastAsia="Times New Roman" w:hAnsi="Times New Roman"/>
          <w:sz w:val="19"/>
          <w:szCs w:val="19"/>
          <w:color w:val="auto"/>
        </w:rPr>
        <w:t>, this Agreement shall become effective when it shall have been executed by Administrative Agent and when Administrative Agent shall have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received counterparts hereof that, when taken together, bear the signatures of each of the other parties hereto. Delivery of an executed counterpart of a signature page of this Agreement by telecopy shall be effective as delivery of a manually executed counterpart of this Agreement.</w:t>
      </w:r>
    </w:p>
    <w:p>
      <w:pPr>
        <w:spacing w:after="0" w:line="16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15.11</w:t>
      </w:r>
      <w:r>
        <w:rPr>
          <w:sz w:val="20"/>
          <w:szCs w:val="20"/>
          <w:color w:val="auto"/>
        </w:rPr>
        <w:tab/>
      </w:r>
      <w:r>
        <w:rPr>
          <w:rFonts w:ascii="Times New Roman" w:cs="Times New Roman" w:eastAsia="Times New Roman" w:hAnsi="Times New Roman"/>
          <w:sz w:val="18"/>
          <w:szCs w:val="18"/>
          <w:u w:val="single" w:color="auto"/>
          <w:color w:val="auto"/>
        </w:rPr>
        <w:t>Successors and Assigns; Participation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firstLine="776"/>
        <w:spacing w:after="0" w:line="253" w:lineRule="auto"/>
        <w:tabs>
          <w:tab w:leader="none" w:pos="1209"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Successors and Assigns Generally. </w:t>
      </w:r>
      <w:r>
        <w:rPr>
          <w:rFonts w:ascii="Times New Roman" w:cs="Times New Roman" w:eastAsia="Times New Roman" w:hAnsi="Times New Roman"/>
          <w:sz w:val="19"/>
          <w:szCs w:val="19"/>
          <w:color w:val="auto"/>
        </w:rPr>
        <w:t>The provisions of this Agreement shall be binding upon and inure to the benefit of the parties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hereto and their respective successors and assigns permitted hereby, except that Borrower may not assign or otherwise transfer any of its rights or obligations hereunder without the prior written consent of Administrative Agent and each Lender and no Lender may assign or otherwise transfer any of its rights or obligations hereunder except (i) to an Eligible Assignee in accordance with the provisions of </w:t>
      </w:r>
      <w:r>
        <w:rPr>
          <w:rFonts w:ascii="Times New Roman" w:cs="Times New Roman" w:eastAsia="Times New Roman" w:hAnsi="Times New Roman"/>
          <w:sz w:val="19"/>
          <w:szCs w:val="19"/>
          <w:b w:val="1"/>
          <w:bCs w:val="1"/>
          <w:i w:val="1"/>
          <w:iCs w:val="1"/>
          <w:color w:val="auto"/>
        </w:rPr>
        <w:t>subsection (b)</w:t>
      </w:r>
      <w:r>
        <w:rPr>
          <w:rFonts w:ascii="Times New Roman" w:cs="Times New Roman" w:eastAsia="Times New Roman" w:hAnsi="Times New Roman"/>
          <w:sz w:val="19"/>
          <w:szCs w:val="19"/>
          <w:color w:val="auto"/>
        </w:rPr>
        <w:t xml:space="preserve"> of this Section, (ii) by way of participation in accordance with the provisions of </w:t>
      </w:r>
      <w:r>
        <w:rPr>
          <w:rFonts w:ascii="Times New Roman" w:cs="Times New Roman" w:eastAsia="Times New Roman" w:hAnsi="Times New Roman"/>
          <w:sz w:val="19"/>
          <w:szCs w:val="19"/>
          <w:b w:val="1"/>
          <w:bCs w:val="1"/>
          <w:i w:val="1"/>
          <w:iCs w:val="1"/>
          <w:color w:val="auto"/>
        </w:rPr>
        <w:t>subsection (d)</w:t>
      </w:r>
      <w:r>
        <w:rPr>
          <w:rFonts w:ascii="Times New Roman" w:cs="Times New Roman" w:eastAsia="Times New Roman" w:hAnsi="Times New Roman"/>
          <w:sz w:val="19"/>
          <w:szCs w:val="19"/>
          <w:color w:val="auto"/>
        </w:rPr>
        <w:t xml:space="preserve"> of this Section, or (iii) by way of pledge or assignment of a security interest subject to the restrictions of </w:t>
      </w:r>
      <w:r>
        <w:rPr>
          <w:rFonts w:ascii="Times New Roman" w:cs="Times New Roman" w:eastAsia="Times New Roman" w:hAnsi="Times New Roman"/>
          <w:sz w:val="19"/>
          <w:szCs w:val="19"/>
          <w:b w:val="1"/>
          <w:bCs w:val="1"/>
          <w:i w:val="1"/>
          <w:iCs w:val="1"/>
          <w:color w:val="auto"/>
        </w:rPr>
        <w:t>subsection (h)</w:t>
      </w:r>
      <w:r>
        <w:rPr>
          <w:rFonts w:ascii="Times New Roman" w:cs="Times New Roman" w:eastAsia="Times New Roman" w:hAnsi="Times New Roman"/>
          <w:sz w:val="19"/>
          <w:szCs w:val="19"/>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9"/>
          <w:szCs w:val="19"/>
          <w:b w:val="1"/>
          <w:bCs w:val="1"/>
          <w:i w:val="1"/>
          <w:iCs w:val="1"/>
          <w:color w:val="auto"/>
        </w:rPr>
        <w:t>subsection (d)</w:t>
      </w:r>
      <w:r>
        <w:rPr>
          <w:rFonts w:ascii="Times New Roman" w:cs="Times New Roman" w:eastAsia="Times New Roman" w:hAnsi="Times New Roman"/>
          <w:sz w:val="19"/>
          <w:szCs w:val="19"/>
          <w:color w:val="auto"/>
        </w:rPr>
        <w:t xml:space="preserve"> of this Section and, to the extent expressly contemplated hereby, the Indemnitees) any legal or equitable right, remedy or claim under or by reason of this Agreement.</w:t>
      </w:r>
    </w:p>
    <w:p>
      <w:pPr>
        <w:spacing w:after="0" w:line="167" w:lineRule="exact"/>
        <w:rPr>
          <w:rFonts w:ascii="Times New Roman" w:cs="Times New Roman" w:eastAsia="Times New Roman" w:hAnsi="Times New Roman"/>
          <w:sz w:val="19"/>
          <w:szCs w:val="19"/>
          <w:color w:val="auto"/>
        </w:rPr>
      </w:pPr>
    </w:p>
    <w:p>
      <w:pPr>
        <w:jc w:val="both"/>
        <w:ind w:firstLine="776"/>
        <w:spacing w:after="0" w:line="272" w:lineRule="auto"/>
        <w:tabs>
          <w:tab w:leader="none" w:pos="1233"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Assignments by Lenders. </w:t>
      </w:r>
      <w:r>
        <w:rPr>
          <w:rFonts w:ascii="Times New Roman" w:cs="Times New Roman" w:eastAsia="Times New Roman" w:hAnsi="Times New Roman"/>
          <w:sz w:val="19"/>
          <w:szCs w:val="19"/>
          <w:color w:val="auto"/>
        </w:rPr>
        <w:t>Any Lender may at any time assign to one or more Eligible Assignees all or a portion of its rights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obligations under this Agreement (including all or a portion of its Commitment and the Loans (including for purposes of this </w:t>
      </w:r>
      <w:r>
        <w:rPr>
          <w:rFonts w:ascii="Times New Roman" w:cs="Times New Roman" w:eastAsia="Times New Roman" w:hAnsi="Times New Roman"/>
          <w:sz w:val="19"/>
          <w:szCs w:val="19"/>
          <w:b w:val="1"/>
          <w:bCs w:val="1"/>
          <w:i w:val="1"/>
          <w:iCs w:val="1"/>
          <w:color w:val="auto"/>
        </w:rPr>
        <w:t>subsection (b)</w:t>
      </w:r>
      <w:r>
        <w:rPr>
          <w:rFonts w:ascii="Times New Roman" w:cs="Times New Roman" w:eastAsia="Times New Roman" w:hAnsi="Times New Roman"/>
          <w:sz w:val="19"/>
          <w:szCs w:val="19"/>
          <w:color w:val="auto"/>
        </w:rPr>
        <w:t xml:space="preserve">, participations in L/C Exposure) at the time owing to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any such assignment shall be subject to the following conditions:</w:t>
      </w:r>
    </w:p>
    <w:p>
      <w:pPr>
        <w:spacing w:after="0" w:line="152" w:lineRule="exact"/>
        <w:rPr>
          <w:sz w:val="20"/>
          <w:szCs w:val="20"/>
          <w:color w:val="auto"/>
        </w:rPr>
      </w:pPr>
    </w:p>
    <w:p>
      <w:pPr>
        <w:ind w:left="1240" w:hanging="464"/>
        <w:spacing w:after="0"/>
        <w:tabs>
          <w:tab w:leader="none" w:pos="124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Minimum Amounts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firstLine="776"/>
        <w:spacing w:after="0" w:line="268" w:lineRule="auto"/>
        <w:tabs>
          <w:tab w:leader="none" w:pos="1228"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62" w:lineRule="exact"/>
        <w:rPr>
          <w:rFonts w:ascii="Times New Roman" w:cs="Times New Roman" w:eastAsia="Times New Roman" w:hAnsi="Times New Roman"/>
          <w:sz w:val="19"/>
          <w:szCs w:val="19"/>
          <w:color w:val="auto"/>
        </w:rPr>
      </w:pPr>
    </w:p>
    <w:p>
      <w:pPr>
        <w:jc w:val="both"/>
        <w:ind w:firstLine="776"/>
        <w:spacing w:after="0" w:line="253" w:lineRule="auto"/>
        <w:tabs>
          <w:tab w:leader="none" w:pos="1230"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any case not described in </w:t>
      </w:r>
      <w:r>
        <w:rPr>
          <w:rFonts w:ascii="Times New Roman" w:cs="Times New Roman" w:eastAsia="Times New Roman" w:hAnsi="Times New Roman"/>
          <w:sz w:val="19"/>
          <w:szCs w:val="19"/>
          <w:b w:val="1"/>
          <w:bCs w:val="1"/>
          <w:i w:val="1"/>
          <w:iCs w:val="1"/>
          <w:color w:val="auto"/>
        </w:rPr>
        <w:t>subsection (b)(i)(A)</w:t>
      </w:r>
      <w:r>
        <w:rPr>
          <w:rFonts w:ascii="Times New Roman" w:cs="Times New Roman" w:eastAsia="Times New Roman" w:hAnsi="Times New Roman"/>
          <w:sz w:val="19"/>
          <w:szCs w:val="19"/>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Administrative Agent or, if “</w:t>
      </w:r>
      <w:r>
        <w:rPr>
          <w:rFonts w:ascii="Times New Roman" w:cs="Times New Roman" w:eastAsia="Times New Roman" w:hAnsi="Times New Roman"/>
          <w:sz w:val="19"/>
          <w:szCs w:val="19"/>
          <w:i w:val="1"/>
          <w:iCs w:val="1"/>
          <w:color w:val="auto"/>
        </w:rPr>
        <w:t>Trade Date</w:t>
      </w:r>
      <w:r>
        <w:rPr>
          <w:rFonts w:ascii="Times New Roman" w:cs="Times New Roman" w:eastAsia="Times New Roman" w:hAnsi="Times New Roman"/>
          <w:sz w:val="19"/>
          <w:szCs w:val="19"/>
          <w:color w:val="auto"/>
        </w:rPr>
        <w:t>” is specified in the Assignment and Assumption, as of the Trade Date, shall not be less than $5,000,000 unless Administrative Agent and, so long as no Default has occurred and is continuing, Borrower otherwise consents (each such consent not to be unreasonably withheld or delayed); provided, however,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117</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21" w:lineRule="exact"/>
        <w:rPr>
          <w:sz w:val="20"/>
          <w:szCs w:val="20"/>
          <w:color w:val="auto"/>
        </w:rPr>
      </w:pPr>
    </w:p>
    <w:p>
      <w:pPr>
        <w:ind w:left="-200" w:firstLine="776"/>
        <w:spacing w:after="0" w:line="282" w:lineRule="auto"/>
        <w:tabs>
          <w:tab w:leader="none" w:pos="1035"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Proportionate Amounts</w:t>
      </w:r>
      <w:r>
        <w:rPr>
          <w:rFonts w:ascii="Times New Roman" w:cs="Times New Roman" w:eastAsia="Times New Roman" w:hAnsi="Times New Roman"/>
          <w:sz w:val="19"/>
          <w:szCs w:val="19"/>
          <w:color w:val="auto"/>
        </w:rPr>
        <w:t>. Each partial assignment shall be made as an assignment of a proportionate part of all the assigning Lender’s rights and obligations under this Agreement with respect to the Loans or the Commitment assigned;</w:t>
      </w:r>
    </w:p>
    <w:p>
      <w:pPr>
        <w:spacing w:after="0" w:line="137" w:lineRule="exact"/>
        <w:rPr>
          <w:rFonts w:ascii="Times New Roman" w:cs="Times New Roman" w:eastAsia="Times New Roman" w:hAnsi="Times New Roman"/>
          <w:sz w:val="19"/>
          <w:szCs w:val="19"/>
          <w:color w:val="auto"/>
        </w:rPr>
      </w:pPr>
    </w:p>
    <w:p>
      <w:pPr>
        <w:ind w:left="-200" w:firstLine="776"/>
        <w:spacing w:after="0" w:line="289" w:lineRule="auto"/>
        <w:tabs>
          <w:tab w:leader="none" w:pos="1036"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Required Consents</w:t>
      </w:r>
      <w:r>
        <w:rPr>
          <w:rFonts w:ascii="Times New Roman" w:cs="Times New Roman" w:eastAsia="Times New Roman" w:hAnsi="Times New Roman"/>
          <w:sz w:val="19"/>
          <w:szCs w:val="19"/>
          <w:color w:val="auto"/>
        </w:rPr>
        <w:t xml:space="preserve">. No consent shall be required for any assignment except to the extent required by </w:t>
      </w:r>
      <w:r>
        <w:rPr>
          <w:rFonts w:ascii="Times New Roman" w:cs="Times New Roman" w:eastAsia="Times New Roman" w:hAnsi="Times New Roman"/>
          <w:sz w:val="19"/>
          <w:szCs w:val="19"/>
          <w:b w:val="1"/>
          <w:bCs w:val="1"/>
          <w:i w:val="1"/>
          <w:iCs w:val="1"/>
          <w:color w:val="auto"/>
        </w:rPr>
        <w:t>subsection (b)(i)(B)</w:t>
      </w:r>
      <w:r>
        <w:rPr>
          <w:rFonts w:ascii="Times New Roman" w:cs="Times New Roman" w:eastAsia="Times New Roman" w:hAnsi="Times New Roman"/>
          <w:sz w:val="19"/>
          <w:szCs w:val="19"/>
          <w:color w:val="auto"/>
        </w:rPr>
        <w:t xml:space="preserve"> of this Section and, in addition:</w:t>
      </w:r>
    </w:p>
    <w:p>
      <w:pPr>
        <w:spacing w:after="0" w:line="137" w:lineRule="exact"/>
        <w:rPr>
          <w:sz w:val="20"/>
          <w:szCs w:val="20"/>
          <w:color w:val="auto"/>
        </w:rPr>
      </w:pPr>
    </w:p>
    <w:p>
      <w:pPr>
        <w:jc w:val="both"/>
        <w:ind w:left="-200" w:firstLine="776"/>
        <w:spacing w:after="0" w:line="259" w:lineRule="auto"/>
        <w:tabs>
          <w:tab w:leader="none" w:pos="1028"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consent of Borrower (such consent not to be unreasonably withheld) shall be required unless (1) a Default has occurred and is continuing at the time of such assignment or (2) such assignment is to a Lender, an Affiliate of a Lender or an Approved Fund;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Borrower shall be deemed to have consented to any assignment under the Term Loan Facility or the Incremental Term Loan Facility unless it shall object thereto by written notice to Administrative Agent within ten (10) Business Days after having received written notice thereof;</w:t>
      </w:r>
    </w:p>
    <w:p>
      <w:pPr>
        <w:spacing w:after="0" w:line="177" w:lineRule="exact"/>
        <w:rPr>
          <w:rFonts w:ascii="Times New Roman" w:cs="Times New Roman" w:eastAsia="Times New Roman" w:hAnsi="Times New Roman"/>
          <w:sz w:val="19"/>
          <w:szCs w:val="19"/>
          <w:color w:val="auto"/>
        </w:rPr>
      </w:pPr>
    </w:p>
    <w:p>
      <w:pPr>
        <w:ind w:left="-200" w:firstLine="776"/>
        <w:spacing w:after="0" w:line="268" w:lineRule="auto"/>
        <w:tabs>
          <w:tab w:leader="none" w:pos="103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Administrative Agent (such consent not to be unreasonably withheld or delayed) shall be required if such assignment is to a Person that is not a Lender, an Affiliate of such Lender or an Approved Fund with respect to such Lender; and</w:t>
      </w:r>
    </w:p>
    <w:p>
      <w:pPr>
        <w:spacing w:after="0" w:line="168" w:lineRule="exact"/>
        <w:rPr>
          <w:rFonts w:ascii="Times New Roman" w:cs="Times New Roman" w:eastAsia="Times New Roman" w:hAnsi="Times New Roman"/>
          <w:sz w:val="19"/>
          <w:szCs w:val="19"/>
          <w:color w:val="auto"/>
        </w:rPr>
      </w:pPr>
    </w:p>
    <w:p>
      <w:pPr>
        <w:ind w:left="-200" w:firstLine="776"/>
        <w:spacing w:after="0" w:line="282" w:lineRule="auto"/>
        <w:tabs>
          <w:tab w:leader="none" w:pos="103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each L/C Issuer (such consent not to be unreasonably withheld or delayed) shall be required only for assignments of Commitments in respect of Revolver Loans and L/C Exposure.</w:t>
      </w:r>
    </w:p>
    <w:p>
      <w:pPr>
        <w:spacing w:after="0" w:line="143" w:lineRule="exact"/>
        <w:rPr>
          <w:sz w:val="20"/>
          <w:szCs w:val="20"/>
          <w:color w:val="auto"/>
        </w:rPr>
      </w:pPr>
    </w:p>
    <w:p>
      <w:pPr>
        <w:jc w:val="both"/>
        <w:ind w:left="-200" w:firstLine="776"/>
        <w:spacing w:after="0" w:line="259" w:lineRule="auto"/>
        <w:tabs>
          <w:tab w:leader="none" w:pos="1025"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 and Assumption</w:t>
      </w:r>
      <w:r>
        <w:rPr>
          <w:rFonts w:ascii="Times New Roman" w:cs="Times New Roman" w:eastAsia="Times New Roman" w:hAnsi="Times New Roman"/>
          <w:sz w:val="19"/>
          <w:szCs w:val="19"/>
          <w:color w:val="auto"/>
        </w:rPr>
        <w:t xml:space="preserve">. The parties to each assignment shall execute and deliver to Administrative Agent an Assignment and Assumption, together with a processing and recordation fee in the amount of $3,500;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Administrative Agent may, in its sole discretion, elect to waive such processing and recordation fee in the case of any assignment. The assignee, if it is not a Lender, shall deliver to Administrative Agent an Administrative Questionnaire.</w:t>
      </w:r>
    </w:p>
    <w:p>
      <w:pPr>
        <w:spacing w:after="0" w:line="177" w:lineRule="exact"/>
        <w:rPr>
          <w:rFonts w:ascii="Times New Roman" w:cs="Times New Roman" w:eastAsia="Times New Roman" w:hAnsi="Times New Roman"/>
          <w:sz w:val="19"/>
          <w:szCs w:val="19"/>
          <w:color w:val="auto"/>
        </w:rPr>
      </w:pPr>
    </w:p>
    <w:p>
      <w:pPr>
        <w:jc w:val="both"/>
        <w:ind w:left="-200" w:firstLine="776"/>
        <w:spacing w:after="0" w:line="254" w:lineRule="auto"/>
        <w:tabs>
          <w:tab w:leader="none" w:pos="1024"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Assignment to Certain Persons</w:t>
      </w:r>
      <w:r>
        <w:rPr>
          <w:rFonts w:ascii="Times New Roman" w:cs="Times New Roman" w:eastAsia="Times New Roman" w:hAnsi="Times New Roman"/>
          <w:sz w:val="19"/>
          <w:szCs w:val="19"/>
          <w:color w:val="auto"/>
        </w:rPr>
        <w:t xml:space="preserve">. No such assignment shall be made (A) to Borrower or any of Borrower’s Affiliates or Subsidiaries, or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9"/>
          <w:szCs w:val="19"/>
          <w:b w:val="1"/>
          <w:bCs w:val="1"/>
          <w:i w:val="1"/>
          <w:iCs w:val="1"/>
          <w:color w:val="auto"/>
        </w:rPr>
        <w:t>clause (B)</w:t>
      </w:r>
      <w:r>
        <w:rPr>
          <w:rFonts w:ascii="Times New Roman" w:cs="Times New Roman" w:eastAsia="Times New Roman" w:hAnsi="Times New Roman"/>
          <w:sz w:val="19"/>
          <w:szCs w:val="19"/>
          <w:color w:val="auto"/>
        </w:rPr>
        <w:t>, or (C) to a natural Person (or holding company, investment vehicle or trust for, or owned and operated for the primary benefit of a natural Person).</w:t>
      </w:r>
    </w:p>
    <w:p>
      <w:pPr>
        <w:spacing w:after="0" w:line="182" w:lineRule="exact"/>
        <w:rPr>
          <w:rFonts w:ascii="Times New Roman" w:cs="Times New Roman" w:eastAsia="Times New Roman" w:hAnsi="Times New Roman"/>
          <w:sz w:val="19"/>
          <w:szCs w:val="19"/>
          <w:color w:val="auto"/>
        </w:rPr>
      </w:pPr>
    </w:p>
    <w:p>
      <w:pPr>
        <w:jc w:val="both"/>
        <w:ind w:left="-200" w:firstLine="776"/>
        <w:spacing w:after="0" w:line="251" w:lineRule="auto"/>
        <w:tabs>
          <w:tab w:leader="none" w:pos="1025"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Additional Payments</w:t>
      </w:r>
      <w:r>
        <w:rPr>
          <w:rFonts w:ascii="Times New Roman" w:cs="Times New Roman" w:eastAsia="Times New Roman" w:hAnsi="Times New Roman"/>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Administrative Agent or any Lender hereunder (and interest accrued thereon) and (y) acquire (and fund as appropriate) its full pro rata share of all Loans and participations in L/C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118</w:t>
      </w:r>
    </w:p>
    <w:p>
      <w:pPr>
        <w:sectPr>
          <w:pgSz w:w="11900" w:h="16838" w:orient="portrait"/>
          <w:cols w:equalWidth="0" w:num="1">
            <w:col w:w="11040"/>
          </w:cols>
          <w:pgMar w:left="520" w:top="1440" w:right="339" w:bottom="1440" w:gutter="0" w:footer="0" w:header="0"/>
        </w:sectPr>
      </w:pPr>
    </w:p>
    <w:bookmarkStart w:id="169" w:name="page170"/>
    <w:bookmarkEnd w:id="169"/>
    <w:p>
      <w:pPr>
        <w:spacing w:after="0" w:line="115" w:lineRule="exact"/>
        <w:rPr>
          <w:sz w:val="20"/>
          <w:szCs w:val="20"/>
          <w:color w:val="auto"/>
        </w:rPr>
      </w:pPr>
    </w:p>
    <w:p>
      <w:pPr>
        <w:jc w:val="both"/>
        <w:ind w:firstLine="773"/>
        <w:spacing w:after="0" w:line="252" w:lineRule="auto"/>
        <w:rPr>
          <w:sz w:val="20"/>
          <w:szCs w:val="20"/>
          <w:color w:val="auto"/>
        </w:rPr>
      </w:pPr>
      <w:r>
        <w:rPr>
          <w:rFonts w:ascii="Times New Roman" w:cs="Times New Roman" w:eastAsia="Times New Roman" w:hAnsi="Times New Roman"/>
          <w:sz w:val="19"/>
          <w:szCs w:val="19"/>
          <w:color w:val="auto"/>
        </w:rPr>
        <w:t xml:space="preserve">Subject to acceptance and recording thereof by Administrative Agent pursuant to </w:t>
      </w:r>
      <w:r>
        <w:rPr>
          <w:rFonts w:ascii="Times New Roman" w:cs="Times New Roman" w:eastAsia="Times New Roman" w:hAnsi="Times New Roman"/>
          <w:sz w:val="19"/>
          <w:szCs w:val="19"/>
          <w:b w:val="1"/>
          <w:bCs w:val="1"/>
          <w:i w:val="1"/>
          <w:iCs w:val="1"/>
          <w:color w:val="auto"/>
        </w:rPr>
        <w:t>subsection (c)</w:t>
      </w:r>
      <w:r>
        <w:rPr>
          <w:rFonts w:ascii="Times New Roman" w:cs="Times New Roman" w:eastAsia="Times New Roman" w:hAnsi="Times New Roman"/>
          <w:sz w:val="19"/>
          <w:szCs w:val="19"/>
          <w:color w:val="auto"/>
        </w:rPr>
        <w:t xml:space="preserve">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b w:val="1"/>
          <w:bCs w:val="1"/>
          <w:i w:val="1"/>
          <w:iCs w:val="1"/>
          <w:color w:val="auto"/>
        </w:rPr>
        <w:t>Sections 4.1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4.4, 4.5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15.4</w:t>
      </w:r>
      <w:r>
        <w:rPr>
          <w:rFonts w:ascii="Times New Roman" w:cs="Times New Roman" w:eastAsia="Times New Roman" w:hAnsi="Times New Roman"/>
          <w:sz w:val="19"/>
          <w:szCs w:val="19"/>
          <w:color w:val="auto"/>
        </w:rPr>
        <w:t xml:space="preserve"> with respect to facts and circumstances occurring prior to the effective date of such assignment;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except to the extent otherwise expressly agreed by the affected parties no assignment by a Defaulting Lender will constitute a waiver or release of any claim of any party hereunder arising from that Lender’s having been a Defaulting Lender. Upon request,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19"/>
          <w:szCs w:val="19"/>
          <w:b w:val="1"/>
          <w:bCs w:val="1"/>
          <w:i w:val="1"/>
          <w:iCs w:val="1"/>
          <w:color w:val="auto"/>
        </w:rPr>
        <w:t>subsection (d)</w:t>
      </w:r>
      <w:r>
        <w:rPr>
          <w:rFonts w:ascii="Times New Roman" w:cs="Times New Roman" w:eastAsia="Times New Roman" w:hAnsi="Times New Roman"/>
          <w:sz w:val="19"/>
          <w:szCs w:val="19"/>
          <w:color w:val="auto"/>
        </w:rPr>
        <w:t xml:space="preserve"> of this Section.</w:t>
      </w:r>
    </w:p>
    <w:p>
      <w:pPr>
        <w:spacing w:after="0" w:line="170" w:lineRule="exact"/>
        <w:rPr>
          <w:sz w:val="20"/>
          <w:szCs w:val="20"/>
          <w:color w:val="auto"/>
        </w:rPr>
      </w:pPr>
    </w:p>
    <w:p>
      <w:pPr>
        <w:jc w:val="both"/>
        <w:ind w:firstLine="776"/>
        <w:spacing w:after="0" w:line="253" w:lineRule="auto"/>
        <w:tabs>
          <w:tab w:leader="none" w:pos="1209"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Register</w:t>
      </w:r>
      <w:r>
        <w:rPr>
          <w:rFonts w:ascii="Times New Roman" w:cs="Times New Roman" w:eastAsia="Times New Roman" w:hAnsi="Times New Roman"/>
          <w:sz w:val="19"/>
          <w:szCs w:val="19"/>
          <w:color w:val="auto"/>
        </w:rPr>
        <w:t>. Administrative Agent, acting solely for this purpose as a non-fiduciary agent of Borrower (and such agency being solely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for tax purposes), shall maintain at Administrative Agent’s Office a copy of each Assignment and Assumption delivered to it and a register for the recordation of the names and addresses of Lenders, and the Commitments of, and principal amounts of the Loans and L/C Exposure owing to, each Lender pursuant to the terms hereof from time to time (the “</w:t>
      </w:r>
      <w:r>
        <w:rPr>
          <w:rFonts w:ascii="Times New Roman" w:cs="Times New Roman" w:eastAsia="Times New Roman" w:hAnsi="Times New Roman"/>
          <w:sz w:val="19"/>
          <w:szCs w:val="19"/>
          <w:b w:val="1"/>
          <w:bCs w:val="1"/>
          <w:i w:val="1"/>
          <w:iCs w:val="1"/>
          <w:color w:val="auto"/>
        </w:rPr>
        <w:t>Register</w:t>
      </w:r>
      <w:r>
        <w:rPr>
          <w:rFonts w:ascii="Times New Roman" w:cs="Times New Roman" w:eastAsia="Times New Roman" w:hAnsi="Times New Roman"/>
          <w:sz w:val="19"/>
          <w:szCs w:val="19"/>
          <w:color w:val="auto"/>
        </w:rPr>
        <w:t>”). The entries in the Register shall be conclusive absent manifest error, and Borrower, Administrative Agent and Lenders may treat each Person whose name is recorded in the Register pursuant to the terms hereof as a Lender hereunder for all purposes of this Agreement, notwithstanding notice to the contrary. In addition, Administrative Agent shall maintain on the Register information regarding the designation, and revocation of designation, of any Lender as a Defaulting Lender. The Register shall be available for inspection by Borrower and any Lender at any reasonable time and from time to time upon reasonable prior notice.</w:t>
      </w:r>
    </w:p>
    <w:p>
      <w:pPr>
        <w:spacing w:after="0" w:line="179" w:lineRule="exact"/>
        <w:rPr>
          <w:rFonts w:ascii="Times New Roman" w:cs="Times New Roman" w:eastAsia="Times New Roman" w:hAnsi="Times New Roman"/>
          <w:sz w:val="19"/>
          <w:szCs w:val="19"/>
          <w:color w:val="auto"/>
        </w:rPr>
      </w:pPr>
    </w:p>
    <w:p>
      <w:pPr>
        <w:jc w:val="both"/>
        <w:ind w:firstLine="776"/>
        <w:spacing w:after="0" w:line="251" w:lineRule="auto"/>
        <w:tabs>
          <w:tab w:leader="none" w:pos="1336"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Participations</w:t>
      </w:r>
      <w:r>
        <w:rPr>
          <w:rFonts w:ascii="Times New Roman" w:cs="Times New Roman" w:eastAsia="Times New Roman" w:hAnsi="Times New Roman"/>
          <w:sz w:val="19"/>
          <w:szCs w:val="19"/>
          <w:color w:val="auto"/>
        </w:rPr>
        <w:t>. Any Lender may at any time, without the consent of, or notice to, Borrower or Administrative Agent, sell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participations to any Person (other than a natural person, a Defaulting Lender, Borrower, or any of Borrower’s Affiliates or Subsidiaries) (each, a “</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xml:space="preserve">”) in all or a portion of such Lender’s rights and/or obligations under this Agreement (including all or a portion of its Commitment and/or the Loans (including such Lender’s participations in L/C Exposure) owing to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(i) such Lender’s obligations under this Agreement shall remain unchanged, (ii) such Lender shall remain solely responsible to the other parties hereto for the performance of such obligations and (iii) Borrower, Administrative Agent,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9"/>
          <w:szCs w:val="19"/>
          <w:b w:val="1"/>
          <w:bCs w:val="1"/>
          <w:i w:val="1"/>
          <w:iCs w:val="1"/>
          <w:color w:val="auto"/>
        </w:rPr>
        <w:t>Sections 15.4</w:t>
      </w:r>
      <w:r>
        <w:rPr>
          <w:rFonts w:ascii="Times New Roman" w:cs="Times New Roman" w:eastAsia="Times New Roman" w:hAnsi="Times New Roman"/>
          <w:sz w:val="19"/>
          <w:szCs w:val="19"/>
          <w:color w:val="auto"/>
        </w:rPr>
        <w:t xml:space="preserve"> without regard to the existence of any participation.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9"/>
          <w:szCs w:val="19"/>
          <w:b w:val="1"/>
          <w:bCs w:val="1"/>
          <w:i w:val="1"/>
          <w:iCs w:val="1"/>
          <w:color w:val="auto"/>
        </w:rPr>
        <w:t>Section 15.9</w:t>
      </w:r>
      <w:r>
        <w:rPr>
          <w:rFonts w:ascii="Times New Roman" w:cs="Times New Roman" w:eastAsia="Times New Roman" w:hAnsi="Times New Roman"/>
          <w:sz w:val="19"/>
          <w:szCs w:val="19"/>
          <w:color w:val="auto"/>
        </w:rPr>
        <w:t xml:space="preserve"> that affects such Participant. Subject to </w:t>
      </w:r>
      <w:r>
        <w:rPr>
          <w:rFonts w:ascii="Times New Roman" w:cs="Times New Roman" w:eastAsia="Times New Roman" w:hAnsi="Times New Roman"/>
          <w:sz w:val="19"/>
          <w:szCs w:val="19"/>
          <w:b w:val="1"/>
          <w:bCs w:val="1"/>
          <w:i w:val="1"/>
          <w:iCs w:val="1"/>
          <w:color w:val="auto"/>
        </w:rPr>
        <w:t>subsection (e)</w:t>
      </w:r>
      <w:r>
        <w:rPr>
          <w:rFonts w:ascii="Times New Roman" w:cs="Times New Roman" w:eastAsia="Times New Roman" w:hAnsi="Times New Roman"/>
          <w:sz w:val="19"/>
          <w:szCs w:val="19"/>
          <w:color w:val="auto"/>
        </w:rPr>
        <w:t xml:space="preserve"> of this Section, Borrower agrees that each Participant shall be entitled to the benefits of </w:t>
      </w:r>
      <w:r>
        <w:rPr>
          <w:rFonts w:ascii="Times New Roman" w:cs="Times New Roman" w:eastAsia="Times New Roman" w:hAnsi="Times New Roman"/>
          <w:sz w:val="19"/>
          <w:szCs w:val="19"/>
          <w:b w:val="1"/>
          <w:bCs w:val="1"/>
          <w:i w:val="1"/>
          <w:iCs w:val="1"/>
          <w:color w:val="auto"/>
        </w:rPr>
        <w:t>Sections 4.1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4.4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 xml:space="preserve">4.5 </w:t>
      </w:r>
      <w:r>
        <w:rPr>
          <w:rFonts w:ascii="Times New Roman" w:cs="Times New Roman" w:eastAsia="Times New Roman" w:hAnsi="Times New Roman"/>
          <w:sz w:val="19"/>
          <w:szCs w:val="19"/>
          <w:color w:val="auto"/>
        </w:rPr>
        <w:t>to the same extent as if it were a Lender and had acquired its interest by assignment pursuant to</w:t>
      </w:r>
      <w:r>
        <w:rPr>
          <w:rFonts w:ascii="Times New Roman" w:cs="Times New Roman" w:eastAsia="Times New Roman" w:hAnsi="Times New Roman"/>
          <w:sz w:val="19"/>
          <w:szCs w:val="19"/>
          <w:b w:val="1"/>
          <w:bCs w:val="1"/>
          <w:i w:val="1"/>
          <w:iCs w:val="1"/>
          <w:color w:val="auto"/>
        </w:rPr>
        <w:t xml:space="preserve"> subsection (b) </w:t>
      </w:r>
      <w:r>
        <w:rPr>
          <w:rFonts w:ascii="Times New Roman" w:cs="Times New Roman" w:eastAsia="Times New Roman" w:hAnsi="Times New Roman"/>
          <w:sz w:val="19"/>
          <w:szCs w:val="19"/>
          <w:color w:val="auto"/>
        </w:rPr>
        <w:t>of this Section (it being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understood that the documentation required under </w:t>
      </w:r>
      <w:r>
        <w:rPr>
          <w:rFonts w:ascii="Times New Roman" w:cs="Times New Roman" w:eastAsia="Times New Roman" w:hAnsi="Times New Roman"/>
          <w:sz w:val="19"/>
          <w:szCs w:val="19"/>
          <w:b w:val="1"/>
          <w:bCs w:val="1"/>
          <w:i w:val="1"/>
          <w:iCs w:val="1"/>
          <w:color w:val="auto"/>
        </w:rPr>
        <w:t>Section 4.1(e)</w:t>
      </w:r>
      <w:r>
        <w:rPr>
          <w:rFonts w:ascii="Times New Roman" w:cs="Times New Roman" w:eastAsia="Times New Roman" w:hAnsi="Times New Roman"/>
          <w:sz w:val="19"/>
          <w:szCs w:val="19"/>
          <w:color w:val="auto"/>
        </w:rPr>
        <w:t xml:space="preserve"> shall be delivered to the Lender who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119</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 xml:space="preserve">sells the participation) to the same extent as if it were a Lender and had acquired its interest by assignment pursuant to paragraph (b) of this Section;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such Participant (A) agrees to be subject to the provisions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Sections 4.6</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15.14</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if it were an assignee 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paragraph (b)</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this Section and (B) shall not be entitled to receive any greater payment under </w:t>
      </w:r>
      <w:r>
        <w:rPr>
          <w:rFonts w:ascii="Times New Roman" w:cs="Times New Roman" w:eastAsia="Times New Roman" w:hAnsi="Times New Roman"/>
          <w:sz w:val="19"/>
          <w:szCs w:val="19"/>
          <w:b w:val="1"/>
          <w:bCs w:val="1"/>
          <w:i w:val="1"/>
          <w:iCs w:val="1"/>
          <w:color w:val="auto"/>
        </w:rPr>
        <w:t>Sections 4.1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4.4</w:t>
      </w:r>
      <w:r>
        <w:rPr>
          <w:rFonts w:ascii="Times New Roman" w:cs="Times New Roman" w:eastAsia="Times New Roman" w:hAnsi="Times New Roman"/>
          <w:sz w:val="19"/>
          <w:szCs w:val="19"/>
          <w:color w:val="auto"/>
        </w:rPr>
        <w:t xml:space="preserve">, with respect to any participation, than the Lender from whom it acquired the applicable participation would have been entitled to receive. Each Lender that sells a participation agrees, at Borrower’s request and expense, to use reasonable efforts to cooperate with Borrower to effectuate the provisions of </w:t>
      </w:r>
      <w:r>
        <w:rPr>
          <w:rFonts w:ascii="Times New Roman" w:cs="Times New Roman" w:eastAsia="Times New Roman" w:hAnsi="Times New Roman"/>
          <w:sz w:val="19"/>
          <w:szCs w:val="19"/>
          <w:b w:val="1"/>
          <w:bCs w:val="1"/>
          <w:i w:val="1"/>
          <w:iCs w:val="1"/>
          <w:color w:val="auto"/>
        </w:rPr>
        <w:t>Section 4.6</w:t>
      </w:r>
      <w:r>
        <w:rPr>
          <w:rFonts w:ascii="Times New Roman" w:cs="Times New Roman" w:eastAsia="Times New Roman" w:hAnsi="Times New Roman"/>
          <w:sz w:val="19"/>
          <w:szCs w:val="19"/>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9"/>
          <w:szCs w:val="19"/>
          <w:b w:val="1"/>
          <w:bCs w:val="1"/>
          <w:i w:val="1"/>
          <w:iCs w:val="1"/>
          <w:color w:val="auto"/>
        </w:rPr>
        <w:t>Section 15.13</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such Participant agrees to be subject to </w:t>
      </w:r>
      <w:r>
        <w:rPr>
          <w:rFonts w:ascii="Times New Roman" w:cs="Times New Roman" w:eastAsia="Times New Roman" w:hAnsi="Times New Roman"/>
          <w:sz w:val="19"/>
          <w:szCs w:val="19"/>
          <w:b w:val="1"/>
          <w:bCs w:val="1"/>
          <w:i w:val="1"/>
          <w:iCs w:val="1"/>
          <w:color w:val="auto"/>
        </w:rPr>
        <w:t>Section 3.12</w:t>
      </w:r>
      <w:r>
        <w:rPr>
          <w:rFonts w:ascii="Times New Roman" w:cs="Times New Roman" w:eastAsia="Times New Roman" w:hAnsi="Times New Roman"/>
          <w:sz w:val="19"/>
          <w:szCs w:val="19"/>
          <w:color w:val="auto"/>
        </w:rPr>
        <w:t xml:space="preserve"> as though it were a Lender. Each Lender that sells a participation shall, acting solely for this purpose as an agent of Borrower, maintain a register on which it enters the name and address of each Participant and the principal amounts (and stated interest) of each Participant’s interest in the Loans or other obligations under the Loan Papers (the “</w:t>
      </w:r>
      <w:r>
        <w:rPr>
          <w:rFonts w:ascii="Times New Roman" w:cs="Times New Roman" w:eastAsia="Times New Roman" w:hAnsi="Times New Roman"/>
          <w:sz w:val="19"/>
          <w:szCs w:val="19"/>
          <w:b w:val="1"/>
          <w:bCs w:val="1"/>
          <w:i w:val="1"/>
          <w:iCs w:val="1"/>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Paper) to any Person except to the extent that such disclosure is necessary to establish that such commitment, loan, letter of credit or other obligation is in registered form under </w:t>
      </w:r>
      <w:r>
        <w:rPr>
          <w:rFonts w:ascii="Times New Roman" w:cs="Times New Roman" w:eastAsia="Times New Roman" w:hAnsi="Times New Roman"/>
          <w:sz w:val="19"/>
          <w:szCs w:val="19"/>
          <w:i w:val="1"/>
          <w:iCs w:val="1"/>
          <w:color w:val="auto"/>
        </w:rPr>
        <w:t xml:space="preserve">Section 5f.103-1(c) </w:t>
      </w:r>
      <w:r>
        <w:rPr>
          <w:rFonts w:ascii="Times New Roman" w:cs="Times New Roman" w:eastAsia="Times New Roman" w:hAnsi="Times New Roman"/>
          <w:sz w:val="19"/>
          <w:szCs w:val="19"/>
          <w:color w:val="auto"/>
        </w:rPr>
        <w:t>of the United States Treasury Regulations. The entries in the Participant Register shall be conclusive absent manifest error,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190" w:lineRule="exact"/>
        <w:rPr>
          <w:sz w:val="20"/>
          <w:szCs w:val="20"/>
          <w:color w:val="auto"/>
        </w:rPr>
      </w:pPr>
    </w:p>
    <w:p>
      <w:pPr>
        <w:jc w:val="both"/>
        <w:ind w:firstLine="776"/>
        <w:spacing w:after="0" w:line="256" w:lineRule="auto"/>
        <w:tabs>
          <w:tab w:leader="none" w:pos="1261"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Certain Pledges</w:t>
      </w:r>
      <w:r>
        <w:rPr>
          <w:rFonts w:ascii="Times New Roman" w:cs="Times New Roman" w:eastAsia="Times New Roman" w:hAnsi="Times New Roman"/>
          <w:sz w:val="19"/>
          <w:szCs w:val="19"/>
          <w:color w:val="auto"/>
        </w:rPr>
        <w:t>. Any Lender may at any time pledge or assign a security interest in all or any portion of its rights under this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Agreement (including under its Note, if any) to secure obligations of such Lender, including any pledge or assignment to secure obligations to a Federal Reserve Bank or any other central bank;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no such pledge or assignment shall release such Lender from any of its obligations hereunder or substitute any such pledgee or assignee for such Lender as a party hereto.</w:t>
      </w:r>
    </w:p>
    <w:p>
      <w:pPr>
        <w:spacing w:after="0" w:line="175" w:lineRule="exact"/>
        <w:rPr>
          <w:rFonts w:ascii="Times New Roman" w:cs="Times New Roman" w:eastAsia="Times New Roman" w:hAnsi="Times New Roman"/>
          <w:sz w:val="19"/>
          <w:szCs w:val="19"/>
          <w:color w:val="auto"/>
        </w:rPr>
      </w:pPr>
    </w:p>
    <w:p>
      <w:pPr>
        <w:jc w:val="both"/>
        <w:ind w:firstLine="776"/>
        <w:spacing w:after="0" w:line="252" w:lineRule="auto"/>
        <w:tabs>
          <w:tab w:leader="none" w:pos="1227"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Resignation as L/C Issuer after Assignment</w:t>
      </w:r>
      <w:r>
        <w:rPr>
          <w:rFonts w:ascii="Times New Roman" w:cs="Times New Roman" w:eastAsia="Times New Roman" w:hAnsi="Times New Roman"/>
          <w:sz w:val="19"/>
          <w:szCs w:val="19"/>
          <w:color w:val="auto"/>
        </w:rPr>
        <w:t>. Notwithstanding anything to the contrary contained herein, if at any time any L/C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Issuer assigns all of its Commitment and Loans pursuant to </w:t>
      </w:r>
      <w:r>
        <w:rPr>
          <w:rFonts w:ascii="Times New Roman" w:cs="Times New Roman" w:eastAsia="Times New Roman" w:hAnsi="Times New Roman"/>
          <w:sz w:val="19"/>
          <w:szCs w:val="19"/>
          <w:b w:val="1"/>
          <w:bCs w:val="1"/>
          <w:i w:val="1"/>
          <w:iCs w:val="1"/>
          <w:color w:val="auto"/>
        </w:rPr>
        <w:t>subsection (b)</w:t>
      </w:r>
      <w:r>
        <w:rPr>
          <w:rFonts w:ascii="Times New Roman" w:cs="Times New Roman" w:eastAsia="Times New Roman" w:hAnsi="Times New Roman"/>
          <w:sz w:val="19"/>
          <w:szCs w:val="19"/>
          <w:color w:val="auto"/>
        </w:rPr>
        <w:t xml:space="preserve"> above, such L/C Issuer may, upon 30 days’ notice to Borrower and Lenders, resign as an L/C Issuer. In the event of any such resignation as an L/C Issuer, Borrower shall be entitled to appoint from among Lenders a successor L/C Issuer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no failure by Borrower to appoint any such successor shall affect the resignation of such L/C Issuer. If an L/C Issuer resigns, it shall retain all the rights, powers, privileges, and duties of an L/C Issuer hereunder with respect to all L/C outstanding as of the effective date of its resignation as an L/C Issuer and all L/C Exposure with respect thereto (including the right to require Lenders to make Base Rate Loans, Daily SOFR Rate Loans or fund risk participations in unreimbursed amounts pursuant to </w:t>
      </w:r>
      <w:r>
        <w:rPr>
          <w:rFonts w:ascii="Times New Roman" w:cs="Times New Roman" w:eastAsia="Times New Roman" w:hAnsi="Times New Roman"/>
          <w:sz w:val="19"/>
          <w:szCs w:val="19"/>
          <w:b w:val="1"/>
          <w:bCs w:val="1"/>
          <w:i w:val="1"/>
          <w:iCs w:val="1"/>
          <w:color w:val="auto"/>
        </w:rPr>
        <w:t>Section 2.3(c)</w:t>
      </w:r>
      <w:r>
        <w:rPr>
          <w:rFonts w:ascii="Times New Roman" w:cs="Times New Roman" w:eastAsia="Times New Roman" w:hAnsi="Times New Roman"/>
          <w:sz w:val="19"/>
          <w:szCs w:val="19"/>
          <w:color w:val="auto"/>
        </w:rPr>
        <w:t>). Upon the appointment of a successor L/C Issuer, (a) such successor shall succeed to and become vested with all of the rights, powers, privileges, and duties of the retiring L/C Issuer, and (b) the successor L/C Issuer shall issue letters of credit in substitution for the L/Cs, if any, outstanding at the time of such succession or make other arrangements satisfactory to the resigning L/C Issuer to effectively assume the obligations of such resigning L/C Issuer with respect to such L/Cs.</w:t>
      </w:r>
    </w:p>
    <w:p>
      <w:pPr>
        <w:spacing w:after="0" w:line="174"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9"/>
          <w:szCs w:val="19"/>
          <w:color w:val="auto"/>
        </w:rPr>
        <w:t xml:space="preserve">15.12 </w:t>
      </w:r>
      <w:r>
        <w:rPr>
          <w:rFonts w:ascii="Times New Roman" w:cs="Times New Roman" w:eastAsia="Times New Roman" w:hAnsi="Times New Roman"/>
          <w:sz w:val="19"/>
          <w:szCs w:val="19"/>
          <w:u w:val="single" w:color="auto"/>
          <w:color w:val="auto"/>
        </w:rPr>
        <w:t>Payments Set Aside</w:t>
      </w:r>
      <w:r>
        <w:rPr>
          <w:rFonts w:ascii="Times New Roman" w:cs="Times New Roman" w:eastAsia="Times New Roman" w:hAnsi="Times New Roman"/>
          <w:sz w:val="19"/>
          <w:szCs w:val="19"/>
          <w:color w:val="auto"/>
        </w:rPr>
        <w:t>. To the extent that any payment by or on behalf of Borrower or any other obligor on the Obligation under any Loan Paper is made to Administrative Agent, either L/C Issuer, or any Lender, or Administrative Agent, either L/C Issuer, or any Lender exercises its Right of setoff, and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120</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such payment or the proceeds of such setoff or any part thereof is subsequently invalidated, declared to be fraudulent or preferential, set aside, or required (including pursuant to any settlement entered into by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Federal Funds Rate from time to time in effect. The obligations of Lenders and the L/C Issuers under </w:t>
      </w:r>
      <w:r>
        <w:rPr>
          <w:rFonts w:ascii="Times New Roman" w:cs="Times New Roman" w:eastAsia="Times New Roman" w:hAnsi="Times New Roman"/>
          <w:sz w:val="19"/>
          <w:szCs w:val="19"/>
          <w:b w:val="1"/>
          <w:bCs w:val="1"/>
          <w:i w:val="1"/>
          <w:iCs w:val="1"/>
          <w:color w:val="auto"/>
        </w:rPr>
        <w:t>clause (b)</w:t>
      </w:r>
      <w:r>
        <w:rPr>
          <w:rFonts w:ascii="Times New Roman" w:cs="Times New Roman" w:eastAsia="Times New Roman" w:hAnsi="Times New Roman"/>
          <w:sz w:val="19"/>
          <w:szCs w:val="19"/>
          <w:color w:val="auto"/>
        </w:rPr>
        <w:t xml:space="preserve"> of the preceding sentence shall survive the payment in full of the Obligation and the termination of this Agreement.</w:t>
      </w:r>
    </w:p>
    <w:p>
      <w:pPr>
        <w:spacing w:after="0" w:line="176"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15.13 </w:t>
      </w:r>
      <w:r>
        <w:rPr>
          <w:rFonts w:ascii="Times New Roman" w:cs="Times New Roman" w:eastAsia="Times New Roman" w:hAnsi="Times New Roman"/>
          <w:sz w:val="19"/>
          <w:szCs w:val="19"/>
          <w:u w:val="single" w:color="auto"/>
          <w:color w:val="auto"/>
        </w:rPr>
        <w:t>Right of Setoff</w:t>
      </w:r>
      <w:r>
        <w:rPr>
          <w:rFonts w:ascii="Times New Roman" w:cs="Times New Roman" w:eastAsia="Times New Roman" w:hAnsi="Times New Roman"/>
          <w:sz w:val="19"/>
          <w:szCs w:val="19"/>
          <w:color w:val="auto"/>
        </w:rPr>
        <w:t xml:space="preserve">. If a Default shall have occurred and be continuing, each Lender, the L/C Issuers,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applicable L/C Issuer, or any such Affiliate to or for the credit or the account of Borrower or any other Company against any and all of the obligations of Borrower or such other Company now or hereafter existing under this Agreement or any other Loan Paper to such Lender or the applicable L/C Issuer, irrespective of whether or not such Lender or the applicable L/C Issuer shall have made any demand under this Agreement or any other Loan Paper and although such obligations of Borrower or such other Company may be contingent or unmatured or are owed to a branch or office of such Lender or the applicable L/C Issuer different from the branch or office holding such deposit or obligated on such indebtedness. The rights of each Lender, each L/C Issuer, and their respective Affiliates under this Section are in addition to other rights and remedies (including other rights of setoff) that such Lender, the applicable L/C Issuer, or their respective Affiliates may have. Each Lender and each L/C Issuer agrees to notify Borrower and Administrative Agent promptly after any such setoff and application,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 </w:t>
      </w:r>
      <w:r>
        <w:rPr>
          <w:rFonts w:ascii="Times New Roman" w:cs="Times New Roman" w:eastAsia="Times New Roman" w:hAnsi="Times New Roman"/>
          <w:sz w:val="19"/>
          <w:szCs w:val="19"/>
          <w:color w:val="auto"/>
        </w:rPr>
        <w:t>the failure to give such notice shall not affect the validity of such setoff and application.</w:t>
      </w:r>
    </w:p>
    <w:p>
      <w:pPr>
        <w:spacing w:after="0" w:line="170"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15.14 </w:t>
      </w:r>
      <w:r>
        <w:rPr>
          <w:rFonts w:ascii="Times New Roman" w:cs="Times New Roman" w:eastAsia="Times New Roman" w:hAnsi="Times New Roman"/>
          <w:sz w:val="19"/>
          <w:szCs w:val="19"/>
          <w:u w:val="single" w:color="auto"/>
          <w:color w:val="auto"/>
        </w:rPr>
        <w:t>Replacement of Lenders</w:t>
      </w:r>
      <w:r>
        <w:rPr>
          <w:rFonts w:ascii="Times New Roman" w:cs="Times New Roman" w:eastAsia="Times New Roman" w:hAnsi="Times New Roman"/>
          <w:sz w:val="19"/>
          <w:szCs w:val="19"/>
          <w:color w:val="auto"/>
        </w:rPr>
        <w:t xml:space="preserve">. Under any circumstances set forth in this Agreement providing that Borrower shall have the right to replace a Lender as a party to this Agreement, including, without limitation, if any Lender requests compensation under </w:t>
      </w:r>
      <w:r>
        <w:rPr>
          <w:rFonts w:ascii="Times New Roman" w:cs="Times New Roman" w:eastAsia="Times New Roman" w:hAnsi="Times New Roman"/>
          <w:sz w:val="19"/>
          <w:szCs w:val="19"/>
          <w:b w:val="1"/>
          <w:bCs w:val="1"/>
          <w:i w:val="1"/>
          <w:iCs w:val="1"/>
          <w:color w:val="auto"/>
        </w:rPr>
        <w:t>Section 4.4</w:t>
      </w:r>
      <w:r>
        <w:rPr>
          <w:rFonts w:ascii="Times New Roman" w:cs="Times New Roman" w:eastAsia="Times New Roman" w:hAnsi="Times New Roman"/>
          <w:sz w:val="19"/>
          <w:szCs w:val="19"/>
          <w:color w:val="auto"/>
        </w:rPr>
        <w:t xml:space="preserve">, or if Borrower is required to pay any additional amount to any Lender or any Governmental Authority for the account of any Lender pursuant to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xml:space="preserve">, or if any Lender is a Defaulting Lender or a Non-Consenting Lender, then Borrower may, at its sole expense and effort, upon notice to such Lender and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9"/>
          <w:szCs w:val="19"/>
          <w:b w:val="1"/>
          <w:bCs w:val="1"/>
          <w:i w:val="1"/>
          <w:iCs w:val="1"/>
          <w:color w:val="auto"/>
        </w:rPr>
        <w:t>Section 15.11</w:t>
      </w:r>
      <w:r>
        <w:rPr>
          <w:rFonts w:ascii="Times New Roman" w:cs="Times New Roman" w:eastAsia="Times New Roman" w:hAnsi="Times New Roman"/>
          <w:sz w:val="19"/>
          <w:szCs w:val="19"/>
          <w:color w:val="auto"/>
        </w:rPr>
        <w:t xml:space="preserve">), all of its interests, rights (other than its existing rights to payments pursuant to </w:t>
      </w:r>
      <w:r>
        <w:rPr>
          <w:rFonts w:ascii="Times New Roman" w:cs="Times New Roman" w:eastAsia="Times New Roman" w:hAnsi="Times New Roman"/>
          <w:sz w:val="19"/>
          <w:szCs w:val="19"/>
          <w:b w:val="1"/>
          <w:bCs w:val="1"/>
          <w:i w:val="1"/>
          <w:iCs w:val="1"/>
          <w:color w:val="auto"/>
        </w:rPr>
        <w:t>Sections 4.1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4.4</w:t>
      </w:r>
      <w:r>
        <w:rPr>
          <w:rFonts w:ascii="Times New Roman" w:cs="Times New Roman" w:eastAsia="Times New Roman" w:hAnsi="Times New Roman"/>
          <w:sz w:val="19"/>
          <w:szCs w:val="19"/>
          <w:color w:val="auto"/>
        </w:rPr>
        <w:t xml:space="preserve">), and obligations under this Agreement and the related Loan Papers to an assignee that shall assume such obligations (which assignee may be another Lender, if a Lender accepts such assignment),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1360" w:hanging="396"/>
        <w:spacing w:after="0"/>
        <w:tabs>
          <w:tab w:leader="none" w:pos="136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shall have paid to Administrative Agent the assignment fee specified in </w:t>
      </w:r>
      <w:r>
        <w:rPr>
          <w:rFonts w:ascii="Times New Roman" w:cs="Times New Roman" w:eastAsia="Times New Roman" w:hAnsi="Times New Roman"/>
          <w:sz w:val="19"/>
          <w:szCs w:val="19"/>
          <w:b w:val="1"/>
          <w:bCs w:val="1"/>
          <w:i w:val="1"/>
          <w:iCs w:val="1"/>
          <w:color w:val="auto"/>
        </w:rPr>
        <w:t>Section 15.11(b)</w:t>
      </w:r>
      <w:r>
        <w:rPr>
          <w:rFonts w:ascii="Times New Roman" w:cs="Times New Roman" w:eastAsia="Times New Roman" w:hAnsi="Times New Roman"/>
          <w:sz w:val="19"/>
          <w:szCs w:val="19"/>
          <w:color w:val="auto"/>
        </w:rPr>
        <w:t>;</w:t>
      </w:r>
    </w:p>
    <w:p>
      <w:pPr>
        <w:spacing w:after="0" w:line="225" w:lineRule="exact"/>
        <w:rPr>
          <w:rFonts w:ascii="Times New Roman" w:cs="Times New Roman" w:eastAsia="Times New Roman" w:hAnsi="Times New Roman"/>
          <w:sz w:val="19"/>
          <w:szCs w:val="19"/>
          <w:color w:val="auto"/>
        </w:rPr>
      </w:pPr>
    </w:p>
    <w:p>
      <w:pPr>
        <w:jc w:val="both"/>
        <w:ind w:left="620" w:firstLine="381"/>
        <w:spacing w:after="0" w:line="261" w:lineRule="auto"/>
        <w:tabs>
          <w:tab w:leader="none" w:pos="1446" w:val="left"/>
        </w:tabs>
        <w:numPr>
          <w:ilvl w:val="1"/>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shall have received payment of an amount equal to the outstanding principal of its Loans and participations in L/C Borrowings, accrued interest thereon, accrued fees, and all other amounts payable to it hereunder and under the other Loan Papers (including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121</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15" w:lineRule="exact"/>
        <w:rPr>
          <w:sz w:val="20"/>
          <w:szCs w:val="20"/>
          <w:color w:val="auto"/>
        </w:rPr>
      </w:pPr>
    </w:p>
    <w:p>
      <w:pPr>
        <w:ind w:left="620"/>
        <w:spacing w:after="0" w:line="289" w:lineRule="auto"/>
        <w:rPr>
          <w:sz w:val="20"/>
          <w:szCs w:val="20"/>
          <w:color w:val="auto"/>
        </w:rPr>
      </w:pPr>
      <w:r>
        <w:rPr>
          <w:rFonts w:ascii="Times New Roman" w:cs="Times New Roman" w:eastAsia="Times New Roman" w:hAnsi="Times New Roman"/>
          <w:sz w:val="19"/>
          <w:szCs w:val="19"/>
          <w:color w:val="auto"/>
        </w:rPr>
        <w:t xml:space="preserve">any amounts under </w:t>
      </w:r>
      <w:r>
        <w:rPr>
          <w:rFonts w:ascii="Times New Roman" w:cs="Times New Roman" w:eastAsia="Times New Roman" w:hAnsi="Times New Roman"/>
          <w:sz w:val="19"/>
          <w:szCs w:val="19"/>
          <w:b w:val="1"/>
          <w:bCs w:val="1"/>
          <w:i w:val="1"/>
          <w:iCs w:val="1"/>
          <w:color w:val="auto"/>
        </w:rPr>
        <w:t>Section 4.5</w:t>
      </w:r>
      <w:r>
        <w:rPr>
          <w:rFonts w:ascii="Times New Roman" w:cs="Times New Roman" w:eastAsia="Times New Roman" w:hAnsi="Times New Roman"/>
          <w:sz w:val="19"/>
          <w:szCs w:val="19"/>
          <w:color w:val="auto"/>
        </w:rPr>
        <w:t>) from the assignee (to the extent of such outstanding principal and accrued interest and fees) or Borrower (in the case of all other amounts);</w:t>
      </w:r>
    </w:p>
    <w:p>
      <w:pPr>
        <w:spacing w:after="0" w:line="131" w:lineRule="exact"/>
        <w:rPr>
          <w:sz w:val="20"/>
          <w:szCs w:val="20"/>
          <w:color w:val="auto"/>
        </w:rPr>
      </w:pPr>
    </w:p>
    <w:p>
      <w:pPr>
        <w:ind w:left="620" w:firstLine="382"/>
        <w:spacing w:after="0" w:line="289" w:lineRule="auto"/>
        <w:tabs>
          <w:tab w:leader="none" w:pos="1436"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any such assignment resulting from a claim for compensation under </w:t>
      </w:r>
      <w:r>
        <w:rPr>
          <w:rFonts w:ascii="Times New Roman" w:cs="Times New Roman" w:eastAsia="Times New Roman" w:hAnsi="Times New Roman"/>
          <w:sz w:val="19"/>
          <w:szCs w:val="19"/>
          <w:b w:val="1"/>
          <w:bCs w:val="1"/>
          <w:i w:val="1"/>
          <w:iCs w:val="1"/>
          <w:color w:val="auto"/>
        </w:rPr>
        <w:t>Section 4.4</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b w:val="1"/>
          <w:bCs w:val="1"/>
          <w:i w:val="1"/>
          <w:iCs w:val="1"/>
          <w:color w:val="auto"/>
        </w:rPr>
        <w:t>Section 4.1</w:t>
      </w:r>
      <w:r>
        <w:rPr>
          <w:rFonts w:ascii="Times New Roman" w:cs="Times New Roman" w:eastAsia="Times New Roman" w:hAnsi="Times New Roman"/>
          <w:sz w:val="19"/>
          <w:szCs w:val="19"/>
          <w:color w:val="auto"/>
        </w:rPr>
        <w:t>, such assignment will result in a reduction in such compensation or payments thereafter;</w:t>
      </w:r>
    </w:p>
    <w:p>
      <w:pPr>
        <w:spacing w:after="0" w:line="136" w:lineRule="exact"/>
        <w:rPr>
          <w:rFonts w:ascii="Times New Roman" w:cs="Times New Roman" w:eastAsia="Times New Roman" w:hAnsi="Times New Roman"/>
          <w:sz w:val="19"/>
          <w:szCs w:val="19"/>
          <w:color w:val="auto"/>
        </w:rPr>
      </w:pPr>
    </w:p>
    <w:p>
      <w:pPr>
        <w:ind w:left="1380" w:hanging="416"/>
        <w:spacing w:after="0"/>
        <w:tabs>
          <w:tab w:leader="none" w:pos="1380"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assignment does not conflict with applicable Laws;</w:t>
      </w:r>
    </w:p>
    <w:p>
      <w:pPr>
        <w:spacing w:after="0" w:line="219" w:lineRule="exact"/>
        <w:rPr>
          <w:rFonts w:ascii="Times New Roman" w:cs="Times New Roman" w:eastAsia="Times New Roman" w:hAnsi="Times New Roman"/>
          <w:sz w:val="19"/>
          <w:szCs w:val="19"/>
          <w:color w:val="auto"/>
        </w:rPr>
      </w:pPr>
    </w:p>
    <w:p>
      <w:pPr>
        <w:ind w:left="620" w:firstLine="420"/>
        <w:spacing w:after="0" w:line="282" w:lineRule="auto"/>
        <w:tabs>
          <w:tab w:leader="none" w:pos="1512" w:val="left"/>
        </w:tabs>
        <w:numPr>
          <w:ilvl w:val="2"/>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assignment resulting from a Lender becoming a Non-Consenting Lender, the applicable assignee shall have consented to the applicable amendment, waiver or consent.</w:t>
      </w:r>
    </w:p>
    <w:p>
      <w:pPr>
        <w:spacing w:after="0" w:line="143" w:lineRule="exact"/>
        <w:rPr>
          <w:sz w:val="20"/>
          <w:szCs w:val="20"/>
          <w:color w:val="auto"/>
        </w:rPr>
      </w:pPr>
    </w:p>
    <w:p>
      <w:pPr>
        <w:jc w:val="both"/>
        <w:ind w:firstLine="773"/>
        <w:spacing w:after="0" w:line="282" w:lineRule="auto"/>
        <w:rPr>
          <w:sz w:val="20"/>
          <w:szCs w:val="20"/>
          <w:color w:val="auto"/>
        </w:rPr>
      </w:pPr>
      <w:r>
        <w:rPr>
          <w:rFonts w:ascii="Times New Roman" w:cs="Times New Roman" w:eastAsia="Times New Roman" w:hAnsi="Times New Roman"/>
          <w:sz w:val="19"/>
          <w:szCs w:val="19"/>
          <w:color w:val="auto"/>
        </w:rPr>
        <w:t>A Lender shall not be required to make any such assignment or delegation if, prior thereto, as a result of a waiver by such Lender or otherwise, the circumstances entitling Borrower to require such assignment and delegation cease to apply.</w:t>
      </w:r>
    </w:p>
    <w:p>
      <w:pPr>
        <w:spacing w:after="0" w:line="143"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Administrative Agent, Lenders, and the L/C Issuers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Paper or any action or proceeding relating to this Agreement or any other Loan Paper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derivative or other transaction under which payments are to be made by reference to Borrower and its obligations, this Agreement or payments hereunder, (g) on a confidential basis to (i) any rating agency in connection with rating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Borrower, (i) to the extent such Information (x) becomes publicly available other than as a result of a breach of this section or (y) becomes available to Administrative Agent, any Lender, either L/C Issuer, or any of their respective Affiliates on a nonconfidential basis from a source other than Borrower, or (j) to any direct or indirect contractual counterparty in Financial Hedges or such contractual counterparty’s professional advisor (so long as such contractual counterparty or professional advisor to such contractual counterparty agrees to be bound by the provisions of this </w:t>
      </w:r>
      <w:r>
        <w:rPr>
          <w:rFonts w:ascii="Times New Roman" w:cs="Times New Roman" w:eastAsia="Times New Roman" w:hAnsi="Times New Roman"/>
          <w:sz w:val="18"/>
          <w:szCs w:val="18"/>
          <w:b w:val="1"/>
          <w:bCs w:val="1"/>
          <w:i w:val="1"/>
          <w:iCs w:val="1"/>
          <w:color w:val="auto"/>
        </w:rPr>
        <w:t>Section 15.15</w:t>
      </w:r>
      <w:r>
        <w:rPr>
          <w:rFonts w:ascii="Times New Roman" w:cs="Times New Roman" w:eastAsia="Times New Roman" w:hAnsi="Times New Roman"/>
          <w:sz w:val="18"/>
          <w:szCs w:val="18"/>
          <w:color w:val="auto"/>
        </w:rPr>
        <w:t>). For purposes of this section,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xml:space="preserve">” means all information received from any Restricted Company relating to any Restricted Company or any of their respective businesses, other than any such information that is available to Administrative Agent or any Lender on a nonconfidential basis prior to disclosure by any Restricted Company,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case of information received from a Restricted Company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122</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such Person would accord to its own confidential information. Each of Administrative Agent, Lenders, and the L/C Issuers acknowledges that (a) the Information may include material non-public information concerning any Company,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164"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15.16 </w:t>
      </w:r>
      <w:r>
        <w:rPr>
          <w:rFonts w:ascii="Times New Roman" w:cs="Times New Roman" w:eastAsia="Times New Roman" w:hAnsi="Times New Roman"/>
          <w:sz w:val="19"/>
          <w:szCs w:val="19"/>
          <w:u w:val="single" w:color="auto"/>
          <w:color w:val="auto"/>
        </w:rPr>
        <w:t>No Advisory or Fiduciary Responsibility</w:t>
      </w:r>
      <w:r>
        <w:rPr>
          <w:rFonts w:ascii="Times New Roman" w:cs="Times New Roman" w:eastAsia="Times New Roman" w:hAnsi="Times New Roman"/>
          <w:sz w:val="19"/>
          <w:szCs w:val="19"/>
          <w:color w:val="auto"/>
        </w:rPr>
        <w:t>. In connection with all aspects of each transaction contemplated hereby (including in connection with any amendment, waiver, or other modification hereof or of any other Loan Paper), Borrower acknowledges and agrees that: (i)</w:t>
      </w:r>
    </w:p>
    <w:p>
      <w:pPr>
        <w:spacing w:after="0" w:line="1" w:lineRule="exact"/>
        <w:rPr>
          <w:sz w:val="20"/>
          <w:szCs w:val="20"/>
          <w:color w:val="auto"/>
        </w:rPr>
      </w:pPr>
    </w:p>
    <w:p>
      <w:pPr>
        <w:jc w:val="both"/>
        <w:ind w:firstLine="3"/>
        <w:spacing w:after="0" w:line="249" w:lineRule="auto"/>
        <w:tabs>
          <w:tab w:leader="none" w:pos="314"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arranging and other services regarding this Agreement provided by Administrative Agent, the Joint Lead Arrangers and the Lenders, are arm’s-length commercial transactions between Borrower and its Affiliates, on the one hand, and Administrative Agent, the Joint Lead Arrangers and the Lenders, on the other hand, (B) Borrower has consulted its own legal, accounting, regulatory, and tax advisors to the extent it has deemed appropriate, and (C) Borrower is capable of evaluating, and understands and accepts, the terms, risks, and conditions of the transactions contemplated hereby and by the other Loan Papers; (ii)(A) each of Administrative Agent, the Joint Lead Arrangers and the Lenders is and has been acting solely as a principal and, except as expressly agreed in writing by the relevant parties, has not been, is not, and will not be acting as an advisor, agent, or fiduciary for Borrower or any of its Affiliates, or any other Person and (B) neither Administrative Agent nor any Joint Lead Arranger or Lender has any obligation to Borrower or any of its Affiliates with respect to the transactions contemplated hereby except those obligations expressly set forth herein and in the other Loan Papers; and (iii) Administrative Agent, Joint Lead Arrangers, the Lender and their respective Affiliates may be engaged in a broad range of transactions that involve interests that differ from those of Borrower and its Affiliates, and neither Administrative Agent, nor Joint Lead Arrangers, nor any Lender has any obligation to disclose any of such interests to Borrower or its Affiliates. To the fullest extent permitted by law, Borrower hereby waives and releases any claims that it may have against Administrative Agent, Joint Lead Arrangers and the Lenders with respect to any breach or alleged breach of agency or fiduciary duty in connection with any aspect of any transaction contemplated hereby.</w:t>
      </w:r>
    </w:p>
    <w:p>
      <w:pPr>
        <w:spacing w:after="0" w:line="188"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15.17 </w:t>
      </w:r>
      <w:r>
        <w:rPr>
          <w:rFonts w:ascii="Times New Roman" w:cs="Times New Roman" w:eastAsia="Times New Roman" w:hAnsi="Times New Roman"/>
          <w:sz w:val="19"/>
          <w:szCs w:val="19"/>
          <w:u w:val="single" w:color="auto"/>
          <w:color w:val="auto"/>
        </w:rPr>
        <w:t>USA PATRIOT Act Notice</w:t>
      </w:r>
      <w:r>
        <w:rPr>
          <w:rFonts w:ascii="Times New Roman" w:cs="Times New Roman" w:eastAsia="Times New Roman" w:hAnsi="Times New Roman"/>
          <w:sz w:val="19"/>
          <w:szCs w:val="19"/>
          <w:color w:val="auto"/>
        </w:rPr>
        <w:t>. Each Lender that is subject to the Act (as hereinafter defined) and Administrative Agent (for itself and not on behalf of any Lender) hereby notifies Borrower that pursuant to the requirements of the USA Patriot Act (Title III of Pub. L. 107-56 (signed into law October 26, 2001)) (the “</w:t>
      </w:r>
      <w:r>
        <w:rPr>
          <w:rFonts w:ascii="Times New Roman" w:cs="Times New Roman" w:eastAsia="Times New Roman" w:hAnsi="Times New Roman"/>
          <w:sz w:val="19"/>
          <w:szCs w:val="19"/>
          <w:b w:val="1"/>
          <w:bCs w:val="1"/>
          <w:i w:val="1"/>
          <w:iCs w:val="1"/>
          <w:color w:val="auto"/>
        </w:rPr>
        <w:t>Act</w:t>
      </w:r>
      <w:r>
        <w:rPr>
          <w:rFonts w:ascii="Times New Roman" w:cs="Times New Roman" w:eastAsia="Times New Roman" w:hAnsi="Times New Roman"/>
          <w:sz w:val="19"/>
          <w:szCs w:val="19"/>
          <w:color w:val="auto"/>
        </w:rPr>
        <w:t>”), it is required to obtain, verify, and record information that identifies Borrower, which information includes the name and address of Borrower and other information that will allow such Lender or Administrative Agent, as applicable, to identify Borrower in accordance with the Act. Borrower shall, promptly following a request by Administrative Agent or any Lender, provide all documentation and other information that Administrative Agent or such Lender requests in order to comply with its ongoing obligations under applicable “</w:t>
      </w:r>
      <w:r>
        <w:rPr>
          <w:rFonts w:ascii="Times New Roman" w:cs="Times New Roman" w:eastAsia="Times New Roman" w:hAnsi="Times New Roman"/>
          <w:sz w:val="19"/>
          <w:szCs w:val="19"/>
          <w:i w:val="1"/>
          <w:iCs w:val="1"/>
          <w:color w:val="auto"/>
        </w:rPr>
        <w:t>know your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customer</w:t>
      </w:r>
      <w:r>
        <w:rPr>
          <w:rFonts w:ascii="Times New Roman" w:cs="Times New Roman" w:eastAsia="Times New Roman" w:hAnsi="Times New Roman"/>
          <w:sz w:val="19"/>
          <w:szCs w:val="19"/>
          <w:color w:val="auto"/>
        </w:rPr>
        <w:t>” and anti-money laundering rules and regulations, including the Act.</w:t>
      </w:r>
    </w:p>
    <w:p>
      <w:pPr>
        <w:spacing w:after="0" w:line="184"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15.18 </w:t>
      </w:r>
      <w:r>
        <w:rPr>
          <w:rFonts w:ascii="Times New Roman" w:cs="Times New Roman" w:eastAsia="Times New Roman" w:hAnsi="Times New Roman"/>
          <w:sz w:val="19"/>
          <w:szCs w:val="19"/>
          <w:u w:val="single" w:color="auto"/>
          <w:color w:val="auto"/>
        </w:rPr>
        <w:t>Survival of Representations and Warranties</w:t>
      </w:r>
      <w:r>
        <w:rPr>
          <w:rFonts w:ascii="Times New Roman" w:cs="Times New Roman" w:eastAsia="Times New Roman" w:hAnsi="Times New Roman"/>
          <w:sz w:val="19"/>
          <w:szCs w:val="19"/>
          <w:color w:val="auto"/>
        </w:rPr>
        <w:t>. All representations and warranties made hereunder and in any other Loan Paper or other document delivered pursuant hereto or thereto or in connection herewith or therewith shall survive the execution and delivery hereof and thereof. Such representations and warranties have been or will be relied upon by Administrative Agent and each Lender, regardless of any investigation made by Administrative Agent or any Lender or on their behalf and notwithstanding that Administrative Agent or any Lender may have had notice or knowledge of any Default or Potential Default at the time of any Loan or L/C Credit Extension, and shall continue in full force and effect as long as any Loan or any other Obligation hereunder shall remain unpaid or unsatisfied or any L/C shall remain outstanding.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123</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22"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8"/>
          <w:szCs w:val="18"/>
          <w:color w:val="auto"/>
        </w:rPr>
        <w:t xml:space="preserve">15.19 </w:t>
      </w:r>
      <w:r>
        <w:rPr>
          <w:rFonts w:ascii="Times New Roman" w:cs="Times New Roman" w:eastAsia="Times New Roman" w:hAnsi="Times New Roman"/>
          <w:sz w:val="18"/>
          <w:szCs w:val="18"/>
          <w:u w:val="single" w:color="auto"/>
          <w:color w:val="auto"/>
        </w:rPr>
        <w:t>Execution of Assignments and Certain Other Documents</w:t>
      </w:r>
      <w:r>
        <w:rPr>
          <w:rFonts w:ascii="Times New Roman" w:cs="Times New Roman" w:eastAsia="Times New Roman" w:hAnsi="Times New Roman"/>
          <w:sz w:val="18"/>
          <w:szCs w:val="18"/>
          <w:color w:val="auto"/>
        </w:rPr>
        <w:t>. This Agreement and any document, amendment, approval, consent, information, notice, certificate, request, statement, disclosure or authorization related to this Agreement (each a “</w:t>
      </w:r>
      <w:r>
        <w:rPr>
          <w:rFonts w:ascii="Times New Roman" w:cs="Times New Roman" w:eastAsia="Times New Roman" w:hAnsi="Times New Roman"/>
          <w:sz w:val="18"/>
          <w:szCs w:val="18"/>
          <w:b w:val="1"/>
          <w:bCs w:val="1"/>
          <w:i w:val="1"/>
          <w:iCs w:val="1"/>
          <w:color w:val="auto"/>
        </w:rPr>
        <w:t>Communication</w:t>
      </w:r>
      <w:r>
        <w:rPr>
          <w:rFonts w:ascii="Times New Roman" w:cs="Times New Roman" w:eastAsia="Times New Roman" w:hAnsi="Times New Roman"/>
          <w:sz w:val="18"/>
          <w:szCs w:val="18"/>
          <w:color w:val="auto"/>
        </w:rPr>
        <w:t>”), including Communications required to be in writing, may be in the form of an Electronic Record and may be executed using Electronic Signatures. Borrower agrees that any Electronic Signature on or associated with any Communication shall be valid and binding on Borrower to the same extent as a manual, original signature, and that any Communication entered into by Electronic Signature, will constitute the legal, valid and binding obligation of Borrower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Administrative Agent and each of the Lenders of a manually signed paper Communication which has been converted into electronic form (such as scanned into PDF format), or an electronically signed Communication converted into another format, for transmission, delivery and/or retention. Administrative Agent and each of the Lenders may, at its option, create one or more copies of any Communication in the form of an imaged Electronic Record (“</w:t>
      </w:r>
      <w:r>
        <w:rPr>
          <w:rFonts w:ascii="Times New Roman" w:cs="Times New Roman" w:eastAsia="Times New Roman" w:hAnsi="Times New Roman"/>
          <w:sz w:val="18"/>
          <w:szCs w:val="18"/>
          <w:b w:val="1"/>
          <w:bCs w:val="1"/>
          <w:i w:val="1"/>
          <w:iCs w:val="1"/>
          <w:color w:val="auto"/>
        </w:rPr>
        <w:t>Electronic Copy</w:t>
      </w:r>
      <w:r>
        <w:rPr>
          <w:rFonts w:ascii="Times New Roman" w:cs="Times New Roman" w:eastAsia="Times New Roman" w:hAnsi="Times New Roman"/>
          <w:sz w:val="18"/>
          <w:szCs w:val="18"/>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Administrative Agent is under no obligation to accept an Electronic Signature in any form or in any format unless expressly agreed to by Administrative Agent pursuant to procedures approved by it; provided, further, without limiting the foregoing,</w:t>
      </w:r>
    </w:p>
    <w:p>
      <w:pPr>
        <w:spacing w:after="0" w:line="1" w:lineRule="exact"/>
        <w:rPr>
          <w:sz w:val="20"/>
          <w:szCs w:val="20"/>
          <w:color w:val="auto"/>
        </w:rPr>
      </w:pPr>
    </w:p>
    <w:p>
      <w:pPr>
        <w:jc w:val="both"/>
        <w:ind w:firstLine="3"/>
        <w:spacing w:after="0" w:line="251" w:lineRule="auto"/>
        <w:tabs>
          <w:tab w:leader="none" w:pos="285"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Administrative Agent has agreed to accept such Electronic Signature, Administrative Agent and each of the Lenders shall be entitled to rely on any such Electronic Signature purportedly given by or on behalf of Borrower without further verification and (b) upon the request of Administrative Agent or any Lender, any Electronic Signature shall be promptly followed by such manually executed counterpart. For purposes hereof, “</w:t>
      </w:r>
      <w:r>
        <w:rPr>
          <w:rFonts w:ascii="Times New Roman" w:cs="Times New Roman" w:eastAsia="Times New Roman" w:hAnsi="Times New Roman"/>
          <w:sz w:val="19"/>
          <w:szCs w:val="19"/>
          <w:b w:val="1"/>
          <w:bCs w:val="1"/>
          <w:i w:val="1"/>
          <w:iCs w:val="1"/>
          <w:color w:val="auto"/>
        </w:rPr>
        <w:t>Electronic Record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Electronic Signature</w:t>
      </w:r>
      <w:r>
        <w:rPr>
          <w:rFonts w:ascii="Times New Roman" w:cs="Times New Roman" w:eastAsia="Times New Roman" w:hAnsi="Times New Roman"/>
          <w:sz w:val="19"/>
          <w:szCs w:val="19"/>
          <w:color w:val="auto"/>
        </w:rPr>
        <w:t>” shall have the meanings assigned to them, respectively, by 15 USC §7006, as it may be amended from time to time.</w:t>
      </w:r>
    </w:p>
    <w:p>
      <w:pPr>
        <w:spacing w:after="0" w:line="168"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 xml:space="preserve">15.20 </w:t>
      </w:r>
      <w:r>
        <w:rPr>
          <w:rFonts w:ascii="Times New Roman" w:cs="Times New Roman" w:eastAsia="Times New Roman" w:hAnsi="Times New Roman"/>
          <w:sz w:val="19"/>
          <w:szCs w:val="19"/>
          <w:b w:val="1"/>
          <w:bCs w:val="1"/>
          <w:u w:val="single" w:color="auto"/>
          <w:color w:val="auto"/>
        </w:rPr>
        <w:t>ENTIRE AGREEMENT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THIS AGREEMENT AND THE OTHER LOAN PAPERS REPRESENT THE FINAL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AGREEMENT AMONG THE PARTIES AND MAY NOT BE CONTRADICTED BY EVIDENCE OF PRIOR, CONTEMPORANEOUS, OR SUBSEQUENT ORAL AGREEMENTS OF THE PARTIES. THERE ARE NO UNWRITTEN ORAL AGREEMENTS AMONG THE PARTIES. </w:t>
      </w:r>
      <w:r>
        <w:rPr>
          <w:rFonts w:ascii="Times New Roman" w:cs="Times New Roman" w:eastAsia="Times New Roman" w:hAnsi="Times New Roman"/>
          <w:sz w:val="19"/>
          <w:szCs w:val="19"/>
          <w:color w:val="auto"/>
        </w:rPr>
        <w:t>This Agreement supersedes all prior written agreements and understandings relating to the subject matter hereof and may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supplemented only by documents delivered in accordance with the terms hereof.</w:t>
      </w:r>
    </w:p>
    <w:p>
      <w:pPr>
        <w:spacing w:after="0" w:line="164"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15.21 </w:t>
      </w:r>
      <w:r>
        <w:rPr>
          <w:rFonts w:ascii="Times New Roman" w:cs="Times New Roman" w:eastAsia="Times New Roman" w:hAnsi="Times New Roman"/>
          <w:sz w:val="19"/>
          <w:szCs w:val="19"/>
          <w:u w:val="single" w:color="auto"/>
          <w:color w:val="auto"/>
        </w:rPr>
        <w:t>Restatement of Existing Agreement</w:t>
      </w:r>
      <w:r>
        <w:rPr>
          <w:rFonts w:ascii="Times New Roman" w:cs="Times New Roman" w:eastAsia="Times New Roman" w:hAnsi="Times New Roman"/>
          <w:sz w:val="19"/>
          <w:szCs w:val="19"/>
          <w:color w:val="auto"/>
        </w:rPr>
        <w:t xml:space="preserve">. The parties hereto agree that, on the Closing Date, after all conditions precedent set forth in </w:t>
      </w:r>
      <w:r>
        <w:rPr>
          <w:rFonts w:ascii="Times New Roman" w:cs="Times New Roman" w:eastAsia="Times New Roman" w:hAnsi="Times New Roman"/>
          <w:sz w:val="19"/>
          <w:szCs w:val="19"/>
          <w:b w:val="1"/>
          <w:bCs w:val="1"/>
          <w:i w:val="1"/>
          <w:iCs w:val="1"/>
          <w:color w:val="auto"/>
        </w:rPr>
        <w:t xml:space="preserve">Section 7.1 </w:t>
      </w:r>
      <w:r>
        <w:rPr>
          <w:rFonts w:ascii="Times New Roman" w:cs="Times New Roman" w:eastAsia="Times New Roman" w:hAnsi="Times New Roman"/>
          <w:sz w:val="19"/>
          <w:szCs w:val="19"/>
          <w:color w:val="auto"/>
        </w:rPr>
        <w:t>have been satisfied or waived: (a) the Obligation (as defined in this Agreement) represents, among other things, the restatement,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renewal, amendment, extension, and modification of the </w:t>
      </w:r>
      <w:r>
        <w:rPr>
          <w:rFonts w:ascii="Times New Roman" w:cs="Times New Roman" w:eastAsia="Times New Roman" w:hAnsi="Times New Roman"/>
          <w:sz w:val="19"/>
          <w:szCs w:val="19"/>
          <w:i w:val="1"/>
          <w:iCs w:val="1"/>
          <w:color w:val="auto"/>
        </w:rPr>
        <w:t>“Obligation”</w:t>
      </w:r>
      <w:r>
        <w:rPr>
          <w:rFonts w:ascii="Times New Roman" w:cs="Times New Roman" w:eastAsia="Times New Roman" w:hAnsi="Times New Roman"/>
          <w:sz w:val="19"/>
          <w:szCs w:val="19"/>
          <w:color w:val="auto"/>
        </w:rPr>
        <w:t xml:space="preserve"> (as defined in the Existing Agreement); (b) this Agreement is intended to, and does hereby, restate, renew, extend, amend, modify, supersede, and replace the Existing Agreement in its entirety; (c) the Notes, if any, executed pursuant to this Agreement amend, renew, extend, modify, replace, restate, substitute for, and supersede in their entirety (but do not extinguish the Debt arising under) the promissory notes issued pursuant to the Existing Agreement, which existing promissory notes shall be returned to Administrative Agent promptly after the Closing Date, marked </w:t>
      </w:r>
      <w:r>
        <w:rPr>
          <w:rFonts w:ascii="Times New Roman" w:cs="Times New Roman" w:eastAsia="Times New Roman" w:hAnsi="Times New Roman"/>
          <w:sz w:val="19"/>
          <w:szCs w:val="19"/>
          <w:i w:val="1"/>
          <w:iCs w:val="1"/>
          <w:color w:val="auto"/>
        </w:rPr>
        <w:t>“canceled and replaced”</w:t>
      </w:r>
      <w:r>
        <w:rPr>
          <w:rFonts w:ascii="Times New Roman" w:cs="Times New Roman" w:eastAsia="Times New Roman" w:hAnsi="Times New Roman"/>
          <w:sz w:val="19"/>
          <w:szCs w:val="19"/>
          <w:color w:val="auto"/>
        </w:rPr>
        <w:t>; and (d) the entering into and performance of their respective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124</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obligations under the Loan Papers and the transactions evidenced hereby do not constitute a novation nor shall they be deemed to have terminated, extinguished, or discharged the “</w:t>
      </w:r>
      <w:r>
        <w:rPr>
          <w:rFonts w:ascii="Times New Roman" w:cs="Times New Roman" w:eastAsia="Times New Roman" w:hAnsi="Times New Roman"/>
          <w:sz w:val="19"/>
          <w:szCs w:val="19"/>
          <w:i w:val="1"/>
          <w:iCs w:val="1"/>
          <w:color w:val="auto"/>
        </w:rPr>
        <w:t>Debt</w:t>
      </w:r>
      <w:r>
        <w:rPr>
          <w:rFonts w:ascii="Times New Roman" w:cs="Times New Roman" w:eastAsia="Times New Roman" w:hAnsi="Times New Roman"/>
          <w:sz w:val="19"/>
          <w:szCs w:val="19"/>
          <w:color w:val="auto"/>
        </w:rPr>
        <w:t>” under the Existing Agreement, the Security Documents, the Guaranty, or the other Loan Papers (or the collateral security therefore), all of which Debt and Collateral shall continue under and be governed by this Agreement and the other Loan Papers, except as expressly provided otherwise herein.</w:t>
      </w:r>
    </w:p>
    <w:p>
      <w:pPr>
        <w:spacing w:after="0" w:line="164" w:lineRule="exact"/>
        <w:rPr>
          <w:sz w:val="20"/>
          <w:szCs w:val="20"/>
          <w:color w:val="auto"/>
        </w:rPr>
      </w:pPr>
    </w:p>
    <w:p>
      <w:pPr>
        <w:jc w:val="both"/>
        <w:ind w:firstLine="618"/>
        <w:spacing w:after="0" w:line="251" w:lineRule="auto"/>
        <w:rPr>
          <w:sz w:val="20"/>
          <w:szCs w:val="20"/>
          <w:color w:val="auto"/>
        </w:rPr>
      </w:pPr>
      <w:r>
        <w:rPr>
          <w:rFonts w:ascii="Times New Roman" w:cs="Times New Roman" w:eastAsia="Times New Roman" w:hAnsi="Times New Roman"/>
          <w:sz w:val="19"/>
          <w:szCs w:val="19"/>
          <w:color w:val="auto"/>
        </w:rPr>
        <w:t xml:space="preserve">15.22 </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If, for the purposes of obtaining judgment in any court, it is necessary to convert a sum due hereunder or any other Loan Paper in one currency into another currency, the rate of exchange used shall be that at which in accordance with normal banking procedures Administrative Agent could purchase the first currency with such other currency on the Business Day preceding that on which final judgment is given. The obligation of Borrower in respect of any such sum due from it to Administrative Agent or any L/C Issuer hereunder or under the other Loan Papers shall, notwithstanding any judgment in a currency (the “</w:t>
      </w:r>
      <w:r>
        <w:rPr>
          <w:rFonts w:ascii="Times New Roman" w:cs="Times New Roman" w:eastAsia="Times New Roman" w:hAnsi="Times New Roman"/>
          <w:sz w:val="19"/>
          <w:szCs w:val="19"/>
          <w:b w:val="1"/>
          <w:bCs w:val="1"/>
          <w:i w:val="1"/>
          <w:iCs w:val="1"/>
          <w:color w:val="auto"/>
        </w:rPr>
        <w:t>Judgment Currency</w:t>
      </w:r>
      <w:r>
        <w:rPr>
          <w:rFonts w:ascii="Times New Roman" w:cs="Times New Roman" w:eastAsia="Times New Roman" w:hAnsi="Times New Roman"/>
          <w:sz w:val="19"/>
          <w:szCs w:val="19"/>
          <w:color w:val="auto"/>
        </w:rPr>
        <w:t>”) other than that in which such sum is denominated in accordance with the applicable provisions of this Agreement (the “</w:t>
      </w:r>
      <w:r>
        <w:rPr>
          <w:rFonts w:ascii="Times New Roman" w:cs="Times New Roman" w:eastAsia="Times New Roman" w:hAnsi="Times New Roman"/>
          <w:sz w:val="19"/>
          <w:szCs w:val="19"/>
          <w:b w:val="1"/>
          <w:bCs w:val="1"/>
          <w:i w:val="1"/>
          <w:iCs w:val="1"/>
          <w:color w:val="auto"/>
        </w:rPr>
        <w:t>Agreement Currency</w:t>
      </w:r>
      <w:r>
        <w:rPr>
          <w:rFonts w:ascii="Times New Roman" w:cs="Times New Roman" w:eastAsia="Times New Roman" w:hAnsi="Times New Roman"/>
          <w:sz w:val="19"/>
          <w:szCs w:val="19"/>
          <w:color w:val="auto"/>
        </w:rPr>
        <w:t>”), be discharged only to the extent that on the Business Day following receipt by Administrative Agent or such L/C Issuer, as the case may be, of any sum adjudged to be so due in the Judgment Currency, Administrative Agent or such L/C Issuer, as the case may be, may in accordance with normal banking procedures purchase the Agreement Currency with the Judgment Currency. If the amount of the Agreement Currency so purchased is less than the sum originally due to Administrative Agent or any L/C Issuer from Borrower in the Agreement Currency, Borrower agrees, as a separate obligation and notwithstanding any such judgment, to indemnify Administrative Agent or such L/C Issuer, as the case may be, against such loss. If the amount of the Agreement Currency so purchased is greater than the sum originally due to Administrative Agent or any L/C Issuer in such currency, Administrative Agent or such L/C Issuer, as the case may be, agrees to return the amount of any excess to Borrower (or to any other Person who may be entitled thereto under applicable law).</w:t>
      </w:r>
    </w:p>
    <w:p>
      <w:pPr>
        <w:spacing w:after="0" w:line="188"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 xml:space="preserve">15.23 </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Each Lender (a) represents and warrants, as of the date such Person became a Lender party hereto, to, and (b) covenants, from the date such Person became a Lender party hereto to the date such Person ceases being a Lender party hereto, for the benefit of, Administrative Agent and not, for the avoidance of doubt, to or for the benefit of Restricted Companies, that at least one of the following is and will be true:</w:t>
      </w:r>
    </w:p>
    <w:p>
      <w:pPr>
        <w:spacing w:after="0" w:line="177" w:lineRule="exact"/>
        <w:rPr>
          <w:sz w:val="20"/>
          <w:szCs w:val="20"/>
          <w:color w:val="auto"/>
        </w:rPr>
      </w:pPr>
    </w:p>
    <w:p>
      <w:pPr>
        <w:jc w:val="both"/>
        <w:ind w:firstLine="1239"/>
        <w:spacing w:after="0" w:line="264" w:lineRule="auto"/>
        <w:tabs>
          <w:tab w:leader="none" w:pos="1649"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is not using “</w:t>
      </w:r>
      <w:r>
        <w:rPr>
          <w:rFonts w:ascii="Times New Roman" w:cs="Times New Roman" w:eastAsia="Times New Roman" w:hAnsi="Times New Roman"/>
          <w:sz w:val="19"/>
          <w:szCs w:val="19"/>
          <w:b w:val="1"/>
          <w:bCs w:val="1"/>
          <w:i w:val="1"/>
          <w:iCs w:val="1"/>
          <w:color w:val="auto"/>
        </w:rPr>
        <w:t>plan assets</w:t>
      </w:r>
      <w:r>
        <w:rPr>
          <w:rFonts w:ascii="Times New Roman" w:cs="Times New Roman" w:eastAsia="Times New Roman" w:hAnsi="Times New Roman"/>
          <w:sz w:val="19"/>
          <w:szCs w:val="19"/>
          <w:color w:val="auto"/>
        </w:rPr>
        <w:t xml:space="preserve">” (within the meaning of </w:t>
      </w:r>
      <w:r>
        <w:rPr>
          <w:rFonts w:ascii="Times New Roman" w:cs="Times New Roman" w:eastAsia="Times New Roman" w:hAnsi="Times New Roman"/>
          <w:sz w:val="19"/>
          <w:szCs w:val="19"/>
          <w:i w:val="1"/>
          <w:iCs w:val="1"/>
          <w:color w:val="auto"/>
        </w:rPr>
        <w:t>Section 3(42)</w:t>
      </w:r>
      <w:r>
        <w:rPr>
          <w:rFonts w:ascii="Times New Roman" w:cs="Times New Roman" w:eastAsia="Times New Roman" w:hAnsi="Times New Roman"/>
          <w:sz w:val="19"/>
          <w:szCs w:val="19"/>
          <w:color w:val="auto"/>
        </w:rPr>
        <w:t xml:space="preserve"> of ERISA or otherwise) of one or more Benefit Plans with respect to such Lender’s entrance into, participation in, administration of and performance of the Loans, the L/C’s, the Commitment or this Agreement;</w:t>
      </w:r>
    </w:p>
    <w:p>
      <w:pPr>
        <w:spacing w:after="0" w:line="173" w:lineRule="exact"/>
        <w:rPr>
          <w:rFonts w:ascii="Times New Roman" w:cs="Times New Roman" w:eastAsia="Times New Roman" w:hAnsi="Times New Roman"/>
          <w:sz w:val="19"/>
          <w:szCs w:val="19"/>
          <w:color w:val="auto"/>
        </w:rPr>
      </w:pPr>
    </w:p>
    <w:p>
      <w:pPr>
        <w:jc w:val="both"/>
        <w:ind w:firstLine="1239"/>
        <w:spacing w:after="0" w:line="254" w:lineRule="auto"/>
        <w:tabs>
          <w:tab w:leader="none" w:pos="1761"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L/C’s, the Commitment and this Agreement;</w:t>
      </w:r>
    </w:p>
    <w:p>
      <w:pPr>
        <w:spacing w:after="0" w:line="164" w:lineRule="exact"/>
        <w:rPr>
          <w:rFonts w:ascii="Times New Roman" w:cs="Times New Roman" w:eastAsia="Times New Roman" w:hAnsi="Times New Roman"/>
          <w:sz w:val="19"/>
          <w:szCs w:val="19"/>
          <w:color w:val="auto"/>
        </w:rPr>
      </w:pPr>
    </w:p>
    <w:p>
      <w:pPr>
        <w:jc w:val="both"/>
        <w:ind w:firstLine="1239"/>
        <w:spacing w:after="0" w:line="272" w:lineRule="auto"/>
        <w:tabs>
          <w:tab w:leader="none" w:pos="172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is an investment fund managed by a “</w:t>
      </w:r>
      <w:r>
        <w:rPr>
          <w:rFonts w:ascii="Times New Roman" w:cs="Times New Roman" w:eastAsia="Times New Roman" w:hAnsi="Times New Roman"/>
          <w:sz w:val="19"/>
          <w:szCs w:val="19"/>
          <w:b w:val="1"/>
          <w:bCs w:val="1"/>
          <w:i w:val="1"/>
          <w:iCs w:val="1"/>
          <w:color w:val="auto"/>
        </w:rPr>
        <w:t>Qualified Professional Asset Manager</w:t>
      </w:r>
      <w:r>
        <w:rPr>
          <w:rFonts w:ascii="Times New Roman" w:cs="Times New Roman" w:eastAsia="Times New Roman" w:hAnsi="Times New Roman"/>
          <w:sz w:val="19"/>
          <w:szCs w:val="19"/>
          <w:color w:val="auto"/>
        </w:rPr>
        <w:t>” (within the meaning of Part VI of PTE 84-14), (B) such Qualified Professional Asset Manager made the investment decision on behalf of such Lender to enter into, participate in, administer and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125</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perform the Loans, the L/C’s, the Commitment and this Agreement, (C) the entrance into, participation in, administration of and performance of the Loans, the L/C’s, the Commitment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L/C’s, the Commitment and this Agreement, or</w:t>
      </w:r>
    </w:p>
    <w:p>
      <w:pPr>
        <w:spacing w:after="0" w:line="164" w:lineRule="exact"/>
        <w:rPr>
          <w:sz w:val="20"/>
          <w:szCs w:val="20"/>
          <w:color w:val="auto"/>
        </w:rPr>
      </w:pPr>
    </w:p>
    <w:p>
      <w:pPr>
        <w:ind w:firstLine="1239"/>
        <w:spacing w:after="0" w:line="282" w:lineRule="auto"/>
        <w:tabs>
          <w:tab w:leader="none" w:pos="1793"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representation, warranty and covenant as may be agreed in writing between Administrative Agent, in its sole discretion, and such Lender.</w:t>
      </w:r>
    </w:p>
    <w:p>
      <w:pPr>
        <w:spacing w:after="0" w:line="150"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9"/>
          <w:szCs w:val="19"/>
          <w:color w:val="auto"/>
        </w:rPr>
        <w:t xml:space="preserve">In addition, unless either (1) </w:t>
      </w:r>
      <w:r>
        <w:rPr>
          <w:rFonts w:ascii="Times New Roman" w:cs="Times New Roman" w:eastAsia="Times New Roman" w:hAnsi="Times New Roman"/>
          <w:sz w:val="19"/>
          <w:szCs w:val="19"/>
          <w:b w:val="1"/>
          <w:bCs w:val="1"/>
          <w:i w:val="1"/>
          <w:iCs w:val="1"/>
          <w:color w:val="auto"/>
        </w:rPr>
        <w:t>sub-clause (i)</w:t>
      </w:r>
      <w:r>
        <w:rPr>
          <w:rFonts w:ascii="Times New Roman" w:cs="Times New Roman" w:eastAsia="Times New Roman" w:hAnsi="Times New Roman"/>
          <w:sz w:val="19"/>
          <w:szCs w:val="19"/>
          <w:color w:val="auto"/>
        </w:rPr>
        <w:t xml:space="preserve"> in the immediately preceding clause (a) is true with respect to a Lender or (2) a Lender has provided another representation, warranty and covenant in accordance with </w:t>
      </w:r>
      <w:r>
        <w:rPr>
          <w:rFonts w:ascii="Times New Roman" w:cs="Times New Roman" w:eastAsia="Times New Roman" w:hAnsi="Times New Roman"/>
          <w:sz w:val="19"/>
          <w:szCs w:val="19"/>
          <w:b w:val="1"/>
          <w:bCs w:val="1"/>
          <w:i w:val="1"/>
          <w:iCs w:val="1"/>
          <w:color w:val="auto"/>
        </w:rPr>
        <w:t>sub-clause (iv)</w:t>
      </w:r>
      <w:r>
        <w:rPr>
          <w:rFonts w:ascii="Times New Roman" w:cs="Times New Roman" w:eastAsia="Times New Roman" w:hAnsi="Times New Roman"/>
          <w:sz w:val="19"/>
          <w:szCs w:val="19"/>
          <w:color w:val="auto"/>
        </w:rPr>
        <w:t xml:space="preserve">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Administrative Agent and not, for the avoidance of doubt, to or for the benefit of Restricted Companies, that Administrative Agent is not a fiduciary with respect to the assets of such Lender involved in such Lender’s entrance into, participation in, administration of and performance of the Loans, the L/C’s, the Commitment and this Agreement (including in connection with the reservation or exercise of any rights by Administrative Agent under this Agreement, any Loan Paper or any documents related hereto or thereto).</w:t>
      </w:r>
    </w:p>
    <w:p>
      <w:pPr>
        <w:spacing w:after="0" w:line="172"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9"/>
          <w:szCs w:val="19"/>
          <w:color w:val="auto"/>
        </w:rPr>
        <w:t xml:space="preserve">15.24 </w:t>
      </w:r>
      <w:r>
        <w:rPr>
          <w:rFonts w:ascii="Times New Roman" w:cs="Times New Roman" w:eastAsia="Times New Roman" w:hAnsi="Times New Roman"/>
          <w:sz w:val="19"/>
          <w:szCs w:val="19"/>
          <w:u w:val="single" w:color="auto"/>
          <w:color w:val="auto"/>
        </w:rPr>
        <w:t>Acknowledgement and Consent to Bail-In of Affected Financial Institutions</w:t>
      </w:r>
      <w:r>
        <w:rPr>
          <w:rFonts w:ascii="Times New Roman" w:cs="Times New Roman" w:eastAsia="Times New Roman" w:hAnsi="Times New Roman"/>
          <w:sz w:val="19"/>
          <w:szCs w:val="19"/>
          <w:color w:val="auto"/>
        </w:rPr>
        <w:t>. Notwithstanding anything to the contrary in any Loan Paper or in any other agreement, arrangement or understanding among any such parties, each party hereto acknowledges that any liability of any Lender that is an Affected Financial Institution arising under any Loan Paper, to the extent such liability is unsecured, may be subject to the write-down and conversion powers of the applicable Resolution Authority and agrees and consents to, and acknowledges and agrees to be bound by:</w:t>
      </w:r>
    </w:p>
    <w:p>
      <w:pPr>
        <w:spacing w:after="0" w:line="177" w:lineRule="exact"/>
        <w:rPr>
          <w:sz w:val="20"/>
          <w:szCs w:val="20"/>
          <w:color w:val="auto"/>
        </w:rPr>
      </w:pPr>
    </w:p>
    <w:p>
      <w:pPr>
        <w:ind w:firstLine="776"/>
        <w:spacing w:after="0" w:line="268" w:lineRule="auto"/>
        <w:tabs>
          <w:tab w:leader="none" w:pos="1244"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68" w:lineRule="exact"/>
        <w:rPr>
          <w:rFonts w:ascii="Times New Roman" w:cs="Times New Roman" w:eastAsia="Times New Roman" w:hAnsi="Times New Roman"/>
          <w:sz w:val="19"/>
          <w:szCs w:val="19"/>
          <w:color w:val="auto"/>
        </w:rPr>
      </w:pPr>
    </w:p>
    <w:p>
      <w:pPr>
        <w:ind w:left="1180" w:hanging="404"/>
        <w:spacing w:after="0"/>
        <w:tabs>
          <w:tab w:leader="none" w:pos="118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effects of any Bail-in Action on any such liability, including, if applicable:</w:t>
      </w:r>
    </w:p>
    <w:p>
      <w:pPr>
        <w:spacing w:after="0" w:line="206" w:lineRule="exact"/>
        <w:rPr>
          <w:sz w:val="20"/>
          <w:szCs w:val="20"/>
          <w:color w:val="auto"/>
        </w:rPr>
      </w:pPr>
    </w:p>
    <w:p>
      <w:pPr>
        <w:ind w:left="1140" w:hanging="364"/>
        <w:spacing w:after="0"/>
        <w:tabs>
          <w:tab w:leader="none" w:pos="114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in full or in part or cancellation of any such liability;</w:t>
      </w:r>
    </w:p>
    <w:p>
      <w:pPr>
        <w:spacing w:after="0" w:line="219" w:lineRule="exact"/>
        <w:rPr>
          <w:rFonts w:ascii="Times New Roman" w:cs="Times New Roman" w:eastAsia="Times New Roman" w:hAnsi="Times New Roman"/>
          <w:sz w:val="19"/>
          <w:szCs w:val="19"/>
          <w:color w:val="auto"/>
        </w:rPr>
      </w:pPr>
    </w:p>
    <w:p>
      <w:pPr>
        <w:jc w:val="both"/>
        <w:ind w:firstLine="776"/>
        <w:spacing w:after="0" w:line="282" w:lineRule="auto"/>
        <w:tabs>
          <w:tab w:leader="none" w:pos="119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Paper; or</w:t>
      </w:r>
    </w:p>
    <w:p>
      <w:pPr>
        <w:spacing w:after="0" w:line="158" w:lineRule="exact"/>
        <w:rPr>
          <w:rFonts w:ascii="Times New Roman" w:cs="Times New Roman" w:eastAsia="Times New Roman" w:hAnsi="Times New Roman"/>
          <w:sz w:val="18"/>
          <w:szCs w:val="18"/>
          <w:color w:val="auto"/>
        </w:rPr>
      </w:pPr>
    </w:p>
    <w:p>
      <w:pPr>
        <w:ind w:firstLine="776"/>
        <w:spacing w:after="0" w:line="268" w:lineRule="auto"/>
        <w:tabs>
          <w:tab w:leader="none" w:pos="1377"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the applicable Resolution Authority.</w:t>
      </w:r>
    </w:p>
    <w:p>
      <w:pPr>
        <w:spacing w:after="0" w:line="169"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 xml:space="preserve">15.25 </w:t>
      </w:r>
      <w:r>
        <w:rPr>
          <w:rFonts w:ascii="Times New Roman" w:cs="Times New Roman" w:eastAsia="Times New Roman" w:hAnsi="Times New Roman"/>
          <w:sz w:val="19"/>
          <w:szCs w:val="19"/>
          <w:u w:val="single" w:color="auto"/>
          <w:color w:val="auto"/>
        </w:rPr>
        <w:t>Acknowledgement Regarding Any Supported QFCs</w:t>
      </w:r>
      <w:r>
        <w:rPr>
          <w:rFonts w:ascii="Times New Roman" w:cs="Times New Roman" w:eastAsia="Times New Roman" w:hAnsi="Times New Roman"/>
          <w:sz w:val="19"/>
          <w:szCs w:val="19"/>
          <w:color w:val="auto"/>
        </w:rPr>
        <w:t>. To the extent that the Loan Papers provide support, through a guarantee or otherwise, for any Financial Hedge or any other agreement or instrument that is a QFC (such support, “</w:t>
      </w:r>
      <w:r>
        <w:rPr>
          <w:rFonts w:ascii="Times New Roman" w:cs="Times New Roman" w:eastAsia="Times New Roman" w:hAnsi="Times New Roman"/>
          <w:sz w:val="19"/>
          <w:szCs w:val="19"/>
          <w:b w:val="1"/>
          <w:bCs w:val="1"/>
          <w:i w:val="1"/>
          <w:iCs w:val="1"/>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b w:val="1"/>
          <w:bCs w:val="1"/>
          <w:i w:val="1"/>
          <w:iCs w:val="1"/>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126</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Deposit Insurance Corporation under the Federal Deposit Insurance Act and </w:t>
      </w:r>
      <w:r>
        <w:rPr>
          <w:rFonts w:ascii="Times New Roman" w:cs="Times New Roman" w:eastAsia="Times New Roman" w:hAnsi="Times New Roman"/>
          <w:sz w:val="19"/>
          <w:szCs w:val="19"/>
          <w:i w:val="1"/>
          <w:iCs w:val="1"/>
          <w:color w:val="auto"/>
        </w:rPr>
        <w:t>Title II</w:t>
      </w:r>
      <w:r>
        <w:rPr>
          <w:rFonts w:ascii="Times New Roman" w:cs="Times New Roman" w:eastAsia="Times New Roman" w:hAnsi="Times New Roman"/>
          <w:sz w:val="19"/>
          <w:szCs w:val="19"/>
          <w:color w:val="auto"/>
        </w:rPr>
        <w:t xml:space="preserve"> of the Dodd-Frank Wall Street Reform and Consumer Protection Act (together with the regulations promulgated thereunder, the “</w:t>
      </w:r>
      <w:r>
        <w:rPr>
          <w:rFonts w:ascii="Times New Roman" w:cs="Times New Roman" w:eastAsia="Times New Roman" w:hAnsi="Times New Roman"/>
          <w:sz w:val="19"/>
          <w:szCs w:val="19"/>
          <w:b w:val="1"/>
          <w:bCs w:val="1"/>
          <w:i w:val="1"/>
          <w:iCs w:val="1"/>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Papers and any Supported QFC may in fact be stated to be governed by the laws of the State of New York and/or of the United States or any other state of the United States):</w:t>
      </w:r>
    </w:p>
    <w:p>
      <w:pPr>
        <w:spacing w:after="0" w:line="159" w:lineRule="exact"/>
        <w:rPr>
          <w:sz w:val="20"/>
          <w:szCs w:val="20"/>
          <w:color w:val="auto"/>
        </w:rPr>
      </w:pPr>
    </w:p>
    <w:p>
      <w:pPr>
        <w:jc w:val="both"/>
        <w:ind w:firstLine="773"/>
        <w:spacing w:after="0" w:line="252" w:lineRule="auto"/>
        <w:rPr>
          <w:sz w:val="20"/>
          <w:szCs w:val="20"/>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b w:val="1"/>
          <w:bCs w:val="1"/>
          <w:i w:val="1"/>
          <w:iCs w:val="1"/>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Papers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Papers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As used in this </w:t>
      </w:r>
      <w:r>
        <w:rPr>
          <w:rFonts w:ascii="Times New Roman" w:cs="Times New Roman" w:eastAsia="Times New Roman" w:hAnsi="Times New Roman"/>
          <w:sz w:val="19"/>
          <w:szCs w:val="19"/>
          <w:b w:val="1"/>
          <w:bCs w:val="1"/>
          <w:i w:val="1"/>
          <w:iCs w:val="1"/>
          <w:color w:val="auto"/>
        </w:rPr>
        <w:t>Section 15.25</w:t>
      </w:r>
      <w:r>
        <w:rPr>
          <w:rFonts w:ascii="Times New Roman" w:cs="Times New Roman" w:eastAsia="Times New Roman" w:hAnsi="Times New Roman"/>
          <w:sz w:val="19"/>
          <w:szCs w:val="19"/>
          <w:color w:val="auto"/>
        </w:rPr>
        <w:t>, the following terms have the following meanings:</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BHC Act Affiliate</w:t>
      </w:r>
      <w:r>
        <w:rPr>
          <w:rFonts w:ascii="Times New Roman" w:cs="Times New Roman" w:eastAsia="Times New Roman" w:hAnsi="Times New Roman"/>
          <w:sz w:val="19"/>
          <w:szCs w:val="19"/>
          <w:color w:val="auto"/>
        </w:rPr>
        <w:t>” of a party means an “</w:t>
      </w:r>
      <w:r>
        <w:rPr>
          <w:rFonts w:ascii="Times New Roman" w:cs="Times New Roman" w:eastAsia="Times New Roman" w:hAnsi="Times New Roman"/>
          <w:sz w:val="19"/>
          <w:szCs w:val="19"/>
          <w:i w:val="1"/>
          <w:iCs w:val="1"/>
          <w:color w:val="auto"/>
        </w:rPr>
        <w:t>affiliate</w:t>
      </w:r>
      <w:r>
        <w:rPr>
          <w:rFonts w:ascii="Times New Roman" w:cs="Times New Roman" w:eastAsia="Times New Roman" w:hAnsi="Times New Roman"/>
          <w:sz w:val="19"/>
          <w:szCs w:val="19"/>
          <w:color w:val="auto"/>
        </w:rPr>
        <w:t>” (as such term is defined under, and interpreted in accordance with, 12 U.S.C.</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1841(k)) of such party.</w:t>
      </w:r>
    </w:p>
    <w:p>
      <w:pPr>
        <w:spacing w:after="0" w:line="193" w:lineRule="exact"/>
        <w:rPr>
          <w:sz w:val="20"/>
          <w:szCs w:val="20"/>
          <w:color w:val="auto"/>
        </w:rPr>
      </w:pPr>
    </w:p>
    <w:p>
      <w:pPr>
        <w:jc w:val="both"/>
        <w:ind w:left="620" w:firstLine="61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Entity</w:t>
      </w:r>
      <w:r>
        <w:rPr>
          <w:rFonts w:ascii="Times New Roman" w:cs="Times New Roman" w:eastAsia="Times New Roman" w:hAnsi="Times New Roman"/>
          <w:sz w:val="19"/>
          <w:szCs w:val="19"/>
          <w:color w:val="auto"/>
        </w:rPr>
        <w:t>” means any of the following: (i) a “</w:t>
      </w:r>
      <w:r>
        <w:rPr>
          <w:rFonts w:ascii="Times New Roman" w:cs="Times New Roman" w:eastAsia="Times New Roman" w:hAnsi="Times New Roman"/>
          <w:sz w:val="19"/>
          <w:szCs w:val="19"/>
          <w:i w:val="1"/>
          <w:iCs w:val="1"/>
          <w:color w:val="auto"/>
        </w:rPr>
        <w:t>covered entity</w:t>
      </w:r>
      <w:r>
        <w:rPr>
          <w:rFonts w:ascii="Times New Roman" w:cs="Times New Roman" w:eastAsia="Times New Roman" w:hAnsi="Times New Roman"/>
          <w:sz w:val="19"/>
          <w:szCs w:val="19"/>
          <w:color w:val="auto"/>
        </w:rPr>
        <w:t>” as that term is defined in, and interpreted in accordance with, 12 C.F.R. §252.82(b); (ii) a “</w:t>
      </w:r>
      <w:r>
        <w:rPr>
          <w:rFonts w:ascii="Times New Roman" w:cs="Times New Roman" w:eastAsia="Times New Roman" w:hAnsi="Times New Roman"/>
          <w:sz w:val="19"/>
          <w:szCs w:val="19"/>
          <w:i w:val="1"/>
          <w:iCs w:val="1"/>
          <w:color w:val="auto"/>
        </w:rPr>
        <w:t>covered bank</w:t>
      </w:r>
      <w:r>
        <w:rPr>
          <w:rFonts w:ascii="Times New Roman" w:cs="Times New Roman" w:eastAsia="Times New Roman" w:hAnsi="Times New Roman"/>
          <w:sz w:val="19"/>
          <w:szCs w:val="19"/>
          <w:color w:val="auto"/>
        </w:rPr>
        <w:t>” as that term is defined in, and interpreted in accordance with, 12 C.F.R. §47.3(b); or (iii) a “</w:t>
      </w:r>
      <w:r>
        <w:rPr>
          <w:rFonts w:ascii="Times New Roman" w:cs="Times New Roman" w:eastAsia="Times New Roman" w:hAnsi="Times New Roman"/>
          <w:sz w:val="19"/>
          <w:szCs w:val="19"/>
          <w:i w:val="1"/>
          <w:iCs w:val="1"/>
          <w:color w:val="auto"/>
        </w:rPr>
        <w:t>covered FSI</w:t>
      </w:r>
      <w:r>
        <w:rPr>
          <w:rFonts w:ascii="Times New Roman" w:cs="Times New Roman" w:eastAsia="Times New Roman" w:hAnsi="Times New Roman"/>
          <w:sz w:val="19"/>
          <w:szCs w:val="19"/>
          <w:color w:val="auto"/>
        </w:rPr>
        <w:t>” as that term is defined in, and interpreted in accordance with, 12 C.F.R. §382.2(b).</w:t>
      </w:r>
    </w:p>
    <w:p>
      <w:pPr>
        <w:spacing w:after="0" w:line="155" w:lineRule="exact"/>
        <w:rPr>
          <w:sz w:val="20"/>
          <w:szCs w:val="20"/>
          <w:color w:val="auto"/>
        </w:rPr>
      </w:pPr>
    </w:p>
    <w:p>
      <w:pPr>
        <w:jc w:val="both"/>
        <w:ind w:left="620" w:firstLine="618"/>
        <w:spacing w:after="0" w:line="28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 §§252.81, 47.2 or 382.1, as applicable.</w:t>
      </w:r>
    </w:p>
    <w:p>
      <w:pPr>
        <w:spacing w:after="0" w:line="143" w:lineRule="exact"/>
        <w:rPr>
          <w:sz w:val="20"/>
          <w:szCs w:val="20"/>
          <w:color w:val="auto"/>
        </w:rPr>
      </w:pPr>
    </w:p>
    <w:p>
      <w:pPr>
        <w:jc w:val="both"/>
        <w:ind w:left="620" w:firstLine="61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 5390(c)(8)(D).”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127</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1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VAIL HOLDINGS, INC.</w:t>
      </w:r>
      <w:r>
        <w:rPr>
          <w:rFonts w:ascii="Times New Roman" w:cs="Times New Roman" w:eastAsia="Times New Roman" w:hAnsi="Times New Roman"/>
          <w:sz w:val="18"/>
          <w:szCs w:val="18"/>
          <w:color w:val="auto"/>
        </w:rPr>
        <w:t>, as the Company</w:t>
      </w:r>
    </w:p>
    <w:p>
      <w:pPr>
        <w:spacing w:after="0" w:line="200" w:lineRule="exact"/>
        <w:rPr>
          <w:sz w:val="20"/>
          <w:szCs w:val="20"/>
          <w:color w:val="auto"/>
        </w:rPr>
      </w:pPr>
    </w:p>
    <w:p>
      <w:pPr>
        <w:spacing w:after="0" w:line="370" w:lineRule="exact"/>
        <w:rPr>
          <w:sz w:val="20"/>
          <w:szCs w:val="20"/>
          <w:color w:val="auto"/>
        </w:rPr>
      </w:pPr>
    </w:p>
    <w:p>
      <w:pPr>
        <w:ind w:left="3200"/>
        <w:spacing w:after="0"/>
        <w:tabs>
          <w:tab w:leader="none" w:pos="36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/s/ Angela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-10160</wp:posOffset>
            </wp:positionV>
            <wp:extent cx="1058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ind w:left="3200"/>
        <w:spacing w:after="0"/>
        <w:tabs>
          <w:tab w:leader="none" w:pos="3920" w:val="left"/>
        </w:tabs>
        <w:rPr>
          <w:sz w:val="20"/>
          <w:szCs w:val="20"/>
          <w:color w:val="auto"/>
        </w:rPr>
      </w:pPr>
      <w:r>
        <w:rPr>
          <w:rFonts w:ascii="Times New Roman" w:cs="Times New Roman" w:eastAsia="Times New Roman" w:hAnsi="Times New Roman"/>
          <w:sz w:val="19"/>
          <w:szCs w:val="19"/>
          <w:color w:val="auto"/>
        </w:rPr>
        <w:t>Name:</w:t>
        <w:tab/>
        <w:t>Angela Korch</w:t>
      </w:r>
    </w:p>
    <w:p>
      <w:pPr>
        <w:spacing w:after="0" w:line="6" w:lineRule="exact"/>
        <w:rPr>
          <w:sz w:val="20"/>
          <w:szCs w:val="20"/>
          <w:color w:val="auto"/>
        </w:rPr>
      </w:pPr>
    </w:p>
    <w:p>
      <w:pPr>
        <w:ind w:left="3200"/>
        <w:spacing w:after="0"/>
        <w:tabs>
          <w:tab w:leader="none" w:pos="3820" w:val="left"/>
        </w:tabs>
        <w:rPr>
          <w:sz w:val="20"/>
          <w:szCs w:val="20"/>
          <w:color w:val="auto"/>
        </w:rPr>
      </w:pPr>
      <w:r>
        <w:rPr>
          <w:rFonts w:ascii="Times New Roman" w:cs="Times New Roman" w:eastAsia="Times New Roman" w:hAnsi="Times New Roman"/>
          <w:sz w:val="19"/>
          <w:szCs w:val="19"/>
          <w:color w:val="auto"/>
        </w:rPr>
        <w:t>Title:</w:t>
        <w:tab/>
        <w:t>Executive Vice President and</w:t>
      </w:r>
    </w:p>
    <w:p>
      <w:pPr>
        <w:spacing w:after="0" w:line="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Ninth Amended and Restated Credit Agreement</w:t>
      </w:r>
    </w:p>
    <w:p>
      <w:pPr>
        <w:sectPr>
          <w:pgSz w:w="11900" w:h="16838" w:orient="portrait"/>
          <w:cols w:equalWidth="0" w:num="1">
            <w:col w:w="9019"/>
          </w:cols>
          <w:pgMar w:left="1440" w:top="1440" w:right="1440" w:bottom="1440" w:gutter="0" w:footer="0" w:header="0"/>
        </w:sectPr>
      </w:pPr>
    </w:p>
    <w:bookmarkStart w:id="179" w:name="page180"/>
    <w:bookmarkEnd w:id="179"/>
    <w:p>
      <w:pPr>
        <w:spacing w:after="0" w:line="1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BANK OF AMERICA, N.A.</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0"/>
        <w:spacing w:after="0"/>
        <w:tabs>
          <w:tab w:leader="none" w:pos="36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/s/ Roger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-10160</wp:posOffset>
            </wp:positionV>
            <wp:extent cx="11252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spacing w:after="0" w:line="6" w:lineRule="exact"/>
        <w:rPr>
          <w:sz w:val="20"/>
          <w:szCs w:val="20"/>
          <w:color w:val="auto"/>
        </w:rPr>
      </w:pPr>
    </w:p>
    <w:p>
      <w:pPr>
        <w:ind w:left="3200"/>
        <w:spacing w:after="0"/>
        <w:tabs>
          <w:tab w:leader="none" w:pos="3880" w:val="left"/>
        </w:tabs>
        <w:rPr>
          <w:sz w:val="20"/>
          <w:szCs w:val="20"/>
          <w:color w:val="auto"/>
        </w:rPr>
      </w:pPr>
      <w:r>
        <w:rPr>
          <w:rFonts w:ascii="Times New Roman" w:cs="Times New Roman" w:eastAsia="Times New Roman" w:hAnsi="Times New Roman"/>
          <w:sz w:val="19"/>
          <w:szCs w:val="19"/>
          <w:color w:val="auto"/>
        </w:rPr>
        <w:t>Name:</w:t>
        <w:tab/>
        <w:t>Roger C. Davis</w:t>
      </w:r>
    </w:p>
    <w:p>
      <w:pPr>
        <w:spacing w:after="0" w:line="8" w:lineRule="exact"/>
        <w:rPr>
          <w:sz w:val="20"/>
          <w:szCs w:val="20"/>
          <w:color w:val="auto"/>
        </w:rPr>
      </w:pPr>
    </w:p>
    <w:p>
      <w:pPr>
        <w:ind w:left="3200"/>
        <w:spacing w:after="0"/>
        <w:tabs>
          <w:tab w:leader="none" w:pos="37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Ninth Amended and Restated Credit Agreement</w:t>
      </w:r>
    </w:p>
    <w:p>
      <w:pPr>
        <w:sectPr>
          <w:pgSz w:w="11900" w:h="16838" w:orient="portrait"/>
          <w:cols w:equalWidth="0" w:num="1">
            <w:col w:w="9019"/>
          </w:cols>
          <w:pgMar w:left="1440" w:top="1440" w:right="1440" w:bottom="1440" w:gutter="0" w:footer="0" w:header="0"/>
        </w:sectPr>
      </w:pPr>
    </w:p>
    <w:bookmarkStart w:id="180" w:name="page181"/>
    <w:bookmarkEnd w:id="180"/>
    <w:p>
      <w:pPr>
        <w:spacing w:after="0" w:line="1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BANK OF AMERICA, N.A.</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as an L/C Issuer,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0"/>
        <w:spacing w:after="0"/>
        <w:tabs>
          <w:tab w:leader="none" w:pos="36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/s/ Roger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-10160</wp:posOffset>
            </wp:positionV>
            <wp:extent cx="11252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spacing w:after="0" w:line="6" w:lineRule="exact"/>
        <w:rPr>
          <w:sz w:val="20"/>
          <w:szCs w:val="20"/>
          <w:color w:val="auto"/>
        </w:rPr>
      </w:pPr>
    </w:p>
    <w:p>
      <w:pPr>
        <w:ind w:left="3200"/>
        <w:spacing w:after="0"/>
        <w:tabs>
          <w:tab w:leader="none" w:pos="3880" w:val="left"/>
        </w:tabs>
        <w:rPr>
          <w:sz w:val="20"/>
          <w:szCs w:val="20"/>
          <w:color w:val="auto"/>
        </w:rPr>
      </w:pPr>
      <w:r>
        <w:rPr>
          <w:rFonts w:ascii="Times New Roman" w:cs="Times New Roman" w:eastAsia="Times New Roman" w:hAnsi="Times New Roman"/>
          <w:sz w:val="19"/>
          <w:szCs w:val="19"/>
          <w:color w:val="auto"/>
        </w:rPr>
        <w:t>Name:</w:t>
        <w:tab/>
        <w:t>Roger C. Davis</w:t>
      </w:r>
    </w:p>
    <w:p>
      <w:pPr>
        <w:spacing w:after="0" w:line="8" w:lineRule="exact"/>
        <w:rPr>
          <w:sz w:val="20"/>
          <w:szCs w:val="20"/>
          <w:color w:val="auto"/>
        </w:rPr>
      </w:pPr>
    </w:p>
    <w:p>
      <w:pPr>
        <w:ind w:left="3200"/>
        <w:spacing w:after="0"/>
        <w:tabs>
          <w:tab w:leader="none" w:pos="37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Ninth Amended and Restated Credit Agreement</w:t>
      </w:r>
    </w:p>
    <w:p>
      <w:pPr>
        <w:sectPr>
          <w:pgSz w:w="11900" w:h="16838" w:orient="portrait"/>
          <w:cols w:equalWidth="0" w:num="1">
            <w:col w:w="9019"/>
          </w:cols>
          <w:pgMar w:left="1440" w:top="1440" w:right="1440" w:bottom="1440" w:gutter="0" w:footer="0" w:header="0"/>
        </w:sectPr>
      </w:pPr>
    </w:p>
    <w:bookmarkStart w:id="181" w:name="page182"/>
    <w:bookmarkEnd w:id="181"/>
    <w:p>
      <w:pPr>
        <w:spacing w:after="0" w:line="1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U.S. BANK NATIONAL ASSOCIATION</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9"/>
          <w:szCs w:val="19"/>
          <w:color w:val="auto"/>
        </w:rPr>
        <w:t>as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0"/>
        <w:spacing w:after="0"/>
        <w:tabs>
          <w:tab w:leader="none" w:pos="36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/s/ Sydney Lunde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-10160</wp:posOffset>
            </wp:positionV>
            <wp:extent cx="1078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6" w:lineRule="exact"/>
        <w:rPr>
          <w:sz w:val="20"/>
          <w:szCs w:val="20"/>
          <w:color w:val="auto"/>
        </w:rPr>
      </w:pPr>
    </w:p>
    <w:p>
      <w:pPr>
        <w:ind w:left="3200"/>
        <w:spacing w:after="0"/>
        <w:tabs>
          <w:tab w:leader="none" w:pos="38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Sydney Lunde</w:t>
      </w:r>
    </w:p>
    <w:p>
      <w:pPr>
        <w:spacing w:after="0" w:line="8" w:lineRule="exact"/>
        <w:rPr>
          <w:sz w:val="20"/>
          <w:szCs w:val="20"/>
          <w:color w:val="auto"/>
        </w:rPr>
      </w:pPr>
    </w:p>
    <w:p>
      <w:pPr>
        <w:ind w:left="3200"/>
        <w:spacing w:after="0"/>
        <w:tabs>
          <w:tab w:leader="none" w:pos="37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Ninth Amended and Restated Credit Agreement</w:t>
      </w:r>
    </w:p>
    <w:p>
      <w:pPr>
        <w:sectPr>
          <w:pgSz w:w="11900" w:h="16838" w:orient="portrait"/>
          <w:cols w:equalWidth="0" w:num="1">
            <w:col w:w="9019"/>
          </w:cols>
          <w:pgMar w:left="1440" w:top="1440" w:right="1440" w:bottom="1440" w:gutter="0" w:footer="0" w:header="0"/>
        </w:sectPr>
      </w:pPr>
    </w:p>
    <w:bookmarkStart w:id="182" w:name="page183"/>
    <w:bookmarkEnd w:id="182"/>
    <w:p>
      <w:pPr>
        <w:spacing w:after="0" w:line="118" w:lineRule="exact"/>
        <w:rPr>
          <w:sz w:val="20"/>
          <w:szCs w:val="20"/>
          <w:color w:val="auto"/>
        </w:rPr>
      </w:pPr>
    </w:p>
    <w:p>
      <w:pPr>
        <w:ind w:left="3200" w:right="1179"/>
        <w:spacing w:after="0" w:line="316" w:lineRule="auto"/>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L/C Issuer, a Revolver Lender and a Term Loan Lender</w:t>
      </w:r>
    </w:p>
    <w:p>
      <w:pPr>
        <w:spacing w:after="0" w:line="200" w:lineRule="exact"/>
        <w:rPr>
          <w:sz w:val="20"/>
          <w:szCs w:val="20"/>
          <w:color w:val="auto"/>
        </w:rPr>
      </w:pPr>
    </w:p>
    <w:p>
      <w:pPr>
        <w:spacing w:after="0" w:line="354" w:lineRule="exact"/>
        <w:rPr>
          <w:sz w:val="20"/>
          <w:szCs w:val="20"/>
          <w:color w:val="auto"/>
        </w:rPr>
      </w:pPr>
    </w:p>
    <w:p>
      <w:pPr>
        <w:ind w:left="3200"/>
        <w:spacing w:after="0"/>
        <w:tabs>
          <w:tab w:leader="none" w:pos="36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/s/ Faraj Elmagbari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-10160</wp:posOffset>
            </wp:positionV>
            <wp:extent cx="1158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6" w:lineRule="exact"/>
        <w:rPr>
          <w:sz w:val="20"/>
          <w:szCs w:val="20"/>
          <w:color w:val="auto"/>
        </w:rPr>
      </w:pPr>
    </w:p>
    <w:p>
      <w:pPr>
        <w:ind w:left="3200"/>
        <w:spacing w:after="0"/>
        <w:tabs>
          <w:tab w:leader="none" w:pos="38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Faraj Elmagbari</w:t>
      </w:r>
    </w:p>
    <w:p>
      <w:pPr>
        <w:spacing w:after="0" w:line="8" w:lineRule="exact"/>
        <w:rPr>
          <w:sz w:val="20"/>
          <w:szCs w:val="20"/>
          <w:color w:val="auto"/>
        </w:rPr>
      </w:pPr>
    </w:p>
    <w:p>
      <w:pPr>
        <w:ind w:left="3200"/>
        <w:spacing w:after="0"/>
        <w:tabs>
          <w:tab w:leader="none" w:pos="37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Ninth Amended and Restated Credit Agreement</w:t>
      </w:r>
    </w:p>
    <w:p>
      <w:pPr>
        <w:sectPr>
          <w:pgSz w:w="11900" w:h="16838" w:orient="portrait"/>
          <w:cols w:equalWidth="0" w:num="1">
            <w:col w:w="9019"/>
          </w:cols>
          <w:pgMar w:left="1440" w:top="1440" w:right="1440" w:bottom="1440" w:gutter="0" w:footer="0" w:header="0"/>
        </w:sectPr>
      </w:pPr>
    </w:p>
    <w:bookmarkStart w:id="183" w:name="page184"/>
    <w:bookmarkEnd w:id="183"/>
    <w:p>
      <w:pPr>
        <w:spacing w:after="0" w:line="1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TRUIST BANK</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9"/>
          <w:szCs w:val="19"/>
          <w:color w:val="auto"/>
        </w:rPr>
        <w:t>as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0"/>
        <w:spacing w:after="0"/>
        <w:tabs>
          <w:tab w:leader="none" w:pos="36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/s/ Jim C.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-10160</wp:posOffset>
            </wp:positionV>
            <wp:extent cx="10604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spacing w:after="0" w:line="6" w:lineRule="exact"/>
        <w:rPr>
          <w:sz w:val="20"/>
          <w:szCs w:val="20"/>
          <w:color w:val="auto"/>
        </w:rPr>
      </w:pPr>
    </w:p>
    <w:p>
      <w:pPr>
        <w:ind w:left="3200"/>
        <w:spacing w:after="0"/>
        <w:tabs>
          <w:tab w:leader="none" w:pos="38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Jim C. Wright</w:t>
      </w:r>
    </w:p>
    <w:p>
      <w:pPr>
        <w:spacing w:after="0" w:line="8" w:lineRule="exact"/>
        <w:rPr>
          <w:sz w:val="20"/>
          <w:szCs w:val="20"/>
          <w:color w:val="auto"/>
        </w:rPr>
      </w:pPr>
    </w:p>
    <w:p>
      <w:pPr>
        <w:ind w:left="3200"/>
        <w:spacing w:after="0"/>
        <w:tabs>
          <w:tab w:leader="none" w:pos="37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Ninth Amended and Restated Credit Agreement</w:t>
      </w:r>
    </w:p>
    <w:p>
      <w:pPr>
        <w:sectPr>
          <w:pgSz w:w="11900" w:h="16838" w:orient="portrait"/>
          <w:cols w:equalWidth="0" w:num="1">
            <w:col w:w="9019"/>
          </w:cols>
          <w:pgMar w:left="1440" w:top="1440" w:right="1440" w:bottom="1440" w:gutter="0" w:footer="0" w:header="0"/>
        </w:sectPr>
      </w:pPr>
    </w:p>
    <w:bookmarkStart w:id="184" w:name="page185"/>
    <w:bookmarkEnd w:id="184"/>
    <w:p>
      <w:pPr>
        <w:spacing w:after="0" w:line="1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BMO BANK N.A.</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9"/>
          <w:szCs w:val="19"/>
          <w:color w:val="auto"/>
        </w:rPr>
        <w:t>as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0"/>
        <w:spacing w:after="0"/>
        <w:tabs>
          <w:tab w:leader="none" w:pos="36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/s/ Chris Golec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-10160</wp:posOffset>
            </wp:positionV>
            <wp:extent cx="9588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58850" cy="8255"/>
                    </a:xfrm>
                    <a:prstGeom prst="rect">
                      <a:avLst/>
                    </a:prstGeom>
                    <a:noFill/>
                  </pic:spPr>
                </pic:pic>
              </a:graphicData>
            </a:graphic>
          </wp:anchor>
        </w:drawing>
      </w:r>
    </w:p>
    <w:p>
      <w:pPr>
        <w:spacing w:after="0" w:line="6" w:lineRule="exact"/>
        <w:rPr>
          <w:sz w:val="20"/>
          <w:szCs w:val="20"/>
          <w:color w:val="auto"/>
        </w:rPr>
      </w:pPr>
    </w:p>
    <w:p>
      <w:pPr>
        <w:ind w:left="3200"/>
        <w:spacing w:after="0"/>
        <w:tabs>
          <w:tab w:leader="none" w:pos="38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Chris Golec</w:t>
      </w:r>
    </w:p>
    <w:p>
      <w:pPr>
        <w:spacing w:after="0" w:line="8" w:lineRule="exact"/>
        <w:rPr>
          <w:sz w:val="20"/>
          <w:szCs w:val="20"/>
          <w:color w:val="auto"/>
        </w:rPr>
      </w:pPr>
    </w:p>
    <w:p>
      <w:pPr>
        <w:ind w:left="3200"/>
        <w:spacing w:after="0"/>
        <w:tabs>
          <w:tab w:leader="none" w:pos="37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Ninth Amended and Restated Credit Agreement</w:t>
      </w:r>
    </w:p>
    <w:p>
      <w:pPr>
        <w:sectPr>
          <w:pgSz w:w="11900" w:h="16838" w:orient="portrait"/>
          <w:cols w:equalWidth="0" w:num="1">
            <w:col w:w="9019"/>
          </w:cols>
          <w:pgMar w:left="1440" w:top="1440" w:right="1440" w:bottom="1440" w:gutter="0" w:footer="0" w:header="0"/>
        </w:sectPr>
      </w:pPr>
    </w:p>
    <w:bookmarkStart w:id="185" w:name="page186"/>
    <w:bookmarkEnd w:id="185"/>
    <w:p>
      <w:pPr>
        <w:spacing w:after="0" w:line="1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PNC BANK, NATIONAL ASSOCIATION</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9"/>
          <w:szCs w:val="19"/>
          <w:color w:val="auto"/>
        </w:rPr>
        <w:t>as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0"/>
        <w:spacing w:after="0"/>
        <w:tabs>
          <w:tab w:leader="none" w:pos="36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/s/ Stefanie Sypher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-10160</wp:posOffset>
            </wp:positionV>
            <wp:extent cx="11449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44905" cy="8255"/>
                    </a:xfrm>
                    <a:prstGeom prst="rect">
                      <a:avLst/>
                    </a:prstGeom>
                    <a:noFill/>
                  </pic:spPr>
                </pic:pic>
              </a:graphicData>
            </a:graphic>
          </wp:anchor>
        </w:drawing>
      </w:r>
    </w:p>
    <w:p>
      <w:pPr>
        <w:spacing w:after="0" w:line="6" w:lineRule="exact"/>
        <w:rPr>
          <w:sz w:val="20"/>
          <w:szCs w:val="20"/>
          <w:color w:val="auto"/>
        </w:rPr>
      </w:pPr>
    </w:p>
    <w:p>
      <w:pPr>
        <w:ind w:left="3200"/>
        <w:spacing w:after="0"/>
        <w:tabs>
          <w:tab w:leader="none" w:pos="38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Stefanie Sypher</w:t>
      </w:r>
    </w:p>
    <w:p>
      <w:pPr>
        <w:spacing w:after="0" w:line="8" w:lineRule="exact"/>
        <w:rPr>
          <w:sz w:val="20"/>
          <w:szCs w:val="20"/>
          <w:color w:val="auto"/>
        </w:rPr>
      </w:pPr>
    </w:p>
    <w:p>
      <w:pPr>
        <w:ind w:left="3200"/>
        <w:spacing w:after="0"/>
        <w:tabs>
          <w:tab w:leader="none" w:pos="37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Ninth Amended and Restated Credit Agreement</w:t>
      </w:r>
    </w:p>
    <w:p>
      <w:pPr>
        <w:sectPr>
          <w:pgSz w:w="11900" w:h="16838" w:orient="portrait"/>
          <w:cols w:equalWidth="0" w:num="1">
            <w:col w:w="9019"/>
          </w:cols>
          <w:pgMar w:left="1440" w:top="1440" w:right="1440" w:bottom="1440" w:gutter="0" w:footer="0" w:header="0"/>
        </w:sectPr>
      </w:pPr>
    </w:p>
    <w:bookmarkStart w:id="186" w:name="page187"/>
    <w:bookmarkEnd w:id="186"/>
    <w:p>
      <w:pPr>
        <w:spacing w:after="0" w:line="1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BOKF, N.A. dba Colorado State Bank &amp; Trust</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as a Revolver Lender and a Term Loan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0"/>
        <w:spacing w:after="0"/>
        <w:tabs>
          <w:tab w:leader="none" w:pos="36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-10160</wp:posOffset>
            </wp:positionV>
            <wp:extent cx="127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6" w:lineRule="exact"/>
        <w:rPr>
          <w:sz w:val="20"/>
          <w:szCs w:val="20"/>
          <w:color w:val="auto"/>
        </w:rPr>
      </w:pPr>
    </w:p>
    <w:p>
      <w:pPr>
        <w:ind w:left="3200"/>
        <w:spacing w:after="0"/>
        <w:tabs>
          <w:tab w:leader="none" w:pos="38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David J. Anderson</w:t>
      </w:r>
    </w:p>
    <w:p>
      <w:pPr>
        <w:spacing w:after="0" w:line="8" w:lineRule="exact"/>
        <w:rPr>
          <w:sz w:val="20"/>
          <w:szCs w:val="20"/>
          <w:color w:val="auto"/>
        </w:rPr>
      </w:pPr>
    </w:p>
    <w:p>
      <w:pPr>
        <w:ind w:left="3200"/>
        <w:spacing w:after="0"/>
        <w:tabs>
          <w:tab w:leader="none" w:pos="37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Ninth Amended and Restated Credit Agreement</w:t>
      </w:r>
    </w:p>
    <w:p>
      <w:pPr>
        <w:sectPr>
          <w:pgSz w:w="11900" w:h="16838" w:orient="portrait"/>
          <w:cols w:equalWidth="0" w:num="1">
            <w:col w:w="9019"/>
          </w:cols>
          <w:pgMar w:left="1440" w:top="1440" w:right="1440"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Kirsten A. Lynch, certify that:</w:t>
      </w:r>
    </w:p>
    <w:p>
      <w:pPr>
        <w:spacing w:after="0" w:line="371" w:lineRule="exact"/>
        <w:rPr>
          <w:sz w:val="20"/>
          <w:szCs w:val="20"/>
          <w:color w:val="auto"/>
        </w:rPr>
      </w:pPr>
    </w:p>
    <w:p>
      <w:pPr>
        <w:ind w:left="520" w:hanging="167"/>
        <w:spacing w:after="0"/>
        <w:tabs>
          <w:tab w:leader="none" w:pos="52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Vail Resorts, Inc.;</w:t>
      </w:r>
    </w:p>
    <w:p>
      <w:pPr>
        <w:spacing w:after="0" w:line="27" w:lineRule="exact"/>
        <w:rPr>
          <w:rFonts w:ascii="Times New Roman" w:cs="Times New Roman" w:eastAsia="Times New Roman" w:hAnsi="Times New Roman"/>
          <w:sz w:val="17"/>
          <w:szCs w:val="17"/>
          <w:color w:val="auto"/>
        </w:rPr>
      </w:pPr>
    </w:p>
    <w:p>
      <w:pPr>
        <w:ind w:left="520" w:right="40" w:hanging="167"/>
        <w:spacing w:after="0" w:line="237" w:lineRule="auto"/>
        <w:tabs>
          <w:tab w:leader="none" w:pos="52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7"/>
          <w:szCs w:val="17"/>
          <w:color w:val="auto"/>
        </w:rPr>
      </w:pPr>
    </w:p>
    <w:p>
      <w:pPr>
        <w:ind w:left="520" w:right="40" w:hanging="167"/>
        <w:spacing w:after="0" w:line="239" w:lineRule="auto"/>
        <w:tabs>
          <w:tab w:leader="none" w:pos="52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7"/>
          <w:szCs w:val="17"/>
          <w:color w:val="auto"/>
        </w:rPr>
      </w:pPr>
    </w:p>
    <w:p>
      <w:pPr>
        <w:jc w:val="both"/>
        <w:ind w:left="520" w:right="40" w:hanging="167"/>
        <w:spacing w:after="0" w:line="228" w:lineRule="auto"/>
        <w:tabs>
          <w:tab w:leader="none" w:pos="52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7"/>
          <w:szCs w:val="17"/>
          <w:color w:val="auto"/>
        </w:rPr>
      </w:pPr>
    </w:p>
    <w:p>
      <w:pPr>
        <w:jc w:val="both"/>
        <w:ind w:left="1180" w:right="40" w:hanging="664"/>
        <w:spacing w:after="0" w:line="228" w:lineRule="auto"/>
        <w:tabs>
          <w:tab w:leader="none" w:pos="118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7"/>
          <w:szCs w:val="17"/>
          <w:color w:val="auto"/>
        </w:rPr>
      </w:pPr>
    </w:p>
    <w:p>
      <w:pPr>
        <w:jc w:val="both"/>
        <w:ind w:left="1180" w:right="40" w:hanging="664"/>
        <w:spacing w:after="0" w:line="228" w:lineRule="auto"/>
        <w:tabs>
          <w:tab w:leader="none" w:pos="118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7"/>
          <w:szCs w:val="17"/>
          <w:color w:val="auto"/>
        </w:rPr>
      </w:pPr>
    </w:p>
    <w:p>
      <w:pPr>
        <w:ind w:left="1180" w:right="40" w:hanging="664"/>
        <w:spacing w:after="0" w:line="239" w:lineRule="auto"/>
        <w:tabs>
          <w:tab w:leader="none" w:pos="118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7"/>
          <w:szCs w:val="17"/>
          <w:color w:val="auto"/>
        </w:rPr>
      </w:pPr>
    </w:p>
    <w:p>
      <w:pPr>
        <w:jc w:val="both"/>
        <w:ind w:left="1180" w:right="40" w:hanging="664"/>
        <w:spacing w:after="0" w:line="228" w:lineRule="auto"/>
        <w:tabs>
          <w:tab w:leader="none" w:pos="118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7"/>
          <w:szCs w:val="17"/>
          <w:color w:val="auto"/>
        </w:rPr>
      </w:pPr>
    </w:p>
    <w:p>
      <w:pPr>
        <w:ind w:left="520" w:right="40" w:hanging="167"/>
        <w:spacing w:after="0" w:line="239" w:lineRule="auto"/>
        <w:tabs>
          <w:tab w:leader="none" w:pos="52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7"/>
          <w:szCs w:val="17"/>
          <w:color w:val="auto"/>
        </w:rPr>
      </w:pPr>
    </w:p>
    <w:p>
      <w:pPr>
        <w:ind w:left="1180" w:right="40" w:hanging="664"/>
        <w:spacing w:after="0" w:line="239" w:lineRule="auto"/>
        <w:tabs>
          <w:tab w:leader="none" w:pos="118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7"/>
          <w:szCs w:val="17"/>
          <w:color w:val="auto"/>
        </w:rPr>
      </w:pPr>
    </w:p>
    <w:p>
      <w:pPr>
        <w:ind w:left="1180" w:right="40" w:hanging="664"/>
        <w:spacing w:after="0" w:line="239" w:lineRule="auto"/>
        <w:tabs>
          <w:tab w:leader="none" w:pos="118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6, 2024</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7"/>
          <w:szCs w:val="17"/>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14605</wp:posOffset>
            </wp:positionV>
            <wp:extent cx="31807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8071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7"/>
          <w:szCs w:val="17"/>
          <w:color w:val="auto"/>
        </w:rPr>
        <w:t>Kirsten A. Lynch</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853"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Angela A. Korch, certify that:</w:t>
      </w:r>
    </w:p>
    <w:p>
      <w:pPr>
        <w:spacing w:after="0" w:line="371" w:lineRule="exact"/>
        <w:rPr>
          <w:sz w:val="20"/>
          <w:szCs w:val="20"/>
          <w:color w:val="auto"/>
        </w:rPr>
      </w:pPr>
    </w:p>
    <w:p>
      <w:pPr>
        <w:ind w:left="520" w:hanging="167"/>
        <w:spacing w:after="0"/>
        <w:tabs>
          <w:tab w:leader="none" w:pos="52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Vail Resorts, Inc.;</w:t>
      </w:r>
    </w:p>
    <w:p>
      <w:pPr>
        <w:spacing w:after="0" w:line="27" w:lineRule="exact"/>
        <w:rPr>
          <w:rFonts w:ascii="Times New Roman" w:cs="Times New Roman" w:eastAsia="Times New Roman" w:hAnsi="Times New Roman"/>
          <w:sz w:val="17"/>
          <w:szCs w:val="17"/>
          <w:color w:val="auto"/>
        </w:rPr>
      </w:pPr>
    </w:p>
    <w:p>
      <w:pPr>
        <w:ind w:left="520" w:right="40" w:hanging="167"/>
        <w:spacing w:after="0" w:line="237" w:lineRule="auto"/>
        <w:tabs>
          <w:tab w:leader="none" w:pos="52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7"/>
          <w:szCs w:val="17"/>
          <w:color w:val="auto"/>
        </w:rPr>
      </w:pPr>
    </w:p>
    <w:p>
      <w:pPr>
        <w:ind w:left="520" w:right="40" w:hanging="167"/>
        <w:spacing w:after="0" w:line="239" w:lineRule="auto"/>
        <w:tabs>
          <w:tab w:leader="none" w:pos="52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7"/>
          <w:szCs w:val="17"/>
          <w:color w:val="auto"/>
        </w:rPr>
      </w:pPr>
    </w:p>
    <w:p>
      <w:pPr>
        <w:jc w:val="both"/>
        <w:ind w:left="520" w:right="40" w:hanging="167"/>
        <w:spacing w:after="0" w:line="233" w:lineRule="auto"/>
        <w:tabs>
          <w:tab w:leader="none" w:pos="52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7"/>
          <w:szCs w:val="17"/>
          <w:color w:val="auto"/>
        </w:rPr>
      </w:pPr>
    </w:p>
    <w:p>
      <w:pPr>
        <w:jc w:val="both"/>
        <w:ind w:left="1180" w:right="40" w:hanging="664"/>
        <w:spacing w:after="0" w:line="231" w:lineRule="auto"/>
        <w:tabs>
          <w:tab w:leader="none" w:pos="118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7"/>
          <w:szCs w:val="17"/>
          <w:color w:val="auto"/>
        </w:rPr>
      </w:pPr>
    </w:p>
    <w:p>
      <w:pPr>
        <w:jc w:val="both"/>
        <w:ind w:left="1180" w:right="40" w:hanging="664"/>
        <w:spacing w:after="0" w:line="231" w:lineRule="auto"/>
        <w:tabs>
          <w:tab w:leader="none" w:pos="118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7"/>
          <w:szCs w:val="17"/>
          <w:color w:val="auto"/>
        </w:rPr>
      </w:pPr>
    </w:p>
    <w:p>
      <w:pPr>
        <w:ind w:left="1180" w:right="40" w:hanging="664"/>
        <w:spacing w:after="0" w:line="237" w:lineRule="auto"/>
        <w:tabs>
          <w:tab w:leader="none" w:pos="118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7"/>
          <w:szCs w:val="17"/>
          <w:color w:val="auto"/>
        </w:rPr>
      </w:pPr>
    </w:p>
    <w:p>
      <w:pPr>
        <w:jc w:val="both"/>
        <w:ind w:left="1180" w:right="40" w:hanging="664"/>
        <w:spacing w:after="0" w:line="233" w:lineRule="auto"/>
        <w:tabs>
          <w:tab w:leader="none" w:pos="118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7"/>
          <w:szCs w:val="17"/>
          <w:color w:val="auto"/>
        </w:rPr>
      </w:pPr>
    </w:p>
    <w:p>
      <w:pPr>
        <w:ind w:left="520" w:right="40" w:hanging="167"/>
        <w:spacing w:after="0" w:line="237" w:lineRule="auto"/>
        <w:tabs>
          <w:tab w:leader="none" w:pos="52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7"/>
          <w:szCs w:val="17"/>
          <w:color w:val="auto"/>
        </w:rPr>
      </w:pPr>
    </w:p>
    <w:p>
      <w:pPr>
        <w:ind w:left="1180" w:right="40" w:hanging="664"/>
        <w:spacing w:after="0" w:line="239" w:lineRule="auto"/>
        <w:tabs>
          <w:tab w:leader="none" w:pos="118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7"/>
          <w:szCs w:val="17"/>
          <w:color w:val="auto"/>
        </w:rPr>
      </w:pPr>
    </w:p>
    <w:p>
      <w:pPr>
        <w:ind w:left="1180" w:right="40" w:hanging="664"/>
        <w:spacing w:after="0" w:line="239" w:lineRule="auto"/>
        <w:tabs>
          <w:tab w:leader="none" w:pos="118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6, 2024</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7"/>
          <w:szCs w:val="17"/>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14605</wp:posOffset>
            </wp:positionV>
            <wp:extent cx="31807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80715" cy="8255"/>
                    </a:xfrm>
                    <a:prstGeom prst="rect">
                      <a:avLst/>
                    </a:prstGeom>
                    <a:noFill/>
                  </pic:spPr>
                </pic:pic>
              </a:graphicData>
            </a:graphic>
          </wp:anchor>
        </w:drawing>
      </w:r>
    </w:p>
    <w:p>
      <w:pPr>
        <w:spacing w:after="0" w:line="1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7"/>
          <w:szCs w:val="17"/>
          <w:color w:val="auto"/>
        </w:rPr>
        <w:t>Angela A. Korch</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ectPr>
          <w:pgSz w:w="11900" w:h="16838" w:orient="portrait"/>
          <w:cols w:equalWidth="0" w:num="1">
            <w:col w:w="11240"/>
          </w:cols>
          <w:pgMar w:left="320" w:top="917"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THE CHIEF FINANCIAL OFFICER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 AS ADOPTED PURSUANT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Pursuant to Section 906 of the Sarbanes-Oxley Act of 2002, each of the undersigned hereby certifies in their capacity as an officer of Vail Resorts, Inc. (the “Company”) that the Company's Quarterly Report on Form 10-Q for the quarter ended April 30, 2024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6, 2024</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7"/>
          <w:szCs w:val="17"/>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14605</wp:posOffset>
            </wp:positionV>
            <wp:extent cx="31807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8071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7"/>
          <w:szCs w:val="17"/>
          <w:color w:val="auto"/>
        </w:rPr>
        <w:t>Kirsten A. Lynch</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6, 2024</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7"/>
          <w:szCs w:val="17"/>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14605</wp:posOffset>
            </wp:positionV>
            <wp:extent cx="31807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80715" cy="8255"/>
                    </a:xfrm>
                    <a:prstGeom prst="rect">
                      <a:avLst/>
                    </a:prstGeom>
                    <a:noFill/>
                  </pic:spPr>
                </pic:pic>
              </a:graphicData>
            </a:graphic>
          </wp:anchor>
        </w:drawing>
      </w:r>
    </w:p>
    <w:p>
      <w:pPr>
        <w:spacing w:after="0" w:line="1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7"/>
          <w:szCs w:val="17"/>
          <w:color w:val="auto"/>
        </w:rPr>
        <w:t>Angela A. Korch</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3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C550"/>
    <w:multiLevelType w:val="hybridMultilevel"/>
    <w:lvl w:ilvl="0">
      <w:lvlJc w:val="left"/>
      <w:lvlText w:val="☒"/>
      <w:numFmt w:val="bullet"/>
      <w:start w:val="1"/>
    </w:lvl>
  </w:abstractNum>
  <w:abstractNum w:abstractNumId="1">
    <w:nsid w:val="2DF6D648"/>
    <w:multiLevelType w:val="hybridMultilevel"/>
    <w:lvl w:ilvl="0">
      <w:lvlJc w:val="left"/>
      <w:lvlText w:val="☐"/>
      <w:numFmt w:val="bullet"/>
      <w:start w:val="1"/>
    </w:lvl>
  </w:abstractNum>
  <w:abstractNum w:abstractNumId="2">
    <w:nsid w:val="46B7D447"/>
    <w:multiLevelType w:val="hybridMultilevel"/>
    <w:lvl w:ilvl="0">
      <w:lvlJc w:val="left"/>
      <w:lvlText w:val="%1."/>
      <w:numFmt w:val="decimal"/>
      <w:start w:val="1"/>
    </w:lvl>
  </w:abstractNum>
  <w:abstractNum w:abstractNumId="3">
    <w:nsid w:val="4A2AC315"/>
    <w:multiLevelType w:val="hybridMultilevel"/>
    <w:lvl w:ilvl="0">
      <w:lvlJc w:val="left"/>
      <w:lvlText w:val="%1."/>
      <w:numFmt w:val="decimal"/>
      <w:start w:val="2"/>
    </w:lvl>
  </w:abstractNum>
  <w:abstractNum w:abstractNumId="4">
    <w:nsid w:val="39EE015C"/>
    <w:multiLevelType w:val="hybridMultilevel"/>
    <w:lvl w:ilvl="0">
      <w:lvlJc w:val="left"/>
      <w:lvlText w:val="%1."/>
      <w:numFmt w:val="decimal"/>
      <w:start w:val="3"/>
    </w:lvl>
  </w:abstractNum>
  <w:abstractNum w:abstractNumId="5">
    <w:nsid w:val="57FC4FBB"/>
    <w:multiLevelType w:val="hybridMultilevel"/>
    <w:lvl w:ilvl="0">
      <w:lvlJc w:val="left"/>
      <w:lvlText w:val="(%1)"/>
      <w:numFmt w:val="lowerLetter"/>
      <w:start w:val="1"/>
    </w:lvl>
  </w:abstractNum>
  <w:abstractNum w:abstractNumId="6">
    <w:nsid w:val="CC1016F"/>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7">
    <w:nsid w:val="43F18422"/>
    <w:multiLevelType w:val="hybridMultilevel"/>
    <w:lvl w:ilvl="0">
      <w:lvlJc w:val="left"/>
      <w:lvlText w:val="(%1)"/>
      <w:numFmt w:val="lowerLetter"/>
      <w:start w:val="6"/>
    </w:lvl>
  </w:abstractNum>
  <w:abstractNum w:abstractNumId="8">
    <w:nsid w:val="60EF0119"/>
    <w:multiLevelType w:val="hybridMultilevel"/>
    <w:lvl w:ilvl="0">
      <w:lvlJc w:val="left"/>
      <w:lvlText w:val="(%1)"/>
      <w:numFmt w:val="decimal"/>
      <w:start w:val="1"/>
    </w:lvl>
  </w:abstractNum>
  <w:abstractNum w:abstractNumId="9">
    <w:nsid w:val="26F324BA"/>
    <w:multiLevelType w:val="hybridMultilevel"/>
    <w:lvl w:ilvl="0">
      <w:lvlJc w:val="left"/>
      <w:lvlText w:val="%1."/>
      <w:numFmt w:val="decimal"/>
      <w:start w:val="11"/>
    </w:lvl>
  </w:abstractNum>
  <w:abstractNum w:abstractNumId="10">
    <w:nsid w:val="7F01579B"/>
    <w:multiLevelType w:val="hybridMultilevel"/>
    <w:lvl w:ilvl="0">
      <w:lvlJc w:val="left"/>
      <w:lvlText w:val="%1."/>
      <w:numFmt w:val="decimal"/>
      <w:start w:val="12"/>
    </w:lvl>
  </w:abstractNum>
  <w:abstractNum w:abstractNumId="11">
    <w:nsid w:val="49DA307D"/>
    <w:multiLevelType w:val="hybridMultilevel"/>
    <w:lvl w:ilvl="0">
      <w:lvlJc w:val="left"/>
      <w:lvlText w:val="(%1)"/>
      <w:numFmt w:val="lowerRoman"/>
      <w:start w:val="3"/>
    </w:lvl>
  </w:abstractNum>
  <w:abstractNum w:abstractNumId="12">
    <w:nsid w:val="7055A5F5"/>
    <w:multiLevelType w:val="hybridMultilevel"/>
    <w:lvl w:ilvl="0">
      <w:lvlJc w:val="left"/>
      <w:lvlText w:val="(%1)"/>
      <w:numFmt w:val="lowerRoman"/>
      <w:start w:val="3"/>
    </w:lvl>
  </w:abstractNum>
  <w:abstractNum w:abstractNumId="13">
    <w:nsid w:val="5FB8370B"/>
    <w:multiLevelType w:val="hybridMultilevel"/>
    <w:lvl w:ilvl="0">
      <w:lvlJc w:val="left"/>
      <w:lvlText w:val="•"/>
      <w:numFmt w:val="bullet"/>
      <w:start w:val="1"/>
    </w:lvl>
  </w:abstractNum>
  <w:abstractNum w:abstractNumId="14">
    <w:nsid w:val="50801EE1"/>
    <w:multiLevelType w:val="hybridMultilevel"/>
    <w:lvl w:ilvl="0">
      <w:lvlJc w:val="left"/>
      <w:lvlText w:val="•"/>
      <w:numFmt w:val="bullet"/>
      <w:start w:val="1"/>
    </w:lvl>
  </w:abstractNum>
  <w:abstractNum w:abstractNumId="15">
    <w:nsid w:val="488AC1A"/>
    <w:multiLevelType w:val="hybridMultilevel"/>
    <w:lvl w:ilvl="0">
      <w:lvlJc w:val="left"/>
      <w:lvlText w:val="•"/>
      <w:numFmt w:val="bullet"/>
      <w:start w:val="1"/>
    </w:lvl>
  </w:abstractNum>
  <w:abstractNum w:abstractNumId="16">
    <w:nsid w:val="5FB8011C"/>
    <w:multiLevelType w:val="hybridMultilevel"/>
    <w:lvl w:ilvl="0">
      <w:lvlJc w:val="left"/>
      <w:lvlText w:val="(%1)"/>
      <w:numFmt w:val="decimal"/>
      <w:start w:val="1"/>
    </w:lvl>
  </w:abstractNum>
  <w:abstractNum w:abstractNumId="17">
    <w:nsid w:val="6AA78F7F"/>
    <w:multiLevelType w:val="hybridMultilevel"/>
    <w:lvl w:ilvl="0">
      <w:lvlJc w:val="left"/>
      <w:lvlText w:val="%1"/>
      <w:numFmt w:val="decimal"/>
      <w:start w:val="32"/>
    </w:lvl>
  </w:abstractNum>
  <w:abstractNum w:abstractNumId="18">
    <w:nsid w:val="7672BD23"/>
    <w:multiLevelType w:val="hybridMultilevel"/>
    <w:lvl w:ilvl="0">
      <w:lvlJc w:val="left"/>
      <w:lvlText w:val="%1"/>
      <w:numFmt w:val="decimal"/>
      <w:start w:val="104"/>
    </w:lvl>
  </w:abstractNum>
  <w:abstractNum w:abstractNumId="19">
    <w:nsid w:val="6FC75AF8"/>
    <w:multiLevelType w:val="hybridMultilevel"/>
    <w:lvl w:ilvl="0">
      <w:lvlJc w:val="left"/>
      <w:lvlText w:val="%1."/>
      <w:numFmt w:val="upperLetter"/>
      <w:start w:val="1"/>
    </w:lvl>
  </w:abstractNum>
  <w:abstractNum w:abstractNumId="20">
    <w:nsid w:val="6A5F7029"/>
    <w:multiLevelType w:val="hybridMultilevel"/>
    <w:lvl w:ilvl="0">
      <w:lvlJc w:val="left"/>
      <w:lvlText w:val="(%1)"/>
      <w:numFmt w:val="lowerLetter"/>
      <w:start w:val="2"/>
    </w:lvl>
  </w:abstractNum>
  <w:abstractNum w:abstractNumId="21">
    <w:nsid w:val="7D5E18F8"/>
    <w:multiLevelType w:val="hybridMultilevel"/>
    <w:lvl w:ilvl="0">
      <w:lvlJc w:val="left"/>
      <w:lvlText w:val="(%1)"/>
      <w:numFmt w:val="lowerLetter"/>
      <w:start w:val="1"/>
    </w:lvl>
  </w:abstractNum>
  <w:abstractNum w:abstractNumId="22">
    <w:nsid w:val="5F3534A4"/>
    <w:multiLevelType w:val="hybridMultilevel"/>
    <w:lvl w:ilvl="0">
      <w:lvlJc w:val="left"/>
      <w:lvlText w:val="(%1)"/>
      <w:numFmt w:val="lowerLetter"/>
      <w:start w:val="9"/>
    </w:lvl>
    <w:lvl w:ilvl="1">
      <w:lvlJc w:val="left"/>
      <w:lvlText w:val="(%2)"/>
      <w:numFmt w:val="lowerLetter"/>
      <w:start w:val="3"/>
    </w:lvl>
  </w:abstractNum>
  <w:abstractNum w:abstractNumId="23">
    <w:nsid w:val="73A1821B"/>
    <w:multiLevelType w:val="hybridMultilevel"/>
    <w:lvl w:ilvl="0">
      <w:lvlJc w:val="left"/>
      <w:lvlText w:val="(%1)"/>
      <w:numFmt w:val="lowerLetter"/>
      <w:start w:val="1"/>
    </w:lvl>
  </w:abstractNum>
  <w:abstractNum w:abstractNumId="24">
    <w:nsid w:val="7DE67713"/>
    <w:multiLevelType w:val="hybridMultilevel"/>
    <w:lvl w:ilvl="0">
      <w:lvlJc w:val="left"/>
      <w:lvlText w:val="(%1)"/>
      <w:numFmt w:val="lowerLetter"/>
      <w:start w:val="1"/>
    </w:lvl>
  </w:abstractNum>
  <w:abstractNum w:abstractNumId="25">
    <w:nsid w:val="555C55B5"/>
    <w:multiLevelType w:val="hybridMultilevel"/>
    <w:lvl w:ilvl="0">
      <w:lvlJc w:val="left"/>
      <w:lvlText w:val="(%1)"/>
      <w:numFmt w:val="lowerLetter"/>
      <w:start w:val="1"/>
    </w:lvl>
  </w:abstractNum>
  <w:abstractNum w:abstractNumId="26">
    <w:nsid w:val="3FA62ACA"/>
    <w:multiLevelType w:val="hybridMultilevel"/>
    <w:lvl w:ilvl="0">
      <w:lvlJc w:val="left"/>
      <w:lvlText w:val="(%1)"/>
      <w:numFmt w:val="lowerLetter"/>
      <w:start w:val="9"/>
    </w:lvl>
  </w:abstractNum>
  <w:abstractNum w:abstractNumId="27">
    <w:nsid w:val="14FCE74E"/>
    <w:multiLevelType w:val="hybridMultilevel"/>
    <w:lvl w:ilvl="0">
      <w:lvlJc w:val="left"/>
      <w:lvlText w:val="(%1)"/>
      <w:numFmt w:val="upperLetter"/>
      <w:start w:val="2"/>
    </w:lvl>
    <w:lvl w:ilvl="1">
      <w:lvlJc w:val="left"/>
      <w:lvlText w:val="(%2)"/>
      <w:numFmt w:val="lowerLetter"/>
      <w:start w:val="14"/>
    </w:lvl>
  </w:abstractNum>
  <w:abstractNum w:abstractNumId="28">
    <w:nsid w:val="6A3DD3E8"/>
    <w:multiLevelType w:val="hybridMultilevel"/>
    <w:lvl w:ilvl="0">
      <w:lvlJc w:val="left"/>
      <w:lvlText w:val="(%1)"/>
      <w:numFmt w:val="lowerLetter"/>
      <w:start w:val="1"/>
    </w:lvl>
  </w:abstractNum>
  <w:abstractNum w:abstractNumId="29">
    <w:nsid w:val="71C91298"/>
    <w:multiLevelType w:val="hybridMultilevel"/>
    <w:lvl w:ilvl="0">
      <w:lvlJc w:val="left"/>
      <w:lvlText w:val="(%1)"/>
      <w:numFmt w:val="lowerLetter"/>
      <w:start w:val="13"/>
    </w:lvl>
  </w:abstractNum>
  <w:abstractNum w:abstractNumId="30">
    <w:nsid w:val="9DAF632"/>
    <w:multiLevelType w:val="hybridMultilevel"/>
    <w:lvl w:ilvl="0">
      <w:lvlJc w:val="left"/>
      <w:lvlText w:val="(%1)"/>
      <w:numFmt w:val="lowerLetter"/>
      <w:start w:val="1"/>
    </w:lvl>
  </w:abstractNum>
  <w:abstractNum w:abstractNumId="31">
    <w:nsid w:val="53299938"/>
    <w:multiLevelType w:val="hybridMultilevel"/>
    <w:lvl w:ilvl="0">
      <w:lvlJc w:val="left"/>
      <w:lvlText w:val="(%1)"/>
      <w:numFmt w:val="lowerLetter"/>
      <w:start w:val="1"/>
    </w:lvl>
    <w:lvl w:ilvl="1">
      <w:lvlJc w:val="left"/>
      <w:lvlText w:val="(%2)"/>
      <w:numFmt w:val="lowerRoman"/>
      <w:start w:val="2"/>
    </w:lvl>
  </w:abstractNum>
  <w:abstractNum w:abstractNumId="32">
    <w:nsid w:val="1FBFE8E0"/>
    <w:multiLevelType w:val="hybridMultilevel"/>
    <w:lvl w:ilvl="0">
      <w:lvlJc w:val="left"/>
      <w:lvlText w:val="(%1)"/>
      <w:numFmt w:val="lowerLetter"/>
      <w:start w:val="1"/>
    </w:lvl>
  </w:abstractNum>
  <w:abstractNum w:abstractNumId="33">
    <w:nsid w:val="5092CA79"/>
    <w:multiLevelType w:val="hybridMultilevel"/>
    <w:lvl w:ilvl="0">
      <w:lvlJc w:val="left"/>
      <w:lvlText w:val="(%1)"/>
      <w:numFmt w:val="lowerLetter"/>
      <w:start w:val="2"/>
    </w:lvl>
  </w:abstractNum>
  <w:abstractNum w:abstractNumId="34">
    <w:nsid w:val="1D545C4D"/>
    <w:multiLevelType w:val="hybridMultilevel"/>
    <w:lvl w:ilvl="0">
      <w:lvlJc w:val="left"/>
      <w:lvlText w:val="(%1)"/>
      <w:numFmt w:val="lowerLetter"/>
      <w:start w:val="1"/>
    </w:lvl>
  </w:abstractNum>
  <w:abstractNum w:abstractNumId="35">
    <w:nsid w:val="59ADEA3D"/>
    <w:multiLevelType w:val="hybridMultilevel"/>
    <w:lvl w:ilvl="0">
      <w:lvlJc w:val="left"/>
      <w:lvlText w:val="(%1)"/>
      <w:numFmt w:val="lowerLetter"/>
      <w:start w:val="1"/>
    </w:lvl>
  </w:abstractNum>
  <w:abstractNum w:abstractNumId="36">
    <w:nsid w:val="288F1A34"/>
    <w:multiLevelType w:val="hybridMultilevel"/>
    <w:lvl w:ilvl="0">
      <w:lvlJc w:val="left"/>
      <w:lvlText w:val="(%1)"/>
      <w:numFmt w:val="lowerLetter"/>
      <w:start w:val="1"/>
    </w:lvl>
  </w:abstractNum>
  <w:abstractNum w:abstractNumId="37">
    <w:nsid w:val="2A155DBC"/>
    <w:multiLevelType w:val="hybridMultilevel"/>
    <w:lvl w:ilvl="0">
      <w:lvlJc w:val="left"/>
      <w:lvlText w:val="(%1)"/>
      <w:numFmt w:val="lowerLetter"/>
      <w:start w:val="2"/>
    </w:lvl>
  </w:abstractNum>
  <w:abstractNum w:abstractNumId="38">
    <w:nsid w:val="1D9F6E5F"/>
    <w:multiLevelType w:val="hybridMultilevel"/>
    <w:lvl w:ilvl="0">
      <w:lvlJc w:val="left"/>
      <w:lvlText w:val="(%1)"/>
      <w:numFmt w:val="upperLetter"/>
      <w:start w:val="1"/>
    </w:lvl>
    <w:lvl w:ilvl="1">
      <w:lvlJc w:val="left"/>
      <w:lvlText w:val="(%2)"/>
      <w:numFmt w:val="lowerLetter"/>
      <w:start w:val="4"/>
    </w:lvl>
  </w:abstractNum>
  <w:abstractNum w:abstractNumId="39">
    <w:nsid w:val="97E1B4E"/>
    <w:multiLevelType w:val="hybridMultilevel"/>
    <w:lvl w:ilvl="0">
      <w:lvlJc w:val="left"/>
      <w:lvlText w:val="(%1)"/>
      <w:numFmt w:val="lowerLetter"/>
      <w:start w:val="6"/>
    </w:lvl>
    <w:lvl w:ilvl="1">
      <w:lvlJc w:val="left"/>
      <w:lvlText w:val="(%2)"/>
      <w:numFmt w:val="lowerRoman"/>
      <w:start w:val="1"/>
    </w:lvl>
  </w:abstractNum>
  <w:abstractNum w:abstractNumId="40">
    <w:nsid w:val="51088277"/>
    <w:multiLevelType w:val="hybridMultilevel"/>
    <w:lvl w:ilvl="0">
      <w:lvlJc w:val="left"/>
      <w:lvlText w:val="(%1)"/>
      <w:numFmt w:val="lowerLetter"/>
      <w:start w:val="1"/>
    </w:lvl>
  </w:abstractNum>
  <w:abstractNum w:abstractNumId="41">
    <w:nsid w:val="1CA0C5FA"/>
    <w:multiLevelType w:val="hybridMultilevel"/>
    <w:lvl w:ilvl="0">
      <w:lvlJc w:val="left"/>
      <w:lvlText w:val="(%1)"/>
      <w:numFmt w:val="lowerLetter"/>
      <w:start w:val="1"/>
    </w:lvl>
    <w:lvl w:ilvl="1">
      <w:lvlJc w:val="left"/>
      <w:lvlText w:val="(%2)"/>
      <w:numFmt w:val="lowerLetter"/>
      <w:start w:val="9"/>
    </w:lvl>
  </w:abstractNum>
  <w:abstractNum w:abstractNumId="42">
    <w:nsid w:val="53584BCB"/>
    <w:multiLevelType w:val="hybridMultilevel"/>
    <w:lvl w:ilvl="0">
      <w:lvlJc w:val="left"/>
      <w:lvlText w:val="(%1)"/>
      <w:numFmt w:val="lowerRoman"/>
      <w:start w:val="2"/>
    </w:lvl>
    <w:lvl w:ilvl="1">
      <w:lvlJc w:val="left"/>
      <w:lvlText w:val="(%2)"/>
      <w:numFmt w:val="upperLetter"/>
      <w:start w:val="1"/>
    </w:lvl>
  </w:abstractNum>
  <w:abstractNum w:abstractNumId="43">
    <w:nsid w:val="415E286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4">
    <w:nsid w:val="7C58FD05"/>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45">
    <w:nsid w:val="23D86AA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6">
    <w:nsid w:val="45E6D486"/>
    <w:multiLevelType w:val="hybridMultilevel"/>
    <w:lvl w:ilvl="0">
      <w:lvlJc w:val="left"/>
      <w:lvlText w:val="(%1)"/>
      <w:numFmt w:val="upperLetter"/>
      <w:start w:val="3"/>
    </w:lvl>
    <w:lvl w:ilvl="1">
      <w:lvlJc w:val="left"/>
      <w:lvlText w:val="(%2)"/>
      <w:numFmt w:val="lowerRoman"/>
      <w:start w:val="2"/>
    </w:lvl>
  </w:abstractNum>
  <w:abstractNum w:abstractNumId="47">
    <w:nsid w:val="5C10FE21"/>
    <w:multiLevelType w:val="hybridMultilevel"/>
    <w:lvl w:ilvl="0">
      <w:lvlJc w:val="left"/>
      <w:lvlText w:val="%1"/>
      <w:numFmt w:val="lowerLetter"/>
      <w:start w:val="1"/>
    </w:lvl>
    <w:lvl w:ilvl="1">
      <w:lvlJc w:val="left"/>
      <w:lvlText w:val="(%2)"/>
      <w:numFmt w:val="lowerRoman"/>
      <w:start w:val="4"/>
    </w:lvl>
  </w:abstractNum>
  <w:abstractNum w:abstractNumId="48">
    <w:nsid w:val="E7FFA2B"/>
    <w:multiLevelType w:val="hybridMultilevel"/>
    <w:lvl w:ilvl="0">
      <w:lvlJc w:val="left"/>
      <w:lvlText w:val="(%1)"/>
      <w:numFmt w:val="lowerLetter"/>
      <w:start w:val="3"/>
    </w:lvl>
    <w:lvl w:ilvl="1">
      <w:lvlJc w:val="left"/>
      <w:lvlText w:val="(%2)"/>
      <w:numFmt w:val="lowerRoman"/>
      <w:start w:val="1"/>
    </w:lvl>
  </w:abstractNum>
  <w:abstractNum w:abstractNumId="49">
    <w:nsid w:val="3C5991AA"/>
    <w:multiLevelType w:val="hybridMultilevel"/>
    <w:lvl w:ilvl="0">
      <w:lvlJc w:val="left"/>
      <w:lvlText w:val="(%1)"/>
      <w:numFmt w:val="lowerRoman"/>
      <w:start w:val="2"/>
    </w:lvl>
  </w:abstractNum>
  <w:abstractNum w:abstractNumId="50">
    <w:nsid w:val="4BD8591A"/>
    <w:multiLevelType w:val="hybridMultilevel"/>
    <w:lvl w:ilvl="0">
      <w:lvlJc w:val="left"/>
      <w:lvlText w:val="%1"/>
      <w:numFmt w:val="lowerLetter"/>
      <w:start w:val="1"/>
    </w:lvl>
    <w:lvl w:ilvl="1">
      <w:lvlJc w:val="left"/>
      <w:lvlText w:val="(%2)"/>
      <w:numFmt w:val="lowerRoman"/>
      <w:start w:val="6"/>
    </w:lvl>
  </w:abstractNum>
  <w:abstractNum w:abstractNumId="51">
    <w:nsid w:val="78DF6A55"/>
    <w:multiLevelType w:val="hybridMultilevel"/>
    <w:lvl w:ilvl="0">
      <w:lvlJc w:val="left"/>
      <w:lvlText w:val="(%1)"/>
      <w:numFmt w:val="lowerLetter"/>
      <w:start w:val="4"/>
    </w:lvl>
    <w:lvl w:ilvl="1">
      <w:lvlJc w:val="left"/>
      <w:lvlText w:val="(%2)"/>
      <w:numFmt w:val="lowerRoman"/>
      <w:start w:val="1"/>
    </w:lvl>
  </w:abstractNum>
  <w:abstractNum w:abstractNumId="52">
    <w:nsid w:val="39B7AAA2"/>
    <w:multiLevelType w:val="hybridMultilevel"/>
    <w:lvl w:ilvl="0">
      <w:lvlJc w:val="left"/>
      <w:lvlText w:val="(%1)"/>
      <w:numFmt w:val="lowerRoman"/>
      <w:start w:val="1"/>
    </w:lvl>
  </w:abstractNum>
  <w:abstractNum w:abstractNumId="53">
    <w:nsid w:val="2B0D8DBE"/>
    <w:multiLevelType w:val="hybridMultilevel"/>
    <w:lvl w:ilvl="0">
      <w:lvlJc w:val="left"/>
      <w:lvlText w:val="(%1)"/>
      <w:numFmt w:val="lowerRoman"/>
      <w:start w:val="2"/>
    </w:lvl>
  </w:abstractNum>
  <w:abstractNum w:abstractNumId="54">
    <w:nsid w:val="6C80EC70"/>
    <w:multiLevelType w:val="hybridMultilevel"/>
    <w:lvl w:ilvl="0">
      <w:lvlJc w:val="left"/>
      <w:lvlText w:val="(%1)"/>
      <w:numFmt w:val="lowerLetter"/>
      <w:start w:val="6"/>
    </w:lvl>
  </w:abstractNum>
  <w:abstractNum w:abstractNumId="55">
    <w:nsid w:val="379E21B5"/>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2"/>
    </w:lvl>
  </w:abstractNum>
  <w:abstractNum w:abstractNumId="56">
    <w:nsid w:val="69E373"/>
    <w:multiLevelType w:val="hybridMultilevel"/>
    <w:lvl w:ilvl="0">
      <w:lvlJc w:val="left"/>
      <w:lvlText w:val="(%1)"/>
      <w:numFmt w:val="lowerRoman"/>
      <w:start w:val="3"/>
    </w:lvl>
  </w:abstractNum>
  <w:abstractNum w:abstractNumId="57">
    <w:nsid w:val="2C27173B"/>
    <w:multiLevelType w:val="hybridMultilevel"/>
    <w:lvl w:ilvl="0">
      <w:lvlJc w:val="left"/>
      <w:lvlText w:val="%1"/>
      <w:numFmt w:val="lowerLetter"/>
      <w:start w:val="1"/>
    </w:lvl>
    <w:lvl w:ilvl="1">
      <w:lvlJc w:val="left"/>
      <w:lvlText w:val="(%2)"/>
      <w:numFmt w:val="lowerRoman"/>
      <w:start w:val="5"/>
    </w:lvl>
  </w:abstractNum>
  <w:abstractNum w:abstractNumId="58">
    <w:nsid w:val="4C9B0904"/>
    <w:multiLevelType w:val="hybridMultilevel"/>
    <w:lvl w:ilvl="0">
      <w:lvlJc w:val="left"/>
      <w:lvlText w:val="(%1)"/>
      <w:numFmt w:val="lowerLetter"/>
      <w:start w:val="10"/>
    </w:lvl>
    <w:lvl w:ilvl="1">
      <w:lvlJc w:val="left"/>
      <w:lvlText w:val="%2"/>
      <w:numFmt w:val="lowerRoman"/>
      <w:start w:val="1"/>
    </w:lvl>
  </w:abstractNum>
  <w:abstractNum w:abstractNumId="59">
    <w:nsid w:val="6AA7B75C"/>
    <w:multiLevelType w:val="hybridMultilevel"/>
    <w:lvl w:ilvl="0">
      <w:lvlJc w:val="left"/>
      <w:lvlText w:val="(%1)"/>
      <w:numFmt w:val="lowerLetter"/>
      <w:start w:val="1"/>
    </w:lvl>
    <w:lvl w:ilvl="1">
      <w:lvlJc w:val="left"/>
      <w:lvlText w:val="(%2)"/>
      <w:numFmt w:val="lowerLetter"/>
      <w:start w:val="9"/>
    </w:lvl>
  </w:abstractNum>
  <w:abstractNum w:abstractNumId="60">
    <w:nsid w:val="1DF029D3"/>
    <w:multiLevelType w:val="hybridMultilevel"/>
    <w:lvl w:ilvl="0">
      <w:lvlJc w:val="left"/>
      <w:lvlText w:val="%1"/>
      <w:numFmt w:val="lowerLetter"/>
      <w:start w:val="1"/>
    </w:lvl>
    <w:lvl w:ilvl="1">
      <w:lvlJc w:val="left"/>
      <w:lvlText w:val="(%2)"/>
      <w:numFmt w:val="lowerLetter"/>
      <w:start w:val="35"/>
    </w:lvl>
  </w:abstractNum>
  <w:abstractNum w:abstractNumId="61">
    <w:nsid w:val="5675FF36"/>
    <w:multiLevelType w:val="hybridMultilevel"/>
    <w:lvl w:ilvl="0">
      <w:lvlJc w:val="left"/>
      <w:lvlText w:val="(%1)"/>
      <w:numFmt w:val="lowerLetter"/>
      <w:start w:val="3"/>
    </w:lvl>
    <w:lvl w:ilvl="1">
      <w:lvlJc w:val="left"/>
      <w:lvlText w:val="(%2)"/>
      <w:numFmt w:val="lowerLetter"/>
      <w:start w:val="9"/>
    </w:lvl>
  </w:abstractNum>
  <w:abstractNum w:abstractNumId="62">
    <w:nsid w:val="3DD15094"/>
    <w:multiLevelType w:val="hybridMultilevel"/>
    <w:lvl w:ilvl="0">
      <w:lvlJc w:val="left"/>
      <w:lvlText w:val="%1"/>
      <w:numFmt w:val="lowerLetter"/>
      <w:start w:val="1"/>
    </w:lvl>
    <w:lvl w:ilvl="1">
      <w:lvlJc w:val="left"/>
      <w:lvlText w:val="(%2)"/>
      <w:numFmt w:val="lowerRoman"/>
      <w:start w:val="2"/>
    </w:lvl>
  </w:abstractNum>
  <w:abstractNum w:abstractNumId="63">
    <w:nsid w:val="3DB012B3"/>
    <w:multiLevelType w:val="hybridMultilevel"/>
    <w:lvl w:ilvl="0">
      <w:lvlJc w:val="left"/>
      <w:lvlText w:val="(%1)"/>
      <w:numFmt w:val="lowerLetter"/>
      <w:start w:val="5"/>
    </w:lvl>
    <w:lvl w:ilvl="1">
      <w:lvlJc w:val="left"/>
      <w:lvlText w:val="(%2)"/>
      <w:numFmt w:val="lowerRoman"/>
      <w:start w:val="1"/>
    </w:lvl>
  </w:abstractNum>
  <w:abstractNum w:abstractNumId="64">
    <w:nsid w:val="2708C9AF"/>
    <w:multiLevelType w:val="hybridMultilevel"/>
    <w:lvl w:ilvl="0">
      <w:lvlJc w:val="left"/>
      <w:lvlText w:val="(%1)"/>
      <w:numFmt w:val="lowerRoman"/>
      <w:start w:val="2"/>
    </w:lvl>
  </w:abstractNum>
  <w:abstractNum w:abstractNumId="65">
    <w:nsid w:val="5B25ACE2"/>
    <w:multiLevelType w:val="hybridMultilevel"/>
    <w:lvl w:ilvl="0">
      <w:lvlJc w:val="left"/>
      <w:lvlText w:val="(%1)"/>
      <w:numFmt w:val="lowerLetter"/>
      <w:start w:val="6"/>
    </w:lvl>
  </w:abstractNum>
  <w:abstractNum w:abstractNumId="66">
    <w:nsid w:val="175DFCF0"/>
    <w:multiLevelType w:val="hybridMultilevel"/>
    <w:lvl w:ilvl="0">
      <w:lvlJc w:val="left"/>
      <w:lvlText w:val="(%1)"/>
      <w:numFmt w:val="lowerLetter"/>
      <w:start w:val="1"/>
    </w:lvl>
  </w:abstractNum>
  <w:abstractNum w:abstractNumId="67">
    <w:nsid w:val="4F97E3E4"/>
    <w:multiLevelType w:val="hybridMultilevel"/>
    <w:lvl w:ilvl="0">
      <w:lvlJc w:val="left"/>
      <w:lvlText w:val="(%1)"/>
      <w:numFmt w:val="lowerLetter"/>
      <w:start w:val="3"/>
    </w:lvl>
  </w:abstractNum>
  <w:abstractNum w:abstractNumId="68">
    <w:nsid w:val="53B0A9E"/>
    <w:multiLevelType w:val="hybridMultilevel"/>
    <w:lvl w:ilvl="0">
      <w:lvlJc w:val="left"/>
      <w:lvlText w:val="(%1)"/>
      <w:numFmt w:val="lowerLetter"/>
      <w:start w:val="1"/>
    </w:lvl>
  </w:abstractNum>
  <w:abstractNum w:abstractNumId="69">
    <w:nsid w:val="34FD6B4F"/>
    <w:multiLevelType w:val="hybridMultilevel"/>
    <w:lvl w:ilvl="0">
      <w:lvlJc w:val="left"/>
      <w:lvlText w:val="(%1)"/>
      <w:numFmt w:val="lowerLetter"/>
      <w:start w:val="4"/>
    </w:lvl>
    <w:lvl w:ilvl="1">
      <w:lvlJc w:val="left"/>
      <w:lvlText w:val="(%2)"/>
      <w:numFmt w:val="lowerRoman"/>
      <w:start w:val="1"/>
    </w:lvl>
  </w:abstractNum>
  <w:abstractNum w:abstractNumId="70">
    <w:nsid w:val="5915FF32"/>
    <w:multiLevelType w:val="hybridMultilevel"/>
    <w:lvl w:ilvl="0">
      <w:lvlJc w:val="left"/>
      <w:lvlText w:val="(%1)"/>
      <w:numFmt w:val="lowerLetter"/>
      <w:start w:val="1"/>
    </w:lvl>
  </w:abstractNum>
  <w:abstractNum w:abstractNumId="71">
    <w:nsid w:val="56438D15"/>
    <w:multiLevelType w:val="hybridMultilevel"/>
    <w:lvl w:ilvl="0">
      <w:lvlJc w:val="left"/>
      <w:lvlText w:val="(%1)"/>
      <w:numFmt w:val="lowerLetter"/>
      <w:start w:val="2"/>
    </w:lvl>
  </w:abstractNum>
  <w:abstractNum w:abstractNumId="72">
    <w:nsid w:val="519E3149"/>
    <w:multiLevelType w:val="hybridMultilevel"/>
    <w:lvl w:ilvl="0">
      <w:lvlJc w:val="left"/>
      <w:lvlText w:val="(%1)"/>
      <w:numFmt w:val="lowerLetter"/>
      <w:start w:val="1"/>
    </w:lvl>
  </w:abstractNum>
  <w:abstractNum w:abstractNumId="73">
    <w:nsid w:val="2C6E4AFD"/>
    <w:multiLevelType w:val="hybridMultilevel"/>
    <w:lvl w:ilvl="0">
      <w:lvlJc w:val="left"/>
      <w:lvlText w:val="(%1)"/>
      <w:numFmt w:val="lowerLetter"/>
      <w:start w:val="1"/>
    </w:lvl>
  </w:abstractNum>
  <w:abstractNum w:abstractNumId="74">
    <w:nsid w:val="17A1B582"/>
    <w:multiLevelType w:val="hybridMultilevel"/>
    <w:lvl w:ilvl="0">
      <w:lvlJc w:val="left"/>
      <w:lvlText w:val="%1"/>
      <w:numFmt w:val="lowerLetter"/>
      <w:start w:val="1"/>
    </w:lvl>
    <w:lvl w:ilvl="1">
      <w:lvlJc w:val="left"/>
      <w:lvlText w:val="(%2)"/>
      <w:numFmt w:val="lowerLetter"/>
      <w:start w:val="1"/>
    </w:lvl>
  </w:abstractNum>
  <w:abstractNum w:abstractNumId="75">
    <w:nsid w:val="4DF72E4E"/>
    <w:multiLevelType w:val="hybridMultilevel"/>
    <w:lvl w:ilvl="0">
      <w:lvlJc w:val="left"/>
      <w:lvlText w:val="(%1)"/>
      <w:numFmt w:val="lowerLetter"/>
      <w:start w:val="24"/>
    </w:lvl>
    <w:lvl w:ilvl="1">
      <w:lvlJc w:val="left"/>
      <w:lvlText w:val="(%2)"/>
      <w:numFmt w:val="lowerLetter"/>
      <w:start w:val="2"/>
    </w:lvl>
  </w:abstractNum>
  <w:abstractNum w:abstractNumId="76">
    <w:nsid w:val="5046B5A9"/>
    <w:multiLevelType w:val="hybridMultilevel"/>
    <w:lvl w:ilvl="0">
      <w:lvlJc w:val="left"/>
      <w:lvlText w:val="(%1)"/>
      <w:numFmt w:val="lowerLetter"/>
      <w:start w:val="3"/>
    </w:lvl>
  </w:abstractNum>
  <w:abstractNum w:abstractNumId="77">
    <w:nsid w:val="5D888A0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78">
    <w:nsid w:val="2A082C70"/>
    <w:multiLevelType w:val="hybridMultilevel"/>
    <w:lvl w:ilvl="0">
      <w:lvlJc w:val="left"/>
      <w:lvlText w:val="(%1)"/>
      <w:numFmt w:val="lowerRoman"/>
      <w:start w:val="3"/>
    </w:lvl>
    <w:lvl w:ilvl="1">
      <w:lvlJc w:val="left"/>
      <w:lvlText w:val="(%2)"/>
      <w:numFmt w:val="lowerRoman"/>
      <w:start w:val="3"/>
    </w:lvl>
    <w:lvl w:ilvl="2">
      <w:lvlJc w:val="left"/>
      <w:lvlText w:val="(%3)"/>
      <w:numFmt w:val="upperLetter"/>
      <w:start w:val="1"/>
    </w:lvl>
  </w:abstractNum>
  <w:abstractNum w:abstractNumId="79">
    <w:nsid w:val="5EC6AFD4"/>
    <w:multiLevelType w:val="hybridMultilevel"/>
    <w:lvl w:ilvl="0">
      <w:lvlJc w:val="left"/>
      <w:lvlText w:val="(%1)"/>
      <w:numFmt w:val="lowerLetter"/>
      <w:start w:val="2"/>
    </w:lvl>
  </w:abstractNum>
  <w:abstractNum w:abstractNumId="80">
    <w:nsid w:val="19E21BB2"/>
    <w:multiLevelType w:val="hybridMultilevel"/>
    <w:lvl w:ilvl="0">
      <w:lvlJc w:val="left"/>
      <w:lvlText w:val="(%1)"/>
      <w:numFmt w:val="lowerLetter"/>
      <w:start w:val="1"/>
    </w:lvl>
    <w:lvl w:ilvl="1">
      <w:lvlJc w:val="left"/>
      <w:lvlText w:val="(%2)"/>
      <w:numFmt w:val="lowerRoman"/>
      <w:start w:val="1"/>
    </w:lvl>
  </w:abstractNum>
  <w:abstractNum w:abstractNumId="81">
    <w:nsid w:val="75E0858A"/>
    <w:multiLevelType w:val="hybridMultilevel"/>
    <w:lvl w:ilvl="0">
      <w:lvlJc w:val="left"/>
      <w:lvlText w:val="%1"/>
      <w:numFmt w:val="lowerLetter"/>
      <w:start w:val="1"/>
    </w:lvl>
    <w:lvl w:ilvl="1">
      <w:lvlJc w:val="left"/>
      <w:lvlText w:val="(%2)"/>
      <w:numFmt w:val="lowerLetter"/>
      <w:start w:val="61"/>
    </w:lvl>
  </w:abstractNum>
  <w:abstractNum w:abstractNumId="82">
    <w:nsid w:val="57A61A29"/>
    <w:multiLevelType w:val="hybridMultilevel"/>
    <w:lvl w:ilvl="0">
      <w:lvlJc w:val="left"/>
      <w:lvlText w:val="(%1)"/>
      <w:numFmt w:val="lowerLetter"/>
      <w:start w:val="2"/>
    </w:lvl>
    <w:lvl w:ilvl="1">
      <w:lvlJc w:val="left"/>
      <w:lvlText w:val="(%2)"/>
      <w:numFmt w:val="lowerLetter"/>
      <w:start w:val="9"/>
    </w:lvl>
  </w:abstractNum>
  <w:abstractNum w:abstractNumId="83">
    <w:nsid w:val="5399C654"/>
    <w:multiLevelType w:val="hybridMultilevel"/>
    <w:lvl w:ilvl="0">
      <w:lvlJc w:val="left"/>
      <w:lvlText w:val="%1"/>
      <w:numFmt w:val="lowerLetter"/>
      <w:start w:val="1"/>
    </w:lvl>
    <w:lvl w:ilvl="1">
      <w:lvlJc w:val="left"/>
      <w:lvlText w:val="(%2)"/>
      <w:numFmt w:val="lowerLetter"/>
      <w:start w:val="35"/>
    </w:lvl>
  </w:abstractNum>
  <w:abstractNum w:abstractNumId="84">
    <w:nsid w:val="20EE1348"/>
    <w:multiLevelType w:val="hybridMultilevel"/>
    <w:lvl w:ilvl="0">
      <w:lvlJc w:val="left"/>
      <w:lvlText w:val="(%1)"/>
      <w:numFmt w:val="lowerLetter"/>
      <w:start w:val="4"/>
    </w:lvl>
    <w:lvl w:ilvl="1">
      <w:lvlJc w:val="left"/>
      <w:lvlText w:val="(%2)"/>
      <w:numFmt w:val="lowerLetter"/>
      <w:start w:val="9"/>
    </w:lvl>
  </w:abstractNum>
  <w:abstractNum w:abstractNumId="85">
    <w:nsid w:val="4427069A"/>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86">
    <w:nsid w:val="B37E80A"/>
    <w:multiLevelType w:val="hybridMultilevel"/>
    <w:lvl w:ilvl="0">
      <w:lvlJc w:val="left"/>
      <w:lvlText w:val="(%1)"/>
      <w:numFmt w:val="upperLetter"/>
      <w:start w:val="35"/>
    </w:lvl>
  </w:abstractNum>
  <w:abstractNum w:abstractNumId="87">
    <w:nsid w:val="2157F6BC"/>
    <w:multiLevelType w:val="hybridMultilevel"/>
    <w:lvl w:ilvl="0">
      <w:lvlJc w:val="left"/>
      <w:lvlText w:val="(%1)"/>
      <w:numFmt w:val="upperLetter"/>
      <w:start w:val="61"/>
    </w:lvl>
  </w:abstractNum>
  <w:abstractNum w:abstractNumId="88">
    <w:nsid w:val="704E1DD5"/>
    <w:multiLevelType w:val="hybridMultilevel"/>
    <w:lvl w:ilvl="0">
      <w:lvlJc w:val="left"/>
      <w:lvlText w:val="(%1)"/>
      <w:numFmt w:val="upperLetter"/>
      <w:start w:val="3"/>
    </w:lvl>
  </w:abstractNum>
  <w:abstractNum w:abstractNumId="89">
    <w:nsid w:val="57D2F10E"/>
    <w:multiLevelType w:val="hybridMultilevel"/>
    <w:lvl w:ilvl="0">
      <w:lvlJc w:val="left"/>
      <w:lvlText w:val="(%1)"/>
      <w:numFmt w:val="lowerRoman"/>
      <w:start w:val="1"/>
    </w:lvl>
  </w:abstractNum>
  <w:abstractNum w:abstractNumId="90">
    <w:nsid w:val="BFFAE18"/>
    <w:multiLevelType w:val="hybridMultilevel"/>
    <w:lvl w:ilvl="0">
      <w:lvlJc w:val="left"/>
      <w:lvlText w:val="(%1)"/>
      <w:numFmt w:val="lowerRoman"/>
      <w:start w:val="3"/>
    </w:lvl>
  </w:abstractNum>
  <w:abstractNum w:abstractNumId="91">
    <w:nsid w:val="E3E47A8"/>
    <w:multiLevelType w:val="hybridMultilevel"/>
    <w:lvl w:ilvl="0">
      <w:lvlJc w:val="left"/>
      <w:lvlText w:val="(%1)"/>
      <w:numFmt w:val="lowerLetter"/>
      <w:start w:val="6"/>
    </w:lvl>
  </w:abstractNum>
  <w:abstractNum w:abstractNumId="92">
    <w:nsid w:val="2E48F044"/>
    <w:multiLevelType w:val="hybridMultilevel"/>
    <w:lvl w:ilvl="0">
      <w:lvlJc w:val="left"/>
      <w:lvlText w:val="(%1)"/>
      <w:numFmt w:val="lowerLetter"/>
      <w:start w:val="7"/>
    </w:lvl>
  </w:abstractNum>
  <w:abstractNum w:abstractNumId="93">
    <w:nsid w:val="49D0FEAC"/>
    <w:multiLevelType w:val="hybridMultilevel"/>
    <w:lvl w:ilvl="0">
      <w:lvlJc w:val="left"/>
      <w:lvlText w:val="(%1)"/>
      <w:numFmt w:val="lowerRoman"/>
      <w:start w:val="3"/>
    </w:lvl>
  </w:abstractNum>
  <w:abstractNum w:abstractNumId="94">
    <w:nsid w:val="4BEE5A5B"/>
    <w:multiLevelType w:val="hybridMultilevel"/>
    <w:lvl w:ilvl="0">
      <w:lvlJc w:val="left"/>
      <w:lvlText w:val="(%1)"/>
      <w:numFmt w:val="lowerLetter"/>
      <w:start w:val="1"/>
    </w:lvl>
    <w:lvl w:ilvl="1">
      <w:lvlJc w:val="left"/>
      <w:lvlText w:val="(%2)"/>
      <w:numFmt w:val="lowerRoman"/>
      <w:start w:val="1"/>
    </w:lvl>
  </w:abstractNum>
  <w:abstractNum w:abstractNumId="95">
    <w:nsid w:val="5551B9F3"/>
    <w:multiLevelType w:val="hybridMultilevel"/>
    <w:lvl w:ilvl="0">
      <w:lvlJc w:val="left"/>
      <w:lvlText w:val="(%1)"/>
      <w:numFmt w:val="lowerLetter"/>
      <w:start w:val="1"/>
    </w:lvl>
    <w:lvl w:ilvl="1">
      <w:lvlJc w:val="left"/>
      <w:lvlText w:val="(%2)"/>
      <w:numFmt w:val="lowerRoman"/>
      <w:start w:val="1"/>
    </w:lvl>
  </w:abstractNum>
  <w:abstractNum w:abstractNumId="96">
    <w:nsid w:val="24F6AB8E"/>
    <w:multiLevelType w:val="hybridMultilevel"/>
    <w:lvl w:ilvl="0">
      <w:lvlJc w:val="left"/>
      <w:lvlText w:val="(%1)"/>
      <w:numFmt w:val="lowerLetter"/>
      <w:start w:val="2"/>
    </w:lvl>
  </w:abstractNum>
  <w:abstractNum w:abstractNumId="97">
    <w:nsid w:val="634C574C"/>
    <w:multiLevelType w:val="hybridMultilevel"/>
    <w:lvl w:ilvl="0">
      <w:lvlJc w:val="left"/>
      <w:lvlText w:val="(%1)"/>
      <w:numFmt w:val="lowerLetter"/>
      <w:start w:val="3"/>
    </w:lvl>
  </w:abstractNum>
  <w:abstractNum w:abstractNumId="98">
    <w:nsid w:val="24E99DD7"/>
    <w:multiLevelType w:val="hybridMultilevel"/>
    <w:lvl w:ilvl="0">
      <w:lvlJc w:val="left"/>
      <w:lvlText w:val="(%1)"/>
      <w:numFmt w:val="lowerLetter"/>
      <w:start w:val="1"/>
    </w:lvl>
  </w:abstractNum>
  <w:abstractNum w:abstractNumId="99">
    <w:nsid w:val="2A31B62D"/>
    <w:multiLevelType w:val="hybridMultilevel"/>
    <w:lvl w:ilvl="0">
      <w:lvlJc w:val="left"/>
      <w:lvlText w:val="(%1)"/>
      <w:numFmt w:val="lowerLetter"/>
      <w:start w:val="4"/>
    </w:lvl>
  </w:abstractNum>
  <w:abstractNum w:abstractNumId="100">
    <w:nsid w:val="1849C29B"/>
    <w:multiLevelType w:val="hybridMultilevel"/>
    <w:lvl w:ilvl="0">
      <w:lvlJc w:val="left"/>
      <w:lvlText w:val="(%1)"/>
      <w:numFmt w:val="lowerLetter"/>
      <w:start w:val="1"/>
    </w:lvl>
  </w:abstractNum>
  <w:abstractNum w:abstractNumId="101">
    <w:nsid w:val="7DFF9D09"/>
    <w:multiLevelType w:val="hybridMultilevel"/>
    <w:lvl w:ilvl="0">
      <w:lvlJc w:val="left"/>
      <w:lvlText w:val="(%1)"/>
      <w:numFmt w:val="lowerLetter"/>
      <w:start w:val="1"/>
    </w:lvl>
  </w:abstractNum>
  <w:abstractNum w:abstractNumId="102">
    <w:nsid w:val="754342"/>
    <w:multiLevelType w:val="hybridMultilevel"/>
    <w:lvl w:ilvl="0">
      <w:lvlJc w:val="left"/>
      <w:lvlText w:val="(%1)"/>
      <w:numFmt w:val="lowerLetter"/>
      <w:start w:val="1"/>
    </w:lvl>
  </w:abstractNum>
  <w:abstractNum w:abstractNumId="103">
    <w:nsid w:val="69E7F3E5"/>
    <w:multiLevelType w:val="hybridMultilevel"/>
    <w:lvl w:ilvl="0">
      <w:lvlJc w:val="left"/>
      <w:lvlText w:val="(%1)"/>
      <w:numFmt w:val="lowerLetter"/>
      <w:start w:val="2"/>
    </w:lvl>
  </w:abstractNum>
  <w:abstractNum w:abstractNumId="104">
    <w:nsid w:val="2A6DE806"/>
    <w:multiLevelType w:val="hybridMultilevel"/>
    <w:lvl w:ilvl="0">
      <w:lvlJc w:val="left"/>
      <w:lvlText w:val="(%1)"/>
      <w:numFmt w:val="lowerLetter"/>
      <w:start w:val="12"/>
    </w:lvl>
  </w:abstractNum>
  <w:abstractNum w:abstractNumId="105">
    <w:nsid w:val="1816F8C4"/>
    <w:multiLevelType w:val="hybridMultilevel"/>
    <w:lvl w:ilvl="0">
      <w:lvlJc w:val="left"/>
      <w:lvlText w:val="(%1)"/>
      <w:numFmt w:val="lowerLetter"/>
      <w:start w:val="1"/>
    </w:lvl>
  </w:abstractNum>
  <w:abstractNum w:abstractNumId="106">
    <w:nsid w:val="37DF2233"/>
    <w:multiLevelType w:val="hybridMultilevel"/>
    <w:lvl w:ilvl="0">
      <w:lvlJc w:val="left"/>
      <w:lvlText w:val="(%1)"/>
      <w:numFmt w:val="lowerLetter"/>
      <w:start w:val="2"/>
    </w:lvl>
  </w:abstractNum>
  <w:abstractNum w:abstractNumId="107">
    <w:nsid w:val="7AB49DAF"/>
    <w:multiLevelType w:val="hybridMultilevel"/>
    <w:lvl w:ilvl="0">
      <w:lvlJc w:val="left"/>
      <w:lvlText w:val="(%1)"/>
      <w:numFmt w:val="lowerLetter"/>
      <w:start w:val="2"/>
    </w:lvl>
  </w:abstractNum>
  <w:abstractNum w:abstractNumId="108">
    <w:nsid w:val="759F82CD"/>
    <w:multiLevelType w:val="hybridMultilevel"/>
    <w:lvl w:ilvl="0">
      <w:lvlJc w:val="left"/>
      <w:lvlText w:val="(%1)"/>
      <w:numFmt w:val="lowerLetter"/>
      <w:start w:val="1"/>
    </w:lvl>
  </w:abstractNum>
  <w:abstractNum w:abstractNumId="109">
    <w:nsid w:val="61E74EA3"/>
    <w:multiLevelType w:val="hybridMultilevel"/>
    <w:lvl w:ilvl="0">
      <w:lvlJc w:val="left"/>
      <w:lvlText w:val="(%1)"/>
      <w:numFmt w:val="lowerLetter"/>
      <w:start w:val="5"/>
    </w:lvl>
  </w:abstractNum>
  <w:abstractNum w:abstractNumId="110">
    <w:nsid w:val="597B4D84"/>
    <w:multiLevelType w:val="hybridMultilevel"/>
    <w:lvl w:ilvl="0">
      <w:lvlJc w:val="left"/>
      <w:lvlText w:val="(%1)"/>
      <w:numFmt w:val="lowerLetter"/>
      <w:start w:val="24"/>
    </w:lvl>
    <w:lvl w:ilvl="1">
      <w:lvlJc w:val="left"/>
      <w:lvlText w:val="(%2)"/>
      <w:numFmt w:val="lowerLetter"/>
      <w:start w:val="7"/>
    </w:lvl>
  </w:abstractNum>
  <w:abstractNum w:abstractNumId="111">
    <w:nsid w:val="F819E7F"/>
    <w:multiLevelType w:val="hybridMultilevel"/>
    <w:lvl w:ilvl="0">
      <w:lvlJc w:val="left"/>
      <w:lvlText w:val="(%1)"/>
      <w:numFmt w:val="lowerLetter"/>
      <w:start w:val="1"/>
    </w:lvl>
  </w:abstractNum>
  <w:abstractNum w:abstractNumId="112">
    <w:nsid w:val="57C7D42D"/>
    <w:multiLevelType w:val="hybridMultilevel"/>
    <w:lvl w:ilvl="0">
      <w:lvlJc w:val="left"/>
      <w:lvlText w:val="(%1)"/>
      <w:numFmt w:val="lowerLetter"/>
      <w:start w:val="1"/>
    </w:lvl>
  </w:abstractNum>
  <w:abstractNum w:abstractNumId="113">
    <w:nsid w:val="312167AD"/>
    <w:multiLevelType w:val="hybridMultilevel"/>
    <w:lvl w:ilvl="0">
      <w:lvlJc w:val="left"/>
      <w:lvlText w:val="(%1)"/>
      <w:numFmt w:val="lowerLetter"/>
      <w:start w:val="2"/>
    </w:lvl>
  </w:abstractNum>
  <w:abstractNum w:abstractNumId="114">
    <w:nsid w:val="631B64D4"/>
    <w:multiLevelType w:val="hybridMultilevel"/>
    <w:lvl w:ilvl="0">
      <w:lvlJc w:val="left"/>
      <w:lvlText w:val="(%1)"/>
      <w:numFmt w:val="lowerLetter"/>
      <w:start w:val="1"/>
    </w:lvl>
  </w:abstractNum>
  <w:abstractNum w:abstractNumId="115">
    <w:nsid w:val="78B5E776"/>
    <w:multiLevelType w:val="hybridMultilevel"/>
    <w:lvl w:ilvl="0">
      <w:lvlJc w:val="left"/>
      <w:lvlText w:val="(%1)"/>
      <w:numFmt w:val="lowerLetter"/>
      <w:start w:val="1"/>
    </w:lvl>
  </w:abstractNum>
  <w:abstractNum w:abstractNumId="116">
    <w:nsid w:val="75486E47"/>
    <w:multiLevelType w:val="hybridMultilevel"/>
    <w:lvl w:ilvl="0">
      <w:lvlJc w:val="left"/>
      <w:lvlText w:val="(%1)"/>
      <w:numFmt w:val="lowerLetter"/>
      <w:start w:val="11"/>
    </w:lvl>
  </w:abstractNum>
  <w:abstractNum w:abstractNumId="117">
    <w:nsid w:val="6E534CDE"/>
    <w:multiLevelType w:val="hybridMultilevel"/>
    <w:lvl w:ilvl="0">
      <w:lvlJc w:val="left"/>
      <w:lvlText w:val="(%1)"/>
      <w:numFmt w:val="lowerRoman"/>
      <w:start w:val="1"/>
    </w:lvl>
  </w:abstractNum>
  <w:abstractNum w:abstractNumId="118">
    <w:nsid w:val="1A0DDE32"/>
    <w:multiLevelType w:val="hybridMultilevel"/>
    <w:lvl w:ilvl="0">
      <w:lvlJc w:val="left"/>
      <w:lvlText w:val="(%1)"/>
      <w:numFmt w:val="lowerLetter"/>
      <w:start w:val="15"/>
    </w:lvl>
  </w:abstractNum>
  <w:abstractNum w:abstractNumId="119">
    <w:nsid w:val="65968C1C"/>
    <w:multiLevelType w:val="hybridMultilevel"/>
    <w:lvl w:ilvl="0">
      <w:lvlJc w:val="left"/>
      <w:lvlText w:val="(%1)"/>
      <w:numFmt w:val="lowerLetter"/>
      <w:start w:val="17"/>
    </w:lvl>
  </w:abstractNum>
  <w:abstractNum w:abstractNumId="120">
    <w:nsid w:val="46263DEC"/>
    <w:multiLevelType w:val="hybridMultilevel"/>
    <w:lvl w:ilvl="0">
      <w:lvlJc w:val="left"/>
      <w:lvlText w:val="(%1)"/>
      <w:numFmt w:val="lowerLetter"/>
      <w:start w:val="1"/>
    </w:lvl>
  </w:abstractNum>
  <w:abstractNum w:abstractNumId="121">
    <w:nsid w:val="260D8C4A"/>
    <w:multiLevelType w:val="hybridMultilevel"/>
    <w:lvl w:ilvl="0">
      <w:lvlJc w:val="left"/>
      <w:lvlText w:val="(%1)"/>
      <w:numFmt w:val="lowerRoman"/>
      <w:start w:val="1"/>
    </w:lvl>
  </w:abstractNum>
  <w:abstractNum w:abstractNumId="122">
    <w:nsid w:val="73D4D3C4"/>
    <w:multiLevelType w:val="hybridMultilevel"/>
    <w:lvl w:ilvl="0">
      <w:lvlJc w:val="left"/>
      <w:lvlText w:val="(%1)"/>
      <w:numFmt w:val="lowerLetter"/>
      <w:start w:val="5"/>
    </w:lvl>
  </w:abstractNum>
  <w:abstractNum w:abstractNumId="123">
    <w:nsid w:val="746F2E30"/>
    <w:multiLevelType w:val="hybridMultilevel"/>
    <w:lvl w:ilvl="0">
      <w:lvlJc w:val="left"/>
      <w:lvlText w:val="(%1)"/>
      <w:numFmt w:val="lowerLetter"/>
      <w:start w:val="8"/>
    </w:lvl>
  </w:abstractNum>
  <w:abstractNum w:abstractNumId="124">
    <w:nsid w:val="6FDE8AF6"/>
    <w:multiLevelType w:val="hybridMultilevel"/>
    <w:lvl w:ilvl="0">
      <w:lvlJc w:val="left"/>
      <w:lvlText w:val="(%1)"/>
      <w:numFmt w:val="lowerLetter"/>
      <w:start w:val="1"/>
    </w:lvl>
  </w:abstractNum>
  <w:abstractNum w:abstractNumId="125">
    <w:nsid w:val="3FC32E20"/>
    <w:multiLevelType w:val="hybridMultilevel"/>
    <w:lvl w:ilvl="0">
      <w:lvlJc w:val="left"/>
      <w:lvlText w:val="(%1)"/>
      <w:numFmt w:val="lowerRoman"/>
      <w:start w:val="1"/>
    </w:lvl>
  </w:abstractNum>
  <w:abstractNum w:abstractNumId="126">
    <w:nsid w:val="49C0E823"/>
    <w:multiLevelType w:val="hybridMultilevel"/>
    <w:lvl w:ilvl="0">
      <w:lvlJc w:val="left"/>
      <w:lvlText w:val="(%1)"/>
      <w:numFmt w:val="upperLetter"/>
      <w:start w:val="1"/>
    </w:lvl>
  </w:abstractNum>
  <w:abstractNum w:abstractNumId="127">
    <w:nsid w:val="14D53685"/>
    <w:multiLevelType w:val="hybridMultilevel"/>
    <w:lvl w:ilvl="0">
      <w:lvlJc w:val="left"/>
      <w:lvlText w:val="(%1)"/>
      <w:numFmt w:val="lowerRoman"/>
      <w:start w:val="2"/>
    </w:lvl>
  </w:abstractNum>
  <w:abstractNum w:abstractNumId="128">
    <w:nsid w:val="230F856C"/>
    <w:multiLevelType w:val="hybridMultilevel"/>
    <w:lvl w:ilvl="0">
      <w:lvlJc w:val="left"/>
      <w:lvlText w:val="(%1)"/>
      <w:numFmt w:val="upperLetter"/>
      <w:start w:val="1"/>
    </w:lvl>
  </w:abstractNum>
  <w:abstractNum w:abstractNumId="129">
    <w:nsid w:val="6EAA85FB"/>
    <w:multiLevelType w:val="hybridMultilevel"/>
    <w:lvl w:ilvl="0">
      <w:lvlJc w:val="left"/>
      <w:lvlText w:val="(%1)"/>
      <w:numFmt w:val="upperLetter"/>
      <w:start w:val="2"/>
    </w:lvl>
  </w:abstractNum>
  <w:abstractNum w:abstractNumId="130">
    <w:nsid w:val="3F06ECB2"/>
    <w:multiLevelType w:val="hybridMultilevel"/>
    <w:lvl w:ilvl="0">
      <w:lvlJc w:val="left"/>
      <w:lvlText w:val="(%1)"/>
      <w:numFmt w:val="decimal"/>
      <w:start w:val="1"/>
    </w:lvl>
  </w:abstractNum>
  <w:abstractNum w:abstractNumId="131">
    <w:nsid w:val="3B594807"/>
    <w:multiLevelType w:val="hybridMultilevel"/>
    <w:lvl w:ilvl="0">
      <w:lvlJc w:val="left"/>
      <w:lvlText w:val="(%1)"/>
      <w:numFmt w:val="upperLetter"/>
      <w:start w:val="4"/>
    </w:lvl>
  </w:abstractNum>
  <w:abstractNum w:abstractNumId="132">
    <w:nsid w:val="6CAA2304"/>
    <w:multiLevelType w:val="hybridMultilevel"/>
    <w:lvl w:ilvl="0">
      <w:lvlJc w:val="left"/>
      <w:lvlText w:val="(%1)"/>
      <w:numFmt w:val="lowerRoman"/>
      <w:start w:val="3"/>
    </w:lvl>
  </w:abstractNum>
  <w:abstractNum w:abstractNumId="133">
    <w:nsid w:val="3F7C2FF4"/>
    <w:multiLevelType w:val="hybridMultilevel"/>
    <w:lvl w:ilvl="0">
      <w:lvlJc w:val="left"/>
      <w:lvlText w:val="(%1)"/>
      <w:numFmt w:val="lowerLetter"/>
      <w:start w:val="2"/>
    </w:lvl>
  </w:abstractNum>
  <w:abstractNum w:abstractNumId="134">
    <w:nsid w:val="25413BEC"/>
    <w:multiLevelType w:val="hybridMultilevel"/>
    <w:lvl w:ilvl="0">
      <w:lvlJc w:val="left"/>
      <w:lvlText w:val="(%1)"/>
      <w:numFmt w:val="lowerLetter"/>
      <w:start w:val="3"/>
    </w:lvl>
  </w:abstractNum>
  <w:abstractNum w:abstractNumId="135">
    <w:nsid w:val="17180B0B"/>
    <w:multiLevelType w:val="hybridMultilevel"/>
    <w:lvl w:ilvl="0">
      <w:lvlJc w:val="left"/>
      <w:lvlText w:val="(%1)"/>
      <w:numFmt w:val="lowerLetter"/>
      <w:start w:val="2"/>
    </w:lvl>
  </w:abstractNum>
  <w:abstractNum w:abstractNumId="136">
    <w:nsid w:val="579328B9"/>
    <w:multiLevelType w:val="hybridMultilevel"/>
    <w:lvl w:ilvl="0">
      <w:lvlJc w:val="left"/>
      <w:lvlText w:val="(%1)"/>
      <w:numFmt w:val="lowerLetter"/>
      <w:start w:val="2"/>
    </w:lvl>
  </w:abstractNum>
  <w:abstractNum w:abstractNumId="137">
    <w:nsid w:val="5D205E20"/>
    <w:multiLevelType w:val="hybridMultilevel"/>
    <w:lvl w:ilvl="0">
      <w:lvlJc w:val="left"/>
      <w:lvlText w:val="(%1)"/>
      <w:numFmt w:val="lowerLetter"/>
      <w:start w:val="1"/>
    </w:lvl>
  </w:abstractNum>
  <w:abstractNum w:abstractNumId="138">
    <w:nsid w:val="11CCA8BA"/>
    <w:multiLevelType w:val="hybridMultilevel"/>
    <w:lvl w:ilvl="0">
      <w:lvlJc w:val="left"/>
      <w:lvlText w:val="(%1)"/>
      <w:numFmt w:val="lowerLetter"/>
      <w:start w:val="1"/>
    </w:lvl>
  </w:abstractNum>
  <w:abstractNum w:abstractNumId="139">
    <w:nsid w:val="4D32AB86"/>
    <w:multiLevelType w:val="hybridMultilevel"/>
    <w:lvl w:ilvl="0">
      <w:lvlJc w:val="left"/>
      <w:lvlText w:val="%1"/>
      <w:numFmt w:val="lowerLetter"/>
      <w:start w:val="1"/>
    </w:lvl>
    <w:lvl w:ilvl="1">
      <w:lvlJc w:val="left"/>
      <w:lvlText w:val="(%2)"/>
      <w:numFmt w:val="lowerLetter"/>
      <w:start w:val="2"/>
    </w:lvl>
  </w:abstractNum>
  <w:abstractNum w:abstractNumId="140">
    <w:nsid w:val="3F07ACC3"/>
    <w:multiLevelType w:val="hybridMultilevel"/>
    <w:lvl w:ilvl="0">
      <w:lvlJc w:val="left"/>
      <w:lvlText w:val="(%1)"/>
      <w:numFmt w:val="lowerLetter"/>
      <w:start w:val="35"/>
    </w:lvl>
    <w:lvl w:ilvl="1">
      <w:lvlJc w:val="left"/>
      <w:lvlText w:val="%2"/>
      <w:numFmt w:val="lowerLetter"/>
      <w:start w:val="1"/>
    </w:lvl>
  </w:abstractNum>
  <w:abstractNum w:abstractNumId="141">
    <w:nsid w:val="6B47F63E"/>
    <w:multiLevelType w:val="hybridMultilevel"/>
    <w:lvl w:ilvl="0">
      <w:lvlJc w:val="left"/>
      <w:lvlText w:val="(%1)"/>
      <w:numFmt w:val="lowerLetter"/>
      <w:start w:val="1"/>
    </w:lvl>
  </w:abstractNum>
  <w:abstractNum w:abstractNumId="142">
    <w:nsid w:val="5CB44A05"/>
    <w:multiLevelType w:val="hybridMultilevel"/>
    <w:lvl w:ilvl="0">
      <w:lvlJc w:val="left"/>
      <w:lvlText w:val="(%1)"/>
      <w:numFmt w:val="lowerLetter"/>
      <w:start w:val="2"/>
    </w:lvl>
  </w:abstractNum>
  <w:abstractNum w:abstractNumId="143">
    <w:nsid w:val="16CF80F1"/>
    <w:multiLevelType w:val="hybridMultilevel"/>
    <w:lvl w:ilvl="0">
      <w:lvlJc w:val="left"/>
      <w:lvlText w:val="(%1)"/>
      <w:numFmt w:val="decimal"/>
      <w:start w:val="2"/>
    </w:lvl>
  </w:abstractNum>
  <w:abstractNum w:abstractNumId="144">
    <w:nsid w:val="1C695DEC"/>
    <w:multiLevelType w:val="hybridMultilevel"/>
    <w:lvl w:ilvl="0">
      <w:lvlJc w:val="left"/>
      <w:lvlText w:val="(%1)"/>
      <w:numFmt w:val="lowerLetter"/>
      <w:start w:val="1"/>
    </w:lvl>
  </w:abstractNum>
  <w:abstractNum w:abstractNumId="145">
    <w:nsid w:val="3FCFAED9"/>
    <w:multiLevelType w:val="hybridMultilevel"/>
    <w:lvl w:ilvl="0">
      <w:lvlJc w:val="left"/>
      <w:lvlText w:val="(%1)"/>
      <w:numFmt w:val="lowerLetter"/>
      <w:start w:val="2"/>
    </w:lvl>
  </w:abstractNum>
  <w:abstractNum w:abstractNumId="146">
    <w:nsid w:val="F856867"/>
    <w:multiLevelType w:val="hybridMultilevel"/>
    <w:lvl w:ilvl="0">
      <w:lvlJc w:val="left"/>
      <w:lvlText w:val="(%1)"/>
      <w:numFmt w:val="upperLetter"/>
      <w:start w:val="3"/>
    </w:lvl>
    <w:lvl w:ilvl="1">
      <w:lvlJc w:val="left"/>
      <w:lvlText w:val="(%2)"/>
      <w:numFmt w:val="lowerLetter"/>
      <w:start w:val="6"/>
    </w:lvl>
  </w:abstractNum>
  <w:abstractNum w:abstractNumId="147">
    <w:nsid w:val="11B1CC33"/>
    <w:multiLevelType w:val="hybridMultilevel"/>
    <w:lvl w:ilvl="0">
      <w:lvlJc w:val="left"/>
      <w:lvlText w:val="(%1)"/>
      <w:numFmt w:val="lowerLetter"/>
      <w:start w:val="1"/>
    </w:lvl>
  </w:abstractNum>
  <w:abstractNum w:abstractNumId="148">
    <w:nsid w:val="2E22FBB7"/>
    <w:multiLevelType w:val="hybridMultilevel"/>
    <w:lvl w:ilvl="0">
      <w:lvlJc w:val="left"/>
      <w:lvlText w:val="(%1)"/>
      <w:numFmt w:val="lowerRoman"/>
      <w:start w:val="1"/>
    </w:lvl>
  </w:abstractNum>
  <w:abstractNum w:abstractNumId="149">
    <w:nsid w:val="29934699"/>
    <w:multiLevelType w:val="hybridMultilevel"/>
    <w:lvl w:ilvl="0">
      <w:lvlJc w:val="left"/>
      <w:lvlText w:val="(%1)"/>
      <w:numFmt w:val="lowerLetter"/>
      <w:start w:val="2"/>
    </w:lvl>
  </w:abstractNum>
  <w:abstractNum w:abstractNumId="150">
    <w:nsid w:val="77485850"/>
    <w:multiLevelType w:val="hybridMultilevel"/>
    <w:lvl w:ilvl="0">
      <w:lvlJc w:val="left"/>
      <w:lvlText w:val="(%1)"/>
      <w:numFmt w:val="lowerLetter"/>
      <w:start w:val="3"/>
    </w:lvl>
  </w:abstractNum>
  <w:abstractNum w:abstractNumId="151">
    <w:nsid w:val="744939A3"/>
    <w:multiLevelType w:val="hybridMultilevel"/>
    <w:lvl w:ilvl="0">
      <w:lvlJc w:val="left"/>
      <w:lvlText w:val="(%1)"/>
      <w:numFmt w:val="lowerLetter"/>
      <w:start w:val="4"/>
    </w:lvl>
  </w:abstractNum>
  <w:abstractNum w:abstractNumId="152">
    <w:nsid w:val="4FA0D2E3"/>
    <w:multiLevelType w:val="hybridMultilevel"/>
    <w:lvl w:ilvl="0">
      <w:lvlJc w:val="left"/>
      <w:lvlText w:val="(%1)"/>
      <w:numFmt w:val="lowerLetter"/>
      <w:start w:val="1"/>
    </w:lvl>
  </w:abstractNum>
  <w:abstractNum w:abstractNumId="153">
    <w:nsid w:val="6B1D2C14"/>
    <w:multiLevelType w:val="hybridMultilevel"/>
    <w:lvl w:ilvl="0">
      <w:lvlJc w:val="left"/>
      <w:lvlText w:val="(%1)"/>
      <w:numFmt w:val="lowerLetter"/>
      <w:start w:val="2"/>
    </w:lvl>
  </w:abstractNum>
  <w:abstractNum w:abstractNumId="154">
    <w:nsid w:val="68B867D3"/>
    <w:multiLevelType w:val="hybridMultilevel"/>
    <w:lvl w:ilvl="0">
      <w:lvlJc w:val="left"/>
      <w:lvlText w:val="(%1)"/>
      <w:numFmt w:val="lowerLetter"/>
      <w:start w:val="4"/>
    </w:lvl>
  </w:abstractNum>
  <w:abstractNum w:abstractNumId="155">
    <w:nsid w:val="3F7F5DD9"/>
    <w:multiLevelType w:val="hybridMultilevel"/>
    <w:lvl w:ilvl="0">
      <w:lvlJc w:val="left"/>
      <w:lvlText w:val="(%1)"/>
      <w:numFmt w:val="lowerLetter"/>
      <w:start w:val="1"/>
    </w:lvl>
  </w:abstractNum>
  <w:abstractNum w:abstractNumId="156">
    <w:nsid w:val="2AE05A34"/>
    <w:multiLevelType w:val="hybridMultilevel"/>
    <w:lvl w:ilvl="0">
      <w:lvlJc w:val="left"/>
      <w:lvlText w:val="(%1)"/>
      <w:numFmt w:val="lowerLetter"/>
      <w:start w:val="3"/>
    </w:lvl>
  </w:abstractNum>
  <w:abstractNum w:abstractNumId="157">
    <w:nsid w:val="32794FF7"/>
    <w:multiLevelType w:val="hybridMultilevel"/>
    <w:lvl w:ilvl="0">
      <w:lvlJc w:val="left"/>
      <w:lvlText w:val="(%1)"/>
      <w:numFmt w:val="upperLetter"/>
      <w:start w:val="2"/>
    </w:lvl>
  </w:abstractNum>
  <w:abstractNum w:abstractNumId="158">
    <w:nsid w:val="5454945E"/>
    <w:multiLevelType w:val="hybridMultilevel"/>
    <w:lvl w:ilvl="0">
      <w:lvlJc w:val="left"/>
      <w:lvlText w:val="(%1)"/>
      <w:numFmt w:val="lowerLetter"/>
      <w:start w:val="1"/>
    </w:lvl>
  </w:abstractNum>
  <w:abstractNum w:abstractNumId="159">
    <w:nsid w:val="4DEFDFA0"/>
    <w:multiLevelType w:val="hybridMultilevel"/>
    <w:lvl w:ilvl="0">
      <w:lvlJc w:val="left"/>
      <w:lvlText w:val="(%1)"/>
      <w:numFmt w:val="lowerLetter"/>
      <w:start w:val="10"/>
    </w:lvl>
  </w:abstractNum>
  <w:abstractNum w:abstractNumId="160">
    <w:nsid w:val="2123D5F2"/>
    <w:multiLevelType w:val="hybridMultilevel"/>
    <w:lvl w:ilvl="0">
      <w:lvlJc w:val="left"/>
      <w:lvlText w:val="(%1)"/>
      <w:numFmt w:val="lowerLetter"/>
      <w:start w:val="1"/>
    </w:lvl>
  </w:abstractNum>
  <w:abstractNum w:abstractNumId="161">
    <w:nsid w:val="135B8110"/>
    <w:multiLevelType w:val="hybridMultilevel"/>
    <w:lvl w:ilvl="0">
      <w:lvlJc w:val="left"/>
      <w:lvlText w:val="(%1)"/>
      <w:numFmt w:val="lowerRoman"/>
      <w:start w:val="1"/>
    </w:lvl>
  </w:abstractNum>
  <w:abstractNum w:abstractNumId="162">
    <w:nsid w:val="94927A8"/>
    <w:multiLevelType w:val="hybridMultilevel"/>
    <w:lvl w:ilvl="0">
      <w:lvlJc w:val="left"/>
      <w:lvlText w:val="(%1)"/>
      <w:numFmt w:val="upperLetter"/>
      <w:start w:val="1"/>
    </w:lvl>
  </w:abstractNum>
  <w:abstractNum w:abstractNumId="163">
    <w:nsid w:val="DCDF8F6"/>
    <w:multiLevelType w:val="hybridMultilevel"/>
    <w:lvl w:ilvl="0">
      <w:lvlJc w:val="left"/>
      <w:lvlText w:val="(%1)"/>
      <w:numFmt w:val="lowerRoman"/>
      <w:start w:val="2"/>
    </w:lvl>
  </w:abstractNum>
  <w:abstractNum w:abstractNumId="164">
    <w:nsid w:val="52D7B105"/>
    <w:multiLevelType w:val="hybridMultilevel"/>
    <w:lvl w:ilvl="0">
      <w:lvlJc w:val="left"/>
      <w:lvlText w:val="(%1)"/>
      <w:numFmt w:val="upperLetter"/>
      <w:start w:val="1"/>
    </w:lvl>
  </w:abstractNum>
  <w:abstractNum w:abstractNumId="165">
    <w:nsid w:val="2E8A6394"/>
    <w:multiLevelType w:val="hybridMultilevel"/>
    <w:lvl w:ilvl="0">
      <w:lvlJc w:val="left"/>
      <w:lvlText w:val="(%1)"/>
      <w:numFmt w:val="lowerRoman"/>
      <w:start w:val="4"/>
    </w:lvl>
  </w:abstractNum>
  <w:abstractNum w:abstractNumId="166">
    <w:nsid w:val="24E60401"/>
    <w:multiLevelType w:val="hybridMultilevel"/>
    <w:lvl w:ilvl="0">
      <w:lvlJc w:val="left"/>
      <w:lvlText w:val="(%1)"/>
      <w:numFmt w:val="lowerLetter"/>
      <w:start w:val="3"/>
    </w:lvl>
  </w:abstractNum>
  <w:abstractNum w:abstractNumId="167">
    <w:nsid w:val="2A6AD9BE"/>
    <w:multiLevelType w:val="hybridMultilevel"/>
    <w:lvl w:ilvl="0">
      <w:lvlJc w:val="left"/>
      <w:lvlText w:val="(%1)"/>
      <w:numFmt w:val="lowerLetter"/>
      <w:start w:val="5"/>
    </w:lvl>
  </w:abstractNum>
  <w:abstractNum w:abstractNumId="168">
    <w:nsid w:val="BAAC1B4"/>
    <w:multiLevelType w:val="hybridMultilevel"/>
    <w:lvl w:ilvl="0">
      <w:lvlJc w:val="left"/>
      <w:lvlText w:val="(%1)"/>
      <w:numFmt w:val="lowerLetter"/>
      <w:start w:val="1"/>
    </w:lvl>
    <w:lvl w:ilvl="1">
      <w:lvlJc w:val="left"/>
      <w:lvlText w:val="(%2)"/>
      <w:numFmt w:val="lowerLetter"/>
      <w:start w:val="2"/>
    </w:lvl>
  </w:abstractNum>
  <w:abstractNum w:abstractNumId="169">
    <w:nsid w:val="36B2ACBC"/>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70">
    <w:nsid w:val="779D8544"/>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5"/>
    </w:lvl>
  </w:abstractNum>
  <w:abstractNum w:abstractNumId="171">
    <w:nsid w:val="4AB26E78"/>
    <w:multiLevelType w:val="hybridMultilevel"/>
    <w:lvl w:ilvl="0">
      <w:lvlJc w:val="left"/>
      <w:lvlText w:val="(%1)"/>
      <w:numFmt w:val="upperLetter"/>
      <w:start w:val="1"/>
    </w:lvl>
  </w:abstractNum>
  <w:abstractNum w:abstractNumId="172">
    <w:nsid w:val="21FAA2FA"/>
    <w:multiLevelType w:val="hybridMultilevel"/>
    <w:lvl w:ilvl="0">
      <w:lvlJc w:val="left"/>
      <w:lvlText w:val="(%1)"/>
      <w:numFmt w:val="lowerLetter"/>
      <w:start w:val="1"/>
    </w:lvl>
  </w:abstractNum>
  <w:abstractNum w:abstractNumId="173">
    <w:nsid w:val="5451CF49"/>
    <w:multiLevelType w:val="hybridMultilevel"/>
    <w:lvl w:ilvl="0">
      <w:lvlJc w:val="left"/>
      <w:lvlText w:val="(%1)"/>
      <w:numFmt w:val="lowerRoman"/>
      <w:start w:val="1"/>
    </w:lvl>
  </w:abstractNum>
  <w:abstractNum w:abstractNumId="174">
    <w:nsid w:val="6181EF69"/>
    <w:multiLevelType w:val="hybridMultilevel"/>
    <w:lvl w:ilvl="0">
      <w:lvlJc w:val="left"/>
      <w:lvlText w:val="(%1)"/>
      <w:numFmt w:val="lowerRoman"/>
      <w:start w:val="4"/>
    </w:lvl>
  </w:abstractNum>
  <w:abstractNum w:abstractNumId="175">
    <w:nsid w:val="3E6400E6"/>
    <w:multiLevelType w:val="hybridMultilevel"/>
    <w:lvl w:ilvl="0">
      <w:lvlJc w:val="left"/>
      <w:lvlText w:val="(%1)"/>
      <w:numFmt w:val="lowerLetter"/>
      <w:start w:val="1"/>
    </w:lvl>
  </w:abstractNum>
  <w:abstractNum w:abstractNumId="176">
    <w:nsid w:val="14217E23"/>
    <w:multiLevelType w:val="hybridMultilevel"/>
    <w:lvl w:ilvl="0">
      <w:lvlJc w:val="left"/>
      <w:lvlText w:val="(%1)"/>
      <w:numFmt w:val="lowerRoman"/>
      <w:start w:val="1"/>
    </w:lvl>
  </w:abstractNum>
  <w:abstractNum w:abstractNumId="177">
    <w:nsid w:val="710757D0"/>
    <w:multiLevelType w:val="hybridMultilevel"/>
    <w:lvl w:ilvl="0">
      <w:lvlJc w:val="left"/>
      <w:lvlText w:val="%1."/>
      <w:numFmt w:val="decimal"/>
      <w:start w:val="1"/>
    </w:lvl>
    <w:lvl w:ilvl="1">
      <w:lvlJc w:val="left"/>
      <w:lvlText w:val="%2)"/>
      <w:numFmt w:val="lowerLetter"/>
      <w:start w:val="1"/>
    </w:lvl>
  </w:abstractNum>
  <w:abstractNum w:abstractNumId="178">
    <w:nsid w:val="5015CD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2024-06-06T15:21:10Z</dcterms:created>
  <dcterms:modified xsi:type="dcterms:W3CDTF">2024-06-06T15:21:10Z</dcterms:modified>
</cp:coreProperties>
</file>