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2019</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March 4, 2019, 40,196,699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78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78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spacing w:after="0"/>
              <w:rPr>
                <w:sz w:val="17"/>
                <w:szCs w:val="17"/>
                <w:color w:val="auto"/>
              </w:rPr>
            </w:pPr>
          </w:p>
        </w:tc>
        <w:tc>
          <w:tcPr>
            <w:tcW w:w="978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January 31, 2019, July 31, 2018 and January 31, 2018</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Operations for the Three and Six Months Ended January 31, 2019 and 2018</w:t>
              </w:r>
            </w:hyperlink>
          </w:p>
        </w:tc>
        <w:tc>
          <w:tcPr>
            <w:tcW w:w="146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spacing w:after="0"/>
              <w:rPr>
                <w:sz w:val="17"/>
                <w:szCs w:val="17"/>
                <w:color w:val="auto"/>
              </w:rPr>
            </w:pPr>
          </w:p>
        </w:tc>
        <w:tc>
          <w:tcPr>
            <w:tcW w:w="9780" w:type="dxa"/>
            <w:vAlign w:val="bottom"/>
            <w:gridSpan w:val="16"/>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Comprehensive Income for the Three and Six Months Ended January 31, 2019 and 2018</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 w:type="dxa"/>
            <w:vAlign w:val="bottom"/>
            <w:shd w:val="clear" w:color="auto" w:fill="CCEEFF"/>
          </w:tcPr>
          <w:p>
            <w:pPr>
              <w:spacing w:after="0"/>
              <w:rPr>
                <w:sz w:val="21"/>
                <w:szCs w:val="21"/>
                <w:color w:val="auto"/>
              </w:rPr>
            </w:pP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Six Months Ended January 31, 2019 and 2018</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960" w:type="dxa"/>
            <w:vAlign w:val="bottom"/>
            <w:tcBorders>
              <w:top w:val="single" w:sz="8" w:color="CCEEFF"/>
            </w:tcBorders>
          </w:tcPr>
          <w:p>
            <w:pPr>
              <w:spacing w:after="0"/>
              <w:rPr>
                <w:sz w:val="17"/>
                <w:szCs w:val="17"/>
                <w:color w:val="auto"/>
              </w:rPr>
            </w:pPr>
          </w:p>
        </w:tc>
        <w:tc>
          <w:tcPr>
            <w:tcW w:w="8280" w:type="dxa"/>
            <w:vAlign w:val="bottom"/>
            <w:tcBorders>
              <w:top w:val="single" w:sz="8" w:color="0000EE"/>
            </w:tcBorders>
            <w:gridSpan w:val="13"/>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Six Months Ended January 31, 2019 and 2018</w:t>
              </w:r>
            </w:hyperlink>
          </w:p>
        </w:tc>
        <w:tc>
          <w:tcPr>
            <w:tcW w:w="1500" w:type="dxa"/>
            <w:vAlign w:val="bottom"/>
            <w:tcBorders>
              <w:top w:val="single" w:sz="8" w:color="CCEEFF"/>
            </w:tcBorders>
            <w:gridSpan w:val="3"/>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42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42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888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746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746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48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January 31, 2019</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2018</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January 31, 2018</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158,561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178,145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235,460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20,762</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6,895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23,566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87,721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230,829</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85,428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103,010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85,588</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97,480</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45,212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37,279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39,075</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415,266</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538,736</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481,009</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1,831,087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1,627,219</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1,702,213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101,730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99,385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103,212</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7)</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1,547,084</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1,475,686</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1,533,980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305,885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280,572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293,149</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43,870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43,386</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4,244,922</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4,064,984</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4,156,806</w:t>
            </w:r>
          </w:p>
        </w:tc>
      </w:tr>
      <w:tr>
        <w:trPr>
          <w:trHeight w:val="67"/>
        </w:trPr>
        <w:tc>
          <w:tcPr>
            <w:tcW w:w="5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685,736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504,533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588,563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27,544</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50,632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32,497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5)</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48,493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38,455</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38,433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761,773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593,620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659,493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5)</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1,345,262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1,234,277</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1,182,349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7)</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274,998</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291,506</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289,793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179,794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133,918</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144,393</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2,561,827</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2,253,321</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2,276,028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46,101, 46,021</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45,857 shares issued, respectively</w:t>
            </w:r>
          </w:p>
        </w:tc>
        <w:tc>
          <w:tcPr>
            <w:tcW w:w="32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Exchangeable shares, $0.01 par value, 57, 58 and 60 shares issued and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4)</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1,135,709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1,137,467</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1,160,243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699,045</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726,722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673,065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5,905, 5,552, and 5,436 shares, respectively (Note 11)</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(272,989)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1,463,278</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1,589,434</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1,645,328</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219,817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222,229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235,450</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1,683,095</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1,811,663</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1,880,778</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4,244,922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4,064,984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4,156,806</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Pr>
          <w:p>
            <w:pPr>
              <w:spacing w:after="0"/>
              <w:rPr>
                <w:sz w:val="16"/>
                <w:szCs w:val="16"/>
                <w:color w:val="auto"/>
              </w:rPr>
            </w:pPr>
          </w:p>
        </w:tc>
        <w:tc>
          <w:tcPr>
            <w:tcW w:w="274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687,119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594,372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831,141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737,720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162,203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238,087</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216,935</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849,322</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734,441</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1,069,228</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954,655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849,578</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734,575</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1,069,582</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955,425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Operating expense (exclusive of depreciation and amortization shown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350,633</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297,503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544,745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478,779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63,505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98,381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92,916</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77,362</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141,741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128,599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491,500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784,867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700,294</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Real Estate operating expense</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1,389</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2,759</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492,889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787,626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703,192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(106,281)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(100,028)</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Change in estimated fair value of contingent consideration (Note</w:t>
            </w:r>
          </w:p>
        </w:tc>
        <w:tc>
          <w:tcPr>
            <w:tcW w:w="32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14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Gain on disposal of fixed assets and other, net</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1,097</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301,848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257,541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174,253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153,825</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Mountain equity investment income (loss), net</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1,110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Foreign currency gain (loss) on intercompany loans (Note 5)</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(31,147)</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281,963</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252,267</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134,832</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126,936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(63,973)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89,810</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217,990</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248,673</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107,264</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216,746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206,349</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235,691</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98,554</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207,306</w:t>
            </w:r>
          </w:p>
        </w:tc>
        <w:tc>
          <w:tcPr>
            <w:tcW w:w="0" w:type="dxa"/>
            <w:vAlign w:val="bottom"/>
          </w:tcPr>
          <w:p>
            <w:pPr>
              <w:spacing w:after="0"/>
              <w:rPr>
                <w:sz w:val="1"/>
                <w:szCs w:val="1"/>
                <w:color w:val="auto"/>
              </w:rPr>
            </w:pPr>
          </w:p>
        </w:tc>
      </w:tr>
      <w:tr>
        <w:trPr>
          <w:trHeight w:val="67"/>
        </w:trPr>
        <w:tc>
          <w:tcPr>
            <w:tcW w:w="5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4):</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5.12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Diluted net income per share attributable to Vail Resorts,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76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217,990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248,673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107,264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216,746</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7,863</w:t>
            </w:r>
          </w:p>
        </w:tc>
        <w:tc>
          <w:tcPr>
            <w:tcW w:w="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65,008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(14,773)</w:t>
            </w:r>
          </w:p>
        </w:tc>
        <w:tc>
          <w:tcPr>
            <w:tcW w:w="4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19,603</w:t>
            </w:r>
          </w:p>
        </w:tc>
      </w:tr>
      <w:tr>
        <w:trPr>
          <w:trHeight w:val="27"/>
        </w:trPr>
        <w:tc>
          <w:tcPr>
            <w:tcW w:w="6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225,853</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313,681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92,491</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236,349</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(12,857)</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(5,659)</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(14,688)</w:t>
            </w:r>
          </w:p>
        </w:tc>
      </w:tr>
      <w:tr>
        <w:trPr>
          <w:trHeight w:val="27"/>
        </w:trPr>
        <w:tc>
          <w:tcPr>
            <w:tcW w:w="6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212,996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283,850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86,832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221,661</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Income (Loss)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$ 1,798,959</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207,306</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207,306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9,440</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216,746</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14,355</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14,355</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5,248</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19,603</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221,661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14,688</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236,349</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9,412</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9,412</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9,412</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(71,679)</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(71,675)</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(71,675)</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(5,265)</w:t>
            </w:r>
          </w:p>
        </w:tc>
        <w:tc>
          <w:tcPr>
            <w:tcW w:w="900" w:type="dxa"/>
            <w:vAlign w:val="bottom"/>
          </w:tcPr>
          <w:p>
            <w:pPr>
              <w:jc w:val="right"/>
              <w:spacing w:after="0"/>
              <w:rPr>
                <w:sz w:val="20"/>
                <w:szCs w:val="20"/>
                <w:color w:val="auto"/>
              </w:rPr>
            </w:pPr>
            <w:r>
              <w:rPr>
                <w:rFonts w:ascii="Arial" w:cs="Arial" w:eastAsia="Arial" w:hAnsi="Arial"/>
                <w:sz w:val="16"/>
                <w:szCs w:val="16"/>
                <w:color w:val="auto"/>
              </w:rPr>
              <w:t>(5,265)</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$ 1,160,243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58,750</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$ 673,065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1,645,328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235,450</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$ 1,880,778</w:t>
            </w: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460</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$ 1,137,467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$ 726,722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1,589,434</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$ 1,811,663</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98,554</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98,554</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8,710</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107,264</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(11,722)</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(11,722)</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(3,051)</w:t>
            </w:r>
          </w:p>
        </w:tc>
        <w:tc>
          <w:tcPr>
            <w:tcW w:w="900" w:type="dxa"/>
            <w:vAlign w:val="bottom"/>
          </w:tcPr>
          <w:p>
            <w:pPr>
              <w:jc w:val="right"/>
              <w:spacing w:after="0"/>
              <w:rPr>
                <w:sz w:val="20"/>
                <w:szCs w:val="20"/>
                <w:color w:val="auto"/>
              </w:rPr>
            </w:pPr>
            <w:r>
              <w:rPr>
                <w:rFonts w:ascii="Arial" w:cs="Arial" w:eastAsia="Arial" w:hAnsi="Arial"/>
                <w:sz w:val="16"/>
                <w:szCs w:val="16"/>
                <w:color w:val="auto"/>
              </w:rPr>
              <w:t>(14,773)</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86,832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5,659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92,491</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9,900</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9,900</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9,900</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Cumulative effect for adoption of revenue standard</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2 &amp; 3)</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(11,658)</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(11,657)</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(11,657)</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(118,714)</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(118,714)</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(118,714)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r>
      <w:tr>
        <w:trPr>
          <w:trHeight w:val="21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January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461</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$ 1,135,709</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(13,949)</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$ 699,045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$(357,989)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1,463,278</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219,817</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$ 1,683,095</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107,264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216,746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106,281</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100,028</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32,279</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(36,728)</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(6,994)</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145,305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103,691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(14,398)</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(11,541)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97,083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73,148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48,061</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52,240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(4,711)</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(53,081)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 - other</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(18,000)</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(12,623)</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and liabilities,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(2,538)</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506,181</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433,748</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(113,531)</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(87,367)</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(292,610)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Cash received from the sale of real property</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1,817</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6,443</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(404,324)</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(81,765)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335,625</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7,667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(211,875)</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(133,750)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(11,193)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(29,140)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(11,657)</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(71,675)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(118,714)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(85,000)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(9,864)</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(9,277)</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(105,011)</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(222,148)</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(5,717)</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131,364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Beginning of period</w:t>
            </w:r>
          </w:p>
        </w:tc>
        <w:tc>
          <w:tcPr>
            <w:tcW w:w="42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185,040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127,662</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End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179,323</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259,026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capital expenditures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22,731</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12,097</w:t>
            </w:r>
          </w:p>
        </w:tc>
      </w:tr>
      <w:tr>
        <w:trPr>
          <w:trHeight w:val="206"/>
        </w:trPr>
        <w:tc>
          <w:tcPr>
            <w:tcW w:w="9540" w:type="dxa"/>
            <w:vAlign w:val="bottom"/>
            <w:gridSpan w:val="3"/>
          </w:tcPr>
          <w:p>
            <w:pPr>
              <w:ind w:left="216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fifteen world-class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Mountain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Mountain segment includes ancillary services, primarily including ski school, dining and retail/rental operations, and for Perisher,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Okemo, Mount Sunapee and Stowe operate on land leased from the respective states in which the resorts are located and on land owned by the Company.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2018.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2018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revenues from contracts with customers when or as control of goods or services promised in the contracts is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in an amount that reflects consideration to which it expects to be entitled to in exchange for those goods or services. The Company determines the appropriate revenue recognition for contracts with customers by analyzing the type, terms and conditions of contracts or arrangements with customers. Certain contracts with customers contain multiple performance obligations in which case revenue is allocated to each distinct and separate performance obligation based on its relative standalone selling price. See Note 3, Revenues,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which supersedes the revenue recognition requirements in Topic 605.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issued several amendments, which did not change the core principle of the guidance and were intended to clarify and improve understanding of certain topics included within the revenue standard. On August 1, 2018, the Company adopted this standard using the modified retrospective transition method for contracts which were not completed as of August 1, 2018. In accordance with this transition method, results for reporting periods beginning after August 1, 2018 are presented under Topic 606, while prior period amounts were not adjusted and continue to be reported in accordance with our historical accounting methodology under Topic 605. On August 1, 2018, as a result of adopting this standard, the Company recorded an approximate $7.5 million reduction of retained earnings with a corresponding increase in accounts payable and accrued liabilities, which was primarily associated with the measurement of the loyalty reward programs under the new standard at an estimated fair value of underlying products or services expected to be delivered to satisfy the Company’s obligations associated with such loyalty programs. The application of this standard had an immaterial impact on total net revenue and net income attributable to Vail Resorts, Inc. for the three and six months ended January 31, 2019.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In accordance with the new revenue recognition standard disclosure requirements, the impact of adoption of Topic 606 on the Consolidated Condensed Balance Sheet as of January 31, 2019 was as follows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As of January 31, 2019</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2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4"/>
              </w:rPr>
              <w:t>Balances Without Adoption of Topic</w:t>
            </w:r>
          </w:p>
        </w:tc>
        <w:tc>
          <w:tcPr>
            <w:tcW w:w="340" w:type="dxa"/>
            <w:vAlign w:val="bottom"/>
          </w:tcPr>
          <w:p>
            <w:pPr>
              <w:spacing w:after="0"/>
              <w:rPr>
                <w:sz w:val="13"/>
                <w:szCs w:val="13"/>
                <w:color w:val="auto"/>
              </w:rPr>
            </w:pPr>
          </w:p>
        </w:tc>
        <w:tc>
          <w:tcPr>
            <w:tcW w:w="206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200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606</w:t>
            </w: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(Under Topic 606)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677,683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8,053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685,736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707,098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(8,053)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699,045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This standard provides guidance for eight targeted changes with respect to how cash receipts and cash payments are classified in the statements of cash flows, with the objective of reducing diversity in practice. The Company adopted this accounting standard on August 1, 2018, which did not have an impact on its consolidated condensed financial statements.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2016, the FASB issued ASU No. 2016-18, “Restricted Cash,” which requires that a statement of cash flows present the change during a period for the total of cash, cash equivalents and restricted cash. Historically, under previous guidance, changes in restricted cash have been included within operating, investing or financing activities, which were eliminated under the new standard. The Company adopted this standard as of August 1, 2018, which required retrospective application to all periods presented. As a result, cash provided by operating activities during the six months ended January 31, 2018 increased by $12.8 million under the new guidance as compared to what was reported under the previously required guidance. Additionally, due to the inclusion of restricted cash in the beginning and end of period balances, cash, cash equivalents and restricted cash as of January 31, 2018 and July 31, 2017 increased $23.6 million and $10.3 million, respectively, as compared to what was reported under the previously required guidance. As of January 31, 2019, the Company’s restricted cash balance is primarily associated with customer reservations deposits that are required to be held in a trust pursuant to statutory requirements until such reservations are fulfilled.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 and has selected an information system application that will centralize the Company’s lease information and be utilized for accounting under the new standard.</w:t>
      </w:r>
    </w:p>
    <w:p>
      <w:pPr>
        <w:spacing w:after="0" w:line="17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89"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Mountain revenue is derived from a wide variety of sources, including, among other things: lift revenue, which includes sales of lift tickets and season passes;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left="660"/>
        <w:spacing w:after="0" w:line="341" w:lineRule="auto"/>
        <w:rPr>
          <w:sz w:val="20"/>
          <w:szCs w:val="20"/>
          <w:color w:val="auto"/>
        </w:rPr>
      </w:pPr>
      <w:r>
        <w:rPr>
          <w:rFonts w:ascii="Arial" w:cs="Arial" w:eastAsia="Arial" w:hAnsi="Arial"/>
          <w:sz w:val="16"/>
          <w:szCs w:val="16"/>
          <w:color w:val="auto"/>
        </w:rPr>
        <w:t>of initiation fees), marketing and internet advertising revenue, municipal services and lodging and transportation operations at Perisher.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season passes. Deferred revenue is recognized throughout the ski season as the Company’s performance obligations are satisfied as control of the service (e.g. access to ski areas throughout the ski season) is transferred to the customer. Transfer of control is based on an estimated number of season pass holder visits relative to total expected visits. Total expected visits are estimated based on historical data, and the Company believes this estimate provides a faithful depiction of its customers’ season pass usage. When sufficient historical data to determine usage patterns is not available, deferred revenue is recognized on a straight-line basis throughout the ski season. The Company also includes other sources of revenue, mostly related to commercial leasing, and employee housing leasing arrangements within other mountain revenue.</w:t>
      </w:r>
    </w:p>
    <w:p>
      <w:pPr>
        <w:spacing w:after="0" w:line="141"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presents revenues in the accompanying consolidated condensed statements of operations, net of taxes, when collected from its customers that are remitted or payable to government taxing authorities, except when products are inclusive of taxes where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six months ended January 31, 2019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4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6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447,558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381,912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472,243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407,380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96,516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65,409</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83,701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72,212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171,778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160,853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42,426</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96,841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94,028</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776,073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670,902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921,079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819,027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31,147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28,046</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39,164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33,529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10,189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7,722</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10,196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10,013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12,120</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24,588</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21,688</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69,625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140,872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128,734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3,624</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7,277</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6,894</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73,249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148,149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135,628</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849,322</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734,441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1,069,228</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954,655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849,578</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734,575</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1,069,582</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955,425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are recorded as deferred revenues when payments are received or due in advance of the Company’s performance, including amounts which may be refundable. The deferred revenue balance is primarily related to accounts receivable or cash payments received in advance of satisfying our performance obligations related to sales of season passes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season pass selling window, which generally begins in the fourth quarter of its fiscal year. Deferred revenue balances of a short-term nature were $346.4 million and $282.1 million as of January 31, 2019 and July 31, 2018, respectively. Deferred revenue balances of a long-term nature, comprised primarily of long-term private club initiation fee revenue, were $125.4 million and $126.5 million as of January 31, 2019 and July 31, 2018, respectively. For the three and six months ended January 31, 2019, the Company recognized approximately $128.7 million and $155.2 million, respectively, of revenue that was included in the deferred revenue balance as of July 31, 2018. As of January 31, 2019, the weighted average remaining period over which revenue for unsatisfied performance obligations on long-term private club contracts will be recognized was approximately 17 years.</w:t>
      </w:r>
    </w:p>
    <w:p>
      <w:pPr>
        <w:spacing w:after="0" w:line="1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$87.7 million and $230.8 million as of January 31, 2019 and July 31, 2018, respectively. Payments from customers are based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expects that credit card fees and sales commissions paid in order to obtain season ski pass products contracts are recoverable. Accordingly, the Company recognizes these amounts as assets when they are paid prior to the start of the ski season. As of January 31, 2019, $5.2 million of costs to obtain contracts with customers were recorded within other current assets on the Company’s Consolidated Condensed Balance Sheet. Deferred credit card fees and sales commissions are amortized commensurate with the recognition of season ski pass revenue. The Company recorded amortization of $5.4 million for these costs during the three months ended January 31, 2019, which were recorded within Mountain and Lodging operating expenses on the Company’s Consolidated Condensed Statement of Operations.</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Condensed Statements of Operations.</w:t>
      </w:r>
    </w:p>
    <w:p>
      <w:pPr>
        <w:spacing w:after="0" w:line="1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January 31, 2019 and 2018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9"/>
              </w:rPr>
              <w:t>Three Months Ended January 31,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206,349</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206,349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235,691</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235,691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40,271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40,414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40,328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1,119</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41,126</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41,594</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5.02</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56,000 and 5,000 for the three months ended January 31, 2019 and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Presented below is basic and diluted EPS for the six months ended January 31, 2019 and 2018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Six Months Ended January 31,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98,554</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98,554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207,306</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207,306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40,359</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40,359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40,281</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40,281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40,416</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870</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1,346</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41,286</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41,689</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40,000 and 5,000 for the six months ended January 31, 2019 and 2018, respectively.</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income attributable to Vail Resorts decreased by approximately $108.8 million for the six months ended January 31, 2019 compared to the prior year primarily due to a decrease in excess tax benefits of $48.4 million, which resulted primarily from employee exercises of in-the-money stock appreciation rights, and a one-time, provisional net tax benefit of approximately $64.6 million recorded during the three and six months ended January 31, 2018, which was the result of comprehensive U.S. tax legislation, commonly referred to as the “Tax Act,” which was enacted by the U.S. government on December 22, 2017. Both of these items were recorded within (provision) benefit from income taxes on the Company’s Consolidated Condensed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and six months ended January 31, 2019, the Company paid cash dividends of $1.47 and $2.94 per share, respectively ($59.2 million and $118.7 million, respectively, in the aggregate). During the three and six months ended January 31, 2018, the Company paid cash dividends of $1.053 and $2.106 per share, respectively ($42.6 million and $85.2 million, respectively, in the aggregate). On March 7, 2019, the Company’s Board of Directors declared a quarterly cash dividend of $1.76 per share for Vail Shares, payable on April 11, 2019 to stockholders of record as of March 27, 2019. Additionally, a Canadian dollar equivalent dividend on the Exchangeco Shares will be payable on April 11, 2019 to the shareholders of record on March 27, 2019.</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2019, July 31, 2018 and January 31, 2018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January 31, 2019</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2018</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684,375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703,125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2023</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130,000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30,000</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60,904</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65,353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97,571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337,385</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334,509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331,647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2024-2028</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8,656</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9,270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9,590</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1,397,645</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1,276,082</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1,224,508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3,890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3,726</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(c)</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48,493</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38,455</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38,433</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1,345,262</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1,234,277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1,182,349</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15, 2018, in order to fund the Stevens Pass and Triple Peaks acquisitions (see Note 6, Acquisitions), the Company’s wholly owned subsidiary, Vail Holdings, Inc. (“VHI”), entered into the Eighth Amended and Restated Credit Agreement (the “Vail Holdings Credit Agreement”), with Bank of America, N.A., as administrative agent, and other lenders named therein, through which these lenders agreed to provide an additional $265.6 million in incremental term loans and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left="320"/>
        <w:spacing w:after="0" w:line="316" w:lineRule="auto"/>
        <w:rPr>
          <w:sz w:val="20"/>
          <w:szCs w:val="20"/>
          <w:color w:val="auto"/>
        </w:rPr>
      </w:pPr>
      <w:r>
        <w:rPr>
          <w:rFonts w:ascii="Arial" w:cs="Arial" w:eastAsia="Arial" w:hAnsi="Arial"/>
          <w:sz w:val="17"/>
          <w:szCs w:val="17"/>
          <w:color w:val="auto"/>
        </w:rPr>
        <w:t>agreed, on behalf of all lenders, to extend the maturity date for the outstanding term loans and revolver facility under the Vail Holdings Credit Agreement to August 15, 2023. The Vail Holdings Credit Agreement consists of a $400.0 million revolving credit facility and a $950.0 million term loan facility.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$1.2 billion and (ii) the product of 2.75 and the trailing twelve-month Adjusted EBITDA, as defined in the Vail Holdings Credit Agreement. The term loan facility is subject to quarterly amortization of principal of approximately $11.9 million, which began on January 31, 2019, in equal installments, for a total of five percent of principal payable in each year and the final payment of all amounts outstanding, plus accrued and unpaid interest due in August 2023.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1.50% as of January 31, 2019 (4.00% as of January 31, 2019).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 as of January 31, 2019). The unused amounts are accessible to the extent that the Net Funded Debt to Adjusted EBITDA ratio does not exceed the maximum ratio allowed at quarter-ends and the ratio of Adjusted EBITDA to interest on Funded Debt (as defined in the Vail Holdings Credit Agreement)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10" w:lineRule="exact"/>
        <w:rPr>
          <w:sz w:val="20"/>
          <w:szCs w:val="20"/>
          <w:color w:val="auto"/>
        </w:rPr>
      </w:pPr>
    </w:p>
    <w:p>
      <w:pPr>
        <w:jc w:val="both"/>
        <w:ind w:left="320" w:hanging="316"/>
        <w:spacing w:after="0" w:line="283"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2019, the Company entered into an amendment of the Whistler Credit Agreement which extended the maturity date of the revolving credit facility to December 15, 2023.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January 31, 2019, in the case of borrowings (i) in Canadian dollars, at the WB Partnerships’ option, either (a) at the Canadian Prime Rate plus 0.75% per annum or</w:t>
      </w:r>
    </w:p>
    <w:p>
      <w:pPr>
        <w:spacing w:after="0" w:line="3" w:lineRule="exact"/>
        <w:rPr>
          <w:rFonts w:ascii="Arial" w:cs="Arial" w:eastAsia="Arial" w:hAnsi="Arial"/>
          <w:sz w:val="16"/>
          <w:szCs w:val="16"/>
          <w:color w:val="auto"/>
        </w:rPr>
      </w:pPr>
    </w:p>
    <w:p>
      <w:pPr>
        <w:jc w:val="both"/>
        <w:ind w:left="320"/>
        <w:spacing w:after="0" w:line="252" w:lineRule="auto"/>
        <w:rPr>
          <w:rFonts w:ascii="Arial" w:cs="Arial" w:eastAsia="Arial" w:hAnsi="Arial"/>
          <w:sz w:val="16"/>
          <w:szCs w:val="16"/>
          <w:color w:val="auto"/>
        </w:rPr>
      </w:pPr>
      <w:r>
        <w:rPr>
          <w:rFonts w:ascii="Arial" w:cs="Arial" w:eastAsia="Arial" w:hAnsi="Arial"/>
          <w:sz w:val="18"/>
          <w:szCs w:val="18"/>
          <w:color w:val="auto"/>
        </w:rPr>
        <w:t>(b) by way of the issuance of bankers’ acceptances plus 1.75% per annum; and (ii) in U.S. dollars, at the WB Partnerships option, either at (a) the U.S. Base Rate plus 0.75% per annum or (b) Bankers Acceptance Rate plus 1.75% per annum. As of January 31, 2019, all borrowings under the Whistler Credit Agreement were made in Canadian dollars and by way of the issuance of bankers’ acceptances plus 1.75% (approximately 3.92%). The Whistler Credit Agreement also includes a quarterly unused commitment fee based on the Consolidated Total Leverage Ratio, which as of January 31, 2019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29" w:lineRule="exact"/>
        <w:rPr>
          <w:rFonts w:ascii="Arial" w:cs="Arial" w:eastAsia="Arial" w:hAnsi="Arial"/>
          <w:sz w:val="16"/>
          <w:szCs w:val="16"/>
          <w:color w:val="auto"/>
        </w:rPr>
      </w:pPr>
    </w:p>
    <w:p>
      <w:pPr>
        <w:ind w:left="360" w:hanging="329"/>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460" w:top="611"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Aggregate maturities of debt outstanding as of January 31, 2019 reflected by fiscal year (August 1 through July 31)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5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(February 2019 through July 2019)</w:t>
            </w:r>
          </w:p>
        </w:tc>
        <w:tc>
          <w:tcPr>
            <w:tcW w:w="3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48,516</w:t>
            </w:r>
          </w:p>
        </w:tc>
      </w:tr>
      <w:tr>
        <w:trPr>
          <w:trHeight w:val="27"/>
        </w:trPr>
        <w:tc>
          <w:tcPr>
            <w:tcW w:w="65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48,580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48,648</w:t>
            </w:r>
          </w:p>
        </w:tc>
      </w:tr>
      <w:tr>
        <w:trPr>
          <w:trHeight w:val="27"/>
        </w:trPr>
        <w:tc>
          <w:tcPr>
            <w:tcW w:w="65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1,179,091</w:t>
            </w:r>
          </w:p>
        </w:tc>
      </w:tr>
      <w:tr>
        <w:trPr>
          <w:trHeight w:val="27"/>
        </w:trPr>
        <w:tc>
          <w:tcPr>
            <w:tcW w:w="65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3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1,397,645</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gross interest expense of $21.0 million and $16.0 million for the three months ended January 31, 2019 and 2018, respectively, of which $0.4 million and $0.3 million, respectively were amortization of deferred financing costs. The Company recorded gross interest expense of $39.6 million and $31.1 million for the six months ended January 31, 2019 and 2018, respectively, of which $0.7 million and $0.6 million, respectively, were amortization of deferred financing costs. The Company was in compliance with all of its financial and operating covenants required to be maintained under its debt instruments for all periods presented.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$0.5 million and $(1.9) million, respectively, of non-cash foreign currency gain (loss) on the intercompany loan to Whistler Blackcomb for the three and six months ended January 31, 2019 on the Company’s Consolidated Condensed Statements of Operations. The Company recognized approximately $10.3 million and $3.0 million, respectively, of non-cash foreign currency gains on the intercompany loan to Whistler Blackcomb for the three and six months ended January 31, 2018 on the Company’s Consolidated Condensed Statements of Operations.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5,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(4,026)</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64,035</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Stevens Pass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and other factors, and is expected to be deductible for income tax purposes. The Company recognized $1.2 million of acquisition related expenses associated with the transaction within Mountain and Lodging operating expense in its Consolidated Condensed Statement of Operations for the six months ended January 31, 2019. The operating results of Stevens Pass are reported within the Mountain segment prospectively from the date of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Okemo Mountain Resort, Crested Butte Resort and Mount Sunapee Resort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5,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52,706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27,661</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(19,792)</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property management contracts and trade names.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 Statement of Operations for the six months ended January 31, 2019. The operating results of Triple Peaks are reported within the Mountain and Lodging segments prospectively from the date of acquisition.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acquisitions of Stevens Pass and Triple Peaks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acquisitions of Stevens Pass and Triple Peaks were completed on August 1, 2017, the beginning of the fiscal year preceding the fiscal year in which the acquisitions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on August 1, 2017 (in thousands, except per share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 January 31,</w:t>
            </w:r>
          </w:p>
        </w:tc>
      </w:tr>
      <w:tr>
        <w:trPr>
          <w:trHeight w:val="250"/>
        </w:trPr>
        <w:tc>
          <w:tcPr>
            <w:tcW w:w="68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21"/>
                <w:szCs w:val="2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788,466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20" w:type="dxa"/>
            <w:vAlign w:val="bottom"/>
          </w:tcPr>
          <w:p>
            <w:pPr>
              <w:spacing w:after="0"/>
              <w:rPr>
                <w:sz w:val="21"/>
                <w:szCs w:val="21"/>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242,039</w:t>
            </w:r>
          </w:p>
        </w:tc>
      </w:tr>
      <w:tr>
        <w:trPr>
          <w:trHeight w:val="27"/>
        </w:trPr>
        <w:tc>
          <w:tcPr>
            <w:tcW w:w="6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20" w:type="dxa"/>
            <w:vAlign w:val="bottom"/>
          </w:tcPr>
          <w:p>
            <w:pPr>
              <w:spacing w:after="0"/>
              <w:rPr>
                <w:sz w:val="21"/>
                <w:szCs w:val="21"/>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6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09"/>
        </w:trPr>
        <w:tc>
          <w:tcPr>
            <w:tcW w:w="68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Six Months Ended January 31,</w:t>
            </w:r>
          </w:p>
        </w:tc>
        <w:tc>
          <w:tcPr>
            <w:tcW w:w="920" w:type="dxa"/>
            <w:vAlign w:val="bottom"/>
            <w:tcBorders>
              <w:bottom w:val="single" w:sz="8" w:color="auto"/>
            </w:tcBorders>
          </w:tcPr>
          <w:p>
            <w:pPr>
              <w:spacing w:after="0"/>
              <w:rPr>
                <w:sz w:val="24"/>
                <w:szCs w:val="24"/>
                <w:color w:val="auto"/>
              </w:rPr>
            </w:pPr>
          </w:p>
        </w:tc>
      </w:tr>
      <w:tr>
        <w:trPr>
          <w:trHeight w:val="250"/>
        </w:trPr>
        <w:tc>
          <w:tcPr>
            <w:tcW w:w="68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21"/>
                <w:szCs w:val="2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1,077,107</w:t>
            </w:r>
          </w:p>
        </w:tc>
        <w:tc>
          <w:tcPr>
            <w:tcW w:w="140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1,023,704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99,576</w:t>
            </w:r>
          </w:p>
        </w:tc>
        <w:tc>
          <w:tcPr>
            <w:tcW w:w="1400" w:type="dxa"/>
            <w:vAlign w:val="bottom"/>
          </w:tcPr>
          <w:p>
            <w:pPr>
              <w:jc w:val="right"/>
              <w:ind w:right="115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206,318</w:t>
            </w:r>
          </w:p>
        </w:tc>
      </w:tr>
      <w:tr>
        <w:trPr>
          <w:trHeight w:val="27"/>
        </w:trPr>
        <w:tc>
          <w:tcPr>
            <w:tcW w:w="6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2.46</w:t>
            </w:r>
          </w:p>
        </w:tc>
        <w:tc>
          <w:tcPr>
            <w:tcW w:w="140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2.41</w:t>
            </w:r>
          </w:p>
        </w:tc>
        <w:tc>
          <w:tcPr>
            <w:tcW w:w="1400" w:type="dxa"/>
            <w:vAlign w:val="bottom"/>
          </w:tcPr>
          <w:p>
            <w:pPr>
              <w:jc w:val="right"/>
              <w:ind w:right="115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6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2019</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617,492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552,271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559,135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1,280,972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1,193,528</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1,206,465</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1,139,443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1,007,250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1,046,134</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323,406</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283,694</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298,932</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122,038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113,699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116,210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65,642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60,697</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62,172</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23,342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59,579</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25,556</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3,572,335</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3,270,718</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3,314,604</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(1,741,248)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(1,643,499)</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(1,612,391)</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1,831,087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1,627,219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1,702,213</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6240" w:type="dxa"/>
            <w:vAlign w:val="bottom"/>
          </w:tcPr>
          <w:p>
            <w:pPr>
              <w:spacing w:after="0"/>
              <w:rPr>
                <w:sz w:val="20"/>
                <w:szCs w:val="20"/>
                <w:color w:val="auto"/>
              </w:rPr>
            </w:pPr>
            <w:r>
              <w:rPr>
                <w:rFonts w:ascii="Arial" w:cs="Arial" w:eastAsia="Arial" w:hAnsi="Arial"/>
                <w:sz w:val="18"/>
                <w:szCs w:val="18"/>
                <w:color w:val="auto"/>
                <w:w w:val="94"/>
              </w:rPr>
              <w:t>The composition of accounts payable and accrued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106,183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80,793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94,680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346,356</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282,103</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292,336</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66,090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40,034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52,329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37,991</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33,963</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35,109</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52,867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26,646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43,457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76,249</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40,994</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70,652</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685,736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504,533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588,563</w:t>
            </w:r>
          </w:p>
        </w:tc>
      </w:tr>
      <w:tr>
        <w:trPr>
          <w:trHeight w:val="20"/>
        </w:trPr>
        <w:tc>
          <w:tcPr>
            <w:tcW w:w="6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24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112,065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114,319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116,726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20,450</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21,839</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23,309</w:t>
            </w:r>
          </w:p>
        </w:tc>
      </w:tr>
      <w:tr>
        <w:trPr>
          <w:trHeight w:val="27"/>
        </w:trPr>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142,483</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155,348</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149,758</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274,998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291,506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289,793</w:t>
            </w:r>
          </w:p>
        </w:tc>
      </w:tr>
      <w:tr>
        <w:trPr>
          <w:trHeight w:val="27"/>
        </w:trPr>
        <w:tc>
          <w:tcPr>
            <w:tcW w:w="6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6"/>
        </w:trPr>
        <w:tc>
          <w:tcPr>
            <w:tcW w:w="6240" w:type="dxa"/>
            <w:vAlign w:val="bottom"/>
          </w:tcPr>
          <w:p>
            <w:pPr>
              <w:ind w:left="56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six months ended January 31, 2019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Mountain</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Lodging</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Goodwill, net</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2018</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1,407,787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1,475,686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81,584</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81,584</w:t>
            </w:r>
          </w:p>
        </w:tc>
      </w:tr>
      <w:tr>
        <w:trPr>
          <w:trHeight w:val="27"/>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r>
      <w:tr>
        <w:trPr>
          <w:trHeight w:val="237"/>
        </w:trPr>
        <w:tc>
          <w:tcPr>
            <w:tcW w:w="4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Balance at January 31, 2019</w:t>
            </w: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1,479,185</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1,547,084</w:t>
            </w:r>
          </w:p>
        </w:tc>
      </w:tr>
      <w:tr>
        <w:trPr>
          <w:trHeight w:val="27"/>
        </w:trPr>
        <w:tc>
          <w:tcPr>
            <w:tcW w:w="4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and Contingent Consideration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January 31, 2019</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3,031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6,774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6,774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23,733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23,733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July 31, 2018</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11,249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11,249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January 31, 2018</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3,013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3,013</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7,162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7,162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23,754</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23,754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equivalents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2019 and 2018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2018 and 2017, respectively</w:t>
            </w:r>
          </w:p>
        </w:tc>
        <w:tc>
          <w:tcPr>
            <w:tcW w:w="25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5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7"/>
        </w:trPr>
        <w:tc>
          <w:tcPr>
            <w:tcW w:w="5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1,900</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January 31, 2019 and 2018, respectively</w:t>
            </w:r>
          </w:p>
        </w:tc>
        <w:tc>
          <w:tcPr>
            <w:tcW w:w="25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23,733</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23,754</w:t>
            </w:r>
          </w:p>
        </w:tc>
      </w:tr>
      <w:tr>
        <w:trPr>
          <w:trHeight w:val="27"/>
        </w:trPr>
        <w:tc>
          <w:tcPr>
            <w:tcW w:w="58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11.3%, volatility of 17.5%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w:t>
      </w:r>
    </w:p>
    <w:p>
      <w:pPr>
        <w:sectPr>
          <w:pgSz w:w="11900" w:h="16838" w:orient="portrait"/>
          <w:cols w:equalWidth="0" w:num="1">
            <w:col w:w="11420"/>
          </w:cols>
          <w:pgMar w:left="240" w:top="584"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year performance would result in a change in the estimated fair value within the range of approximately $3.9 million to $6.0 million.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six months ended January 31, 2019, the Company made a payment to the landlord for Contingent Consideration of approximately $0.1 million and recorded an increase of $1.9 million primarily related to the estimated Contingent Consideration payment for the fiscal year ending July 31, 2019. These changes resulted in an estimated fair value of the Contingent Consideration of approximately $23.7 million, which is reflected in other long-term liabilities in the Consolidated Condensed Balance Sheet.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January 31, 2019, July 31, 2018 and January 31, 2018,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2019, the Company had various letters of credit outstanding totaling $76.5 million, consisting of $53.4 million to support the Employee Housing Bonds, $18.1 million primarily for workers’ compensation, a wind energy purchase agreement and insurance-related deductibles, and $5.0 million related to the Stevens Pass acquisition. The Company also had surety bonds of $10.4 million as of January 31, 2019, primarily to provide collateral for its U.S. workers compensation self-insurance programs.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January 31, 2019, July 31, 2018 and January 31, 2018, the accruals for the above loss contingencies were not material individually or in the aggregate.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5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Lift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447,558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381,912</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472,243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407,380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92,244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80,116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96,516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84,554</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Dining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65,409</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53,910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83,701</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72,212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128,436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115,446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171,778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160,853</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42,426</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39,518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96,841</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94,028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776,073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670,902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921,079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819,027</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73,249</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63,539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148,149</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135,628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849,322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734,441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1,069,228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954,655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354</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849,578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734,575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1,069,582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955,425</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424,008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365,605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646,371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572,689</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67,492</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138,496</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127,605</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491,500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425,476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784,867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700,294</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1,389</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2,759</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492,889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426,683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787,626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703,192</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(loss),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352,225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305,262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275,818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246,825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5,757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9,653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8,023</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357,982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285,471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254,848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356,849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308,372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283,066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253,235</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101,730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103,212</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101,730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103,212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356,849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308,372</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283,066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253,235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(106,281)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disposal of fixed assets and other, net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507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gain (loss) on intercompany loans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(21,002)</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(39,640)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(31,147)</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281,963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252,267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134,832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126,936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(Provision) benefit from income taxes</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(63,973)</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(27,568)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89,810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217,990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107,264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216,746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(11,641)</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(8,710)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206,349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235,691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98,554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207,306</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051"/>
              <w:spacing w:after="0"/>
              <w:rPr>
                <w:sz w:val="20"/>
                <w:szCs w:val="20"/>
                <w:color w:val="auto"/>
              </w:rPr>
            </w:pPr>
            <w:r>
              <w:rPr>
                <w:rFonts w:ascii="Arial" w:cs="Arial" w:eastAsia="Arial" w:hAnsi="Arial"/>
                <w:sz w:val="18"/>
                <w:szCs w:val="18"/>
                <w:color w:val="auto"/>
                <w:w w:val="79"/>
              </w:rPr>
              <w:t>22</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3" w:name="page24"/>
    <w:bookmarkEnd w:id="23"/>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155,111 and 353,007 Vail Shares, respectively (at a total cost of approximately $35.0 million and $85.0 million, respectively), during the three and six months ended January 31, 2019. The Company did not repurchase any Vail Shares during the three or six months ended January 31, 2018. Since inception of its share repurchase program through January 31, 2019, the Company has repurchased 5,904,723 Vail Shares for approximately $358.0 million. As of January 31, 2019, 1,595,277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21, 2019, the Company, through a wholly-owned subsidiary, announced it had entered into an agreement to purchase the ski resorts at Falls Creek Alpine Resort ("Falls Creek") and Hotham Alpine Resort ("Hotham") in Victoria, Australia. The Company will purchase Australian Alpine Enterprises Holdings Pty. Ltd and all related corporate entities that operate the Falls Creek and Hotham resorts from Living and Leisure Australia Group, a subsidiary of Merlin Entertainments, for a purchase price of approximately AU$174 million, subject to certain adjustments at closing, including an increase (or reduction) in the purchase price for operating losses (or gains) incurred for the period from December 29, 2018 through closing. The acquisition includes the ski school, retail/rental, reservation and property management operations at both resort areas. The Company expects to record the transaction as a business combination which is expected to close prior to the commencement of the Australian ski season in June 2019, subject to certain closing conditions, including regulatory approvals. The Company expects to fund the cash purchase price through cash on-hand and/or incremental borrowings.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2019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2018 (“Form 10-K”) and the Consolidated Condensed Financial Statements as of January 31, 2019 and 2018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2018.</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United States generally accepted accounting principles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income attributable to Vail Resorts, Inc. and Net Debt to long-term debt, net.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Estate), the measure of segment profit or loss required to be disclosed in accordance with GAAP, may not be comparable to other similarly titled measures of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the following fifteen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Mountain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and fourth fiscal quarters are primarily generated from summer and group related visitation at our North American mountain resorts, retail/rental operations and peak season Perisher operations. Our largest source of Mountain segment revenue is the sale of lift tickets (including season passes), which represented approximately 58% and 57% of Mountain net revenue for the three months ended January 31, 2019 and 2018, respectively.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mountain resorts is divided into two primary categories: (i) out-of-state and international (“Destination”) guests and (ii) in-state and local (“Local”) guests. For the three months ended January 31, 2019, Destination guests comprised approximately 53% of our North American mountain resort skier visits (excluding complimentary access), while Local guests comprised approximately 47% of our North American mountain resort skier visits (excluding complimentary access), which compares to 56% and 44%, respectively, for the three months ended January 31, 2018. 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during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current season, but may be more impacted by adverse economic conditions, the global geopolitical climate or weather conditions in the immediately preceding ski season. Local guests tend to be more value-oriented and weather sensitive.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a variety of season pass products for all of our mountain resorts and ski areas (collectively, “Resorts”), marketed towards both Destination and Local guests. Our season pass product offerings range from providing access to one or a combination of our Resorts to our Epic Season Pass, which allows pass holders unlimited and unrestricted access to all of our Resorts.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Condensed Statements of Operations throughout the ski season primarily based on historical visitation.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Lift revenue consists of season pass lift revenue (“pass revenue”) and non-season pass lift revenue (“non-pass revenue”). For the three months ended January 31, 2019 and 2018, approximately 53% and 56%, respectively, of our total lift revenue recognized was comprised of pass revenue. Pass revenue recognized in our second fiscal quarter represents approximately 51% and 53% of our total North American pass sales for the 2018/2019 and 2017/2018 North American ski seasons, respectively, with the remaining North American pass revenue almost entirely recognized as lift revenue in our third fiscal quarter ending April 30.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a Colorado resort ground transportation company; and (v) mountain resort golf courses.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93% of Lodging segment net revenue (excluding Lodging segment revenue associated with reimbursement of payroll costs) for both the three months ended January 31, 2019 and 2018.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7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regards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During fiscal year 2018, pass revenue represented approximately 47% of total lift revenue. Due to increased pass sales for the 2018/2019 North American ski season compared to the 2017/2018 North American ski season, pass revenue increased approximately $25.8 million, or 12.1%, for the three months ended January 31, 2019 compared to the same period in the prior year. Additionally, deferred revenue related to North American pass sales was approximately $234.0 million as of January 31, 2019 (compared to approximately $192.0 million as of January 31, 2018), which will be almost entirely recognized as lift revenue during our third fiscal quarter ending April 30, 2019, subject to final adjustments required under U.S. GAAP.</w:t>
      </w:r>
    </w:p>
    <w:p>
      <w:pPr>
        <w:spacing w:after="0" w:line="181" w:lineRule="exact"/>
        <w:rPr>
          <w:rFonts w:ascii="Arial" w:cs="Arial" w:eastAsia="Arial" w:hAnsi="Arial"/>
          <w:sz w:val="17"/>
          <w:szCs w:val="17"/>
          <w:color w:val="auto"/>
        </w:rPr>
      </w:pPr>
    </w:p>
    <w:p>
      <w:pPr>
        <w:jc w:val="both"/>
        <w:ind w:left="640" w:hanging="321"/>
        <w:spacing w:after="0" w:line="29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Destination guest visitation at our North American resorts was less than expected in the pre-holiday period. However, our Destination guest visitation was largely in line with expectations during the key holiday weeks and through the remainder of January. Throughout the quarter, with the favorable conditions at our U.S. resorts, we saw strong growth among our Local guests, who are primarily pass purchasers. Our Tahoe resorts and Whistler Blackcomb saw periods of strong visitation in the holiday and post-holiday periods, but were also impacted by increased weather variability at those resorts over the holidays and lower than expected Destination visitation. While weather conditions have generally remained positive or have improved at our U.S. resorts and at Whistler Blackcomb through January 31, 2019, we cannot predict the impact that the pre-holiday period results or future weather conditions will have on our skier visitation and results of operations for the remainder of the 2018/2019 North American ski season.</w:t>
      </w:r>
    </w:p>
    <w:p>
      <w:pPr>
        <w:spacing w:after="0" w:line="167" w:lineRule="exact"/>
        <w:rPr>
          <w:rFonts w:ascii="Arial" w:cs="Arial" w:eastAsia="Arial" w:hAnsi="Arial"/>
          <w:sz w:val="16"/>
          <w:szCs w:val="16"/>
          <w:color w:val="auto"/>
        </w:rPr>
      </w:pPr>
    </w:p>
    <w:p>
      <w:pPr>
        <w:jc w:val="both"/>
        <w:ind w:left="640" w:hanging="321"/>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into calendar year 2019,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of the overall North American or global economy will be on overall travel and leisure spending or more specifically, on our guest visitation, guest spending or other related trends for the remainder of the 2018/2019 North American ski season.</w:t>
      </w:r>
    </w:p>
    <w:p>
      <w:pPr>
        <w:spacing w:after="0" w:line="193"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January 31, 2019, we had $317.9 million available under the revolver component of our Eighth Amended and Restated Credit Agreement, dated as of August 15, 2018 (the “Vail Holdings Credit Agreement”), which represents the total commitment of $400.0 million less certain letters of credit outstanding of $82.1 million. Additionally, we have a credit facility which supports the liquidity needs of Whistler Blackcomb (the “Whistler Credit Agreement”). As of January 31, 2019, we had C$219.1 million ($166.8 million) available under the revolver component of the Whistler Credit Agreement (which represents the total commitment of C$300.0 million ($228.4 million) less outstanding borrowings of C$80.0 million ($60.9 million) and a letter of credit outstanding of C$0.9 million ($0.7 million)).</w:t>
      </w:r>
    </w:p>
    <w:p>
      <w:pPr>
        <w:spacing w:after="0" w:line="193" w:lineRule="exact"/>
        <w:rPr>
          <w:rFonts w:ascii="Arial" w:cs="Arial" w:eastAsia="Arial" w:hAnsi="Arial"/>
          <w:sz w:val="18"/>
          <w:szCs w:val="18"/>
          <w:color w:val="auto"/>
        </w:rPr>
      </w:pPr>
    </w:p>
    <w:p>
      <w:pPr>
        <w:jc w:val="both"/>
        <w:ind w:left="640"/>
        <w:spacing w:after="0" w:line="257" w:lineRule="auto"/>
        <w:rPr>
          <w:rFonts w:ascii="Arial" w:cs="Arial" w:eastAsia="Arial" w:hAnsi="Arial"/>
          <w:sz w:val="18"/>
          <w:szCs w:val="18"/>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rFonts w:ascii="Arial" w:cs="Arial" w:eastAsia="Arial" w:hAnsi="Arial"/>
          <w:sz w:val="18"/>
          <w:szCs w:val="18"/>
          <w:color w:val="auto"/>
        </w:rPr>
      </w:pPr>
    </w:p>
    <w:p>
      <w:pPr>
        <w:jc w:val="both"/>
        <w:ind w:left="640" w:hanging="321"/>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February 21, 2019, through a wholly-owned subsidiary, we announced we had entered into an agreement to purchase the ski resorts at Falls Creek Alpine Resort ("Falls Creek") and Hotham Alpine Resort ("Hotham") in Victoria, Australia. We will purchase Australian Alpine Enterprises Holdings Pty. Ltd and all related corporate entities that operate the Falls Creek and Hotham resorts from Living and Leisure Australia Group, a subsidiary of Merlin Entertainments, for a purchase price of approximately AU$174 million, subject to certain adjustments at closing, including an increase (or reduction) in the purchase price for operating losses (or gains) incurred for the period from December 29, 2018 through closing. The acquisition includes the ski school, retail/rental, reservation and property management operations at both resort areas. We expect to record the transaction as a business combination which is expected to close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7" w:name="page28"/>
    <w:bookmarkEnd w:id="27"/>
    <w:p>
      <w:pPr>
        <w:ind w:left="640"/>
        <w:spacing w:after="0" w:line="324" w:lineRule="auto"/>
        <w:rPr>
          <w:sz w:val="20"/>
          <w:szCs w:val="20"/>
          <w:color w:val="auto"/>
        </w:rPr>
      </w:pPr>
      <w:r>
        <w:rPr>
          <w:rFonts w:ascii="Arial" w:cs="Arial" w:eastAsia="Arial" w:hAnsi="Arial"/>
          <w:sz w:val="18"/>
          <w:szCs w:val="18"/>
          <w:color w:val="auto"/>
        </w:rPr>
        <w:t>prior to the commencement of the Australian ski season in June 2019, subject to certain closing conditions, including regulatory approvals. We expect to fund the cash purchase price through cash on-hand and/or incremental borrowings.</w:t>
      </w:r>
    </w:p>
    <w:p>
      <w:pPr>
        <w:spacing w:after="0" w:line="143" w:lineRule="exact"/>
        <w:rPr>
          <w:sz w:val="20"/>
          <w:szCs w:val="20"/>
          <w:color w:val="auto"/>
        </w:rPr>
      </w:pPr>
    </w:p>
    <w:p>
      <w:pPr>
        <w:jc w:val="both"/>
        <w:ind w:left="640" w:hanging="321"/>
        <w:spacing w:after="0" w:line="269"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15, 2018, through a wholly-owned subsidiary, we acquired Stevens Pass Resort in the State of Washington from Ski Resort Holdings, LLC, an affiliate of Oz Real Estate (“Ski Resort Holdings”), for a total purchase price of $64.0 million. We borrowed $70.0 million on August 15, 2018 under the term loan of our Vail Holdings Credit Agreement primarily to fund the acquisition of Stevens Pass. Additionally, on September 27, 2018, we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satisfy the remaining obligations for the leases that all three resorts had with Ski Resort Holdings, with funds provided by the Company. Accordingly, the total purchase price, including the repayment of lease obligations, was $229.1 million, for which we utilized cash on hand and borrowed $195.6 million under the term loan of our Vail Holdings Credit Agreement to fund the transaction and associated acquisition related expenses. We expect that the acquisitions of Stevens Pass and Triple Peaks will positively contribute to our results of operations; however, we cannot predict whether we will realize all of the synergies expected from the operations of Stevens Pass and Triple Peaks and the ultimate impact the new resorts will have on our future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operating results for the three and six months ended January 31, 2019, compared to the three and six months ended January 31, 2018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352,225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275,818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5,757</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9,653</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8,023</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357,982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285,471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254,848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(1,133)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281,963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134,832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206,349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235,691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98,554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207,306</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income attributable to Vail Resorts, Inc. decreased by approximately $108.8 million for the six months ended January 31, 2019 compared to the prior year primarily due to a decrease in excess tax benefits of $48.4 million, which resulted primarily from employee exercises of in-the-money stock appreciation rights, and a one-time, provisional net tax benefit of approximately $64.6 million recorded during the three and six months ended January 31, 2018, which was the result of comprehensive U.S. tax legislation, commonly referred to as the “Tax Act,” which was enacted by the U.S. government on December 22, 2017. The consolidated condensed results of operations, including any consolidated financial metrics pertaining thereto, include the operations of Stevens Pass and Triple Peaks prospectively from the dates of acquisition of August 15, 2018 and September 27, 2018,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 compared to the three months ended January 31, 2018</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Mountain segment operating results for the three months ended January 31, 2019 and 2018 are presented by category as follows (in thousands, except effective ticket price (“ETP”)). ETP is calculated as lift revenue divided by total skier visits for each applicable period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 January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447,558</w:t>
            </w:r>
          </w:p>
        </w:tc>
        <w:tc>
          <w:tcPr>
            <w:tcW w:w="1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381,912</w:t>
            </w:r>
          </w:p>
        </w:tc>
        <w:tc>
          <w:tcPr>
            <w:tcW w:w="2040" w:type="dxa"/>
            <w:vAlign w:val="bottom"/>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92,244</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80,116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65,409</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53,910</w:t>
            </w:r>
          </w:p>
        </w:tc>
        <w:tc>
          <w:tcPr>
            <w:tcW w:w="204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128,436</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115,446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42,426</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39,518</w:t>
            </w:r>
          </w:p>
        </w:tc>
        <w:tc>
          <w:tcPr>
            <w:tcW w:w="204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776,073</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670,902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172,818</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144,240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43,721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40,540</w:t>
            </w:r>
          </w:p>
        </w:tc>
        <w:tc>
          <w:tcPr>
            <w:tcW w:w="20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39,830</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65,847</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59,609</w:t>
            </w:r>
          </w:p>
        </w:tc>
        <w:tc>
          <w:tcPr>
            <w:tcW w:w="204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101,792</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86,959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424,008</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365,605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(loss), net</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352,225</w:t>
            </w:r>
          </w:p>
        </w:tc>
        <w:tc>
          <w:tcPr>
            <w:tcW w:w="12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305,262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6,521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5,133</w:t>
            </w:r>
          </w:p>
        </w:tc>
        <w:tc>
          <w:tcPr>
            <w:tcW w:w="204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68.63</w:t>
            </w:r>
          </w:p>
        </w:tc>
        <w:tc>
          <w:tcPr>
            <w:tcW w:w="12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$4.3 million and $4.0 million of stock-based compensation expense for the three months ended January 31, 2019 and 2018, respectively.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Mountain Reported EBITDA increased $47.0 million, or 15.4%. This increase was primarily the result of strong North American pass sales growth for the 2018/2019 North American ski season, the incremental operations of Triple Peaks and Stevens Pass (acquired in September 2018 and August 2018, respectively) and improved conditions across our western U.S. resorts, which helped drive a strong rebound in visitation and spending, particularly during the key holiday weeks. Although our Destination guest visitation was less than expected in the pre-holiday period, results over the holidays were generally in line with our expectations, which, when combined with incremental skier visits from Triple Peaks and Stevens Pass, resulted in an increase in total skier visitation of 27.0% for the three months ended January 31, 2019 compared to the three months ended January 31, 2018. Mountain segment results include $2.9 million and $1.4 million of acquisition and integration related expenses for the three months ended January 31, 2019 and 2018, respectively. Additionally, operating results from Whistler Blackcomb, which are translated from Canadian dollars to U.S. dollars, were adversely affected by a decrease in the Canadian dollar exchange rate as compared to the prior year.</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Lift revenue increased $65.6 million, or 17.2%, due to increases in both pass revenue and non-pass revenue, and incremental revenue from Triple Peaks and Stevens Pass. Pass revenue increased 12.1%, which was driven by a combination of an increase in pricing and units sold and was also favorably impacted by increased pass sales to Destination guests as well as military guests through the introduction of the Military Epic Pass. Non-pass revenue increased 24.1% primarily due to increased non-pass visitation at our western U.S. resorts, which benefited from improved conditions as compared to the prior year and an increase in total non-pass ETP of 8.3%, as well as incremental non-pass skier visitation at Triple Peaks and Stevens Pass. Total ETP decreased $5.77, or 7.8%, primarily due to higher visitation by season pass holders during the three months ended January 31, 2019 as compared to the three months ended January 31, 2018, as well as the impact of the introduction of the new Military Epic Pass, partially offset by price increases in both our lift ticket and season pass products.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Ski school revenue increased $12.1 million, or 15.1%, and dining revenue increased $11.5 million, or 21.3%, primarily as a result of incremental revenue from Triple Peaks and Stevens Pass and increased revenue at our other U.S. resorts as a result of higher skier visitation.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Retail/rental revenue increased $13.0 million, or 11.3%, for which retail sales increased $8.2 million, or 10.5%, and rental revenue increased $4.8 million, or 12.8%. The increase in both retail revenue and rental revenue was primarily attributable to higher sales volumes at stores proximate to our western U.S. resorts and other stores in Colorado, as well as incremental revenue from Triple Peaks and Stevens Pass. However, these increases were partially offset by a decrease in sales at Whistler Blackcomb.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increased $2.9 million, or 7.4%, primarily attributable to increases in marketing revenue, mountain activities and services revenue and incremental revenue from Triple Peaks and Stevens Pass.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 increased $58.4 million, or 16.0%, which includes incremental operating expenses from Triple Peaks and Stevens Pass.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Labor and labor-related benefits increased 19.8% primarily due to incremental labor expenses from Triple Peaks and Stevens Pass and increased staffing levels at our western U.S. resorts as compared to the prior year due to historic low snowfall during the three months ended January 31, 2018, as well as wage increases associated with our minimum wage initiatives, which were in excess of our historical minimum wage increases, and higher variable compensation accruals. Retail cost of sales increased 7.8%, compared to an increase in retail sales of 10.5%. Resort related fees increased 16.3% primarily due to increases in revenue on which those fees are based and incremental expenses from Triple Peaks and Stevens Pass. General and administrative expense increased 10.5% due to incremental expenses from Triple Peaks and Stevens Pass, higher variable compensation accruals and an increase in allocated corporate overhead costs primarily associated with marketing. Other expense increased 17.1% primarily due to incremental expenses from Triple Peaks and Stevens Pass and an increase in pass partnership alliance expense, as well as increases in variable expenses associated with increases in revenue, partially offset by a decrease in professional services expense. Additionally, other expense includes $2.9 million and $1.4 million of acquisition and integration related expenses for the three months ended January 31, 2019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Mountain equity investment income (loss), net primarily includes our share of income from the operations of a real estate brokerage joint venture.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Six months ended January 31, 2019 compared to the six months ended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2019 and 2018 are presented by category as follows (in thousands, except ETP):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Six Months Ended January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472,243</w:t>
            </w:r>
          </w:p>
        </w:tc>
        <w:tc>
          <w:tcPr>
            <w:tcW w:w="1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407,380</w:t>
            </w:r>
          </w:p>
        </w:tc>
        <w:tc>
          <w:tcPr>
            <w:tcW w:w="204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96,516</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83,701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72,212</w:t>
            </w:r>
          </w:p>
        </w:tc>
        <w:tc>
          <w:tcPr>
            <w:tcW w:w="204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171,778</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160,853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96,841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94,028</w:t>
            </w:r>
          </w:p>
        </w:tc>
        <w:tc>
          <w:tcPr>
            <w:tcW w:w="20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921,079</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819,027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249,068</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217,896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66,137</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63,481</w:t>
            </w:r>
          </w:p>
        </w:tc>
        <w:tc>
          <w:tcPr>
            <w:tcW w:w="20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43,194</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120,550</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108,933</w:t>
            </w:r>
          </w:p>
        </w:tc>
        <w:tc>
          <w:tcPr>
            <w:tcW w:w="204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167,422</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144,996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646,371</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572,689</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275,818</w:t>
            </w:r>
          </w:p>
        </w:tc>
        <w:tc>
          <w:tcPr>
            <w:tcW w:w="12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246,825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7,028</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5,631</w:t>
            </w:r>
          </w:p>
        </w:tc>
        <w:tc>
          <w:tcPr>
            <w:tcW w:w="2040" w:type="dxa"/>
            <w:vAlign w:val="bottom"/>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67.19</w:t>
            </w:r>
          </w:p>
        </w:tc>
        <w:tc>
          <w:tcPr>
            <w:tcW w:w="12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$8.2 million and $7.8 million of stock-based compensation expense for the six months ended January 31, 2019 and 2018, respectively.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Mountain Reported EBITDA increased $29.0 million, or 11.7%. This increase was primarily the result of strong North American pass sales growth for the 2018/2019 North American ski season, the incremental operations of Triple Peaks and Stevens Pass (acquired in September 2018 and August 2018, respectively) and improved conditions across our western U.S. resorts, which helped drive a strong rebound in visitation and spending, particularly during the key holiday weeks, as discussed above. Total skier visitation increased 24.8% for the six months ended January 31, 2019 compared to the six months ended January 31, 2018. Mountain segment results include $9.5 million and $2.2 million of acquisition and integration related expenses for the six months ended January 31, 2019 and 2018, respectively. Additionally, operating results from Whistler Blackcomb, which are translated from Canadian dollars to U.S. dollars, were adversely affected by a decrease in the Canadian dollar exchange rate as compared to the prior year.</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our North American resorts opened for ski season operations during our second fiscal quarter, certain components of Mountain segment net revenue, such as North American lift and ski school revenues for the six months ended January 31, 2019 and 2018 are unchanged as compared to those same components for the three months ended January 31, 2019 and 2018. Accordingly, the primary basis for the changes to these components of our North American resorts for the six months ended January 31, 2019 as compared to the prior period are discussed under the section heading “</w:t>
      </w:r>
      <w:r>
        <w:rPr>
          <w:rFonts w:ascii="Arial" w:cs="Arial" w:eastAsia="Arial" w:hAnsi="Arial"/>
          <w:sz w:val="16"/>
          <w:szCs w:val="16"/>
          <w:i w:val="1"/>
          <w:iCs w:val="1"/>
          <w:color w:val="auto"/>
        </w:rPr>
        <w:t>Three months ended January 31, 2019</w:t>
      </w:r>
      <w:r>
        <w:rPr>
          <w:rFonts w:ascii="Arial" w:cs="Arial" w:eastAsia="Arial" w:hAnsi="Arial"/>
          <w:sz w:val="16"/>
          <w:szCs w:val="16"/>
          <w:color w:val="auto"/>
        </w:rPr>
        <w:t xml:space="preserve"> </w:t>
      </w:r>
      <w:r>
        <w:rPr>
          <w:rFonts w:ascii="Arial" w:cs="Arial" w:eastAsia="Arial" w:hAnsi="Arial"/>
          <w:sz w:val="16"/>
          <w:szCs w:val="16"/>
          <w:i w:val="1"/>
          <w:iCs w:val="1"/>
          <w:color w:val="auto"/>
        </w:rPr>
        <w:t>compared to the three months ended January 31, 2018.</w:t>
      </w:r>
      <w:r>
        <w:rPr>
          <w:rFonts w:ascii="Arial" w:cs="Arial" w:eastAsia="Arial" w:hAnsi="Arial"/>
          <w:sz w:val="16"/>
          <w:szCs w:val="16"/>
          <w:color w:val="auto"/>
        </w:rPr>
        <w:t>” Additionally, Perisher lift revenue decreased $0.8 million, or 3.1%, and ski school revenue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$0.2 million, or 3.7%, as a result of a decrease in the Australian dollar exchange rate as compared to the prior year, which negatively impacted the translation of Perisher’s results on a U.S. dollar basis. On an Australian dollar basis, Perisher generated increases of AU$1.8 million, or 5.5%, in lift revenue and AU$0.2 million, or 3.8%, in ski school revenue, primarily due to a 1.8% increase in skier visitation.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Dining revenue increased $11.5 million, or 15.9%, primarily as a result of incremental revenue at Triple Peaks and Stevens Pass and increased revenue at our other U.S. resorts as a result of higher skier visitation.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Retail/rental revenue increased $10.9 million, or 6.8%, for which retail revenue increased $7.0 million, or 6.0%, and rental revenue increased $3.9 million, or 8.9%. The increase in both retail revenue and rental revenue was primarily attributable to higher sales volumes at stores proximate to our western U.S. resorts and other stores in Colorado, as well as incremental revenue from Triple Peaks and Stevens Pass. However, these increases were partially offset by removing the low-margin golf product line, store closures and a decrease in sales at Whistler Blackcomb.</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Other revenue increased $2.8 million, or 3.0%, primarily attributable to increases in marketing revenue, mountain activities and services revenue and incremental revenue from Triple Peaks and Stevens Pass.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expense increased $73.7 million, or 12.9%, which includes incremental operating expenses from Stevens Pass and Triple Peaks, which were recorded prospectively from their dates of acquisition of August 15, 2018 and September 27, 2018, respectively. Additionally, operating expense includes $9.5 million and $2.2 million of acquisition and integration related expenses for the six months ended January 31, 2019 and 2018, respectively.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and labor-related benefits increased 14.3% primarily due to incremental labor expenses from Triple Peaks and Stevens Pass and increased staffing levels at our western U.S. resorts as compared to the prior year due to historic low snowfall during the six months ended January 31, 2018, as well as wage increases associated with our minimum wage initiatives, which were in excess of our historical minimum wage increases, and higher variable compensation accruals. Retail cost of sales increased 4.2%, compared to an increase in retail sales of 6.0%. Resort related fees increased 15.5% primarily due to increases in revenue on which those fees are based and incremental expenses from Triple Peaks and Stevens Pass. General and administrative expense increased 10.7% primarily due to incremental expenses from Triple Peaks and Stevens Pass, an increase in variable compensation accruals and an increase in allocated corporate overhead costs primarily associated with marketing and information technology. Other expense increased 15.5% primarily due to incremental expenses from Triple Peaks and Stevens Pass, an increase in acquisition and integration related expenses and an increase in pass partnership alliance expense, as well as increases in variable expenses associated with increases in revenue, partially offset by a decrease in professional services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 compared to the three months ended January 31, 2018</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2019 and 2018 are presented by category as follows (in thousands, except average daily rates (“ADR”) and revenue per available room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January 31,</w:t>
            </w:r>
          </w:p>
        </w:tc>
        <w:tc>
          <w:tcPr>
            <w:tcW w:w="182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2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11,548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11,353</w:t>
            </w:r>
          </w:p>
        </w:tc>
        <w:tc>
          <w:tcPr>
            <w:tcW w:w="18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23,358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10,189</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7,869</w:t>
            </w:r>
          </w:p>
        </w:tc>
        <w:tc>
          <w:tcPr>
            <w:tcW w:w="1820" w:type="dxa"/>
            <w:vAlign w:val="bottom"/>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12,120</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9,914</w:t>
            </w:r>
          </w:p>
        </w:tc>
        <w:tc>
          <w:tcPr>
            <w:tcW w:w="1820" w:type="dxa"/>
            <w:vAlign w:val="bottom"/>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69,625</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59,954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3,624</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3,585</w:t>
            </w:r>
          </w:p>
        </w:tc>
        <w:tc>
          <w:tcPr>
            <w:tcW w:w="18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73,249</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63,539</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32,173</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11,515</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11,127</w:t>
            </w:r>
          </w:p>
        </w:tc>
        <w:tc>
          <w:tcPr>
            <w:tcW w:w="18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20,180</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63,868</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56,286</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3,624</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67,492</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59,871</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269.45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278.82</w:t>
            </w:r>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407.11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435.15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145.76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166.77</w:t>
            </w:r>
          </w:p>
        </w:tc>
        <w:tc>
          <w:tcPr>
            <w:tcW w:w="18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372.43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389.35</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150.61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168.43</w:t>
            </w:r>
          </w:p>
        </w:tc>
        <w:tc>
          <w:tcPr>
            <w:tcW w:w="18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jc w:val="both"/>
        <w:ind w:firstLine="8"/>
        <w:spacing w:after="0" w:line="276" w:lineRule="auto"/>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Owned hotel and managed condominium statistics (combined) for the three months ended January 31,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$0.8 million of stock-based compensation expense for both the three months ended January 31, 2019 and 2018. Lodging Reported EBITDA increased $2.1 million, or 57.0%, primarily due to the incremental operations of Triple Peaks.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managed condominium rooms increased $4.7 million, or 20.1%, primarily due to incremental revenue from our managed lodging properties at Okemo and Crested Butte, as well as revenue from incremental managed Tahoe lodging properties that we did not manage in the prior year.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Dining revenue increased $2.3 million, or 29.5%, primarily due to incremental revenue from our Okemo and Crested Butte lodging properties, as well as increased dining revenue at our other Colorado lodging properties. Transportation revenue increased $0.3 million, or 3.5%, primarily due to increased passenger volume. Other revenue increased $2.2 million, or 22.3%, primarily due to incremental revenue from our lodging properties at Okemo and Crested Butte and an increase in revenue from our central reservations booking service.</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3" w:name="page34"/>
    <w:bookmarkEnd w:id="33"/>
    <w:p>
      <w:pPr>
        <w:jc w:val="both"/>
        <w:spacing w:after="0" w:line="302" w:lineRule="auto"/>
        <w:rPr>
          <w:sz w:val="20"/>
          <w:szCs w:val="20"/>
          <w:color w:val="auto"/>
        </w:rPr>
      </w:pPr>
      <w:r>
        <w:rPr>
          <w:rFonts w:ascii="Arial" w:cs="Arial" w:eastAsia="Arial" w:hAnsi="Arial"/>
          <w:sz w:val="16"/>
          <w:szCs w:val="16"/>
          <w:color w:val="auto"/>
        </w:rPr>
        <w:t>Operating expense (excluding reimbursed payroll costs) increased 13.5%. Labor and labor related benefits increased 16.8% primarily due to incremental labor expenses from Okemo, Crested Butte and the incremental managed Tahoe lodging properties that we did not manage in the prior year, as well as wage increases associated with our minimum wage initiatives, which were in excess of our historical minimum wage increases. General and administrative expense increased 3.5% due to higher corporate overhead costs. Other expenses increased 14.6% primarily due to incremental costs from Okemo and Crested Butte.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2019 compared to the six months ended January 31,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six months ended January 31, 2019 and 2018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 January 31,</w:t>
            </w:r>
          </w:p>
        </w:tc>
        <w:tc>
          <w:tcPr>
            <w:tcW w:w="182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2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31,147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30,988</w:t>
            </w:r>
          </w:p>
        </w:tc>
        <w:tc>
          <w:tcPr>
            <w:tcW w:w="18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39,164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33,529</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26,318</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23,749</w:t>
            </w:r>
          </w:p>
        </w:tc>
        <w:tc>
          <w:tcPr>
            <w:tcW w:w="182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9,459</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8,767</w:t>
            </w:r>
          </w:p>
        </w:tc>
        <w:tc>
          <w:tcPr>
            <w:tcW w:w="182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24,588</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140,872</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128,734</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7,277</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148,149</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135,628</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65,624</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59,648</w:t>
            </w:r>
          </w:p>
        </w:tc>
        <w:tc>
          <w:tcPr>
            <w:tcW w:w="18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44,404</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41,397</w:t>
            </w:r>
          </w:p>
        </w:tc>
        <w:tc>
          <w:tcPr>
            <w:tcW w:w="18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131,219</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120,711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7,277</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6,894</w:t>
            </w:r>
          </w:p>
        </w:tc>
        <w:tc>
          <w:tcPr>
            <w:tcW w:w="18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138,496</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127,605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9,653</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8,023</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67"/>
        </w:trPr>
        <w:tc>
          <w:tcPr>
            <w:tcW w:w="6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167.47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167.54</w:t>
            </w:r>
          </w:p>
        </w:tc>
        <w:tc>
          <w:tcPr>
            <w:tcW w:w="1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323.44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331.95</w:t>
            </w:r>
          </w:p>
        </w:tc>
        <w:tc>
          <w:tcPr>
            <w:tcW w:w="1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295.74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117.21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125.18</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firstLine="8"/>
        <w:spacing w:after="0" w:line="276" w:lineRule="auto"/>
        <w:tabs>
          <w:tab w:leader="none" w:pos="192"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Owned hotel and managed condominium statistics (combined) for the six months ended January 31,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Reported EBITDA includes $1.6 million of stock-based compensation expense for both the six months ended January 31, 2019 and 2018. Lodging Reported EBITDA increased $1.6 million, or 20.3%, primarily due to the incremental operations of Triple Peaks.</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800" w:right="239" w:bottom="1440" w:gutter="0" w:footer="0" w:header="0"/>
          <w:type w:val="continuous"/>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Revenue from managed condominium rooms increased $5.6 million, or 16.8%, primarily due to incremental revenue from Crested Butte and Okemo, as well as revenue from incremental managed Tahoe lodging properties that we did not manage in the prior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Dining revenue increased $2.6 million, or 10.8%, primarily due to incremental revenue from our Okemo and Crested Butte lodging properties, as well as increased dinning revenue at our other Colorado lodging properties. Golf revenue increased $0.7 million, or 7.9%, due to higher revenue at our golf courses in Beaver Creek and at GTLC, as well as incremental revenue from our golf course at Okemo. Other revenue increased $2.9 million, or 13.4%, primarily due to incremental revenue from our lodging properties at Okemo and Crested Butte and an increase in revenue from our central reservations booking service.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8.7%. Labor and labor-related benefits increased 10.0%, primarily due to incremental labor expenses from Okemo, Crested Butte and the incremental managed Tahoe lodging properties that we did not manage in the prior year, as well as wage increases associated with our minimum wage initiatives, which were in excess of our historical minimum wage increases. General and administrative expense increased 7.8% due to higher corporate overhead costs. Other expense increased 7.3% primarily due to incremental expenses from Okemo and Crested Butte, as well as an increase in variable operating expenses.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 compared to the three months ended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2019 and 2018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10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 January 31,</w:t>
            </w:r>
          </w:p>
        </w:tc>
        <w:tc>
          <w:tcPr>
            <w:tcW w:w="640" w:type="dxa"/>
            <w:vAlign w:val="bottom"/>
          </w:tcPr>
          <w:p>
            <w:pPr>
              <w:spacing w:after="0"/>
              <w:rPr>
                <w:sz w:val="14"/>
                <w:szCs w:val="14"/>
                <w:color w:val="auto"/>
              </w:rPr>
            </w:pPr>
          </w:p>
        </w:tc>
        <w:tc>
          <w:tcPr>
            <w:tcW w:w="2040" w:type="dxa"/>
            <w:vAlign w:val="bottom"/>
          </w:tcPr>
          <w:p>
            <w:pPr>
              <w:jc w:val="center"/>
              <w:ind w:left="37"/>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7"/>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40" w:type="dxa"/>
            <w:vAlign w:val="bottom"/>
          </w:tcPr>
          <w:p>
            <w:pPr>
              <w:spacing w:after="0"/>
              <w:rPr>
                <w:sz w:val="5"/>
                <w:szCs w:val="5"/>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91.0 %</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1,389</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Real Estate operating expense</w:t>
            </w:r>
          </w:p>
        </w:tc>
        <w:tc>
          <w:tcPr>
            <w:tcW w:w="1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1,389</w:t>
            </w: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property</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56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Real Estate Reported EBITDA</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4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overhead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Reported EBITDA included a gain on sale of real property of $0.5 million for the sale of a land parcel.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$1.2 million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Six months ended January 31, 2019 compared to the six months ended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2019 and 2018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Six Months Ended January 31,</w:t>
            </w:r>
          </w:p>
        </w:tc>
        <w:tc>
          <w:tcPr>
            <w:tcW w:w="66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354</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2,759</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2,387</w:t>
            </w:r>
          </w:p>
        </w:tc>
        <w:tc>
          <w:tcPr>
            <w:tcW w:w="20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2,759</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0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$2.8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2018</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January 31, 2018, we closed on the sale of a development land parcel for $0.5 million which was recorded within Real Estate net revenue. Additionally, Real Estate Reported EBITDA included a gain on sale of real property of $0.5 million for the sale of a land parcel.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$2.4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and six months ended January 31,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6"/>
                <w:szCs w:val="6"/>
                <w:color w:val="auto"/>
              </w:rPr>
            </w:pPr>
          </w:p>
        </w:tc>
        <w:tc>
          <w:tcPr>
            <w:tcW w:w="9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6"/>
                <w:szCs w:val="6"/>
                <w:color w:val="auto"/>
              </w:rPr>
            </w:pPr>
          </w:p>
        </w:tc>
        <w:tc>
          <w:tcPr>
            <w:tcW w:w="9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(55,238)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(51,404)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(106,281)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5"/>
              </w:rPr>
              <w:t>(100,028)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3360" w:type="dxa"/>
            <w:vAlign w:val="bottom"/>
          </w:tcPr>
          <w:p>
            <w:pPr>
              <w:ind w:left="40"/>
              <w:spacing w:after="0"/>
              <w:rPr>
                <w:sz w:val="20"/>
                <w:szCs w:val="20"/>
                <w:color w:val="auto"/>
              </w:rPr>
            </w:pPr>
            <w:r>
              <w:rPr>
                <w:rFonts w:ascii="Arial" w:cs="Arial" w:eastAsia="Arial" w:hAnsi="Arial"/>
                <w:sz w:val="18"/>
                <w:szCs w:val="18"/>
                <w:color w:val="auto"/>
                <w:w w:val="91"/>
              </w:rPr>
              <w:t>Foreign currency gain (loss) on intercompany</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0"/>
              <w:spacing w:after="0"/>
              <w:rPr>
                <w:sz w:val="20"/>
                <w:szCs w:val="20"/>
                <w:color w:val="auto"/>
              </w:rPr>
            </w:pPr>
            <w:r>
              <w:rPr>
                <w:rFonts w:ascii="Arial" w:cs="Arial" w:eastAsia="Arial" w:hAnsi="Arial"/>
                <w:sz w:val="18"/>
                <w:szCs w:val="18"/>
                <w:color w:val="auto"/>
              </w:rPr>
              <w:t>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450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10,337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(1,861)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2,991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(21,002)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(15,973)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(39,640)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(31,147)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(Provision) benefit from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(63,973)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(3,594)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1,680.0 %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(27,568)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89,810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130.7 %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 (expense) benefit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21.3 pts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91.2 pts</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for the three and six months ended January 31, 2019 increased $3.8 million and $6.3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compared to the same period in the prior year, primarily due to assets acquired in the Stevens Pass and Triple Peaks acquisitions.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gain (loss) on intercompany loans. </w:t>
      </w:r>
      <w:r>
        <w:rPr>
          <w:rFonts w:ascii="Arial" w:cs="Arial" w:eastAsia="Arial" w:hAnsi="Arial"/>
          <w:sz w:val="18"/>
          <w:szCs w:val="18"/>
          <w:color w:val="auto"/>
        </w:rPr>
        <w:t>Foreign currency gain (loss) on intercompany loans for the three and six months ended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decreased $9.9 million and $4.9 million, respectively, and was 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three and six months ended January 31, 2019 increased $5.0 million and $8.5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the prior year, primarily due to interest expense associated with incremental term loan borrowings under the Vail Holdings Credit Agreement of $265.6 million, which were used to fund the Stevens Pass and Triple Peaks acquisitions, as well as an increase in interest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The effective tax rate (provision) benefit for the three and six months ended January 31, 2019 was (22.7%) and</w:t>
      </w:r>
      <w:r>
        <w:rPr>
          <w:rFonts w:ascii="Arial" w:cs="Arial" w:eastAsia="Arial" w:hAnsi="Arial"/>
          <w:sz w:val="18"/>
          <w:szCs w:val="18"/>
          <w:i w:val="1"/>
          <w:iCs w:val="1"/>
          <w:color w:val="auto"/>
        </w:rPr>
        <w:t xml:space="preserve"> </w:t>
      </w:r>
      <w:r>
        <w:rPr>
          <w:rFonts w:ascii="Arial" w:cs="Arial" w:eastAsia="Arial" w:hAnsi="Arial"/>
          <w:sz w:val="18"/>
          <w:szCs w:val="18"/>
          <w:color w:val="auto"/>
        </w:rPr>
        <w:t>(20.4%), respectively, compared to (1.4%) and 70.8%, respectively, for the three and six months ended January 31, 2018. The interim period effective tax rate is primarily driven by (i) anticipated pre-tax book income for the full fiscal year, adjusted for items that are deductible/non-deductible for tax purposes only (i.e., permanent items), (ii) excess tax benefits from employee share awards and enacted tax legislation, which are both recorded as discrete items, (iii) taxable income generated by state and foreign jurisdictions that varies from anticipated consolidated pre-tax book income and (iv) the amount of net income attributable to noncontrolling interests.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 in the effective tax rate provision during the three and six months ended January 31, 2019 compared to the three and six months ended January 31, 2018 was primarily due to a one-time, provisional net tax benefit of approximately $64.6 million recorded during the three and six months ended January 31, 2018 as a result of the Tax Act, as well as a reduction in excess tax benefits from employee share awards that were exercised (stock appreciation awards) and that vested (restricted stock awards), which are recorded within (provision) benefit from income taxes on the Company’s Consolidated Condensed Statements of Operations. Excess tax benefits totaled $4.7 million and $53.1 million, respectively, for the six months ended January 31,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6"/>
                <w:szCs w:val="16"/>
                <w:color w:val="auto"/>
              </w:rPr>
            </w:pPr>
          </w:p>
        </w:tc>
        <w:tc>
          <w:tcPr>
            <w:tcW w:w="254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6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352,225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275,818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246,825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2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5,757</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9,653</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8,023</w:t>
            </w:r>
          </w:p>
        </w:tc>
      </w:tr>
      <w:tr>
        <w:trPr>
          <w:trHeight w:val="27"/>
        </w:trPr>
        <w:tc>
          <w:tcPr>
            <w:tcW w:w="5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357,982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285,471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254,848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(1,133)</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(2,405)</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5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356,849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283,066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253,235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(55,238)</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(106,281)</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(100,028)</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disposal of fixed assets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2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(1,861)</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2,991</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(21,002)</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(39,640)</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(31,147)</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281,963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252,267</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134,832</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126,936</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(63,973)</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(27,568)</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89,810</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217,990</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248,673</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107,264</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216,746</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(11,641)</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(8,710)</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206,349</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235,691</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98,554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207,306</w:t>
            </w:r>
          </w:p>
        </w:tc>
      </w:tr>
      <w:tr>
        <w:trPr>
          <w:trHeight w:val="27"/>
        </w:trPr>
        <w:tc>
          <w:tcPr>
            <w:tcW w:w="5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Debt to long-term debt, net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January 31,</w:t>
            </w:r>
          </w:p>
        </w:tc>
        <w:tc>
          <w:tcPr>
            <w:tcW w:w="12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1,345,262</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1,182,349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48,493</w:t>
            </w: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38,433</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1,393,755</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1,220,782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158,561</w:t>
            </w: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235,460</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3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1,235,194</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985,322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540" w:type="dxa"/>
            <w:vAlign w:val="bottom"/>
          </w:tcPr>
          <w:p>
            <w:pPr>
              <w:jc w:val="right"/>
              <w:ind w:right="177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2019 and 2018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8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506,181</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433,748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(404,324)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(81,765)</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(105,011)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(222,148)</w:t>
            </w:r>
          </w:p>
        </w:tc>
      </w:tr>
      <w:tr>
        <w:trPr>
          <w:trHeight w:val="27"/>
        </w:trPr>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2019 compared to the six months ended January 31, 2018</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generated $506.2 million of cash from operating activities during the six months ended January 31, 2019, an increase of $72.5 million compared to $433.7 million of cash generated during the six months ended January 31, 2018. The increase in operating cash flows was primarily a result of increased North American pass sales for the 2018/2019 North American ski season compared to the 2017/2018 North American ski season, of which only a portion has been reflected as lift revenue in operating results, as well as improved Mountain and Lodging segment operating results for the six months ended January 31, 2019 compared to the six months ended January 31, 2018 and an increase in accounts payable. These increases were partially offset by an increase in estimated foreign tax payments, as well as an increase in cash interest payments primarily associated with incremental term loan borrowings under our Vail Holdings Credit Agreement.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for the six months ended January 31, 2018 increased by $322.6 million primarily due to cash payments related to the acquisitions of Triple Peaks and Stevens Pass during the six months ended January 31, 2019 of $292.6 million, net of cash acquired, as well as an increase in capital expenditures of $26.2 million during the six months ended January 31, 2019 compared to the six months ended January 31,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decreased by $117.1 million during the six months ended January 31, 2019, compared to the six months ended January 31, 2018, primarily due to proceeds from incremental borrowings under the term loan portion of our Vail Holdings Credit Agreement of $265.6 million, which was used to fund the Triple Peaks and Stevens Pass acquisitions. Additionally, cash payments for employee taxes related to exercises of share awards decreased by $60.0 million and net proceeds from borrowings under our Whistler Credit Agreement increased by $13.7 million. These increases were partially offset by an increase in net payments under the revolver portion of our Vail Holdings Credit Agreement, repurchases of common stock of approximately $85.0 million and an increase in dividends paid of $33.5 million during the six months ended January 31, 2019 compared to the six months ended January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$158.6 million of cash and cash equivalents as of January 31, 2019, compared to $235.5 million as of January 31, 2018.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$158.6 million of cash and cash equivalents at January 31, 2019, we had $317.9 million available under the revolver component of our Vail Holdings Credit Agreement as of January 31, 2019 (which represents the total commitment of $400.0 million less certain letters of credit outstanding of $82.1 million). Additionally, we had C$219.1 million ($166.8 million) available under the revolver component of our Whistler Credit Agreement (which represents the total commitment of C$300.0 million ($228.4 million) less outstanding borrowings of C$80.0 million ($60.9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1.25% and Bankers Acceptance Rate plus 1.75%,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$139 million to $143 million on resort capital expenditures during calendar year 2019, excluding one-time items associated with integrations, the one-time Triple Peaks and Stevens Pass transformation plan, summer capital, real estate related capital and reimbursable investments. We expect that our total capital plan will be approximately $180 million to $185 million, including items noted above for integration and acquisitions, summer capital, real estate related projects and approximately $13 million of reimbursable investments associated with insurance recoveries and tenant improvements. Included in these estimated capital expenditures are approximately $85 million to $90 million of maintenance capital expenditures, which are necessary to maintain appearance and level of service appropriate to our resort operations. Discretionary expenditures for calendar year 2019 include, among other projects, significant investments in our snowmaking systems in Colorado that will transform the early-season terrain experience at Vail, Keystone and Beaver Creek; technology investments to increase lift ticket express fulfillment capacity through new mobile technology across our 17 North American Resorts to allow skiers and snowboarders who purchased tickets in advance to bypass the ticket window entirely; and a new permanent Tombstone BBQ restaurant at Park City. We also plan to make significant one-time investments across the recently acquired resorts of Crested Butte, Okemo, Mount Sunapee and Stevens Pass, which will include replacing and upgrading the Daisy and Brooks lifts at Stevens Pass and the Teocalli Lift at Crested Butte and on-mountain restaurant upgrades at Okemo. We plan to spend approximately $14 million in the first phase of a two-year, $35 million investment program for these newly acquired resorts. Additionally, we plan to spend approximately $7 million in capital for the integration of Triple Peaks and Stevens Pass. Investments in additional summer activities will be approximately $4 million in calendar year 2019 as we complete work on a major zip line at Breckenridge. The calendar year 2019 capital plan also includes $3 million of investment related to our sustainability commitment focused on energy efficiency opportunities in snowmaking as well as other electrical and lighting applications. We currently plan to utilize cash on hand, borrowings available under our credit agreements and/or cash flow generated from future operations to provide the cash necessary to complete our capital plans.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Stevens Pass, Okemo, Mount Sunapee and Crested Butte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15, 2018, we borrowed $70.0 million under the term loan of our Vail Holdings Credit Agreement, primarily to fund the acquisition of Stevens Pass, which was acquired for a cash purchase price of $64.0 million. On September 27, 2018, we acquired Triple Peaks for a cash purchase price of approximately $74.1 million, after adjustments for certain agreed-upon terms. In addition, contemporaneous with the closing of the transaction, Triple Peaks paid $155.0 million to pay the remaining obligations for the leases that all three resorts had with Ski Resort Holdings, with funds provided by the Company. Accordingly, the total purchase price, including repayment of lease obligations, was $229.1 million, for which we utilized cash on hand and borrowed $195.6 million under the term loan of our Vail Holdings Credit Agreement to fund the transaction and associated acquisition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January 31, 2019, principal payments on the majority of our long-term debt ($1,179.1 million of the total $1,397.6 million debt outstanding as of January 31, 2019) are not due until fiscal 2024 and beyond. As of January 31, 2019 and 2018, total long-term debt, net (including long-term debt due within one year) was $1,393.8 million and $1,220.8 million, respectively. Net Debt (defined as long-term debt, net plus long-term debt due within one year less cash and cash equivalents) increased from $985.3 million as of January 31, 2018 to $1,235.2 million as of January 31, 2019, primarily due to incremental borrowings outstanding under the term loan of our Vail Holdings Credit Agreement, as discussed above. On August 15, 2018, we amended and restated in its entirety our Vail Holdings Credit Agreement, which provides for (i) a revolving loan facility in an aggregate principal amount of $400.0 million and (ii) a term loan facility in an aggregate principal amount of up to $950.0 million. Additionally, key modifications to the Vail Holdings Credit Agreement included, among other things, the extension of the maturity date on the revolving credit facility to August 2023. During the three months ended January 31, 2019, we entered into an amendment of the Whistler Credit Agreement which extended the maturity date of the revolving credit facility to December 2023. No other material terms of the Whistler Credit Agreement were altered. We expect that our liquidity needs in the near term will be met by continued use of operating cash flows and borrowings under both the Vail Holdings Credit Agreement and Whistler Credit Agreement.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debt service requirements can be impacted by changing interest rates as we had approximately $1.1 billion of variable-rate debt outstanding as of January 31, 2019. A 100-basis point change in our borrowing rates would cause our annual interest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to change by approximately $10.5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2019, our Board of Directors approved a 20% increase to our quarterly cash dividend to $1.76 per share (or approximately $70.8 million per quarter based upon shares outstanding as of January 31, 2019). For the six months ended January 31, 2019, we paid cash dividends of $2.94 per share ($118.7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six months ended January 31, 2019, we repurchased 353,007 Vail Shares (at a total cost of approximately $85.0 million). We did not repurchase any Vail Shares during the six months ended January 31, 2018. Since inception of this stock repurchase program through January 31, 2019, we have repurchased 5,904,723 Vail Shares at a cost of approximately $358.0 million. As of January 31, 2019, 1,595,277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2019. We expect that we will meet all applicable financial maintenance covenants in our credit agreements throughout the fiscal year ending July 31, 2019.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obtaining governmental or third party approvals and the timing of closing for the pending acquisition of the Falls Creek and Hotham resorts;</w:t>
      </w: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color w:val="auto"/>
        </w:rPr>
      </w:pPr>
    </w:p>
    <w:p>
      <w:pPr>
        <w:ind w:left="8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Okemo, Crested Butte, Stevens Pass, Mount Sunapee or future acquisitions;</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tabs>
          <w:tab w:leader="none" w:pos="82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accounting judgments and estimates, accounting principles, policies or guidelines or adverse determinations by taxing authorities;</w:t>
      </w:r>
    </w:p>
    <w:p>
      <w:pPr>
        <w:spacing w:after="0" w:line="32" w:lineRule="exact"/>
        <w:rPr>
          <w:rFonts w:ascii="Arial" w:cs="Arial" w:eastAsia="Arial" w:hAnsi="Arial"/>
          <w:sz w:val="16"/>
          <w:szCs w:val="16"/>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uncertainty of the impact of recently enacted tax reform legislation in the United States;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market risk is limited primarily to the fluctuating interest rates associated with variable rate indebtedness.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31, 2019, we had approximately $1.1 billion of variable rate indebtedness, representing approximately 75.2% of our total debt outstanding, at an average interest rate during the three and six months ended January 31, 2019 of 3.9% and 3.6%, respectively. Based on variable-rate borrowings outstanding as of January 31, 2019, a 100-basis point (or 1.0%) change in our borrowing rates would result in our annual interest payments changing by approximately $10.5 million. Our market risk exposure fluctuates based on changes in underlying interest rates.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gain on intercompany loans recognized, in comprehensive income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(14,773)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(1,861)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2,991</w:t>
            </w:r>
          </w:p>
        </w:tc>
      </w:tr>
      <w:tr>
        <w:trPr>
          <w:trHeight w:val="34"/>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2019, depending on permits and weather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28, 2018, as of and for the year ended July 31, 2018.</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January 31, 2019, 56,895 Exchangeco Shares had not yet been exchanged into Vail Shares.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second quarter of fiscal 2019:</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600" w:type="dxa"/>
            <w:vAlign w:val="bottom"/>
          </w:tcPr>
          <w:p>
            <w:pPr>
              <w:jc w:val="right"/>
              <w:ind w:right="1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4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Period</w:t>
            </w:r>
          </w:p>
        </w:tc>
        <w:tc>
          <w:tcPr>
            <w:tcW w:w="242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6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Plans or Programs (1)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 2018 - November 30, 2018</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1,750,388</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December 1, 2018 - December 31, 2018</w:t>
            </w:r>
          </w:p>
        </w:tc>
        <w:tc>
          <w:tcPr>
            <w:tcW w:w="2420" w:type="dxa"/>
            <w:vAlign w:val="bottom"/>
          </w:tcPr>
          <w:p>
            <w:pPr>
              <w:jc w:val="right"/>
              <w:ind w:right="76"/>
              <w:spacing w:after="0"/>
              <w:rPr>
                <w:sz w:val="20"/>
                <w:szCs w:val="20"/>
                <w:color w:val="auto"/>
              </w:rPr>
            </w:pPr>
            <w:r>
              <w:rPr>
                <w:rFonts w:ascii="Arial" w:cs="Arial" w:eastAsia="Arial" w:hAnsi="Arial"/>
                <w:sz w:val="18"/>
                <w:szCs w:val="18"/>
                <w:color w:val="auto"/>
              </w:rPr>
              <w:t>155,111</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225.64</w:t>
            </w:r>
          </w:p>
        </w:tc>
        <w:tc>
          <w:tcPr>
            <w:tcW w:w="1680" w:type="dxa"/>
            <w:vAlign w:val="bottom"/>
          </w:tcPr>
          <w:p>
            <w:pPr>
              <w:jc w:val="right"/>
              <w:ind w:right="99"/>
              <w:spacing w:after="0"/>
              <w:rPr>
                <w:sz w:val="20"/>
                <w:szCs w:val="20"/>
                <w:color w:val="auto"/>
              </w:rPr>
            </w:pPr>
            <w:r>
              <w:rPr>
                <w:rFonts w:ascii="Arial" w:cs="Arial" w:eastAsia="Arial" w:hAnsi="Arial"/>
                <w:sz w:val="18"/>
                <w:szCs w:val="18"/>
                <w:color w:val="auto"/>
              </w:rPr>
              <w:t>155,111</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1,595,277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2019 - January 31, 2019</w:t>
            </w:r>
          </w:p>
        </w:tc>
        <w:tc>
          <w:tcPr>
            <w:tcW w:w="2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1,595,277</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155,111</w:t>
            </w:r>
          </w:p>
        </w:tc>
        <w:tc>
          <w:tcPr>
            <w:tcW w:w="4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225.64</w:t>
            </w:r>
          </w:p>
        </w:tc>
        <w:tc>
          <w:tcPr>
            <w:tcW w:w="16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155,111</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1,595,277</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60" w:right="80" w:hanging="451"/>
        <w:spacing w:after="0" w:line="255"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and 1,500,000 Vail Shares (December 4, 2015), for a total authorization to repurchase up to 7,500,000 Vail Shares. As of January 31, 2019, 1,595,277 Vail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20" w:type="dxa"/>
            <w:vAlign w:val="bottom"/>
          </w:tcPr>
          <w:p>
            <w:pPr>
              <w:spacing w:after="0"/>
              <w:rPr>
                <w:sz w:val="14"/>
                <w:szCs w:val="14"/>
                <w:color w:val="auto"/>
              </w:rPr>
            </w:pPr>
          </w:p>
        </w:tc>
        <w:tc>
          <w:tcPr>
            <w:tcW w:w="60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20" w:type="dxa"/>
            <w:vAlign w:val="bottom"/>
          </w:tcPr>
          <w:p>
            <w:pPr>
              <w:spacing w:after="0"/>
              <w:rPr>
                <w:sz w:val="16"/>
                <w:szCs w:val="16"/>
                <w:color w:val="auto"/>
              </w:rPr>
            </w:pPr>
          </w:p>
        </w:tc>
        <w:tc>
          <w:tcPr>
            <w:tcW w:w="6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Fourth Amending Agreement, dated as of November 30, 2018, among Whistler Mountain Resort Limited Partnership and Blackcomb</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Skiing Enterprises Limited Partnership, as borrowers, the Guarantors Party thereto, and The Toronto-Dominion Bank, as administrative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92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agent., on its own behalf and on behalf of the Lenders.</w:t>
              </w:r>
            </w:hyperlink>
          </w:p>
        </w:tc>
        <w:tc>
          <w:tcPr>
            <w:tcW w:w="6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8"/>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right="20" w:hanging="1385"/>
        <w:spacing w:after="0" w:line="272" w:lineRule="auto"/>
        <w:tabs>
          <w:tab w:leader="none" w:pos="1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six months ended January 31, 2019 formatted in eXtensible Business Reporting Language: (i) Unaudited Consolidated Condensed Balance Sheets as of January 31, 2019, July 31, 2018 and January 31, 2018; (ii) Unaudited Consolidated Condensed Statements of Operations for the three and six months ended January 31, 2019 and 2018; (iii) Unaudited Consolidated Condensed Statements of Comprehensive Income for the three and six months ended January 31, 2019 and 2018; (iv) Unaudited Consolidated Condensed Statements of Stockholders’ Equity for the six months ended January 31, 2019 and 2018; (v) Unaudited Consolidated Condensed Statements of Cash Flows for the six months ended January 31, 2019 and 2018; and (vi) Notes to the Consolidated Condensed Financial Statements.</w:t>
      </w:r>
    </w:p>
    <w:p>
      <w:pPr>
        <w:sectPr>
          <w:pgSz w:w="11900" w:h="16838" w:orient="portrait"/>
          <w:cols w:equalWidth="0" w:num="1">
            <w:col w:w="11400"/>
          </w:cols>
          <w:pgMar w:left="240" w:top="742" w:right="2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742" w:right="259" w:bottom="1440" w:gutter="0" w:footer="0" w:header="0"/>
          <w:type w:val="continuous"/>
        </w:sectPr>
      </w:pPr>
    </w:p>
    <w:bookmarkStart w:id="44" w:name="page45"/>
    <w:bookmarkEnd w:id="4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March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March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580"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AMENDING AGREEMENT</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 xml:space="preserve">THIS FOURTH AMENDING AGREEMENT </w:t>
      </w:r>
      <w:r>
        <w:rPr>
          <w:rFonts w:ascii="Arial" w:cs="Arial" w:eastAsia="Arial" w:hAnsi="Arial"/>
          <w:sz w:val="20"/>
          <w:szCs w:val="20"/>
          <w:color w:val="auto"/>
        </w:rPr>
        <w:t>(the “</w:t>
      </w:r>
      <w:r>
        <w:rPr>
          <w:rFonts w:ascii="Arial" w:cs="Arial" w:eastAsia="Arial" w:hAnsi="Arial"/>
          <w:sz w:val="20"/>
          <w:szCs w:val="20"/>
          <w:b w:val="1"/>
          <w:bCs w:val="1"/>
          <w:color w:val="auto"/>
        </w:rPr>
        <w:t>Amendment</w:t>
      </w:r>
      <w:r>
        <w:rPr>
          <w:rFonts w:ascii="Arial" w:cs="Arial" w:eastAsia="Arial" w:hAnsi="Arial"/>
          <w:sz w:val="20"/>
          <w:szCs w:val="20"/>
          <w:color w:val="auto"/>
        </w:rPr>
        <w:t>”) is dated as of November 30, 2018 and is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Whistler Mountain Resort Limited Partnership (“</w:t>
      </w:r>
      <w:r>
        <w:rPr>
          <w:rFonts w:ascii="Arial" w:cs="Arial" w:eastAsia="Arial" w:hAnsi="Arial"/>
          <w:sz w:val="20"/>
          <w:szCs w:val="20"/>
          <w:b w:val="1"/>
          <w:bCs w:val="1"/>
          <w:color w:val="auto"/>
        </w:rPr>
        <w:t>Whistler LP</w:t>
      </w:r>
      <w:r>
        <w:rPr>
          <w:rFonts w:ascii="Arial" w:cs="Arial" w:eastAsia="Arial" w:hAnsi="Arial"/>
          <w:sz w:val="20"/>
          <w:szCs w:val="20"/>
          <w:color w:val="auto"/>
        </w:rPr>
        <w:t>”), by its general partner, Whistler Blackcomb Holdings Inc. (the “</w:t>
      </w:r>
      <w:r>
        <w:rPr>
          <w:rFonts w:ascii="Arial" w:cs="Arial" w:eastAsia="Arial" w:hAnsi="Arial"/>
          <w:sz w:val="20"/>
          <w:szCs w:val="20"/>
          <w:b w:val="1"/>
          <w:bCs w:val="1"/>
          <w:color w:val="auto"/>
        </w:rPr>
        <w:t>Parent GP</w:t>
      </w:r>
      <w:r>
        <w:rPr>
          <w:rFonts w:ascii="Arial" w:cs="Arial" w:eastAsia="Arial" w:hAnsi="Arial"/>
          <w:sz w:val="20"/>
          <w:szCs w:val="20"/>
          <w:color w:val="auto"/>
        </w:rPr>
        <w:t>”), and Blackcomb Skiing Enterprises Limited Partnership (“</w:t>
      </w:r>
      <w:r>
        <w:rPr>
          <w:rFonts w:ascii="Arial" w:cs="Arial" w:eastAsia="Arial" w:hAnsi="Arial"/>
          <w:sz w:val="20"/>
          <w:szCs w:val="20"/>
          <w:b w:val="1"/>
          <w:bCs w:val="1"/>
          <w:color w:val="auto"/>
        </w:rPr>
        <w:t>Blackcomb LP</w:t>
      </w:r>
      <w:r>
        <w:rPr>
          <w:rFonts w:ascii="Arial" w:cs="Arial" w:eastAsia="Arial" w:hAnsi="Arial"/>
          <w:sz w:val="20"/>
          <w:szCs w:val="20"/>
          <w:color w:val="auto"/>
        </w:rPr>
        <w:t>” and together with Whistler LP, the “</w:t>
      </w:r>
      <w:r>
        <w:rPr>
          <w:rFonts w:ascii="Arial" w:cs="Arial" w:eastAsia="Arial" w:hAnsi="Arial"/>
          <w:sz w:val="20"/>
          <w:szCs w:val="20"/>
          <w:b w:val="1"/>
          <w:bCs w:val="1"/>
          <w:color w:val="auto"/>
        </w:rPr>
        <w:t>Borrowers</w:t>
      </w:r>
      <w:r>
        <w:rPr>
          <w:rFonts w:ascii="Arial" w:cs="Arial" w:eastAsia="Arial" w:hAnsi="Arial"/>
          <w:sz w:val="20"/>
          <w:szCs w:val="20"/>
          <w:color w:val="auto"/>
        </w:rPr>
        <w:t>”), by its general partner, Parent GP, the guarantors party hereto, the Continuing Lenders (as defined below) and The Toronto-Dominion Bank, as administrative agent (the “</w:t>
      </w: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185"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Borrowers, the lenders from time to 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the guarantors from time to time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thereto (the “</w:t>
      </w:r>
      <w:r>
        <w:rPr>
          <w:rFonts w:ascii="Arial" w:cs="Arial" w:eastAsia="Arial" w:hAnsi="Arial"/>
          <w:sz w:val="19"/>
          <w:szCs w:val="19"/>
          <w:b w:val="1"/>
          <w:bCs w:val="1"/>
          <w:color w:val="auto"/>
        </w:rPr>
        <w:t>Guarantors</w:t>
      </w:r>
      <w:r>
        <w:rPr>
          <w:rFonts w:ascii="Arial" w:cs="Arial" w:eastAsia="Arial" w:hAnsi="Arial"/>
          <w:sz w:val="19"/>
          <w:szCs w:val="19"/>
          <w:color w:val="auto"/>
        </w:rPr>
        <w:t>”) and the Administrative Agent are parties to an Amended and Restated Credit Agreement dated as of November 12, 2013, as amended by a First Amending Agreement dated as of October 30, 2014, a Second Amending Agreement and Waiver dated as of October 14, 2016 and a Third Amending Agreement dated as of February 13, 2017 (as amended, restated, amended and restated, supplemented, extended or otherwise modified to but excluding the date hereof, the “</w:t>
      </w:r>
      <w:r>
        <w:rPr>
          <w:rFonts w:ascii="Arial" w:cs="Arial" w:eastAsia="Arial" w:hAnsi="Arial"/>
          <w:sz w:val="19"/>
          <w:szCs w:val="19"/>
          <w:b w:val="1"/>
          <w:bCs w:val="1"/>
          <w:color w:val="auto"/>
        </w:rPr>
        <w:t>Credit Agreement</w:t>
      </w:r>
      <w:r>
        <w:rPr>
          <w:rFonts w:ascii="Arial" w:cs="Arial" w:eastAsia="Arial" w:hAnsi="Arial"/>
          <w:sz w:val="19"/>
          <w:szCs w:val="19"/>
          <w:color w:val="auto"/>
        </w:rPr>
        <w:t>”);</w:t>
      </w:r>
    </w:p>
    <w:p>
      <w:pPr>
        <w:spacing w:after="0" w:line="171" w:lineRule="exact"/>
        <w:rPr>
          <w:sz w:val="20"/>
          <w:szCs w:val="20"/>
          <w:color w:val="auto"/>
        </w:rPr>
      </w:pPr>
    </w:p>
    <w:p>
      <w:pPr>
        <w:jc w:val="both"/>
        <w:ind w:right="20" w:firstLine="1297"/>
        <w:spacing w:after="0" w:line="267" w:lineRule="auto"/>
        <w:rPr>
          <w:sz w:val="20"/>
          <w:szCs w:val="20"/>
          <w:color w:val="auto"/>
        </w:rPr>
      </w:pPr>
      <w:r>
        <w:rPr>
          <w:rFonts w:ascii="Arial" w:cs="Arial" w:eastAsia="Arial" w:hAnsi="Arial"/>
          <w:sz w:val="20"/>
          <w:szCs w:val="20"/>
          <w:b w:val="1"/>
          <w:bCs w:val="1"/>
          <w:color w:val="auto"/>
        </w:rPr>
        <w:t xml:space="preserve">AND WHEREAS </w:t>
      </w:r>
      <w:r>
        <w:rPr>
          <w:rFonts w:ascii="Arial" w:cs="Arial" w:eastAsia="Arial" w:hAnsi="Arial"/>
          <w:sz w:val="20"/>
          <w:szCs w:val="20"/>
          <w:color w:val="auto"/>
        </w:rPr>
        <w:t>the Borrowers have submitted an extension request (the “</w:t>
      </w:r>
      <w:r>
        <w:rPr>
          <w:rFonts w:ascii="Arial" w:cs="Arial" w:eastAsia="Arial" w:hAnsi="Arial"/>
          <w:sz w:val="20"/>
          <w:szCs w:val="20"/>
          <w:b w:val="1"/>
          <w:bCs w:val="1"/>
          <w:color w:val="auto"/>
        </w:rPr>
        <w:t>Extension Request</w:t>
      </w:r>
      <w:r>
        <w:rPr>
          <w:rFonts w:ascii="Arial" w:cs="Arial" w:eastAsia="Arial" w:hAnsi="Arial"/>
          <w:sz w:val="20"/>
          <w:szCs w:val="20"/>
          <w:color w:val="auto"/>
        </w:rPr>
        <w:t>”) to extend the Maturity Date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Credit Agreement to December 15, 2023 (the “</w:t>
      </w:r>
      <w:r>
        <w:rPr>
          <w:rFonts w:ascii="Arial" w:cs="Arial" w:eastAsia="Arial" w:hAnsi="Arial"/>
          <w:sz w:val="20"/>
          <w:szCs w:val="20"/>
          <w:b w:val="1"/>
          <w:bCs w:val="1"/>
          <w:color w:val="auto"/>
        </w:rPr>
        <w:t>New Maturity Date</w:t>
      </w:r>
      <w:r>
        <w:rPr>
          <w:rFonts w:ascii="Arial" w:cs="Arial" w:eastAsia="Arial" w:hAnsi="Arial"/>
          <w:sz w:val="20"/>
          <w:szCs w:val="20"/>
          <w:color w:val="auto"/>
        </w:rPr>
        <w:t>”);</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AND WHEREAS </w:t>
      </w:r>
      <w:r>
        <w:rPr>
          <w:rFonts w:ascii="Arial" w:cs="Arial" w:eastAsia="Arial" w:hAnsi="Arial"/>
          <w:sz w:val="20"/>
          <w:szCs w:val="20"/>
          <w:color w:val="auto"/>
        </w:rPr>
        <w:t>pursuant to Section 18.01 of the Credit Agreement, the Extension Request requires the approval of all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affected Lenders;</w:t>
      </w:r>
    </w:p>
    <w:p>
      <w:pPr>
        <w:spacing w:after="0" w:line="164"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one of the Lenders, Raymond James Finance Company of Canada Ltd. (the “</w:t>
      </w:r>
      <w:r>
        <w:rPr>
          <w:rFonts w:ascii="Arial" w:cs="Arial" w:eastAsia="Arial" w:hAnsi="Arial"/>
          <w:sz w:val="18"/>
          <w:szCs w:val="18"/>
          <w:b w:val="1"/>
          <w:bCs w:val="1"/>
          <w:color w:val="auto"/>
        </w:rPr>
        <w:t>Exiting Lender</w:t>
      </w:r>
      <w:r>
        <w:rPr>
          <w:rFonts w:ascii="Arial" w:cs="Arial" w:eastAsia="Arial" w:hAnsi="Arial"/>
          <w:sz w:val="18"/>
          <w:szCs w:val="18"/>
          <w:color w:val="auto"/>
        </w:rPr>
        <w:t>”), has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assign in full its $20,000,000 Commitment under the Credit Agreement, and two of the Lenders, HSBC Bank Canada and Fédération des caisses Desjardins du Québec, have each agreed to acquire and assume $10,000,000 of the Exiting Lender’s Commitment, a corresponding portion of the Accommodations Outstanding and the Exiting Lender's rights and obligations under the Credit Agreement, in each case pursuant to Assignment and Assumptions in the form contemplated by the Credit Agreement (the “</w:t>
      </w:r>
      <w:r>
        <w:rPr>
          <w:rFonts w:ascii="Arial" w:cs="Arial" w:eastAsia="Arial" w:hAnsi="Arial"/>
          <w:sz w:val="18"/>
          <w:szCs w:val="18"/>
          <w:b w:val="1"/>
          <w:bCs w:val="1"/>
          <w:color w:val="auto"/>
        </w:rPr>
        <w:t>Exiting Lender Assignments and Assumptions</w:t>
      </w:r>
      <w:r>
        <w:rPr>
          <w:rFonts w:ascii="Arial" w:cs="Arial" w:eastAsia="Arial" w:hAnsi="Arial"/>
          <w:sz w:val="18"/>
          <w:szCs w:val="18"/>
          <w:color w:val="auto"/>
        </w:rPr>
        <w:t>”);</w:t>
      </w:r>
    </w:p>
    <w:p>
      <w:pPr>
        <w:spacing w:after="0" w:line="15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AND WHEREAS </w:t>
      </w:r>
      <w:r>
        <w:rPr>
          <w:rFonts w:ascii="Arial" w:cs="Arial" w:eastAsia="Arial" w:hAnsi="Arial"/>
          <w:sz w:val="20"/>
          <w:szCs w:val="20"/>
          <w:color w:val="auto"/>
        </w:rPr>
        <w:t>the parties hereto wish to amend the Credit Agreement to reflect the New Maturity Date and the revised</w:t>
      </w:r>
      <w:r>
        <w:rPr>
          <w:rFonts w:ascii="Arial" w:cs="Arial" w:eastAsia="Arial" w:hAnsi="Arial"/>
          <w:sz w:val="20"/>
          <w:szCs w:val="20"/>
          <w:b w:val="1"/>
          <w:bCs w:val="1"/>
          <w:color w:val="auto"/>
        </w:rPr>
        <w:t xml:space="preserve"> </w:t>
      </w:r>
      <w:r>
        <w:rPr>
          <w:rFonts w:ascii="Arial" w:cs="Arial" w:eastAsia="Arial" w:hAnsi="Arial"/>
          <w:sz w:val="20"/>
          <w:szCs w:val="20"/>
          <w:color w:val="auto"/>
        </w:rPr>
        <w:t>allocation of the Commitments among the Lenders that will be party to the Credit Agreement after giving effect to the Exiting Lender Assignments and Assumptions (the “</w:t>
      </w:r>
      <w:r>
        <w:rPr>
          <w:rFonts w:ascii="Arial" w:cs="Arial" w:eastAsia="Arial" w:hAnsi="Arial"/>
          <w:sz w:val="20"/>
          <w:szCs w:val="20"/>
          <w:b w:val="1"/>
          <w:bCs w:val="1"/>
          <w:color w:val="auto"/>
        </w:rPr>
        <w:t>Continuing Lenders</w:t>
      </w:r>
      <w:r>
        <w:rPr>
          <w:rFonts w:ascii="Arial" w:cs="Arial" w:eastAsia="Arial" w:hAnsi="Arial"/>
          <w:sz w:val="20"/>
          <w:szCs w:val="20"/>
          <w:color w:val="auto"/>
        </w:rPr>
        <w:t>”), as of the date on which all conditions to the effectiveness of this Amendment have been satisfied;</w:t>
      </w:r>
    </w:p>
    <w:p>
      <w:pPr>
        <w:spacing w:after="0" w:line="18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and sufficiency of which are hereby acknowledged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the parties hereto hereby agree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used in this Amendment and not otherwise defined herein shall have the meanings ascribed to them in the Credit Agreement.</w:t>
      </w:r>
    </w:p>
    <w:p>
      <w:pPr>
        <w:sectPr>
          <w:pgSz w:w="11900" w:h="16838" w:orient="portrait"/>
          <w:cols w:equalWidth="0" w:num="1">
            <w:col w:w="11420"/>
          </w:cols>
          <w:pgMar w:left="240" w:top="589"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CREDIT AGREEMENT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Subject to the satisfaction of each of the conditions set forth in this Amendment, and in reliance on the representations, warranties and agreements contained in this Amendment, the Credit Agreement is hereby amended as follows: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Definition of Maturity Date</w:t>
      </w:r>
    </w:p>
    <w:p>
      <w:pPr>
        <w:spacing w:after="0" w:line="22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Section 1.01 of the Credit Agreement is hereby amended by deleting the definition of “Maturity Date” in its entirety and replacing it with the following:</w:t>
      </w:r>
    </w:p>
    <w:p>
      <w:pPr>
        <w:spacing w:after="0" w:line="171" w:lineRule="exact"/>
        <w:rPr>
          <w:sz w:val="20"/>
          <w:szCs w:val="20"/>
          <w:color w:val="auto"/>
        </w:rPr>
      </w:pPr>
    </w:p>
    <w:p>
      <w:pPr>
        <w:ind w:left="130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December 15, 2023, or any subsequent date to which the Maturity Date is extended in accordance with Section 2.11.”</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Schedule 10</w:t>
      </w:r>
    </w:p>
    <w:p>
      <w:pPr>
        <w:spacing w:after="0" w:line="222"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Schedule 10 of the Credit Agreement is hereby deleted in its entirety and replaced with the new form of Schedule 10 attached as Exhibit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Representations and Warranties</w:t>
      </w:r>
    </w:p>
    <w:p>
      <w:pPr>
        <w:spacing w:after="0" w:line="22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81" w:lineRule="exact"/>
        <w:rPr>
          <w:sz w:val="20"/>
          <w:szCs w:val="20"/>
          <w:color w:val="auto"/>
        </w:rPr>
      </w:pPr>
    </w:p>
    <w:p>
      <w:pPr>
        <w:ind w:left="1300" w:hanging="644"/>
        <w:spacing w:after="0" w:line="26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exist after giving effect to the amendments contemplated hereto;</w:t>
      </w:r>
    </w:p>
    <w:p>
      <w:pPr>
        <w:spacing w:after="0" w:line="176"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it has all requisite corporate, partnership or other power and authority to enter into and perform its obligations under this Amendment;</w:t>
      </w:r>
    </w:p>
    <w:p>
      <w:pPr>
        <w:spacing w:after="0" w:line="176" w:lineRule="exact"/>
        <w:rPr>
          <w:rFonts w:ascii="Arial" w:cs="Arial" w:eastAsia="Arial" w:hAnsi="Arial"/>
          <w:sz w:val="20"/>
          <w:szCs w:val="20"/>
          <w:color w:val="auto"/>
        </w:rPr>
      </w:pPr>
    </w:p>
    <w:p>
      <w:pPr>
        <w:jc w:val="both"/>
        <w:ind w:left="1300" w:hanging="644"/>
        <w:spacing w:after="0" w:line="27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has been duly authorized by all corporate, partnership or other analogous actions required and this Amendment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165" w:lineRule="exact"/>
        <w:rPr>
          <w:rFonts w:ascii="Arial" w:cs="Arial" w:eastAsia="Arial" w:hAnsi="Arial"/>
          <w:sz w:val="18"/>
          <w:szCs w:val="18"/>
          <w:color w:val="auto"/>
        </w:rPr>
      </w:pPr>
    </w:p>
    <w:p>
      <w:pPr>
        <w:ind w:left="1300" w:hanging="644"/>
        <w:spacing w:after="0" w:line="26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execution and delivery of this Amendment and the performance of its obligations hereunder and compliance with the terms, conditions and provisions hereof, will not</w:t>
      </w:r>
    </w:p>
    <w:p>
      <w:pPr>
        <w:sectPr>
          <w:pgSz w:w="11900" w:h="16838" w:orient="portrait"/>
          <w:cols w:equalWidth="0" w:num="1">
            <w:col w:w="11420"/>
          </w:cols>
          <w:pgMar w:left="240" w:top="122"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87" w:lineRule="exact"/>
        <w:rPr>
          <w:sz w:val="20"/>
          <w:szCs w:val="20"/>
          <w:color w:val="auto"/>
        </w:rPr>
      </w:pPr>
    </w:p>
    <w:p>
      <w:pPr>
        <w:jc w:val="both"/>
        <w:ind w:left="1300" w:firstLine="5"/>
        <w:spacing w:after="0" w:line="255" w:lineRule="exact"/>
        <w:tabs>
          <w:tab w:leader="none" w:pos="1547"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conflict with or result in a breach of any of the material terms, conditions or provisions of (a) its partnership agreement or other constating documents, as applicable, or by</w:t>
      </w:r>
      <w:r>
        <w:rPr>
          <w:rFonts w:ascii="MS PGothic" w:cs="MS PGothic" w:eastAsia="MS PGothic" w:hAnsi="MS PGothic"/>
          <w:sz w:val="20"/>
          <w:szCs w:val="20"/>
          <w:color w:val="auto"/>
        </w:rPr>
        <w:t>‑</w:t>
      </w:r>
      <w:r>
        <w:rPr>
          <w:rFonts w:ascii="Arial" w:cs="Arial" w:eastAsia="Arial" w:hAnsi="Arial"/>
          <w:sz w:val="20"/>
          <w:szCs w:val="20"/>
          <w:color w:val="auto"/>
        </w:rPr>
        <w:t>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CONFIRMATION OF SECURITY</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Confirmation of Security Documents</w:t>
      </w:r>
    </w:p>
    <w:p>
      <w:pPr>
        <w:spacing w:after="0" w:line="22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Each of the Parent GP, the Borrowers and the other Loan Parties hereby acknowledges and confirms that each Security Document to which it is a party:</w:t>
      </w:r>
    </w:p>
    <w:p>
      <w:pPr>
        <w:spacing w:after="0" w:line="177" w:lineRule="exact"/>
        <w:rPr>
          <w:sz w:val="20"/>
          <w:szCs w:val="20"/>
          <w:color w:val="auto"/>
        </w:rPr>
      </w:pPr>
    </w:p>
    <w:p>
      <w:pPr>
        <w:ind w:left="1300" w:hanging="644"/>
        <w:spacing w:after="0" w:line="287" w:lineRule="auto"/>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is and shall remain in full force and effect in all respects, notwithstanding the amendments and supplements to the Credit Agreement made pursuant to this Amendment, and has not been amended, terminated, discharged or released;</w:t>
      </w:r>
    </w:p>
    <w:p>
      <w:pPr>
        <w:spacing w:after="0" w:line="152"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constitutes a legal, valid and binding obligation of the undersigned, enforceable against the undersigned in accordance with its terms; and</w:t>
      </w:r>
    </w:p>
    <w:p>
      <w:pPr>
        <w:spacing w:after="0" w:line="176"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Nature of Acknowledgements</w:t>
      </w:r>
    </w:p>
    <w:p>
      <w:pPr>
        <w:spacing w:after="0" w:line="22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foregoing acknowledgements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Further Assurances</w:t>
      </w:r>
    </w:p>
    <w:p>
      <w:pPr>
        <w:spacing w:after="0" w:line="222"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The parties hereto shall from time to time do all such further acts and things and execute and deliver all such documents as are required in order to effect the full intent of and fully perform and carry out the terms of this Agreement.</w:t>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CONDITIONS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effectiveness of this Amendment is subject to the satisfaction of the following conditions precedent:</w:t>
      </w:r>
    </w:p>
    <w:p>
      <w:pPr>
        <w:spacing w:after="0" w:line="21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this Amendment duly executed by all parties hereto;</w:t>
      </w:r>
    </w:p>
    <w:p>
      <w:pPr>
        <w:spacing w:after="0" w:line="215"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each of the Exiting Lender Assignments and Assumptions duly executed by all parties thereto;</w:t>
      </w:r>
    </w:p>
    <w:p>
      <w:pPr>
        <w:spacing w:after="0" w:line="176"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Administrative Agent shall have received, on behalf of the Continuing Lenders, payment in full from the Borrowers of all fees relating to the Amendment;</w:t>
      </w:r>
    </w:p>
    <w:p>
      <w:pPr>
        <w:spacing w:after="0" w:line="176" w:lineRule="exact"/>
        <w:rPr>
          <w:rFonts w:ascii="Arial" w:cs="Arial" w:eastAsia="Arial" w:hAnsi="Arial"/>
          <w:sz w:val="20"/>
          <w:szCs w:val="20"/>
          <w:color w:val="auto"/>
        </w:rPr>
      </w:pPr>
    </w:p>
    <w:p>
      <w:pPr>
        <w:jc w:val="both"/>
        <w:ind w:left="1300" w:hanging="644"/>
        <w:spacing w:after="0" w:line="244"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Administrative Agent shall have received an officer’s certificate of Parent GP (i) attaching the written resolutions of the directors of Parent GP, dated on or about November 12, 2013, approving, among other things, the execution and delivery of the Credit Agreement and related documents and agreements by Parent GP and the Borrowers, and the performance by them of their respective obligations thereunder (the “</w:t>
      </w:r>
      <w:r>
        <w:rPr>
          <w:rFonts w:ascii="Arial" w:cs="Arial" w:eastAsia="Arial" w:hAnsi="Arial"/>
          <w:sz w:val="20"/>
          <w:szCs w:val="20"/>
          <w:b w:val="1"/>
          <w:bCs w:val="1"/>
          <w:color w:val="auto"/>
        </w:rPr>
        <w:t>Resolutions</w:t>
      </w:r>
      <w:r>
        <w:rPr>
          <w:rFonts w:ascii="Arial" w:cs="Arial" w:eastAsia="Arial" w:hAnsi="Arial"/>
          <w:sz w:val="20"/>
          <w:szCs w:val="20"/>
          <w:color w:val="auto"/>
        </w:rPr>
        <w:t>”), and (ii) confirming that the Resolutions remain in full force and effect, unamended to the date hereof;</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15" w:lineRule="exact"/>
        <w:rPr>
          <w:rFonts w:ascii="Arial" w:cs="Arial" w:eastAsia="Arial" w:hAnsi="Arial"/>
          <w:sz w:val="20"/>
          <w:szCs w:val="20"/>
          <w:color w:val="auto"/>
        </w:rPr>
      </w:pPr>
    </w:p>
    <w:p>
      <w:pPr>
        <w:jc w:val="both"/>
        <w:ind w:left="1300" w:hanging="644"/>
        <w:spacing w:after="0" w:line="28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representations and warranties set out in the Credit Documents and this Amendment shall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w:t>
      </w:r>
    </w:p>
    <w:p>
      <w:pPr>
        <w:spacing w:after="0" w:line="37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Benefits</w:t>
      </w:r>
    </w:p>
    <w:p>
      <w:pPr>
        <w:spacing w:after="0" w:line="222"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This Amendment shall be binding upon and shall inure to the benefit of the parties hereto and their respective permitted successors and assigns.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References to the Credit Agreement</w:t>
      </w:r>
    </w:p>
    <w:p>
      <w:pPr>
        <w:spacing w:after="0" w:line="222" w:lineRule="exact"/>
        <w:rPr>
          <w:sz w:val="20"/>
          <w:szCs w:val="20"/>
          <w:color w:val="auto"/>
        </w:rPr>
      </w:pPr>
    </w:p>
    <w:p>
      <w:pPr>
        <w:ind w:firstLine="1297"/>
        <w:spacing w:after="0" w:line="316" w:lineRule="auto"/>
        <w:rPr>
          <w:sz w:val="20"/>
          <w:szCs w:val="20"/>
          <w:color w:val="auto"/>
        </w:rPr>
      </w:pPr>
      <w:r>
        <w:rPr>
          <w:rFonts w:ascii="Arial" w:cs="Arial" w:eastAsia="Arial" w:hAnsi="Arial"/>
          <w:sz w:val="18"/>
          <w:szCs w:val="18"/>
          <w:color w:val="auto"/>
        </w:rPr>
        <w:t>As of and from the effective date of this Amendment, each reference to the “Credit Agreement” in any of the Credit Documents (including the Credit Agreement) shall be deemed to be a reference to the Credit Agreement, as amended by this Amendment.</w:t>
      </w:r>
    </w:p>
    <w:p>
      <w:pPr>
        <w:sectPr>
          <w:pgSz w:w="11900" w:h="16838" w:orient="portrait"/>
          <w:cols w:equalWidth="0" w:num="1">
            <w:col w:w="11420"/>
          </w:cols>
          <w:pgMar w:left="240" w:top="122"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0"/>
          <w:szCs w:val="20"/>
          <w:color w:val="auto"/>
        </w:rPr>
        <w:t>- 5 -</w:t>
      </w:r>
    </w:p>
    <w:p>
      <w:pPr>
        <w:spacing w:after="0" w:line="200" w:lineRule="exact"/>
        <w:rPr>
          <w:sz w:val="20"/>
          <w:szCs w:val="20"/>
          <w:color w:val="auto"/>
        </w:rPr>
      </w:pPr>
    </w:p>
    <w:p>
      <w:pPr>
        <w:spacing w:after="0" w:line="2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Governing Law</w:t>
      </w:r>
    </w:p>
    <w:p>
      <w:pPr>
        <w:spacing w:after="0" w:line="22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This Amendment and the rights and obligations of the parties hereunder shall be construed in accordance with and governed by the laws of the Province of British Columbia and the federal laws of Canada applicable therein.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Credit Document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This Amendment shall be a Credit Document.</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8"/>
          <w:szCs w:val="18"/>
          <w:b w:val="1"/>
          <w:bCs w:val="1"/>
          <w:color w:val="auto"/>
        </w:rPr>
        <w:t>Limited Effect</w:t>
      </w:r>
    </w:p>
    <w:p>
      <w:pPr>
        <w:spacing w:after="0" w:line="22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Except as expressly provided herein, all of the terms and provisions of the Credit Agreement are and shall remain in full force and effect and are hereby ratified and confirmed by the Borrowers.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8"/>
          <w:szCs w:val="18"/>
          <w:b w:val="1"/>
          <w:bCs w:val="1"/>
          <w:color w:val="auto"/>
        </w:rPr>
        <w:t>Counterparts</w:t>
      </w:r>
    </w:p>
    <w:p>
      <w:pPr>
        <w:spacing w:after="0" w:line="22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This Amendment may be executed in any number of counterparts, including by facsimile or portable document format, each of which shall be deemed to be an original.</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[Remainder of this page intentionally left blank]</w:t>
      </w:r>
    </w:p>
    <w:p>
      <w:pPr>
        <w:sectPr>
          <w:pgSz w:w="11900" w:h="16838" w:orient="portrait"/>
          <w:cols w:equalWidth="0" w:num="1">
            <w:col w:w="11420"/>
          </w:cols>
          <w:pgMar w:left="240" w:top="122" w:right="239" w:bottom="1440" w:gutter="0" w:footer="0" w:header="0"/>
        </w:sectPr>
      </w:pPr>
    </w:p>
    <w:bookmarkStart w:id="50" w:name="page51"/>
    <w:bookmarkEnd w:id="50"/>
    <w:p>
      <w:pPr>
        <w:ind w:left="100"/>
        <w:spacing w:after="0"/>
        <w:rPr>
          <w:sz w:val="20"/>
          <w:szCs w:val="20"/>
          <w:color w:val="auto"/>
        </w:rPr>
      </w:pPr>
      <w:r>
        <w:rPr>
          <w:rFonts w:ascii="Arial" w:cs="Arial" w:eastAsia="Arial" w:hAnsi="Arial"/>
          <w:sz w:val="16"/>
          <w:szCs w:val="16"/>
          <w:color w:val="auto"/>
        </w:rPr>
        <w:t>IN WITNESS WHEREOF, the parties hereto have caused this Amendment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WHISTLER MOUNTAIN RESORT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PARTNERSHIP</w:t>
      </w:r>
      <w:r>
        <w:rPr>
          <w:rFonts w:ascii="Arial" w:cs="Arial" w:eastAsia="Arial" w:hAnsi="Arial"/>
          <w:sz w:val="20"/>
          <w:szCs w:val="20"/>
          <w:color w:val="auto"/>
        </w:rPr>
        <w:t>, by its general partner,</w:t>
      </w:r>
      <w:r>
        <w:rPr>
          <w:rFonts w:ascii="Arial" w:cs="Arial" w:eastAsia="Arial" w:hAnsi="Arial"/>
          <w:sz w:val="20"/>
          <w:szCs w:val="20"/>
          <w:b w:val="1"/>
          <w:bCs w:val="1"/>
          <w:color w:val="auto"/>
        </w:rPr>
        <w:t xml:space="preserve"> WHISTLER</w:t>
      </w:r>
    </w:p>
    <w:p>
      <w:pPr>
        <w:ind w:left="4880"/>
        <w:spacing w:after="0"/>
        <w:rPr>
          <w:sz w:val="20"/>
          <w:szCs w:val="20"/>
          <w:color w:val="auto"/>
        </w:rPr>
      </w:pPr>
      <w:r>
        <w:rPr>
          <w:rFonts w:ascii="Arial" w:cs="Arial" w:eastAsia="Arial" w:hAnsi="Arial"/>
          <w:sz w:val="20"/>
          <w:szCs w:val="20"/>
          <w:b w:val="1"/>
          <w:bCs w:val="1"/>
          <w:color w:val="auto"/>
        </w:rPr>
        <w:t>BLACKCOMB HOLDINGS INC.</w:t>
      </w:r>
      <w:r>
        <w:rPr>
          <w:rFonts w:ascii="Arial" w:cs="Arial" w:eastAsia="Arial" w:hAnsi="Arial"/>
          <w:sz w:val="20"/>
          <w:szCs w:val="20"/>
          <w:color w:val="auto"/>
        </w:rPr>
        <w:t>, as Borrower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Executive Vice President and Chief Financial</w:t>
      </w:r>
    </w:p>
    <w:p>
      <w:pPr>
        <w:spacing w:after="0" w:line="39"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BLACKCOMB SKIING ENTERPRISES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PARTNERSHIP</w:t>
      </w:r>
      <w:r>
        <w:rPr>
          <w:rFonts w:ascii="Arial" w:cs="Arial" w:eastAsia="Arial" w:hAnsi="Arial"/>
          <w:sz w:val="20"/>
          <w:szCs w:val="20"/>
          <w:color w:val="auto"/>
        </w:rPr>
        <w:t>, by its general partner,</w:t>
      </w:r>
      <w:r>
        <w:rPr>
          <w:rFonts w:ascii="Arial" w:cs="Arial" w:eastAsia="Arial" w:hAnsi="Arial"/>
          <w:sz w:val="20"/>
          <w:szCs w:val="20"/>
          <w:b w:val="1"/>
          <w:bCs w:val="1"/>
          <w:color w:val="auto"/>
        </w:rPr>
        <w:t xml:space="preserve"> WHISTLER</w:t>
      </w:r>
    </w:p>
    <w:p>
      <w:pPr>
        <w:ind w:left="4880"/>
        <w:spacing w:after="0"/>
        <w:rPr>
          <w:sz w:val="20"/>
          <w:szCs w:val="20"/>
          <w:color w:val="auto"/>
        </w:rPr>
      </w:pPr>
      <w:r>
        <w:rPr>
          <w:rFonts w:ascii="Arial" w:cs="Arial" w:eastAsia="Arial" w:hAnsi="Arial"/>
          <w:sz w:val="20"/>
          <w:szCs w:val="20"/>
          <w:b w:val="1"/>
          <w:bCs w:val="1"/>
          <w:color w:val="auto"/>
        </w:rPr>
        <w:t>BLACKCOMB HOLDINGS INC.</w:t>
      </w:r>
      <w:r>
        <w:rPr>
          <w:rFonts w:ascii="Arial" w:cs="Arial" w:eastAsia="Arial" w:hAnsi="Arial"/>
          <w:sz w:val="20"/>
          <w:szCs w:val="20"/>
          <w:color w:val="auto"/>
        </w:rPr>
        <w:t>, as Borrower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Executive Vice President and Chief Financial</w:t>
      </w:r>
    </w:p>
    <w:p>
      <w:pPr>
        <w:spacing w:after="0" w:line="39"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9880"/>
          </w:cols>
          <w:pgMar w:left="1440" w:top="366" w:right="579" w:bottom="1440" w:gutter="0" w:footer="0" w:header="0"/>
        </w:sectPr>
      </w:pPr>
    </w:p>
    <w:bookmarkStart w:id="51" w:name="page52"/>
    <w:bookmarkEnd w:id="51"/>
    <w:p>
      <w:pPr>
        <w:ind w:left="4880"/>
        <w:spacing w:after="0"/>
        <w:rPr>
          <w:sz w:val="20"/>
          <w:szCs w:val="20"/>
          <w:color w:val="auto"/>
        </w:rPr>
      </w:pPr>
      <w:r>
        <w:rPr>
          <w:rFonts w:ascii="Arial" w:cs="Arial" w:eastAsia="Arial" w:hAnsi="Arial"/>
          <w:sz w:val="19"/>
          <w:szCs w:val="19"/>
          <w:b w:val="1"/>
          <w:bCs w:val="1"/>
          <w:color w:val="auto"/>
        </w:rPr>
        <w:t>THE TORONTO-DOMINION BANK</w:t>
      </w:r>
      <w:r>
        <w:rPr>
          <w:rFonts w:ascii="Arial" w:cs="Arial" w:eastAsia="Arial" w:hAnsi="Arial"/>
          <w:sz w:val="19"/>
          <w:szCs w:val="19"/>
          <w:color w:val="auto"/>
        </w:rPr>
        <w:t>, as Administrative Agent</w:t>
      </w:r>
    </w:p>
    <w:p>
      <w:pPr>
        <w:spacing w:after="0" w:line="287"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Feroz Haq</w:t>
      </w:r>
    </w:p>
    <w:p>
      <w:pPr>
        <w:spacing w:after="0" w:line="8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Director, Loan Syndications - Agency</w:t>
      </w:r>
    </w:p>
    <w:p>
      <w:pPr>
        <w:sectPr>
          <w:pgSz w:w="11900" w:h="16838" w:orient="portrait"/>
          <w:cols w:equalWidth="0" w:num="1">
            <w:col w:w="10160"/>
          </w:cols>
          <w:pgMar w:left="1440" w:top="1224" w:right="299" w:bottom="1440" w:gutter="0" w:footer="0" w:header="0"/>
        </w:sectPr>
      </w:pPr>
    </w:p>
    <w:bookmarkStart w:id="52" w:name="page53"/>
    <w:bookmarkEnd w:id="52"/>
    <w:p>
      <w:pPr>
        <w:ind w:left="4880"/>
        <w:spacing w:after="0"/>
        <w:rPr>
          <w:sz w:val="20"/>
          <w:szCs w:val="20"/>
          <w:color w:val="auto"/>
        </w:rPr>
      </w:pPr>
      <w:r>
        <w:rPr>
          <w:rFonts w:ascii="Arial" w:cs="Arial" w:eastAsia="Arial" w:hAnsi="Arial"/>
          <w:sz w:val="20"/>
          <w:szCs w:val="20"/>
          <w:b w:val="1"/>
          <w:bCs w:val="1"/>
          <w:color w:val="auto"/>
        </w:rPr>
        <w:t>THE TORONTO-DOMINION BANK</w:t>
      </w:r>
      <w:r>
        <w:rPr>
          <w:rFonts w:ascii="Arial" w:cs="Arial" w:eastAsia="Arial" w:hAnsi="Arial"/>
          <w:sz w:val="20"/>
          <w:szCs w:val="20"/>
          <w:color w:val="auto"/>
        </w:rPr>
        <w:t>, as Lender</w:t>
      </w:r>
    </w:p>
    <w:p>
      <w:pPr>
        <w:spacing w:after="0" w:line="276" w:lineRule="exact"/>
        <w:rPr>
          <w:sz w:val="20"/>
          <w:szCs w:val="20"/>
          <w:color w:val="auto"/>
        </w:rPr>
      </w:pPr>
    </w:p>
    <w:tbl>
      <w:tblPr>
        <w:tblLayout w:type="fixed"/>
        <w:tblInd w:w="48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Rahim Kabani</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Rahim Kabani</w:t>
            </w:r>
          </w:p>
        </w:tc>
      </w:tr>
      <w:tr>
        <w:trPr>
          <w:trHeight w:val="31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Managing Director</w:t>
            </w:r>
          </w:p>
        </w:tc>
      </w:tr>
      <w:tr>
        <w:trPr>
          <w:trHeight w:val="311"/>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Ben Montgomery</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Ben Montgomery</w:t>
            </w:r>
          </w:p>
        </w:tc>
      </w:tr>
      <w:tr>
        <w:trPr>
          <w:trHeight w:val="31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BANK OF AMERICA, N.A., CANADA BRANCH</w:t>
      </w:r>
      <w:r>
        <w:rPr>
          <w:rFonts w:ascii="Arial" w:cs="Arial" w:eastAsia="Arial" w:hAnsi="Arial"/>
          <w:sz w:val="20"/>
          <w:szCs w:val="20"/>
          <w:color w:val="auto"/>
        </w:rPr>
        <w:t>, as Lender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Rafferty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David Rafferty</w:t>
      </w:r>
    </w:p>
    <w:p>
      <w:pPr>
        <w:spacing w:after="0" w:line="8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 as Lender</w:t>
      </w:r>
    </w:p>
    <w:p>
      <w:pPr>
        <w:spacing w:after="0" w:line="276" w:lineRule="exact"/>
        <w:rPr>
          <w:sz w:val="20"/>
          <w:szCs w:val="20"/>
          <w:color w:val="auto"/>
        </w:rPr>
      </w:pPr>
    </w:p>
    <w:tbl>
      <w:tblPr>
        <w:tblLayout w:type="fixed"/>
        <w:tblInd w:w="48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Tony Chong</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Tony Chong</w:t>
            </w:r>
          </w:p>
        </w:tc>
      </w:tr>
      <w:tr>
        <w:trPr>
          <w:trHeight w:val="31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Director - Corporate Finance Division</w:t>
            </w:r>
          </w:p>
        </w:tc>
      </w:tr>
      <w:tr>
        <w:trPr>
          <w:trHeight w:val="311"/>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Doug Mills</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Doug Mills</w:t>
            </w:r>
          </w:p>
        </w:tc>
      </w:tr>
      <w:tr>
        <w:trPr>
          <w:trHeight w:val="608"/>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Managing Director - Corporate Finance Division</w:t>
            </w:r>
          </w:p>
        </w:tc>
      </w:tr>
    </w:tbl>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WELLS FARGO BANK, N.A., CANADIAN BRANCH</w:t>
      </w:r>
      <w:r>
        <w:rPr>
          <w:rFonts w:ascii="Arial" w:cs="Arial" w:eastAsia="Arial" w:hAnsi="Arial"/>
          <w:sz w:val="20"/>
          <w:szCs w:val="20"/>
          <w:color w:val="auto"/>
        </w:rPr>
        <w:t>, as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Lender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Chris Sheppard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Chris Sheppard</w:t>
      </w:r>
    </w:p>
    <w:p>
      <w:pPr>
        <w:spacing w:after="0" w:line="8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Senior Vice President</w:t>
      </w:r>
    </w:p>
    <w:p>
      <w:pPr>
        <w:spacing w:after="0" w:line="81"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John Davis</w:t>
      </w:r>
    </w:p>
    <w:p>
      <w:pPr>
        <w:spacing w:after="0" w:line="8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Senior Vice-President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Regional Manager</w:t>
      </w: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 as Lender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Andra Bosneaga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Andra Bosneaga</w:t>
      </w:r>
    </w:p>
    <w:p>
      <w:pPr>
        <w:spacing w:after="0" w:line="8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Vice-President</w:t>
      </w:r>
    </w:p>
    <w:p>
      <w:pPr>
        <w:sectPr>
          <w:pgSz w:w="11900" w:h="16838" w:orient="portrait"/>
          <w:cols w:equalWidth="0" w:num="1">
            <w:col w:w="10220"/>
          </w:cols>
          <w:pgMar w:left="1440" w:top="995" w:right="239" w:bottom="1440" w:gutter="0" w:footer="0" w:header="0"/>
        </w:sectPr>
      </w:pPr>
    </w:p>
    <w:bookmarkStart w:id="53" w:name="page54"/>
    <w:bookmarkEnd w:id="53"/>
    <w:p>
      <w:pPr>
        <w:ind w:left="4880"/>
        <w:spacing w:after="0"/>
        <w:rPr>
          <w:sz w:val="20"/>
          <w:szCs w:val="20"/>
          <w:color w:val="auto"/>
        </w:rPr>
      </w:pPr>
      <w:r>
        <w:rPr>
          <w:rFonts w:ascii="Arial" w:cs="Arial" w:eastAsia="Arial" w:hAnsi="Arial"/>
          <w:sz w:val="20"/>
          <w:szCs w:val="20"/>
          <w:b w:val="1"/>
          <w:bCs w:val="1"/>
          <w:color w:val="auto"/>
        </w:rPr>
        <w:t>CANADIAN IMPERIAL BANK OF COMMERCE</w:t>
      </w:r>
      <w:r>
        <w:rPr>
          <w:rFonts w:ascii="Arial" w:cs="Arial" w:eastAsia="Arial" w:hAnsi="Arial"/>
          <w:sz w:val="20"/>
          <w:szCs w:val="20"/>
          <w:color w:val="auto"/>
        </w:rPr>
        <w:t>, as Lender</w:t>
      </w:r>
    </w:p>
    <w:p>
      <w:pPr>
        <w:spacing w:after="0" w:line="276" w:lineRule="exact"/>
        <w:rPr>
          <w:sz w:val="20"/>
          <w:szCs w:val="20"/>
          <w:color w:val="auto"/>
        </w:rPr>
      </w:pPr>
    </w:p>
    <w:tbl>
      <w:tblPr>
        <w:tblLayout w:type="fixed"/>
        <w:tblInd w:w="48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Zee Noorani</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Zee Noorani</w:t>
            </w:r>
          </w:p>
        </w:tc>
      </w:tr>
      <w:tr>
        <w:trPr>
          <w:trHeight w:val="311"/>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Thomas MacGregor</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Thomas MacGregor</w:t>
            </w:r>
          </w:p>
        </w:tc>
      </w:tr>
    </w:tbl>
    <w:p>
      <w:pPr>
        <w:spacing w:after="0" w:line="378" w:lineRule="exact"/>
        <w:rPr>
          <w:sz w:val="20"/>
          <w:szCs w:val="20"/>
          <w:color w:val="auto"/>
        </w:rPr>
      </w:pPr>
    </w:p>
    <w:p>
      <w:pPr>
        <w:ind w:left="4880" w:right="160"/>
        <w:spacing w:after="0" w:line="267" w:lineRule="auto"/>
        <w:rPr>
          <w:sz w:val="20"/>
          <w:szCs w:val="20"/>
          <w:color w:val="auto"/>
        </w:rPr>
      </w:pPr>
      <w:r>
        <w:rPr>
          <w:rFonts w:ascii="Arial" w:cs="Arial" w:eastAsia="Arial" w:hAnsi="Arial"/>
          <w:sz w:val="20"/>
          <w:szCs w:val="20"/>
          <w:b w:val="1"/>
          <w:bCs w:val="1"/>
          <w:color w:val="auto"/>
        </w:rPr>
        <w:t>FÉDÉRATION DES CAISSES DESJARDINS DU QUÉBEC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Lender</w:t>
      </w:r>
    </w:p>
    <w:p>
      <w:pPr>
        <w:spacing w:after="0" w:line="224" w:lineRule="exact"/>
        <w:rPr>
          <w:sz w:val="20"/>
          <w:szCs w:val="20"/>
          <w:color w:val="auto"/>
        </w:rPr>
      </w:pPr>
    </w:p>
    <w:tbl>
      <w:tblPr>
        <w:tblLayout w:type="fixed"/>
        <w:tblInd w:w="48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Oliver Sumugod</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Oliver Sumugod</w:t>
            </w:r>
          </w:p>
        </w:tc>
      </w:tr>
      <w:tr>
        <w:trPr>
          <w:trHeight w:val="31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Director</w:t>
            </w:r>
          </w:p>
        </w:tc>
      </w:tr>
      <w:tr>
        <w:trPr>
          <w:trHeight w:val="311"/>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Matt van Remmen</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8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Matt van Remmen</w:t>
            </w:r>
          </w:p>
        </w:tc>
      </w:tr>
      <w:tr>
        <w:trPr>
          <w:trHeight w:val="338"/>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Managing Director</w:t>
            </w:r>
          </w:p>
        </w:tc>
      </w:tr>
      <w:tr>
        <w:trPr>
          <w:trHeight w:val="662"/>
        </w:trPr>
        <w:tc>
          <w:tcPr>
            <w:tcW w:w="5340" w:type="dxa"/>
            <w:vAlign w:val="bottom"/>
            <w:gridSpan w:val="2"/>
          </w:tcPr>
          <w:p>
            <w:pPr>
              <w:spacing w:after="0"/>
              <w:rPr>
                <w:sz w:val="20"/>
                <w:szCs w:val="20"/>
                <w:color w:val="auto"/>
              </w:rPr>
            </w:pPr>
            <w:r>
              <w:rPr>
                <w:rFonts w:ascii="Arial" w:cs="Arial" w:eastAsia="Arial" w:hAnsi="Arial"/>
                <w:sz w:val="20"/>
                <w:szCs w:val="20"/>
                <w:b w:val="1"/>
                <w:bCs w:val="1"/>
                <w:color w:val="auto"/>
              </w:rPr>
              <w:t>HSBC BANK CANADA</w:t>
            </w:r>
            <w:r>
              <w:rPr>
                <w:rFonts w:ascii="Arial" w:cs="Arial" w:eastAsia="Arial" w:hAnsi="Arial"/>
                <w:sz w:val="20"/>
                <w:szCs w:val="20"/>
                <w:color w:val="auto"/>
              </w:rPr>
              <w:t>, as Lender</w:t>
            </w:r>
          </w:p>
        </w:tc>
      </w:tr>
      <w:tr>
        <w:trPr>
          <w:trHeight w:val="50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Todd Patchell</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54"/>
        </w:trPr>
        <w:tc>
          <w:tcPr>
            <w:tcW w:w="78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Todd Patchell</w:t>
            </w:r>
          </w:p>
        </w:tc>
      </w:tr>
      <w:tr>
        <w:trPr>
          <w:trHeight w:val="31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311"/>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tcPr>
          <w:p>
            <w:pPr>
              <w:ind w:left="20"/>
              <w:spacing w:after="0"/>
              <w:rPr>
                <w:sz w:val="20"/>
                <w:szCs w:val="20"/>
                <w:color w:val="auto"/>
              </w:rPr>
            </w:pPr>
            <w:r>
              <w:rPr>
                <w:rFonts w:ascii="Arial" w:cs="Arial" w:eastAsia="Arial" w:hAnsi="Arial"/>
                <w:sz w:val="20"/>
                <w:szCs w:val="20"/>
                <w:color w:val="auto"/>
              </w:rPr>
              <w:t>/s/ Reid Hamilton</w:t>
            </w:r>
          </w:p>
        </w:tc>
      </w:tr>
      <w:tr>
        <w:trPr>
          <w:trHeight w:val="50"/>
        </w:trPr>
        <w:tc>
          <w:tcPr>
            <w:tcW w:w="7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8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Reid Hamilton</w:t>
            </w:r>
          </w:p>
        </w:tc>
      </w:tr>
      <w:tr>
        <w:trPr>
          <w:trHeight w:val="338"/>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0"/>
                <w:szCs w:val="20"/>
                <w:color w:val="auto"/>
              </w:rPr>
              <w:t>Assistant Vice President - Corporate Banking</w:t>
            </w:r>
          </w:p>
        </w:tc>
      </w:tr>
    </w:tbl>
    <w:p>
      <w:pPr>
        <w:sectPr>
          <w:pgSz w:w="11900" w:h="16838" w:orient="portrait"/>
          <w:cols w:equalWidth="0" w:num="1">
            <w:col w:w="10220"/>
          </w:cols>
          <w:pgMar w:left="1440" w:top="549" w:right="239" w:bottom="1440" w:gutter="0" w:footer="0" w:header="0"/>
        </w:sectPr>
      </w:pPr>
    </w:p>
    <w:bookmarkStart w:id="54" w:name="page55"/>
    <w:bookmarkEnd w:id="54"/>
    <w:p>
      <w:pPr>
        <w:ind w:left="4880"/>
        <w:spacing w:after="0"/>
        <w:rPr>
          <w:sz w:val="20"/>
          <w:szCs w:val="20"/>
          <w:color w:val="auto"/>
        </w:rPr>
      </w:pPr>
      <w:r>
        <w:rPr>
          <w:rFonts w:ascii="Arial" w:cs="Arial" w:eastAsia="Arial" w:hAnsi="Arial"/>
          <w:sz w:val="20"/>
          <w:szCs w:val="20"/>
          <w:b w:val="1"/>
          <w:bCs w:val="1"/>
          <w:color w:val="auto"/>
        </w:rPr>
        <w:t>WHISTLER MOUNTAIN RESORT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PARTNERSHIP</w:t>
      </w:r>
      <w:r>
        <w:rPr>
          <w:rFonts w:ascii="Arial" w:cs="Arial" w:eastAsia="Arial" w:hAnsi="Arial"/>
          <w:sz w:val="20"/>
          <w:szCs w:val="20"/>
          <w:color w:val="auto"/>
        </w:rPr>
        <w:t>, by its general partner,</w:t>
      </w:r>
      <w:r>
        <w:rPr>
          <w:rFonts w:ascii="Arial" w:cs="Arial" w:eastAsia="Arial" w:hAnsi="Arial"/>
          <w:sz w:val="20"/>
          <w:szCs w:val="20"/>
          <w:b w:val="1"/>
          <w:bCs w:val="1"/>
          <w:color w:val="auto"/>
        </w:rPr>
        <w:t xml:space="preserve"> WHISTLER</w:t>
      </w:r>
    </w:p>
    <w:p>
      <w:pPr>
        <w:ind w:left="4880"/>
        <w:spacing w:after="0"/>
        <w:rPr>
          <w:sz w:val="20"/>
          <w:szCs w:val="20"/>
          <w:color w:val="auto"/>
        </w:rPr>
      </w:pPr>
      <w:r>
        <w:rPr>
          <w:rFonts w:ascii="Arial" w:cs="Arial" w:eastAsia="Arial" w:hAnsi="Arial"/>
          <w:sz w:val="20"/>
          <w:szCs w:val="20"/>
          <w:b w:val="1"/>
          <w:bCs w:val="1"/>
          <w:color w:val="auto"/>
        </w:rPr>
        <w:t>BLACKCOMB HOLDINGS INC.</w:t>
      </w:r>
      <w:r>
        <w:rPr>
          <w:rFonts w:ascii="Arial" w:cs="Arial" w:eastAsia="Arial" w:hAnsi="Arial"/>
          <w:sz w:val="20"/>
          <w:szCs w:val="20"/>
          <w:color w:val="auto"/>
        </w:rPr>
        <w:t>, as 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BLACKCOMB SKIING ENTERPRISES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PARTNERSHIP</w:t>
      </w:r>
      <w:r>
        <w:rPr>
          <w:rFonts w:ascii="Arial" w:cs="Arial" w:eastAsia="Arial" w:hAnsi="Arial"/>
          <w:sz w:val="20"/>
          <w:szCs w:val="20"/>
          <w:color w:val="auto"/>
        </w:rPr>
        <w:t>, by its general partner,</w:t>
      </w:r>
      <w:r>
        <w:rPr>
          <w:rFonts w:ascii="Arial" w:cs="Arial" w:eastAsia="Arial" w:hAnsi="Arial"/>
          <w:sz w:val="20"/>
          <w:szCs w:val="20"/>
          <w:b w:val="1"/>
          <w:bCs w:val="1"/>
          <w:color w:val="auto"/>
        </w:rPr>
        <w:t xml:space="preserve"> WHISTLER</w:t>
      </w:r>
    </w:p>
    <w:p>
      <w:pPr>
        <w:ind w:left="4880"/>
        <w:spacing w:after="0"/>
        <w:rPr>
          <w:sz w:val="20"/>
          <w:szCs w:val="20"/>
          <w:color w:val="auto"/>
        </w:rPr>
      </w:pPr>
      <w:r>
        <w:rPr>
          <w:rFonts w:ascii="Arial" w:cs="Arial" w:eastAsia="Arial" w:hAnsi="Arial"/>
          <w:sz w:val="20"/>
          <w:szCs w:val="20"/>
          <w:b w:val="1"/>
          <w:bCs w:val="1"/>
          <w:color w:val="auto"/>
        </w:rPr>
        <w:t>BLACKCOMB HOLDINGS INC.</w:t>
      </w:r>
      <w:r>
        <w:rPr>
          <w:rFonts w:ascii="Arial" w:cs="Arial" w:eastAsia="Arial" w:hAnsi="Arial"/>
          <w:sz w:val="20"/>
          <w:szCs w:val="20"/>
          <w:color w:val="auto"/>
        </w:rPr>
        <w:t>, as 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WHISTLER BLACKCOMB HOLDINGS INC.</w:t>
      </w:r>
      <w:r>
        <w:rPr>
          <w:rFonts w:ascii="Arial" w:cs="Arial" w:eastAsia="Arial" w:hAnsi="Arial"/>
          <w:sz w:val="19"/>
          <w:szCs w:val="19"/>
          <w:color w:val="auto"/>
        </w:rPr>
        <w:t>, as Guarantor</w:t>
      </w:r>
    </w:p>
    <w:p>
      <w:pPr>
        <w:spacing w:after="0" w:line="287"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WHISTLER &amp; BLACKCOMB MOUNTAIN RESORTS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LIMITED</w:t>
      </w:r>
      <w:r>
        <w:rPr>
          <w:rFonts w:ascii="Arial" w:cs="Arial" w:eastAsia="Arial" w:hAnsi="Arial"/>
          <w:sz w:val="20"/>
          <w:szCs w:val="20"/>
          <w:color w:val="auto"/>
        </w:rPr>
        <w:t>, as 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PEAK TO CREEK LODGING COMPANY LTD.</w:t>
      </w:r>
      <w:r>
        <w:rPr>
          <w:rFonts w:ascii="Arial" w:cs="Arial" w:eastAsia="Arial" w:hAnsi="Arial"/>
          <w:sz w:val="20"/>
          <w:szCs w:val="20"/>
          <w:color w:val="auto"/>
        </w:rPr>
        <w:t>, as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0020"/>
          </w:cols>
          <w:pgMar w:left="1440" w:top="549" w:right="439" w:bottom="1440" w:gutter="0" w:footer="0" w:header="0"/>
        </w:sectPr>
      </w:pPr>
    </w:p>
    <w:bookmarkStart w:id="55" w:name="page56"/>
    <w:bookmarkEnd w:id="55"/>
    <w:p>
      <w:pPr>
        <w:ind w:left="4880"/>
        <w:spacing w:after="0"/>
        <w:rPr>
          <w:sz w:val="20"/>
          <w:szCs w:val="20"/>
          <w:color w:val="auto"/>
        </w:rPr>
      </w:pPr>
      <w:r>
        <w:rPr>
          <w:rFonts w:ascii="Arial" w:cs="Arial" w:eastAsia="Arial" w:hAnsi="Arial"/>
          <w:sz w:val="20"/>
          <w:szCs w:val="20"/>
          <w:b w:val="1"/>
          <w:bCs w:val="1"/>
          <w:color w:val="auto"/>
        </w:rPr>
        <w:t>BLACKCOMB MOUNTAIN DEVELOPMENT LTD.</w:t>
      </w:r>
      <w:r>
        <w:rPr>
          <w:rFonts w:ascii="Arial" w:cs="Arial" w:eastAsia="Arial" w:hAnsi="Arial"/>
          <w:sz w:val="20"/>
          <w:szCs w:val="20"/>
          <w:color w:val="auto"/>
        </w:rPr>
        <w:t>, as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GARIBALDI LIFTS LTD.</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WHISTLER BLACKCOMB EMPLOYMENT CORP.</w:t>
      </w:r>
      <w:r>
        <w:rPr>
          <w:rFonts w:ascii="Arial" w:cs="Arial" w:eastAsia="Arial" w:hAnsi="Arial"/>
          <w:sz w:val="19"/>
          <w:szCs w:val="19"/>
          <w:color w:val="auto"/>
        </w:rPr>
        <w:t>, as</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1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WHISTLER/BLACKCOMB MOUNTAIN EMPLOYEE</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HOUSING LTD.</w:t>
      </w:r>
      <w:r>
        <w:rPr>
          <w:rFonts w:ascii="Arial" w:cs="Arial" w:eastAsia="Arial" w:hAnsi="Arial"/>
          <w:sz w:val="20"/>
          <w:szCs w:val="20"/>
          <w:color w:val="auto"/>
        </w:rPr>
        <w:t>, as 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9760"/>
          </w:cols>
          <w:pgMar w:left="1440" w:top="549" w:right="699" w:bottom="1440" w:gutter="0" w:footer="0" w:header="0"/>
        </w:sectPr>
      </w:pPr>
    </w:p>
    <w:bookmarkStart w:id="56" w:name="page57"/>
    <w:bookmarkEnd w:id="56"/>
    <w:p>
      <w:pPr>
        <w:ind w:left="4880"/>
        <w:spacing w:after="0"/>
        <w:rPr>
          <w:sz w:val="20"/>
          <w:szCs w:val="20"/>
          <w:color w:val="auto"/>
        </w:rPr>
      </w:pPr>
      <w:r>
        <w:rPr>
          <w:rFonts w:ascii="Arial" w:cs="Arial" w:eastAsia="Arial" w:hAnsi="Arial"/>
          <w:sz w:val="20"/>
          <w:szCs w:val="20"/>
          <w:b w:val="1"/>
          <w:bCs w:val="1"/>
          <w:color w:val="auto"/>
        </w:rPr>
        <w:t>WHISTLER SKI SCHOOL LTD.</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CRANKWORX EVENTS INC.</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WHISTLER HELI-SKIING LTD.</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9760"/>
          </w:cols>
          <w:pgMar w:left="1440" w:top="995" w:right="699" w:bottom="1440" w:gutter="0" w:footer="0" w:header="0"/>
        </w:sectPr>
      </w:pPr>
    </w:p>
    <w:bookmarkStart w:id="57" w:name="page58"/>
    <w:bookmarkEnd w:id="57"/>
    <w:p>
      <w:pPr>
        <w:ind w:left="4880"/>
        <w:spacing w:after="0"/>
        <w:rPr>
          <w:sz w:val="20"/>
          <w:szCs w:val="20"/>
          <w:color w:val="auto"/>
        </w:rPr>
      </w:pPr>
      <w:r>
        <w:rPr>
          <w:rFonts w:ascii="Arial" w:cs="Arial" w:eastAsia="Arial" w:hAnsi="Arial"/>
          <w:sz w:val="20"/>
          <w:szCs w:val="20"/>
          <w:b w:val="1"/>
          <w:bCs w:val="1"/>
          <w:color w:val="auto"/>
        </w:rPr>
        <w:t>PEAK TO CREEK HOLDINGS CORP.</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WB LAND INC.</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345" w:lineRule="exact"/>
        <w:rPr>
          <w:sz w:val="20"/>
          <w:szCs w:val="20"/>
          <w:color w:val="auto"/>
        </w:rPr>
      </w:pPr>
    </w:p>
    <w:p>
      <w:pPr>
        <w:ind w:left="4880"/>
        <w:spacing w:after="0" w:line="267" w:lineRule="auto"/>
        <w:rPr>
          <w:sz w:val="20"/>
          <w:szCs w:val="20"/>
          <w:color w:val="auto"/>
        </w:rPr>
      </w:pPr>
      <w:r>
        <w:rPr>
          <w:rFonts w:ascii="Arial" w:cs="Arial" w:eastAsia="Arial" w:hAnsi="Arial"/>
          <w:sz w:val="20"/>
          <w:szCs w:val="20"/>
          <w:b w:val="1"/>
          <w:bCs w:val="1"/>
          <w:color w:val="auto"/>
        </w:rPr>
        <w:t>WHISTLER BLACKCOMB GENERAL PARTNER LTD.</w:t>
      </w:r>
      <w:r>
        <w:rPr>
          <w:rFonts w:ascii="Arial" w:cs="Arial" w:eastAsia="Arial" w:hAnsi="Arial"/>
          <w:sz w:val="20"/>
          <w:szCs w:val="20"/>
          <w:color w:val="auto"/>
        </w:rPr>
        <w:t>, as</w:t>
      </w:r>
      <w:r>
        <w:rPr>
          <w:rFonts w:ascii="Arial" w:cs="Arial" w:eastAsia="Arial" w:hAnsi="Arial"/>
          <w:sz w:val="20"/>
          <w:szCs w:val="20"/>
          <w:b w:val="1"/>
          <w:bCs w:val="1"/>
          <w:color w:val="auto"/>
        </w:rPr>
        <w:t xml:space="preserve"> </w:t>
      </w:r>
      <w:r>
        <w:rPr>
          <w:rFonts w:ascii="Arial" w:cs="Arial" w:eastAsia="Arial" w:hAnsi="Arial"/>
          <w:sz w:val="20"/>
          <w:szCs w:val="20"/>
          <w:color w:val="auto"/>
        </w:rPr>
        <w:t>Guarantor</w:t>
      </w:r>
    </w:p>
    <w:p>
      <w:pPr>
        <w:spacing w:after="0" w:line="22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0100"/>
          </w:cols>
          <w:pgMar w:left="1440" w:top="995" w:right="359" w:bottom="1440" w:gutter="0" w:footer="0" w:header="0"/>
        </w:sectPr>
      </w:pPr>
    </w:p>
    <w:bookmarkStart w:id="58" w:name="page59"/>
    <w:bookmarkEnd w:id="58"/>
    <w:p>
      <w:pPr>
        <w:ind w:left="4880"/>
        <w:spacing w:after="0"/>
        <w:rPr>
          <w:sz w:val="20"/>
          <w:szCs w:val="20"/>
          <w:color w:val="auto"/>
        </w:rPr>
      </w:pPr>
      <w:r>
        <w:rPr>
          <w:rFonts w:ascii="Arial" w:cs="Arial" w:eastAsia="Arial" w:hAnsi="Arial"/>
          <w:sz w:val="20"/>
          <w:szCs w:val="20"/>
          <w:b w:val="1"/>
          <w:bCs w:val="1"/>
          <w:color w:val="auto"/>
        </w:rPr>
        <w:t>WB/T DEVELOPMENT LTD.</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BLACKCOMB SKIING ENTERPRISES LTD.</w:t>
      </w:r>
      <w:r>
        <w:rPr>
          <w:rFonts w:ascii="Arial" w:cs="Arial" w:eastAsia="Arial" w:hAnsi="Arial"/>
          <w:sz w:val="19"/>
          <w:szCs w:val="19"/>
          <w:color w:val="auto"/>
        </w:rPr>
        <w:t>, as Guarantor</w:t>
      </w:r>
    </w:p>
    <w:p>
      <w:pPr>
        <w:spacing w:after="0" w:line="287"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AFFINITY SNOWSPORTS INC.</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0000"/>
          </w:cols>
          <w:pgMar w:left="1440" w:top="549" w:right="459" w:bottom="1440" w:gutter="0" w:footer="0" w:header="0"/>
        </w:sectPr>
      </w:pPr>
    </w:p>
    <w:bookmarkStart w:id="59" w:name="page60"/>
    <w:bookmarkEnd w:id="59"/>
    <w:p>
      <w:pPr>
        <w:ind w:left="4880"/>
        <w:spacing w:after="0"/>
        <w:rPr>
          <w:sz w:val="20"/>
          <w:szCs w:val="20"/>
          <w:color w:val="auto"/>
        </w:rPr>
      </w:pPr>
      <w:r>
        <w:rPr>
          <w:rFonts w:ascii="Arial" w:cs="Arial" w:eastAsia="Arial" w:hAnsi="Arial"/>
          <w:sz w:val="20"/>
          <w:szCs w:val="20"/>
          <w:b w:val="1"/>
          <w:bCs w:val="1"/>
          <w:color w:val="auto"/>
        </w:rPr>
        <w:t>WHISTLER ALPINE CLUB INC.</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WB LAND (CREEKSIDE SNOW SCHOOL) INC.</w:t>
      </w:r>
      <w:r>
        <w:rPr>
          <w:rFonts w:ascii="Arial" w:cs="Arial" w:eastAsia="Arial" w:hAnsi="Arial"/>
          <w:sz w:val="20"/>
          <w:szCs w:val="20"/>
          <w:color w:val="auto"/>
        </w:rPr>
        <w:t>, as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Guarantor</w:t>
      </w:r>
    </w:p>
    <w:p>
      <w:pPr>
        <w:spacing w:after="0" w:line="2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1016563 B.C. LTD.</w:t>
      </w:r>
      <w:r>
        <w:rPr>
          <w:rFonts w:ascii="Arial" w:cs="Arial" w:eastAsia="Arial" w:hAnsi="Arial"/>
          <w:sz w:val="20"/>
          <w:szCs w:val="20"/>
          <w:color w:val="auto"/>
        </w:rPr>
        <w:t>, as Guarantor</w:t>
      </w:r>
    </w:p>
    <w:p>
      <w:pPr>
        <w:spacing w:after="0" w:line="27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pacing w:after="0" w:line="194"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SUMMIT SKI LIMITED</w:t>
      </w:r>
      <w:r>
        <w:rPr>
          <w:rFonts w:ascii="Arial" w:cs="Arial" w:eastAsia="Arial" w:hAnsi="Arial"/>
          <w:sz w:val="20"/>
          <w:szCs w:val="20"/>
          <w:color w:val="auto"/>
        </w:rPr>
        <w:t>, as Guarantor</w:t>
      </w:r>
    </w:p>
    <w:p>
      <w:pPr>
        <w:spacing w:after="0" w:line="54"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48260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7"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 Executive Vice President and Chief Financial</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9760"/>
          </w:cols>
          <w:pgMar w:left="1440" w:top="549" w:right="6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10</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LENDERS AND COMMITMENTS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0" w:type="dxa"/>
            <w:vAlign w:val="bottom"/>
            <w:tcBorders>
              <w:top w:val="single" w:sz="8" w:color="auto"/>
              <w:left w:val="single" w:sz="8" w:color="auto"/>
            </w:tcBorders>
            <w:shd w:val="clear" w:color="auto" w:fill="D9D9D9"/>
          </w:tcPr>
          <w:p>
            <w:pPr>
              <w:spacing w:after="0"/>
              <w:rPr>
                <w:sz w:val="24"/>
                <w:szCs w:val="24"/>
                <w:color w:val="auto"/>
              </w:rPr>
            </w:pPr>
          </w:p>
        </w:tc>
        <w:tc>
          <w:tcPr>
            <w:tcW w:w="640" w:type="dxa"/>
            <w:vAlign w:val="bottom"/>
            <w:tcBorders>
              <w:top w:val="single" w:sz="8" w:color="auto"/>
            </w:tcBorders>
            <w:shd w:val="clear" w:color="auto" w:fill="D9D9D9"/>
          </w:tcPr>
          <w:p>
            <w:pPr>
              <w:spacing w:after="0"/>
              <w:rPr>
                <w:sz w:val="24"/>
                <w:szCs w:val="24"/>
                <w:color w:val="auto"/>
              </w:rPr>
            </w:pPr>
          </w:p>
        </w:tc>
        <w:tc>
          <w:tcPr>
            <w:tcW w:w="780" w:type="dxa"/>
            <w:vAlign w:val="bottom"/>
            <w:tcBorders>
              <w:top w:val="single" w:sz="8" w:color="auto"/>
            </w:tcBorders>
            <w:shd w:val="clear" w:color="auto" w:fill="D9D9D9"/>
          </w:tcPr>
          <w:p>
            <w:pPr>
              <w:spacing w:after="0"/>
              <w:rPr>
                <w:sz w:val="24"/>
                <w:szCs w:val="24"/>
                <w:color w:val="auto"/>
              </w:rPr>
            </w:pPr>
          </w:p>
        </w:tc>
        <w:tc>
          <w:tcPr>
            <w:tcW w:w="2340" w:type="dxa"/>
            <w:vAlign w:val="bottom"/>
            <w:tcBorders>
              <w:top w:val="single" w:sz="8" w:color="auto"/>
              <w:right w:val="single" w:sz="8" w:color="auto"/>
            </w:tcBorders>
            <w:gridSpan w:val="11"/>
            <w:shd w:val="clear" w:color="auto" w:fill="D9D9D9"/>
          </w:tcPr>
          <w:p>
            <w:pPr>
              <w:ind w:left="140"/>
              <w:spacing w:after="0"/>
              <w:rPr>
                <w:sz w:val="20"/>
                <w:szCs w:val="20"/>
                <w:color w:val="auto"/>
              </w:rPr>
            </w:pPr>
            <w:r>
              <w:rPr>
                <w:rFonts w:ascii="Arial" w:cs="Arial" w:eastAsia="Arial" w:hAnsi="Arial"/>
                <w:sz w:val="20"/>
                <w:szCs w:val="20"/>
                <w:b w:val="1"/>
                <w:bCs w:val="1"/>
                <w:color w:val="auto"/>
              </w:rPr>
              <w:t>Lender</w:t>
            </w:r>
          </w:p>
        </w:tc>
        <w:tc>
          <w:tcPr>
            <w:tcW w:w="60" w:type="dxa"/>
            <w:vAlign w:val="bottom"/>
            <w:tcBorders>
              <w:top w:val="single" w:sz="8" w:color="auto"/>
            </w:tcBorders>
            <w:shd w:val="clear" w:color="auto" w:fill="D9D9D9"/>
          </w:tcPr>
          <w:p>
            <w:pPr>
              <w:spacing w:after="0"/>
              <w:rPr>
                <w:sz w:val="24"/>
                <w:szCs w:val="24"/>
                <w:color w:val="auto"/>
              </w:rPr>
            </w:pPr>
          </w:p>
        </w:tc>
        <w:tc>
          <w:tcPr>
            <w:tcW w:w="40" w:type="dxa"/>
            <w:vAlign w:val="bottom"/>
            <w:tcBorders>
              <w:top w:val="single" w:sz="8" w:color="auto"/>
            </w:tcBorders>
            <w:shd w:val="clear" w:color="auto" w:fill="D9D9D9"/>
          </w:tcPr>
          <w:p>
            <w:pPr>
              <w:spacing w:after="0"/>
              <w:rPr>
                <w:sz w:val="24"/>
                <w:szCs w:val="24"/>
                <w:color w:val="auto"/>
              </w:rPr>
            </w:pPr>
          </w:p>
        </w:tc>
        <w:tc>
          <w:tcPr>
            <w:tcW w:w="20" w:type="dxa"/>
            <w:vAlign w:val="bottom"/>
            <w:tcBorders>
              <w:top w:val="single" w:sz="8" w:color="auto"/>
            </w:tcBorders>
            <w:shd w:val="clear" w:color="auto" w:fill="D9D9D9"/>
          </w:tcPr>
          <w:p>
            <w:pPr>
              <w:spacing w:after="0"/>
              <w:rPr>
                <w:sz w:val="24"/>
                <w:szCs w:val="24"/>
                <w:color w:val="auto"/>
              </w:rPr>
            </w:pPr>
          </w:p>
        </w:tc>
        <w:tc>
          <w:tcPr>
            <w:tcW w:w="40" w:type="dxa"/>
            <w:vAlign w:val="bottom"/>
            <w:tcBorders>
              <w:top w:val="single" w:sz="8" w:color="auto"/>
            </w:tcBorders>
            <w:shd w:val="clear" w:color="auto" w:fill="D9D9D9"/>
          </w:tcPr>
          <w:p>
            <w:pPr>
              <w:spacing w:after="0"/>
              <w:rPr>
                <w:sz w:val="24"/>
                <w:szCs w:val="24"/>
                <w:color w:val="auto"/>
              </w:rPr>
            </w:pPr>
          </w:p>
        </w:tc>
        <w:tc>
          <w:tcPr>
            <w:tcW w:w="80" w:type="dxa"/>
            <w:vAlign w:val="bottom"/>
            <w:tcBorders>
              <w:top w:val="single" w:sz="8" w:color="auto"/>
            </w:tcBorders>
            <w:shd w:val="clear" w:color="auto" w:fill="D9D9D9"/>
          </w:tcPr>
          <w:p>
            <w:pPr>
              <w:spacing w:after="0"/>
              <w:rPr>
                <w:sz w:val="24"/>
                <w:szCs w:val="24"/>
                <w:color w:val="auto"/>
              </w:rPr>
            </w:pPr>
          </w:p>
        </w:tc>
        <w:tc>
          <w:tcPr>
            <w:tcW w:w="160" w:type="dxa"/>
            <w:vAlign w:val="bottom"/>
            <w:tcBorders>
              <w:top w:val="single" w:sz="8" w:color="auto"/>
            </w:tcBorders>
            <w:shd w:val="clear" w:color="auto" w:fill="D9D9D9"/>
          </w:tcPr>
          <w:p>
            <w:pPr>
              <w:spacing w:after="0"/>
              <w:rPr>
                <w:sz w:val="24"/>
                <w:szCs w:val="24"/>
                <w:color w:val="auto"/>
              </w:rPr>
            </w:pPr>
          </w:p>
        </w:tc>
        <w:tc>
          <w:tcPr>
            <w:tcW w:w="20" w:type="dxa"/>
            <w:vAlign w:val="bottom"/>
            <w:tcBorders>
              <w:top w:val="single" w:sz="8" w:color="auto"/>
            </w:tcBorders>
            <w:shd w:val="clear" w:color="auto" w:fill="D9D9D9"/>
          </w:tcPr>
          <w:p>
            <w:pPr>
              <w:spacing w:after="0"/>
              <w:rPr>
                <w:sz w:val="24"/>
                <w:szCs w:val="24"/>
                <w:color w:val="auto"/>
              </w:rPr>
            </w:pPr>
          </w:p>
        </w:tc>
        <w:tc>
          <w:tcPr>
            <w:tcW w:w="440" w:type="dxa"/>
            <w:vAlign w:val="bottom"/>
            <w:tcBorders>
              <w:top w:val="single" w:sz="8" w:color="auto"/>
            </w:tcBorders>
            <w:shd w:val="clear" w:color="auto" w:fill="D9D9D9"/>
          </w:tcPr>
          <w:p>
            <w:pPr>
              <w:spacing w:after="0"/>
              <w:rPr>
                <w:sz w:val="24"/>
                <w:szCs w:val="24"/>
                <w:color w:val="auto"/>
              </w:rPr>
            </w:pPr>
          </w:p>
        </w:tc>
        <w:tc>
          <w:tcPr>
            <w:tcW w:w="20" w:type="dxa"/>
            <w:vAlign w:val="bottom"/>
            <w:tcBorders>
              <w:top w:val="single" w:sz="8" w:color="auto"/>
            </w:tcBorders>
            <w:shd w:val="clear" w:color="auto" w:fill="D9D9D9"/>
          </w:tcPr>
          <w:p>
            <w:pPr>
              <w:spacing w:after="0"/>
              <w:rPr>
                <w:sz w:val="24"/>
                <w:szCs w:val="24"/>
                <w:color w:val="auto"/>
              </w:rPr>
            </w:pPr>
          </w:p>
        </w:tc>
        <w:tc>
          <w:tcPr>
            <w:tcW w:w="460" w:type="dxa"/>
            <w:vAlign w:val="bottom"/>
            <w:tcBorders>
              <w:top w:val="single" w:sz="8" w:color="auto"/>
            </w:tcBorders>
            <w:shd w:val="clear" w:color="auto" w:fill="D9D9D9"/>
          </w:tcPr>
          <w:p>
            <w:pPr>
              <w:spacing w:after="0"/>
              <w:rPr>
                <w:sz w:val="24"/>
                <w:szCs w:val="24"/>
                <w:color w:val="auto"/>
              </w:rPr>
            </w:pPr>
          </w:p>
        </w:tc>
        <w:tc>
          <w:tcPr>
            <w:tcW w:w="160" w:type="dxa"/>
            <w:vAlign w:val="bottom"/>
            <w:tcBorders>
              <w:top w:val="single" w:sz="8" w:color="auto"/>
            </w:tcBorders>
            <w:shd w:val="clear" w:color="auto" w:fill="D9D9D9"/>
          </w:tcPr>
          <w:p>
            <w:pPr>
              <w:spacing w:after="0"/>
              <w:rPr>
                <w:sz w:val="24"/>
                <w:szCs w:val="24"/>
                <w:color w:val="auto"/>
              </w:rPr>
            </w:pPr>
          </w:p>
        </w:tc>
        <w:tc>
          <w:tcPr>
            <w:tcW w:w="20" w:type="dxa"/>
            <w:vAlign w:val="bottom"/>
            <w:tcBorders>
              <w:top w:val="single" w:sz="8" w:color="auto"/>
            </w:tcBorders>
            <w:shd w:val="clear" w:color="auto" w:fill="D9D9D9"/>
          </w:tcPr>
          <w:p>
            <w:pPr>
              <w:spacing w:after="0"/>
              <w:rPr>
                <w:sz w:val="24"/>
                <w:szCs w:val="24"/>
                <w:color w:val="auto"/>
              </w:rPr>
            </w:pPr>
          </w:p>
        </w:tc>
        <w:tc>
          <w:tcPr>
            <w:tcW w:w="2240" w:type="dxa"/>
            <w:vAlign w:val="bottom"/>
            <w:tcBorders>
              <w:top w:val="single" w:sz="8" w:color="auto"/>
              <w:right w:val="single" w:sz="8" w:color="auto"/>
            </w:tcBorders>
            <w:gridSpan w:val="16"/>
            <w:shd w:val="clear" w:color="auto" w:fill="D9D9D9"/>
          </w:tcPr>
          <w:p>
            <w:pPr>
              <w:jc w:val="center"/>
              <w:ind w:right="1540"/>
              <w:spacing w:after="0"/>
              <w:rPr>
                <w:sz w:val="20"/>
                <w:szCs w:val="20"/>
                <w:color w:val="auto"/>
              </w:rPr>
            </w:pPr>
            <w:r>
              <w:rPr>
                <w:rFonts w:ascii="Arial" w:cs="Arial" w:eastAsia="Arial" w:hAnsi="Arial"/>
                <w:sz w:val="20"/>
                <w:szCs w:val="20"/>
                <w:b w:val="1"/>
                <w:bCs w:val="1"/>
                <w:color w:val="auto"/>
                <w:w w:val="87"/>
              </w:rPr>
              <w:t>Address</w:t>
            </w:r>
          </w:p>
        </w:tc>
        <w:tc>
          <w:tcPr>
            <w:tcW w:w="1220" w:type="dxa"/>
            <w:vAlign w:val="bottom"/>
            <w:tcBorders>
              <w:top w:val="single" w:sz="8" w:color="auto"/>
            </w:tcBorders>
            <w:shd w:val="clear" w:color="auto" w:fill="D9D9D9"/>
          </w:tcPr>
          <w:p>
            <w:pPr>
              <w:spacing w:after="0"/>
              <w:rPr>
                <w:sz w:val="24"/>
                <w:szCs w:val="24"/>
                <w:color w:val="auto"/>
              </w:rPr>
            </w:pPr>
          </w:p>
        </w:tc>
        <w:tc>
          <w:tcPr>
            <w:tcW w:w="2660" w:type="dxa"/>
            <w:vAlign w:val="bottom"/>
            <w:tcBorders>
              <w:top w:val="single" w:sz="8" w:color="auto"/>
              <w:right w:val="single" w:sz="8" w:color="auto"/>
            </w:tcBorders>
            <w:gridSpan w:val="8"/>
            <w:shd w:val="clear" w:color="auto" w:fill="D9D9D9"/>
          </w:tcPr>
          <w:p>
            <w:pPr>
              <w:spacing w:after="0"/>
              <w:rPr>
                <w:sz w:val="20"/>
                <w:szCs w:val="20"/>
                <w:color w:val="auto"/>
              </w:rPr>
            </w:pPr>
            <w:r>
              <w:rPr>
                <w:rFonts w:ascii="Arial" w:cs="Arial" w:eastAsia="Arial" w:hAnsi="Arial"/>
                <w:sz w:val="20"/>
                <w:szCs w:val="20"/>
                <w:b w:val="1"/>
                <w:bCs w:val="1"/>
                <w:color w:val="auto"/>
              </w:rPr>
              <w:t xml:space="preserve">Commitment </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40" w:type="dxa"/>
            <w:vAlign w:val="bottom"/>
            <w:tcBorders>
              <w:top w:val="single" w:sz="8" w:color="D9D9D9"/>
              <w:left w:val="single" w:sz="8" w:color="auto"/>
              <w:bottom w:val="single" w:sz="8" w:color="auto"/>
            </w:tcBorders>
            <w:shd w:val="clear" w:color="auto" w:fill="D9D9D9"/>
          </w:tcPr>
          <w:p>
            <w:pPr>
              <w:spacing w:after="0"/>
              <w:rPr>
                <w:sz w:val="20"/>
                <w:szCs w:val="20"/>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p>
        </w:tc>
        <w:tc>
          <w:tcPr>
            <w:tcW w:w="780" w:type="dxa"/>
            <w:vAlign w:val="bottom"/>
            <w:tcBorders>
              <w:top w:val="single" w:sz="8" w:color="D9D9D9"/>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8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auto"/>
              <w:bottom w:val="single" w:sz="8" w:color="auto"/>
            </w:tcBorders>
            <w:shd w:val="clear" w:color="auto" w:fill="D9D9D9"/>
          </w:tcPr>
          <w:p>
            <w:pPr>
              <w:spacing w:after="0"/>
              <w:rPr>
                <w:sz w:val="20"/>
                <w:szCs w:val="20"/>
                <w:color w:val="auto"/>
              </w:rPr>
            </w:pPr>
          </w:p>
        </w:tc>
        <w:tc>
          <w:tcPr>
            <w:tcW w:w="36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tcBorders>
            <w:shd w:val="clear" w:color="auto" w:fill="D9D9D9"/>
          </w:tcPr>
          <w:p>
            <w:pPr>
              <w:spacing w:after="0"/>
              <w:rPr>
                <w:sz w:val="20"/>
                <w:szCs w:val="20"/>
                <w:color w:val="auto"/>
              </w:rPr>
            </w:pPr>
          </w:p>
        </w:tc>
        <w:tc>
          <w:tcPr>
            <w:tcW w:w="760" w:type="dxa"/>
            <w:vAlign w:val="bottom"/>
            <w:tcBorders>
              <w:top w:val="single" w:sz="8" w:color="D9D9D9"/>
              <w:bottom w:val="single" w:sz="8" w:color="auto"/>
            </w:tcBorders>
            <w:shd w:val="clear" w:color="auto" w:fill="D9D9D9"/>
          </w:tcPr>
          <w:p>
            <w:pPr>
              <w:spacing w:after="0"/>
              <w:rPr>
                <w:sz w:val="20"/>
                <w:szCs w:val="20"/>
                <w:color w:val="auto"/>
              </w:rPr>
            </w:pPr>
          </w:p>
        </w:tc>
        <w:tc>
          <w:tcPr>
            <w:tcW w:w="6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220" w:type="dxa"/>
            <w:vAlign w:val="bottom"/>
            <w:tcBorders>
              <w:top w:val="single" w:sz="8" w:color="D9D9D9"/>
              <w:bottom w:val="single" w:sz="8" w:color="auto"/>
            </w:tcBorders>
            <w:shd w:val="clear" w:color="auto" w:fill="D9D9D9"/>
          </w:tcPr>
          <w:p>
            <w:pPr>
              <w:spacing w:after="0"/>
              <w:rPr>
                <w:sz w:val="20"/>
                <w:szCs w:val="20"/>
                <w:color w:val="auto"/>
              </w:rPr>
            </w:pPr>
          </w:p>
        </w:tc>
        <w:tc>
          <w:tcPr>
            <w:tcW w:w="180" w:type="dxa"/>
            <w:vAlign w:val="bottom"/>
            <w:tcBorders>
              <w:top w:val="single" w:sz="8" w:color="D9D9D9"/>
              <w:bottom w:val="single" w:sz="8" w:color="auto"/>
            </w:tcBorders>
            <w:shd w:val="clear" w:color="auto" w:fill="D9D9D9"/>
          </w:tcPr>
          <w:p>
            <w:pPr>
              <w:spacing w:after="0"/>
              <w:rPr>
                <w:sz w:val="20"/>
                <w:szCs w:val="20"/>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60" w:type="dxa"/>
            <w:vAlign w:val="bottom"/>
            <w:tcBorders>
              <w:top w:val="single" w:sz="8" w:color="D9D9D9"/>
              <w:bottom w:val="single" w:sz="8" w:color="auto"/>
            </w:tcBorders>
            <w:shd w:val="clear" w:color="auto" w:fill="D9D9D9"/>
          </w:tcPr>
          <w:p>
            <w:pPr>
              <w:spacing w:after="0"/>
              <w:rPr>
                <w:sz w:val="20"/>
                <w:szCs w:val="20"/>
                <w:color w:val="auto"/>
              </w:rPr>
            </w:pPr>
          </w:p>
        </w:tc>
        <w:tc>
          <w:tcPr>
            <w:tcW w:w="4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40" w:type="dxa"/>
            <w:vAlign w:val="bottom"/>
            <w:tcBorders>
              <w:top w:val="single" w:sz="8" w:color="D9D9D9"/>
              <w:bottom w:val="single" w:sz="8" w:color="auto"/>
            </w:tcBorders>
            <w:shd w:val="clear" w:color="auto" w:fill="D9D9D9"/>
          </w:tcPr>
          <w:p>
            <w:pPr>
              <w:spacing w:after="0"/>
              <w:rPr>
                <w:sz w:val="20"/>
                <w:szCs w:val="20"/>
                <w:color w:val="auto"/>
              </w:rPr>
            </w:pPr>
          </w:p>
        </w:tc>
        <w:tc>
          <w:tcPr>
            <w:tcW w:w="80" w:type="dxa"/>
            <w:vAlign w:val="bottom"/>
            <w:tcBorders>
              <w:top w:val="single" w:sz="8" w:color="D9D9D9"/>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44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460" w:type="dxa"/>
            <w:vAlign w:val="bottom"/>
            <w:tcBorders>
              <w:top w:val="single" w:sz="8" w:color="D9D9D9"/>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180" w:type="dxa"/>
            <w:vAlign w:val="bottom"/>
            <w:tcBorders>
              <w:top w:val="single" w:sz="8" w:color="auto"/>
              <w:bottom w:val="single" w:sz="8" w:color="auto"/>
            </w:tcBorders>
            <w:shd w:val="clear" w:color="auto" w:fill="D9D9D9"/>
          </w:tcPr>
          <w:p>
            <w:pPr>
              <w:spacing w:after="0"/>
              <w:rPr>
                <w:sz w:val="20"/>
                <w:szCs w:val="20"/>
                <w:color w:val="auto"/>
              </w:rPr>
            </w:pPr>
          </w:p>
        </w:tc>
        <w:tc>
          <w:tcPr>
            <w:tcW w:w="20" w:type="dxa"/>
            <w:vAlign w:val="bottom"/>
            <w:tcBorders>
              <w:top w:val="single" w:sz="8" w:color="auto"/>
              <w:bottom w:val="single" w:sz="8" w:color="auto"/>
            </w:tcBorders>
            <w:shd w:val="clear" w:color="auto" w:fill="D9D9D9"/>
          </w:tcPr>
          <w:p>
            <w:pPr>
              <w:spacing w:after="0"/>
              <w:rPr>
                <w:sz w:val="20"/>
                <w:szCs w:val="20"/>
                <w:color w:val="auto"/>
              </w:rPr>
            </w:pPr>
          </w:p>
        </w:tc>
        <w:tc>
          <w:tcPr>
            <w:tcW w:w="300" w:type="dxa"/>
            <w:vAlign w:val="bottom"/>
            <w:tcBorders>
              <w:top w:val="single" w:sz="8" w:color="auto"/>
              <w:bottom w:val="single" w:sz="8" w:color="auto"/>
            </w:tcBorders>
            <w:shd w:val="clear" w:color="auto" w:fill="D9D9D9"/>
          </w:tcPr>
          <w:p>
            <w:pPr>
              <w:spacing w:after="0"/>
              <w:rPr>
                <w:sz w:val="20"/>
                <w:szCs w:val="20"/>
                <w:color w:val="auto"/>
              </w:rPr>
            </w:pPr>
          </w:p>
        </w:tc>
        <w:tc>
          <w:tcPr>
            <w:tcW w:w="20" w:type="dxa"/>
            <w:vAlign w:val="bottom"/>
            <w:tcBorders>
              <w:top w:val="single" w:sz="8" w:color="auto"/>
              <w:bottom w:val="single" w:sz="8" w:color="auto"/>
            </w:tcBorders>
            <w:shd w:val="clear" w:color="auto" w:fill="D9D9D9"/>
          </w:tcPr>
          <w:p>
            <w:pPr>
              <w:spacing w:after="0"/>
              <w:rPr>
                <w:sz w:val="20"/>
                <w:szCs w:val="20"/>
                <w:color w:val="auto"/>
              </w:rPr>
            </w:pPr>
          </w:p>
        </w:tc>
        <w:tc>
          <w:tcPr>
            <w:tcW w:w="180" w:type="dxa"/>
            <w:vAlign w:val="bottom"/>
            <w:tcBorders>
              <w:top w:val="single" w:sz="8" w:color="auto"/>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tcBorders>
            <w:shd w:val="clear" w:color="auto" w:fill="D9D9D9"/>
          </w:tcPr>
          <w:p>
            <w:pPr>
              <w:spacing w:after="0"/>
              <w:rPr>
                <w:sz w:val="20"/>
                <w:szCs w:val="20"/>
                <w:color w:val="auto"/>
              </w:rPr>
            </w:pPr>
          </w:p>
        </w:tc>
        <w:tc>
          <w:tcPr>
            <w:tcW w:w="46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44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100" w:type="dxa"/>
            <w:vAlign w:val="bottom"/>
            <w:tcBorders>
              <w:top w:val="single" w:sz="8" w:color="D9D9D9"/>
              <w:bottom w:val="single" w:sz="8" w:color="auto"/>
            </w:tcBorders>
            <w:shd w:val="clear" w:color="auto" w:fill="D9D9D9"/>
          </w:tcPr>
          <w:p>
            <w:pPr>
              <w:spacing w:after="0"/>
              <w:rPr>
                <w:sz w:val="20"/>
                <w:szCs w:val="20"/>
                <w:color w:val="auto"/>
              </w:rPr>
            </w:pPr>
          </w:p>
        </w:tc>
        <w:tc>
          <w:tcPr>
            <w:tcW w:w="40" w:type="dxa"/>
            <w:vAlign w:val="bottom"/>
            <w:tcBorders>
              <w:top w:val="single" w:sz="8" w:color="D9D9D9"/>
              <w:bottom w:val="single" w:sz="8" w:color="auto"/>
            </w:tcBorders>
            <w:shd w:val="clear" w:color="auto" w:fill="D9D9D9"/>
          </w:tcPr>
          <w:p>
            <w:pPr>
              <w:spacing w:after="0"/>
              <w:rPr>
                <w:sz w:val="20"/>
                <w:szCs w:val="20"/>
                <w:color w:val="auto"/>
              </w:rPr>
            </w:pPr>
          </w:p>
        </w:tc>
        <w:tc>
          <w:tcPr>
            <w:tcW w:w="20" w:type="dxa"/>
            <w:vAlign w:val="bottom"/>
            <w:tcBorders>
              <w:top w:val="single" w:sz="8" w:color="D9D9D9"/>
              <w:bottom w:val="single" w:sz="8" w:color="auto"/>
            </w:tcBorders>
            <w:shd w:val="clear" w:color="auto" w:fill="D9D9D9"/>
          </w:tcPr>
          <w:p>
            <w:pPr>
              <w:spacing w:after="0"/>
              <w:rPr>
                <w:sz w:val="20"/>
                <w:szCs w:val="20"/>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1220" w:type="dxa"/>
            <w:vAlign w:val="bottom"/>
            <w:tcBorders>
              <w:top w:val="single" w:sz="8" w:color="D9D9D9"/>
              <w:bottom w:val="single" w:sz="8" w:color="auto"/>
            </w:tcBorders>
            <w:shd w:val="clear" w:color="auto" w:fill="D9D9D9"/>
          </w:tcPr>
          <w:p>
            <w:pPr>
              <w:spacing w:after="0"/>
              <w:rPr>
                <w:sz w:val="20"/>
                <w:szCs w:val="20"/>
                <w:color w:val="auto"/>
              </w:rPr>
            </w:pPr>
          </w:p>
        </w:tc>
        <w:tc>
          <w:tcPr>
            <w:tcW w:w="200" w:type="dxa"/>
            <w:vAlign w:val="bottom"/>
            <w:tcBorders>
              <w:top w:val="single" w:sz="8" w:color="auto"/>
              <w:bottom w:val="single" w:sz="8" w:color="auto"/>
            </w:tcBorders>
            <w:shd w:val="clear" w:color="auto" w:fill="D9D9D9"/>
          </w:tcPr>
          <w:p>
            <w:pPr>
              <w:spacing w:after="0"/>
              <w:rPr>
                <w:sz w:val="20"/>
                <w:szCs w:val="20"/>
                <w:color w:val="auto"/>
              </w:rPr>
            </w:pPr>
          </w:p>
        </w:tc>
        <w:tc>
          <w:tcPr>
            <w:tcW w:w="20" w:type="dxa"/>
            <w:vAlign w:val="bottom"/>
            <w:tcBorders>
              <w:top w:val="single" w:sz="8" w:color="auto"/>
              <w:bottom w:val="single" w:sz="8" w:color="auto"/>
            </w:tcBorders>
            <w:shd w:val="clear" w:color="auto" w:fill="D9D9D9"/>
          </w:tcPr>
          <w:p>
            <w:pPr>
              <w:spacing w:after="0"/>
              <w:rPr>
                <w:sz w:val="20"/>
                <w:szCs w:val="20"/>
                <w:color w:val="auto"/>
              </w:rPr>
            </w:pPr>
          </w:p>
        </w:tc>
        <w:tc>
          <w:tcPr>
            <w:tcW w:w="40" w:type="dxa"/>
            <w:vAlign w:val="bottom"/>
            <w:tcBorders>
              <w:top w:val="single" w:sz="8" w:color="auto"/>
              <w:bottom w:val="single" w:sz="8" w:color="auto"/>
            </w:tcBorders>
            <w:shd w:val="clear" w:color="auto" w:fill="D9D9D9"/>
          </w:tcPr>
          <w:p>
            <w:pPr>
              <w:spacing w:after="0"/>
              <w:rPr>
                <w:sz w:val="20"/>
                <w:szCs w:val="20"/>
                <w:color w:val="auto"/>
              </w:rPr>
            </w:pPr>
          </w:p>
        </w:tc>
        <w:tc>
          <w:tcPr>
            <w:tcW w:w="840" w:type="dxa"/>
            <w:vAlign w:val="bottom"/>
            <w:tcBorders>
              <w:top w:val="single" w:sz="8" w:color="auto"/>
              <w:bottom w:val="single" w:sz="8" w:color="auto"/>
            </w:tcBorders>
            <w:shd w:val="clear" w:color="auto" w:fill="D9D9D9"/>
          </w:tcPr>
          <w:p>
            <w:pPr>
              <w:spacing w:after="0"/>
              <w:rPr>
                <w:sz w:val="20"/>
                <w:szCs w:val="20"/>
                <w:color w:val="auto"/>
              </w:rPr>
            </w:pPr>
          </w:p>
        </w:tc>
        <w:tc>
          <w:tcPr>
            <w:tcW w:w="60" w:type="dxa"/>
            <w:vAlign w:val="bottom"/>
            <w:tcBorders>
              <w:top w:val="single" w:sz="8" w:color="auto"/>
              <w:bottom w:val="single" w:sz="8" w:color="auto"/>
            </w:tcBorders>
            <w:shd w:val="clear" w:color="auto" w:fill="D9D9D9"/>
          </w:tcPr>
          <w:p>
            <w:pPr>
              <w:spacing w:after="0"/>
              <w:rPr>
                <w:sz w:val="20"/>
                <w:szCs w:val="20"/>
                <w:color w:val="auto"/>
              </w:rPr>
            </w:pPr>
          </w:p>
        </w:tc>
        <w:tc>
          <w:tcPr>
            <w:tcW w:w="40" w:type="dxa"/>
            <w:vAlign w:val="bottom"/>
            <w:tcBorders>
              <w:top w:val="single" w:sz="8" w:color="auto"/>
              <w:bottom w:val="single" w:sz="8" w:color="auto"/>
            </w:tcBorders>
            <w:shd w:val="clear" w:color="auto" w:fill="D9D9D9"/>
          </w:tcPr>
          <w:p>
            <w:pPr>
              <w:spacing w:after="0"/>
              <w:rPr>
                <w:sz w:val="20"/>
                <w:szCs w:val="20"/>
                <w:color w:val="auto"/>
              </w:rPr>
            </w:pPr>
          </w:p>
        </w:tc>
        <w:tc>
          <w:tcPr>
            <w:tcW w:w="200" w:type="dxa"/>
            <w:vAlign w:val="bottom"/>
            <w:tcBorders>
              <w:top w:val="single" w:sz="8" w:color="auto"/>
              <w:bottom w:val="single" w:sz="8" w:color="auto"/>
            </w:tcBorders>
            <w:shd w:val="clear" w:color="auto" w:fill="D9D9D9"/>
          </w:tcPr>
          <w:p>
            <w:pPr>
              <w:spacing w:after="0"/>
              <w:rPr>
                <w:sz w:val="20"/>
                <w:szCs w:val="20"/>
                <w:color w:val="auto"/>
              </w:rPr>
            </w:pPr>
          </w:p>
        </w:tc>
        <w:tc>
          <w:tcPr>
            <w:tcW w:w="126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1"/>
              </w:rPr>
              <w:t>The Toronto-Dominion Bank</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right w:val="single" w:sz="8" w:color="auto"/>
            </w:tcBorders>
            <w:gridSpan w:val="19"/>
          </w:tcPr>
          <w:p>
            <w:pPr>
              <w:jc w:val="center"/>
              <w:ind w:right="960"/>
              <w:spacing w:after="0"/>
              <w:rPr>
                <w:sz w:val="20"/>
                <w:szCs w:val="20"/>
                <w:color w:val="auto"/>
              </w:rPr>
            </w:pPr>
            <w:r>
              <w:rPr>
                <w:rFonts w:ascii="Arial" w:cs="Arial" w:eastAsia="Arial" w:hAnsi="Arial"/>
                <w:sz w:val="20"/>
                <w:szCs w:val="20"/>
                <w:color w:val="auto"/>
                <w:w w:val="87"/>
              </w:rPr>
              <w:t>700 West Georgia Street</w:t>
            </w:r>
          </w:p>
        </w:tc>
        <w:tc>
          <w:tcPr>
            <w:tcW w:w="2620" w:type="dxa"/>
            <w:vAlign w:val="bottom"/>
            <w:gridSpan w:val="8"/>
          </w:tcPr>
          <w:p>
            <w:pPr>
              <w:jc w:val="center"/>
              <w:ind w:left="1141"/>
              <w:spacing w:after="0"/>
              <w:rPr>
                <w:sz w:val="20"/>
                <w:szCs w:val="20"/>
                <w:color w:val="auto"/>
              </w:rPr>
            </w:pPr>
            <w:r>
              <w:rPr>
                <w:rFonts w:ascii="Arial" w:cs="Arial" w:eastAsia="Arial" w:hAnsi="Arial"/>
                <w:sz w:val="20"/>
                <w:szCs w:val="20"/>
                <w:color w:val="auto"/>
                <w:w w:val="88"/>
              </w:rPr>
              <w:t xml:space="preserve">50,000,000 </w:t>
            </w:r>
            <w:r>
              <w:rPr>
                <w:rFonts w:ascii="Arial" w:cs="Arial" w:eastAsia="Arial" w:hAnsi="Arial"/>
                <w:sz w:val="25"/>
                <w:szCs w:val="25"/>
                <w:color w:val="auto"/>
                <w:w w:val="88"/>
                <w:vertAlign w:val="superscript"/>
              </w:rPr>
              <w:t>1</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20" w:type="dxa"/>
            <w:vAlign w:val="bottom"/>
            <w:tcBorders>
              <w:right w:val="single" w:sz="8" w:color="auto"/>
            </w:tcBorders>
            <w:gridSpan w:val="18"/>
            <w:vMerge w:val="restart"/>
          </w:tcPr>
          <w:p>
            <w:pPr>
              <w:jc w:val="center"/>
              <w:ind w:right="1420"/>
              <w:spacing w:after="0"/>
              <w:rPr>
                <w:sz w:val="20"/>
                <w:szCs w:val="20"/>
                <w:color w:val="auto"/>
              </w:rPr>
            </w:pPr>
            <w:r>
              <w:rPr>
                <w:rFonts w:ascii="Arial" w:cs="Arial" w:eastAsia="Arial" w:hAnsi="Arial"/>
                <w:sz w:val="20"/>
                <w:szCs w:val="20"/>
                <w:color w:val="auto"/>
                <w:w w:val="87"/>
              </w:rPr>
              <w:t>Suite 1700</w:t>
            </w: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420" w:type="dxa"/>
            <w:vAlign w:val="bottom"/>
            <w:tcBorders>
              <w:right w:val="single" w:sz="8" w:color="auto"/>
            </w:tcBorders>
            <w:gridSpan w:val="18"/>
            <w:vMerge w:val="continue"/>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00" w:type="dxa"/>
            <w:vAlign w:val="bottom"/>
            <w:tcBorders>
              <w:right w:val="single" w:sz="8" w:color="auto"/>
            </w:tcBorders>
            <w:gridSpan w:val="20"/>
          </w:tcPr>
          <w:p>
            <w:pPr>
              <w:jc w:val="center"/>
              <w:ind w:right="880"/>
              <w:spacing w:after="0"/>
              <w:rPr>
                <w:sz w:val="20"/>
                <w:szCs w:val="20"/>
                <w:color w:val="auto"/>
              </w:rPr>
            </w:pPr>
            <w:r>
              <w:rPr>
                <w:rFonts w:ascii="Arial" w:cs="Arial" w:eastAsia="Arial" w:hAnsi="Arial"/>
                <w:sz w:val="20"/>
                <w:szCs w:val="20"/>
                <w:color w:val="auto"/>
                <w:w w:val="92"/>
              </w:rPr>
              <w:t>Vancouver, BC V7Y 1B6</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76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rPr>
              <w:t>Bank of America, N.A., Canada Branch</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60" w:type="dxa"/>
            <w:vAlign w:val="bottom"/>
            <w:tcBorders>
              <w:right w:val="single" w:sz="8" w:color="auto"/>
            </w:tcBorders>
            <w:gridSpan w:val="26"/>
          </w:tcPr>
          <w:p>
            <w:pPr>
              <w:jc w:val="center"/>
              <w:ind w:right="120"/>
              <w:spacing w:after="0"/>
              <w:rPr>
                <w:sz w:val="20"/>
                <w:szCs w:val="20"/>
                <w:color w:val="auto"/>
              </w:rPr>
            </w:pPr>
            <w:r>
              <w:rPr>
                <w:rFonts w:ascii="Arial" w:cs="Arial" w:eastAsia="Arial" w:hAnsi="Arial"/>
                <w:sz w:val="20"/>
                <w:szCs w:val="20"/>
                <w:color w:val="auto"/>
                <w:w w:val="90"/>
              </w:rPr>
              <w:t>181 Bay Street, Suite 400, Toronto, ON M5J</w:t>
            </w:r>
          </w:p>
        </w:tc>
        <w:tc>
          <w:tcPr>
            <w:tcW w:w="2420" w:type="dxa"/>
            <w:vAlign w:val="bottom"/>
            <w:gridSpan w:val="7"/>
          </w:tcPr>
          <w:p>
            <w:pPr>
              <w:jc w:val="center"/>
              <w:ind w:left="1341"/>
              <w:spacing w:after="0"/>
              <w:rPr>
                <w:sz w:val="20"/>
                <w:szCs w:val="20"/>
                <w:color w:val="auto"/>
              </w:rPr>
            </w:pPr>
            <w:r>
              <w:rPr>
                <w:rFonts w:ascii="Arial" w:cs="Arial" w:eastAsia="Arial" w:hAnsi="Arial"/>
                <w:sz w:val="20"/>
                <w:szCs w:val="20"/>
                <w:color w:val="auto"/>
                <w:w w:val="89"/>
              </w:rPr>
              <w:t>40,000,000</w:t>
            </w: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15"/>
          </w:tcPr>
          <w:p>
            <w:pPr>
              <w:jc w:val="center"/>
              <w:ind w:right="1420"/>
              <w:spacing w:after="0" w:line="209" w:lineRule="exact"/>
              <w:rPr>
                <w:sz w:val="20"/>
                <w:szCs w:val="20"/>
                <w:color w:val="auto"/>
              </w:rPr>
            </w:pPr>
            <w:r>
              <w:rPr>
                <w:rFonts w:ascii="Arial" w:cs="Arial" w:eastAsia="Arial" w:hAnsi="Arial"/>
                <w:sz w:val="20"/>
                <w:szCs w:val="20"/>
                <w:color w:val="auto"/>
                <w:w w:val="95"/>
              </w:rPr>
              <w:t>2V8</w:t>
            </w:r>
          </w:p>
        </w:tc>
        <w:tc>
          <w:tcPr>
            <w:tcW w:w="1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Bank of Montreal</w:t>
            </w:r>
          </w:p>
        </w:tc>
        <w:tc>
          <w:tcPr>
            <w:tcW w:w="2340" w:type="dxa"/>
            <w:vAlign w:val="bottom"/>
            <w:tcBorders>
              <w:right w:val="single" w:sz="8" w:color="auto"/>
            </w:tcBorders>
            <w:gridSpan w:val="11"/>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auto"/>
            </w:tcBorders>
            <w:gridSpan w:val="17"/>
          </w:tcPr>
          <w:p>
            <w:pPr>
              <w:jc w:val="center"/>
              <w:spacing w:after="0"/>
              <w:rPr>
                <w:sz w:val="20"/>
                <w:szCs w:val="20"/>
                <w:color w:val="auto"/>
              </w:rPr>
            </w:pPr>
            <w:r>
              <w:rPr>
                <w:rFonts w:ascii="Arial" w:cs="Arial" w:eastAsia="Arial" w:hAnsi="Arial"/>
                <w:sz w:val="20"/>
                <w:szCs w:val="20"/>
                <w:color w:val="auto"/>
                <w:w w:val="88"/>
              </w:rPr>
              <w:t>885 West Georgia Street, Suite 1700,</w:t>
            </w:r>
          </w:p>
        </w:tc>
        <w:tc>
          <w:tcPr>
            <w:tcW w:w="420" w:type="dxa"/>
            <w:vAlign w:val="bottom"/>
            <w:tcBorders>
              <w:right w:val="single" w:sz="8" w:color="auto"/>
            </w:tcBorders>
            <w:gridSpan w:val="5"/>
          </w:tcPr>
          <w:p>
            <w:pPr>
              <w:spacing w:after="0"/>
              <w:rPr>
                <w:sz w:val="24"/>
                <w:szCs w:val="24"/>
                <w:color w:val="auto"/>
              </w:rPr>
            </w:pPr>
          </w:p>
        </w:tc>
        <w:tc>
          <w:tcPr>
            <w:tcW w:w="1480" w:type="dxa"/>
            <w:vAlign w:val="bottom"/>
            <w:gridSpan w:val="4"/>
          </w:tcPr>
          <w:p>
            <w:pPr>
              <w:spacing w:after="0"/>
              <w:rPr>
                <w:sz w:val="24"/>
                <w:szCs w:val="2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40,000,000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tcBorders>
              <w:right w:val="single" w:sz="8" w:color="auto"/>
            </w:tcBorders>
            <w:gridSpan w:val="20"/>
          </w:tcPr>
          <w:p>
            <w:pPr>
              <w:jc w:val="center"/>
              <w:ind w:right="880"/>
              <w:spacing w:after="0" w:line="209" w:lineRule="exact"/>
              <w:rPr>
                <w:sz w:val="20"/>
                <w:szCs w:val="20"/>
                <w:color w:val="auto"/>
              </w:rPr>
            </w:pPr>
            <w:r>
              <w:rPr>
                <w:rFonts w:ascii="Arial" w:cs="Arial" w:eastAsia="Arial" w:hAnsi="Arial"/>
                <w:sz w:val="20"/>
                <w:szCs w:val="20"/>
                <w:color w:val="auto"/>
                <w:w w:val="89"/>
              </w:rPr>
              <w:t>Vancouver, BC V6C 3E8</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76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9"/>
              </w:rPr>
              <w:t>Wells Fargo Bank, N.A., Canadian Branch</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Borders>
              <w:right w:val="single" w:sz="8" w:color="auto"/>
            </w:tcBorders>
            <w:gridSpan w:val="24"/>
          </w:tcPr>
          <w:p>
            <w:pPr>
              <w:jc w:val="center"/>
              <w:ind w:right="200"/>
              <w:spacing w:after="0"/>
              <w:rPr>
                <w:sz w:val="20"/>
                <w:szCs w:val="20"/>
                <w:color w:val="auto"/>
              </w:rPr>
            </w:pPr>
            <w:r>
              <w:rPr>
                <w:rFonts w:ascii="Arial" w:cs="Arial" w:eastAsia="Arial" w:hAnsi="Arial"/>
                <w:sz w:val="20"/>
                <w:szCs w:val="20"/>
                <w:color w:val="auto"/>
                <w:w w:val="89"/>
              </w:rPr>
              <w:t>330 - 200 Burrard Street, Vancouver, BC</w:t>
            </w:r>
          </w:p>
        </w:tc>
        <w:tc>
          <w:tcPr>
            <w:tcW w:w="2420" w:type="dxa"/>
            <w:vAlign w:val="bottom"/>
            <w:gridSpan w:val="7"/>
          </w:tcPr>
          <w:p>
            <w:pPr>
              <w:jc w:val="center"/>
              <w:ind w:left="1341"/>
              <w:spacing w:after="0"/>
              <w:rPr>
                <w:sz w:val="20"/>
                <w:szCs w:val="20"/>
                <w:color w:val="auto"/>
              </w:rPr>
            </w:pPr>
            <w:r>
              <w:rPr>
                <w:rFonts w:ascii="Arial" w:cs="Arial" w:eastAsia="Arial" w:hAnsi="Arial"/>
                <w:sz w:val="20"/>
                <w:szCs w:val="20"/>
                <w:color w:val="auto"/>
                <w:w w:val="89"/>
              </w:rPr>
              <w:t>40,000,000</w:t>
            </w: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13"/>
          </w:tcPr>
          <w:p>
            <w:pPr>
              <w:jc w:val="center"/>
              <w:ind w:right="1240"/>
              <w:spacing w:after="0" w:line="209" w:lineRule="exact"/>
              <w:rPr>
                <w:sz w:val="20"/>
                <w:szCs w:val="20"/>
                <w:color w:val="auto"/>
              </w:rPr>
            </w:pPr>
            <w:r>
              <w:rPr>
                <w:rFonts w:ascii="Arial" w:cs="Arial" w:eastAsia="Arial" w:hAnsi="Arial"/>
                <w:sz w:val="20"/>
                <w:szCs w:val="20"/>
                <w:color w:val="auto"/>
                <w:w w:val="95"/>
              </w:rPr>
              <w:t>V6C 3L6</w:t>
            </w:r>
          </w:p>
        </w:tc>
        <w:tc>
          <w:tcPr>
            <w:tcW w:w="280" w:type="dxa"/>
            <w:vAlign w:val="bottom"/>
            <w:tcBorders>
              <w:right w:val="single" w:sz="8" w:color="auto"/>
            </w:tcBorders>
            <w:gridSpan w:val="4"/>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76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rPr>
              <w:t>Royal Bank of Canada</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right w:val="single" w:sz="8" w:color="auto"/>
            </w:tcBorders>
            <w:gridSpan w:val="25"/>
          </w:tcPr>
          <w:p>
            <w:pPr>
              <w:jc w:val="center"/>
              <w:ind w:right="140"/>
              <w:spacing w:after="0"/>
              <w:rPr>
                <w:sz w:val="20"/>
                <w:szCs w:val="20"/>
                <w:color w:val="auto"/>
              </w:rPr>
            </w:pPr>
            <w:r>
              <w:rPr>
                <w:rFonts w:ascii="Arial" w:cs="Arial" w:eastAsia="Arial" w:hAnsi="Arial"/>
                <w:sz w:val="20"/>
                <w:szCs w:val="20"/>
                <w:color w:val="auto"/>
                <w:w w:val="89"/>
              </w:rPr>
              <w:t>Suite 2100, 666 Burrard Street, Vancouver,</w:t>
            </w:r>
          </w:p>
        </w:tc>
        <w:tc>
          <w:tcPr>
            <w:tcW w:w="2420" w:type="dxa"/>
            <w:vAlign w:val="bottom"/>
            <w:gridSpan w:val="7"/>
          </w:tcPr>
          <w:p>
            <w:pPr>
              <w:jc w:val="center"/>
              <w:ind w:left="1341"/>
              <w:spacing w:after="0"/>
              <w:rPr>
                <w:sz w:val="20"/>
                <w:szCs w:val="20"/>
                <w:color w:val="auto"/>
              </w:rPr>
            </w:pPr>
            <w:r>
              <w:rPr>
                <w:rFonts w:ascii="Arial" w:cs="Arial" w:eastAsia="Arial" w:hAnsi="Arial"/>
                <w:sz w:val="20"/>
                <w:szCs w:val="20"/>
                <w:color w:val="auto"/>
                <w:w w:val="89"/>
              </w:rPr>
              <w:t>40,000,000</w:t>
            </w: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16"/>
          </w:tcPr>
          <w:p>
            <w:pPr>
              <w:jc w:val="center"/>
              <w:ind w:right="720"/>
              <w:spacing w:after="0" w:line="209" w:lineRule="exact"/>
              <w:rPr>
                <w:sz w:val="20"/>
                <w:szCs w:val="20"/>
                <w:color w:val="auto"/>
              </w:rPr>
            </w:pPr>
            <w:r>
              <w:rPr>
                <w:rFonts w:ascii="Arial" w:cs="Arial" w:eastAsia="Arial" w:hAnsi="Arial"/>
                <w:sz w:val="20"/>
                <w:szCs w:val="20"/>
                <w:color w:val="auto"/>
                <w:w w:val="93"/>
              </w:rPr>
              <w:t>BC V6C 3B1</w:t>
            </w:r>
          </w:p>
        </w:tc>
        <w:tc>
          <w:tcPr>
            <w:tcW w:w="180" w:type="dxa"/>
            <w:vAlign w:val="bottom"/>
            <w:tcBorders>
              <w:right w:val="single" w:sz="8" w:color="auto"/>
            </w:tcBorders>
            <w:gridSpan w:val="3"/>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08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0"/>
              </w:rPr>
              <w:t>Canadian Imperial Bank of Commerce</w:t>
            </w:r>
          </w:p>
        </w:tc>
        <w:tc>
          <w:tcPr>
            <w:tcW w:w="6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auto"/>
            </w:tcBorders>
            <w:gridSpan w:val="23"/>
          </w:tcPr>
          <w:p>
            <w:pPr>
              <w:jc w:val="center"/>
              <w:spacing w:after="0"/>
              <w:rPr>
                <w:sz w:val="20"/>
                <w:szCs w:val="20"/>
                <w:color w:val="auto"/>
              </w:rPr>
            </w:pPr>
            <w:r>
              <w:rPr>
                <w:rFonts w:ascii="Arial" w:cs="Arial" w:eastAsia="Arial" w:hAnsi="Arial"/>
                <w:sz w:val="20"/>
                <w:szCs w:val="20"/>
                <w:color w:val="auto"/>
                <w:w w:val="90"/>
              </w:rPr>
              <w:t>161 Bay Street, 8th Floor, Toronto, ON M5J</w:t>
            </w:r>
          </w:p>
        </w:tc>
        <w:tc>
          <w:tcPr>
            <w:tcW w:w="140" w:type="dxa"/>
            <w:vAlign w:val="bottom"/>
            <w:tcBorders>
              <w:right w:val="single" w:sz="8" w:color="auto"/>
            </w:tcBorders>
            <w:gridSpan w:val="2"/>
          </w:tcPr>
          <w:p>
            <w:pPr>
              <w:spacing w:after="0"/>
              <w:rPr>
                <w:sz w:val="24"/>
                <w:szCs w:val="24"/>
                <w:color w:val="auto"/>
              </w:rPr>
            </w:pPr>
          </w:p>
        </w:tc>
        <w:tc>
          <w:tcPr>
            <w:tcW w:w="2620" w:type="dxa"/>
            <w:vAlign w:val="bottom"/>
            <w:gridSpan w:val="8"/>
          </w:tcPr>
          <w:p>
            <w:pPr>
              <w:jc w:val="center"/>
              <w:ind w:left="1141"/>
              <w:spacing w:after="0"/>
              <w:rPr>
                <w:sz w:val="20"/>
                <w:szCs w:val="20"/>
                <w:color w:val="auto"/>
              </w:rPr>
            </w:pPr>
            <w:r>
              <w:rPr>
                <w:rFonts w:ascii="Arial" w:cs="Arial" w:eastAsia="Arial" w:hAnsi="Arial"/>
                <w:sz w:val="20"/>
                <w:szCs w:val="20"/>
                <w:color w:val="auto"/>
                <w:w w:val="88"/>
              </w:rPr>
              <w:t xml:space="preserve">30,000,000 </w:t>
            </w:r>
            <w:r>
              <w:rPr>
                <w:rFonts w:ascii="Arial" w:cs="Arial" w:eastAsia="Arial" w:hAnsi="Arial"/>
                <w:sz w:val="25"/>
                <w:szCs w:val="25"/>
                <w:color w:val="auto"/>
                <w:w w:val="88"/>
                <w:vertAlign w:val="superscript"/>
              </w:rPr>
              <w:t>2</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right w:val="single" w:sz="8" w:color="auto"/>
            </w:tcBorders>
            <w:gridSpan w:val="15"/>
            <w:vMerge w:val="restart"/>
          </w:tcPr>
          <w:p>
            <w:pPr>
              <w:jc w:val="center"/>
              <w:ind w:right="1720"/>
              <w:spacing w:after="0" w:line="209" w:lineRule="exact"/>
              <w:rPr>
                <w:sz w:val="20"/>
                <w:szCs w:val="20"/>
                <w:color w:val="auto"/>
              </w:rPr>
            </w:pPr>
            <w:r>
              <w:rPr>
                <w:rFonts w:ascii="Arial" w:cs="Arial" w:eastAsia="Arial" w:hAnsi="Arial"/>
                <w:sz w:val="20"/>
                <w:szCs w:val="20"/>
                <w:color w:val="auto"/>
                <w:w w:val="84"/>
              </w:rPr>
              <w:t>2S8</w:t>
            </w: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Borders>
              <w:right w:val="single" w:sz="8" w:color="auto"/>
            </w:tcBorders>
            <w:gridSpan w:val="15"/>
            <w:vMerge w:val="continue"/>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76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0"/>
              </w:rPr>
              <w:t>Fédération des caisses Desjardins du Québec</w:t>
            </w:r>
          </w:p>
        </w:tc>
        <w:tc>
          <w:tcPr>
            <w:tcW w:w="3760" w:type="dxa"/>
            <w:vAlign w:val="bottom"/>
            <w:tcBorders>
              <w:right w:val="single" w:sz="8" w:color="auto"/>
            </w:tcBorders>
            <w:gridSpan w:val="28"/>
          </w:tcPr>
          <w:p>
            <w:pPr>
              <w:jc w:val="center"/>
              <w:ind w:right="20"/>
              <w:spacing w:after="0"/>
              <w:rPr>
                <w:sz w:val="20"/>
                <w:szCs w:val="20"/>
                <w:color w:val="auto"/>
              </w:rPr>
            </w:pPr>
            <w:r>
              <w:rPr>
                <w:rFonts w:ascii="Arial" w:cs="Arial" w:eastAsia="Arial" w:hAnsi="Arial"/>
                <w:sz w:val="20"/>
                <w:szCs w:val="20"/>
                <w:color w:val="auto"/>
                <w:w w:val="89"/>
              </w:rPr>
              <w:t>110 - 9th Avenue SW, Suite 410, Calgary, AB</w:t>
            </w:r>
          </w:p>
        </w:tc>
        <w:tc>
          <w:tcPr>
            <w:tcW w:w="2420" w:type="dxa"/>
            <w:vAlign w:val="bottom"/>
            <w:gridSpan w:val="7"/>
          </w:tcPr>
          <w:p>
            <w:pPr>
              <w:jc w:val="center"/>
              <w:ind w:left="1341"/>
              <w:spacing w:after="0"/>
              <w:rPr>
                <w:sz w:val="20"/>
                <w:szCs w:val="20"/>
                <w:color w:val="auto"/>
              </w:rPr>
            </w:pPr>
            <w:r>
              <w:rPr>
                <w:rFonts w:ascii="Arial" w:cs="Arial" w:eastAsia="Arial" w:hAnsi="Arial"/>
                <w:sz w:val="20"/>
                <w:szCs w:val="20"/>
                <w:color w:val="auto"/>
                <w:w w:val="89"/>
              </w:rPr>
              <w:t>30,000,000</w:t>
            </w: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60" w:type="dxa"/>
            <w:vAlign w:val="bottom"/>
            <w:tcBorders>
              <w:top w:val="single" w:sz="8" w:color="auto"/>
              <w:right w:val="single" w:sz="8" w:color="auto"/>
            </w:tcBorders>
            <w:gridSpan w:val="17"/>
          </w:tcPr>
          <w:p>
            <w:pPr>
              <w:jc w:val="center"/>
              <w:ind w:right="1520"/>
              <w:spacing w:after="0" w:line="209" w:lineRule="exact"/>
              <w:rPr>
                <w:sz w:val="20"/>
                <w:szCs w:val="20"/>
                <w:color w:val="auto"/>
              </w:rPr>
            </w:pPr>
            <w:r>
              <w:rPr>
                <w:rFonts w:ascii="Arial" w:cs="Arial" w:eastAsia="Arial" w:hAnsi="Arial"/>
                <w:sz w:val="20"/>
                <w:szCs w:val="20"/>
                <w:color w:val="auto"/>
                <w:w w:val="91"/>
              </w:rPr>
              <w:t>T2P 0T1</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20"/>
                <w:szCs w:val="20"/>
                <w:color w:val="auto"/>
                <w:w w:val="88"/>
              </w:rPr>
              <w:t>HSBC Bank Canada</w:t>
            </w:r>
          </w:p>
        </w:tc>
        <w:tc>
          <w:tcPr>
            <w:tcW w:w="2120" w:type="dxa"/>
            <w:vAlign w:val="bottom"/>
            <w:tcBorders>
              <w:right w:val="single" w:sz="8" w:color="auto"/>
            </w:tcBorders>
            <w:gridSpan w:val="9"/>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Borders>
              <w:right w:val="single" w:sz="8" w:color="auto"/>
            </w:tcBorders>
            <w:gridSpan w:val="22"/>
          </w:tcPr>
          <w:p>
            <w:pPr>
              <w:jc w:val="center"/>
              <w:ind w:right="420"/>
              <w:spacing w:after="0"/>
              <w:rPr>
                <w:sz w:val="20"/>
                <w:szCs w:val="20"/>
                <w:color w:val="auto"/>
              </w:rPr>
            </w:pPr>
            <w:r>
              <w:rPr>
                <w:rFonts w:ascii="Arial" w:cs="Arial" w:eastAsia="Arial" w:hAnsi="Arial"/>
                <w:sz w:val="20"/>
                <w:szCs w:val="20"/>
                <w:color w:val="auto"/>
                <w:w w:val="88"/>
              </w:rPr>
              <w:t>Suite 200 - 885 West Georgia Street,</w:t>
            </w:r>
          </w:p>
        </w:tc>
        <w:tc>
          <w:tcPr>
            <w:tcW w:w="2420" w:type="dxa"/>
            <w:vAlign w:val="bottom"/>
            <w:gridSpan w:val="7"/>
          </w:tcPr>
          <w:p>
            <w:pPr>
              <w:jc w:val="center"/>
              <w:ind w:left="1341"/>
              <w:spacing w:after="0"/>
              <w:rPr>
                <w:sz w:val="20"/>
                <w:szCs w:val="20"/>
                <w:color w:val="auto"/>
              </w:rPr>
            </w:pPr>
            <w:r>
              <w:rPr>
                <w:rFonts w:ascii="Arial" w:cs="Arial" w:eastAsia="Arial" w:hAnsi="Arial"/>
                <w:sz w:val="20"/>
                <w:szCs w:val="20"/>
                <w:color w:val="auto"/>
                <w:w w:val="89"/>
              </w:rPr>
              <w:t>30,000,000</w:t>
            </w:r>
          </w:p>
        </w:tc>
        <w:tc>
          <w:tcPr>
            <w:tcW w:w="2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14"/>
          </w:tcPr>
          <w:p>
            <w:pPr>
              <w:jc w:val="center"/>
              <w:ind w:right="440"/>
              <w:spacing w:after="0" w:line="209" w:lineRule="exact"/>
              <w:rPr>
                <w:sz w:val="20"/>
                <w:szCs w:val="20"/>
                <w:color w:val="auto"/>
              </w:rPr>
            </w:pPr>
            <w:r>
              <w:rPr>
                <w:rFonts w:ascii="Arial" w:cs="Arial" w:eastAsia="Arial" w:hAnsi="Arial"/>
                <w:sz w:val="20"/>
                <w:szCs w:val="20"/>
                <w:color w:val="auto"/>
                <w:w w:val="90"/>
              </w:rPr>
              <w:t>Vancouver, BC V6C 3G1</w:t>
            </w:r>
          </w:p>
        </w:tc>
        <w:tc>
          <w:tcPr>
            <w:tcW w:w="440" w:type="dxa"/>
            <w:vAlign w:val="bottom"/>
            <w:tcBorders>
              <w:right w:val="single" w:sz="8" w:color="auto"/>
            </w:tcBorders>
            <w:gridSpan w:val="6"/>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376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620" w:type="dxa"/>
            <w:vAlign w:val="bottom"/>
            <w:gridSpan w:val="8"/>
          </w:tcPr>
          <w:p>
            <w:pPr>
              <w:jc w:val="center"/>
              <w:ind w:left="1141"/>
              <w:spacing w:after="0"/>
              <w:rPr>
                <w:sz w:val="20"/>
                <w:szCs w:val="20"/>
                <w:color w:val="auto"/>
              </w:rPr>
            </w:pPr>
            <w:r>
              <w:rPr>
                <w:rFonts w:ascii="Arial" w:cs="Arial" w:eastAsia="Arial" w:hAnsi="Arial"/>
                <w:sz w:val="20"/>
                <w:szCs w:val="20"/>
                <w:color w:val="auto"/>
                <w:w w:val="88"/>
              </w:rPr>
              <w:t>300,000,000</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0"/>
        <w:spacing w:after="0" w:line="214"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A portion of the Commitment of The Toronto-Dominion Bank consisting of $20,000,000 (less the amount of all Existing Documentary Credits outstanding from time to time) will be represented by the Swing Line Commitment.</w:t>
      </w:r>
    </w:p>
    <w:p>
      <w:pPr>
        <w:spacing w:after="0" w:line="1" w:lineRule="exact"/>
        <w:rPr>
          <w:sz w:val="20"/>
          <w:szCs w:val="20"/>
          <w:color w:val="auto"/>
        </w:rPr>
      </w:pPr>
    </w:p>
    <w:p>
      <w:pPr>
        <w:ind w:right="340"/>
        <w:spacing w:after="0" w:line="224"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A portion of the Commitment of Canadian Imperial Bank of Commerce will consist of the amount of all Existing Documentary Credits outstanding from time to time.</w:t>
      </w:r>
    </w:p>
    <w:p>
      <w:pPr>
        <w:sectPr>
          <w:pgSz w:w="11900" w:h="16838" w:orient="portrait"/>
          <w:cols w:equalWidth="0" w:num="1">
            <w:col w:w="11440"/>
          </w:cols>
          <w:pgMar w:left="240" w:top="360" w:right="2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64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2019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lvl w:ilvl="1">
      <w:lvlJc w:val="left"/>
      <w:lvlText w:val="(%2)"/>
      <w:numFmt w:val="lowerLetter"/>
      <w:start w:val="3"/>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32"/>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2019-12-28T14:51:30Z</dcterms:created>
  <dcterms:modified xsi:type="dcterms:W3CDTF">2019-12-28T14:51:30Z</dcterms:modified>
</cp:coreProperties>
</file>