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2025</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Times New Roman" w:cs="Times New Roman" w:eastAsia="Times New Roman" w:hAnsi="Times New Roman"/>
                <w:sz w:val="14"/>
                <w:szCs w:val="14"/>
                <w:color w:val="auto"/>
              </w:rPr>
              <w:t>(I.R.S. Employer</w:t>
            </w:r>
          </w:p>
        </w:tc>
        <w:tc>
          <w:tcPr>
            <w:tcW w:w="860" w:type="dxa"/>
            <w:vAlign w:val="bottom"/>
          </w:tcPr>
          <w:p>
            <w:pPr>
              <w:spacing w:after="0"/>
              <w:rPr>
                <w:sz w:val="11"/>
                <w:szCs w:val="11"/>
                <w:color w:val="auto"/>
              </w:rPr>
            </w:pPr>
          </w:p>
        </w:tc>
      </w:tr>
      <w:tr>
        <w:trPr>
          <w:trHeight w:val="188"/>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60" w:type="dxa"/>
            <w:vAlign w:val="bottom"/>
          </w:tcPr>
          <w:p>
            <w:pPr>
              <w:spacing w:after="0"/>
              <w:rPr>
                <w:sz w:val="20"/>
                <w:szCs w:val="20"/>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Times New Roman" w:cs="Times New Roman" w:eastAsia="Times New Roman" w:hAnsi="Times New Roman"/>
                <w:sz w:val="14"/>
                <w:szCs w:val="14"/>
                <w:color w:val="auto"/>
              </w:rPr>
              <w:t>(Zip Code)</w:t>
            </w:r>
          </w:p>
        </w:tc>
        <w:tc>
          <w:tcPr>
            <w:tcW w:w="860" w:type="dxa"/>
            <w:vAlign w:val="bottom"/>
          </w:tcPr>
          <w:p>
            <w:pPr>
              <w:spacing w:after="0"/>
              <w:rPr>
                <w:sz w:val="15"/>
                <w:szCs w:val="15"/>
                <w:color w:val="auto"/>
              </w:rPr>
            </w:pPr>
          </w:p>
        </w:tc>
      </w:tr>
      <w:tr>
        <w:trPr>
          <w:trHeight w:val="554"/>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06"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8"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3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4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3" w:lineRule="exact"/>
        <w:rPr>
          <w:sz w:val="24"/>
          <w:szCs w:val="24"/>
          <w:color w:val="auto"/>
        </w:rPr>
      </w:pPr>
    </w:p>
    <w:p>
      <w:pPr>
        <w:ind w:right="168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December 5, 2025, 35,775,575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89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9"/>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gridSpan w:val="16"/>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1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Balance Sheets as of October 31, 2025, July 31, 2025 and October 31, 2024</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Months Ended October 31, 2025 and 2024</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Loss for the Three Months Ended October 31, 2025 and 2024</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Months Ended October 31, 2025 and 2024</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Three Months Ended October 31, 2025 and 2024</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Notes to Consolidated Condensed Financial Statements</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80" w:type="dxa"/>
            <w:vAlign w:val="bottom"/>
            <w:gridSpan w:val="16"/>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6"/>
                <w:szCs w:val="16"/>
                <w:color w:val="auto"/>
              </w:rPr>
            </w:pPr>
          </w:p>
        </w:tc>
      </w:tr>
      <w:tr>
        <w:trPr>
          <w:trHeight w:val="1485"/>
        </w:trPr>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16"/>
                <w:szCs w:val="16"/>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6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581,465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440,290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403,768</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19,120</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receivables, net (Note 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97,530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382,370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130,162</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154,378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117,178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152,943</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195,115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93,823</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143,108</w:t>
            </w:r>
          </w:p>
        </w:tc>
      </w:tr>
      <w:tr>
        <w:trPr>
          <w:trHeight w:val="223"/>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1,047,608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1,049,790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844,656</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2,380,418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2,374,654</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2,430,760</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85,222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87,853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85,317</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1,664,522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1,675,215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1,671,080</w:t>
            </w:r>
          </w:p>
        </w:tc>
      </w:tr>
      <w:tr>
        <w:trPr>
          <w:trHeight w:val="229"/>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296,035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298,497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300,530</w:t>
            </w:r>
          </w:p>
        </w:tc>
      </w:tr>
      <w:tr>
        <w:trPr>
          <w:trHeight w:val="230"/>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236,527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242,485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256,102</w:t>
            </w:r>
          </w:p>
        </w:tc>
      </w:tr>
      <w:tr>
        <w:trPr>
          <w:trHeight w:val="229"/>
        </w:trPr>
        <w:tc>
          <w:tcPr>
            <w:tcW w:w="6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53,430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49,391</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42,404</w:t>
            </w:r>
          </w:p>
        </w:tc>
      </w:tr>
      <w:tr>
        <w:trPr>
          <w:trHeight w:val="248"/>
        </w:trPr>
        <w:tc>
          <w:tcPr>
            <w:tcW w:w="6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5,763,762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5,777,885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5,630,849</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1,346,298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1,056,665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1,297,994</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11,452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589,744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599,509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59,205</w:t>
            </w:r>
          </w:p>
        </w:tc>
      </w:tr>
      <w:tr>
        <w:trPr>
          <w:trHeight w:val="223"/>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1,936,965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1,667,626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1,357,199</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2,583,298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2,594,765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2,720,494</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211,193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215,085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234,917</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300,002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294,464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310,303</w:t>
            </w:r>
          </w:p>
        </w:tc>
      </w:tr>
      <w:tr>
        <w:trPr>
          <w:trHeight w:val="230"/>
        </w:trPr>
        <w:tc>
          <w:tcPr>
            <w:tcW w:w="60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264,256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252,041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276,661</w:t>
            </w:r>
          </w:p>
        </w:tc>
      </w:tr>
      <w:tr>
        <w:trPr>
          <w:trHeight w:val="223"/>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5,295,714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5,023,981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4,899,574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5"/>
        </w:trPr>
        <w:tc>
          <w:tcPr>
            <w:tcW w:w="60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47,013, 46,945</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46,922 shares issued, respectively</w:t>
            </w:r>
          </w:p>
        </w:tc>
        <w:tc>
          <w:tcPr>
            <w:tcW w:w="2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1,173,902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1,171,536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1,146,518</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(61,727)</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(71,436)</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452,097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718,662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510,426</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11,060, 11,060 and 9,484 shares, respectively (Note 10)</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(1,408,279)</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(1,408,279)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(1,155,902)</w:t>
            </w:r>
          </w:p>
        </w:tc>
      </w:tr>
      <w:tr>
        <w:trPr>
          <w:trHeight w:val="223"/>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156,463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424,499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430,075</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311,585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329,405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301,200</w:t>
            </w:r>
          </w:p>
        </w:tc>
      </w:tr>
      <w:tr>
        <w:trPr>
          <w:trHeight w:val="223"/>
        </w:trPr>
        <w:tc>
          <w:tcPr>
            <w:tcW w:w="6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468,048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753,904</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731,275</w:t>
            </w:r>
          </w:p>
        </w:tc>
      </w:tr>
      <w:tr>
        <w:trPr>
          <w:trHeight w:val="223"/>
        </w:trPr>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5,763,762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5,777,885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5,630,849</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198,052</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187,050</w:t>
            </w:r>
          </w:p>
        </w:tc>
      </w:tr>
      <w:tr>
        <w:trPr>
          <w:trHeight w:val="230"/>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72,897</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 net revenue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270,949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260,212</w:t>
            </w:r>
          </w:p>
        </w:tc>
      </w:tr>
      <w:tr>
        <w:trPr>
          <w:trHeight w:val="230"/>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271,029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260,275</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 shown separately below):</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273,069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266,264</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28,234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28,947</w:t>
            </w:r>
          </w:p>
        </w:tc>
      </w:tr>
      <w:tr>
        <w:trPr>
          <w:trHeight w:val="230"/>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110,424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106,857</w:t>
            </w:r>
          </w:p>
        </w:tc>
      </w:tr>
      <w:tr>
        <w:trPr>
          <w:trHeight w:val="223"/>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Resort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411,727</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402,068</w:t>
            </w:r>
          </w:p>
        </w:tc>
      </w:tr>
      <w:tr>
        <w:trPr>
          <w:trHeight w:val="230"/>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3"/>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413,351</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403,559</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(73,117)</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13,020</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7)</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9"/>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(209,821)</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(201,930)</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3,023</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(51,287)</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(42,797)</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(257,071)</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(240,347)</w:t>
            </w:r>
          </w:p>
        </w:tc>
      </w:tr>
      <w:tr>
        <w:trPr>
          <w:trHeight w:val="229"/>
        </w:trPr>
        <w:tc>
          <w:tcPr>
            <w:tcW w:w="7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60,615</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58,384</w:t>
            </w:r>
          </w:p>
        </w:tc>
      </w:tr>
      <w:tr>
        <w:trPr>
          <w:trHeight w:val="223"/>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(196,456)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(181,963)</w:t>
            </w:r>
          </w:p>
        </w:tc>
      </w:tr>
      <w:tr>
        <w:trPr>
          <w:trHeight w:val="229"/>
        </w:trPr>
        <w:tc>
          <w:tcPr>
            <w:tcW w:w="7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9,704</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r>
      <w:tr>
        <w:trPr>
          <w:trHeight w:val="223"/>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(186,752)</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(173,255)</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 attributable to Vail Resorts, Inc.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(181,963)</w:t>
            </w:r>
          </w:p>
        </w:tc>
      </w:tr>
      <w:tr>
        <w:trPr>
          <w:trHeight w:val="22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30"/>
        </w:trPr>
        <w:tc>
          <w:tcPr>
            <w:tcW w:w="78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(204,852)</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(187,572)</w:t>
            </w:r>
          </w:p>
        </w:tc>
      </w:tr>
      <w:tr>
        <w:trPr>
          <w:trHeight w:val="230"/>
        </w:trPr>
        <w:tc>
          <w:tcPr>
            <w:tcW w:w="78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14,262</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23"/>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loss attributable to Vail Resorts, Inc.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(190,590)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(177,403)</w:t>
            </w:r>
          </w:p>
        </w:tc>
      </w:tr>
      <w:tr>
        <w:trPr>
          <w:trHeight w:val="21"/>
        </w:trPr>
        <w:tc>
          <w:tcPr>
            <w:tcW w:w="7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709,932</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1,024,878</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(181,963)</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(177,403)</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(187,572)</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(20,217)</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October 31,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1,146,518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(1,155,902)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430,075</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731,275</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July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1,171,536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718,662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(1,408,279)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424,499</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753,904</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(186,752)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(186,752)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(196,456)</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(190,590)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(14,262)</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(204,852)</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(79,813)</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1,173,902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(1,408,279)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156,463</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468,048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(196,456)</w:t>
            </w:r>
          </w:p>
        </w:tc>
        <w:tc>
          <w:tcPr>
            <w:tcW w:w="10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(181,963)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73,117</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71,544</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6,242</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(60,615)</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(58,384)</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non-cash income,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receivables,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284,945</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263,116</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(37,333)</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(34,117)</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(20,205)</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(12,863)</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325,143</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324,657</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(19,028)</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(41,959)</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(36,229)</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(43,791)</w:t>
            </w:r>
          </w:p>
        </w:tc>
      </w:tr>
      <w:tr>
        <w:trPr>
          <w:trHeight w:val="212"/>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315,943</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282,748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(71,673)</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(71,017)</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(71,673)</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(71,006)</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(79,813)</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(11,393)</w:t>
            </w:r>
          </w:p>
        </w:tc>
      </w:tr>
      <w:tr>
        <w:trPr>
          <w:trHeight w:val="210"/>
        </w:trPr>
        <w:tc>
          <w:tcPr>
            <w:tcW w:w="78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(100,981)</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(132,626)</w:t>
            </w: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877</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144,166</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81,380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Beginning of period</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456,419</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337,063</w:t>
            </w:r>
          </w:p>
        </w:tc>
      </w:tr>
      <w:tr>
        <w:trPr>
          <w:trHeight w:val="235"/>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 of period</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600,585</w:t>
            </w:r>
          </w:p>
        </w:tc>
        <w:tc>
          <w:tcPr>
            <w:tcW w:w="104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418,443</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29,396</w:t>
            </w:r>
          </w:p>
        </w:tc>
        <w:tc>
          <w:tcPr>
            <w:tcW w:w="10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32,791</w:t>
            </w: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258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and typically experience their peak operating seasons from mid-December through mid-April in North America and Europe. The peak operating season at the Company’s Australian resorts, NPS concessioner properties and golf courses generally occurs from June to early October.</w:t>
      </w:r>
    </w:p>
    <w:p>
      <w:pPr>
        <w:spacing w:after="0" w:line="17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2025.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2025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5.625% Notes and the 0.0% Convertible Notes (each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5, Long-Term Debt) are based on quoted market prices (a Level 2 input). The fair value of the EPR Secured Notes and the NRP Loan (each as defined in Note 5, Long-Term Debt) have been estimated using analyses based on current borrowing rates for comparable debt instruments with similar maturity dates (a Level 2 input). The carrying values, including any unamortized premium or discount, and estimated fair values of the 6.50% Notes, 5.625% Notes, 0.0% Convertible Notes, EPR Secured Notes and NRP Loan as of October 31, 2025 are presented below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0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7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0" w:type="dxa"/>
            <w:vAlign w:val="bottom"/>
          </w:tcPr>
          <w:p>
            <w:pPr>
              <w:spacing w:after="0"/>
              <w:rPr>
                <w:sz w:val="11"/>
                <w:szCs w:val="11"/>
                <w:color w:val="auto"/>
              </w:rPr>
            </w:pPr>
          </w:p>
        </w:tc>
        <w:tc>
          <w:tcPr>
            <w:tcW w:w="1060" w:type="dxa"/>
            <w:vAlign w:val="bottom"/>
          </w:tcPr>
          <w:p>
            <w:pPr>
              <w:jc w:val="right"/>
              <w:ind w:right="59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7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623,082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5.625% Notes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506,430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0.0% Convertible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520,800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162,404</w:t>
            </w: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28,268</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for all other financial instruments not included in the above table approximate their respective fair value due to their short-term nature or the variable nature of their associated interest rates.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Revision of Previously Issued Consolidated Financial Statements — </w:t>
      </w:r>
      <w:r>
        <w:rPr>
          <w:rFonts w:ascii="Times New Roman" w:cs="Times New Roman" w:eastAsia="Times New Roman" w:hAnsi="Times New Roman"/>
          <w:sz w:val="18"/>
          <w:szCs w:val="18"/>
          <w:color w:val="auto"/>
        </w:rPr>
        <w:t>During the fourth quarter of fiscal 2025, the Company identified an immaterial error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accounting for the EPR Secured Notes, which resulted in an understatement of non-cash interest expense, long-term debt due within one year and long-term debt, net as of and for the years ended July 31, 2024 and July 31, 2023. The Company also identified an immaterial error in its accounting for certain completed capital projects, which resulted in an understatement of depreciation expense and overstatement of property, plant and equipment, net as of and for the years ended July 31, 2024 and July 31, 2023. The Company evaluated the errors and concluded that they were not material, individually or in the aggregate, to its previously issued Consolidated Financial Statements.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correct the immaterial errors, the Company elected to revise its previously issued Consolidated Financial Statements as of and for the years ended July 31, 2024 and July 31, 2023 and its unaudited Consolidated Condensed Financial Statements as of and for the three months ended October 31, 2024. The revision also includes the correction of other previously identified immaterial errors in its Consolidated Financial Statements as of and for the years ended July 31, 2024 and July 31, 2023 and its unaudited Consolidated Condensed Financial Statements as of and for the three months ended October 31, 2024, which the Company had evaluated or recorded as out of period adjustments in prior periods. The Company had previously determined that these errors did not, individually or in the aggregate, result in a material error of its previously issued Consolidated Financial Statements as of and for the years ended July 31, 2025, July 31, 2024 and July 31, 2023 and its unaudited Consolidated Condensed Financial Statements as of and for the three months ended October 31, 2024. Further information regarding the errors and related revisions is included in Note 11, Revision of Previously Issued Consolidated Condensed Financial Statements.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presented the revision of its previously issued Consolidated Financial Statements as of and for the year ended July 31, 2024 and as of and for the year ended July 31, 2023 in connection with the filing of its 2025 Annual Report on Form 10-K. The Company is presenting the revision of its previously issued unaudited Consolidated Condensed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as of and for the three months ended October 31, 2024 in the accompanying unaudited Consolidated Financial Statements and related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The Company will adopt the standard during the fourth quarter of its fiscal year ending July 31, 2026 and is in the process of evaluating the effect that the adoption of this standard will have on its financial statements.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will expand the disclosures regarding a public entity’s expenses by providing disaggregation of certain costs and expenses. The ASU primarily requires that, for each interim and annual reporting period, an entity disclose the amounts of purchases of inventory, employee compensation, depreciation, and intangible asset amortization, as well as other certain qualitative disclosures regarding costs and expenses. The ASU is effective for fiscal years beginning after December 15, 2026 (the Company’s fiscal year ending July 31, 2028), and interim periods thereafter, with early adoption permitted. The Company is in the process of evaluating the effect that the adoption of this standard will have on its financial statements, including determining the timing of adoption.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The amendments in this Update remove all references to prescriptive and sequential software development stages (referred to as “project stages”) throughout Subtopic 350-40. Therefore, an entity will start capitalizing software costs when management has authorized and committed to funding the software project and it is probable that the project will be completed and that the software will be used to perform the function intended. The ASU is effective for fiscal years beginning after December 15, 2027 (the Company’s fiscal year ending July 31, 2029) and interim reporting periods within those annual periods, with early adoption permitted. The Company is in the process of evaluating the effect that the adoption of this standard will have on its financial statements, including determining the timing of adoption.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Standards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requires reporting entities to provide enhanced segment disclosures, including disclosures regarding significant segment expenses, on an interim and annual basis. The Company adopted the standard for the year ended July 31, 2025. Refer to Note 12, Segment and Geographic Area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months ended October 31, 2025 and 2024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7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40,423</w:t>
            </w:r>
          </w:p>
        </w:tc>
      </w:tr>
      <w:tr>
        <w:trPr>
          <w:trHeight w:val="230"/>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Ski School</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2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w:t>
            </w:r>
          </w:p>
        </w:tc>
      </w:tr>
      <w:tr>
        <w:trPr>
          <w:trHeight w:val="230"/>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Retail/Rental</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30,791</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w:t>
            </w:r>
          </w:p>
        </w:tc>
      </w:tr>
      <w:tr>
        <w:trPr>
          <w:trHeight w:val="229"/>
        </w:trPr>
        <w:tc>
          <w:tcPr>
            <w:tcW w:w="7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77,132</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75,880</w:t>
            </w:r>
          </w:p>
        </w:tc>
      </w:tr>
      <w:tr>
        <w:trPr>
          <w:trHeight w:val="223"/>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173,296</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Owned hotel rooms</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w:t>
            </w:r>
          </w:p>
        </w:tc>
      </w:tr>
      <w:tr>
        <w:trPr>
          <w:trHeight w:val="22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w:t>
            </w:r>
          </w:p>
        </w:tc>
      </w:tr>
      <w:tr>
        <w:trPr>
          <w:trHeight w:val="229"/>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r>
      <w:tr>
        <w:trPr>
          <w:trHeight w:val="230"/>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Golf</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r>
      <w:tr>
        <w:trPr>
          <w:trHeight w:val="229"/>
        </w:trPr>
        <w:tc>
          <w:tcPr>
            <w:tcW w:w="77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w:t>
            </w:r>
          </w:p>
        </w:tc>
      </w:tr>
      <w:tr>
        <w:trPr>
          <w:trHeight w:val="223"/>
        </w:trPr>
        <w:tc>
          <w:tcPr>
            <w:tcW w:w="7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81,874</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83,783</w:t>
            </w:r>
          </w:p>
        </w:tc>
      </w:tr>
      <w:tr>
        <w:trPr>
          <w:trHeight w:val="229"/>
        </w:trPr>
        <w:tc>
          <w:tcPr>
            <w:tcW w:w="77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85,710</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86,916</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270,949</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260,212</w:t>
            </w:r>
          </w:p>
        </w:tc>
      </w:tr>
      <w:tr>
        <w:trPr>
          <w:trHeight w:val="230"/>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77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260,275</w:t>
            </w:r>
          </w:p>
        </w:tc>
      </w:tr>
      <w:tr>
        <w:trPr>
          <w:trHeight w:val="20"/>
        </w:trPr>
        <w:tc>
          <w:tcPr>
            <w:tcW w:w="7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$927.3 million, $602.1 million and $901.6 million as of October 31, 2025, July 31, 2025, and October 31, 2024 respectively. For the three months ended October 31, 2025, the Company recognized approximately $53.3 million of revenue that was included in the deferred revenue balance as of July 31, 2025. Deferred revenue balances of a long-term nature, comprised primarily of long-term private club initiation fee revenue, were $97.4 million, $99.4 million and $102.9 million as of October 31, 2025, July 31, 2025 and October 31, 2024, respectively. As of October 31, 2025, the weighted average remaining period over which revenue for unsatisfied performance obligations on long-term private club contracts will be recognized was approximately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to obtain contracts with customers are recorded within other current assets on the Company’s Consolidated Condensed Balance Sheets and were $24.5 million, $6.6 million and $22.7 million as of October 31, 2025, July 31, 2025 and October 31, 2024, respectively. The amounts capitalized are subject to amortization generally beginning in the second quarter of each fiscal year, commensurate with the recognition of revenue for related pass products, and will be recorded within Mountain and Lodging operating expense on the Company’s Consolidated Condensed Statements of Operations.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October 31, 2025 and 2024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35,910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35,910</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37,473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37,473</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35,910</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35,910</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37,473</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37,473</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0.3 million for both the three months ended October 31, 2025 and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5, Long-Term Debt). On January 30, 2025, the Company completed separate, privately negotiated repurchases for an aggregate principal amount of $50.0 million of its 0.0% Convertible Notes with a limited number of holders. The Company is going to settle the remaining principal amount of the 0.0% Convertible Notes in cash.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months ended October 31, 2025 and 2024, the price of Vail Resorts, Inc. common stock (“Vail Shares”) did not exceed the conversion price; therefore, there was no impact to diluted EPS during those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both the three months ended October 31, 2025 and 2024, the Company paid cash dividends of $2.22 per share ($79.8 million and $83.1 million, respectively). On December 9, 2025, the Company’s Board of Directors approved a cash dividend of $2.22 per share payable on January 12, 2026 to stockholders of record as of December 30,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October 31, 2025, July 31, 2025 and October 31, 2024 is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40" w:type="dxa"/>
            <w:vAlign w:val="bottom"/>
          </w:tcPr>
          <w:p>
            <w:pPr>
              <w:spacing w:after="0"/>
              <w:rPr>
                <w:sz w:val="16"/>
                <w:szCs w:val="16"/>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60" w:type="dxa"/>
            <w:vAlign w:val="bottom"/>
          </w:tcPr>
          <w:p>
            <w:pPr>
              <w:spacing w:after="0"/>
              <w:rPr>
                <w:sz w:val="16"/>
                <w:szCs w:val="16"/>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0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5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898,242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910,547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947,461</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5.625% Notes</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(b)</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(c)</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(d)</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2034-2036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114,162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114,162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2036</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35,802</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37,109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36,155</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2027-2039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52,575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52,575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2063</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376,281</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374,864</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370,573</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Whistler Blackcomb employee housing leases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2042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26,986</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27,416</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2025-2037</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41,707</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52,332</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51,537</w:t>
            </w: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3,170,755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3,194,005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2,775,040</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(e)</w:t>
            </w:r>
          </w:p>
        </w:tc>
        <w:tc>
          <w:tcPr>
            <w:tcW w:w="1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589,744</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599,509</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59,205</w:t>
            </w:r>
          </w:p>
        </w:tc>
      </w:tr>
      <w:tr>
        <w:trPr>
          <w:trHeight w:val="223"/>
        </w:trPr>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2,583,298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2,594,765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2,720,494</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580" w:hanging="329"/>
        <w:spacing w:after="0" w:line="252"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Holdings, Inc. (“VHI”), which is a wholly-owned subsidiary of the Company, along with other certain subsidiaries of VHI, and the Company, as guarantors, Bank of America, N.A., as administrative agent, and certain Lenders are party to the Ninth Amended and Restated Credit Agreement (the “Vail Holdings Credit Agreement”). The Vail Holdings Credit Agreement has a maturity date of April 24, 2029 for both the revolver facility, which was undrawn as of October 31, 2025, and the term loan facility, which had an outstanding balance of $898.2 million as of October 31, 2025. The term loan is subject to quarterly amortization of principal of approximately $12.3 million, in equal installments, for a total of 5% of principal payable in each year and the final payment of all amounts outstanding, plus accrued and unpaid interest is due upon maturity in April 2029.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 Overnight Financing Rate (“SOFR”) plus a spread of 2.10% as of October 31, 2025 (6.06% as of October 31, 2025). Interest rate margins may fluctuate based upon the ratio of the Company’s Net Funded Debt to Adjusted EBITDA (as defined in the Vail Holdings Credit Agreement)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(0.35% as of October 31, 2025). The Company was previously party to various interest rate swap agreements which hedged the cash flows associated with the SOFR-based variable interest rate component of $400.0 million in principal amount of its Vail Holdings Credit Agreement at an effective rate of 1.38%. These interest rate swaps expired on September 23, 2024.</w:t>
      </w:r>
    </w:p>
    <w:p>
      <w:pPr>
        <w:spacing w:after="0" w:line="193" w:lineRule="exact"/>
        <w:rPr>
          <w:rFonts w:ascii="Times New Roman" w:cs="Times New Roman" w:eastAsia="Times New Roman" w:hAnsi="Times New Roman"/>
          <w:sz w:val="18"/>
          <w:szCs w:val="18"/>
          <w:color w:val="auto"/>
        </w:rPr>
      </w:pPr>
    </w:p>
    <w:p>
      <w:pPr>
        <w:jc w:val="both"/>
        <w:ind w:left="5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VHI entered into the First Amendment to the Vail Holdings Credit Agreement (the “First Amendment”). The First Amendment, among other things, increased the revolving credit facility by $100.0 million to an aggregate principal amount of $600.0 million and provides for an incremental term loan facility in aggregate principal amount of $450.0 million in the form of delayed draw term loans. On July 2, 2025, the Company reduced the delayed draw term loan commitment by $175.0 million pursuant to the Ninth Amended and Restated Credit Agreement. The remaining $275.0 million incremental term loan facility is available to be drawn upon at any time at the Company’s option, and any undrawn capacity within the $275.0 million facility will expire on January 27, 2026. While undrawn, any unused portion of the incremental term loan facility incurs a fee equal to 0.30% per annum. Any delayed draw term loan borrowings, upon funding, would be subject to the same interest and principal payment terms and the same maturity date as the outstanding borrowings under the term loan facility. No other material terms of the Vail Holdings Credit Agreement were amended. Proceeds from any borrowings on the incremental term loan facility and the increase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ind w:left="329" w:right="20"/>
        <w:spacing w:after="0" w:line="261" w:lineRule="auto"/>
        <w:rPr>
          <w:sz w:val="20"/>
          <w:szCs w:val="20"/>
          <w:color w:val="auto"/>
        </w:rPr>
      </w:pPr>
      <w:r>
        <w:rPr>
          <w:rFonts w:ascii="Times New Roman" w:cs="Times New Roman" w:eastAsia="Times New Roman" w:hAnsi="Times New Roman"/>
          <w:sz w:val="18"/>
          <w:szCs w:val="18"/>
          <w:color w:val="auto"/>
        </w:rPr>
        <w:t>in the revolving credit loan facility, both of which are undrawn as of October 31, 2025, are available to be used to refinance the Company’s 0.0% Convertible Notes, as discussed further below.</w:t>
      </w:r>
    </w:p>
    <w:p>
      <w:pPr>
        <w:jc w:val="both"/>
        <w:ind w:left="329" w:hanging="329"/>
        <w:spacing w:after="0" w:line="25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$575.0 million in aggregate principal amount of 0.0% Convertible Notes due 2026 (the “0.0% Convertible Notes) under an indenture dated December 18, 2020. As of October 31, 2025, the conversion price of the 0.0% Convertible Notes, adjusted for cash dividends paid since the issuance date, was $345.51. On January 30, 2025, the Company completed separate, privately negotiated repurchases for an aggregate principal amount of $50.0 million of its 0.0% Convertible Notes with a limited number of holders for an aggregate cash repurchase price of approximately $48.0 million, representing a gain on extinguishment of debt of approximately $2.0 million, which the Company recorded within gain (loss) on disposal of fixed assets and other, net on its Consolidated Statements of Operations as of July 31, 2025. Following the repurchases, approximately $525.0 million aggregate principal amount of the 0.0% Convertible Notes remain outstanding, which is included within long-term debt due within one year as of October 31, 2025 given the maturity date of January 1, 2026. Proceeds from any borrowings on the incremental term loan facility and the increase in the revolving credit facility with regard to the First Amendment of the Vail Holdings Credit Agreement, both of which are undrawn as of October 31, 2025, in addition to proceeds received from the 5.625% Notes offering, are available to be used to refinance the Company’s 0.0% Convertible Notes.</w:t>
      </w:r>
    </w:p>
    <w:p>
      <w:pPr>
        <w:spacing w:after="0" w:line="219" w:lineRule="exact"/>
        <w:rPr>
          <w:rFonts w:ascii="Times New Roman" w:cs="Times New Roman" w:eastAsia="Times New Roman" w:hAnsi="Times New Roman"/>
          <w:sz w:val="18"/>
          <w:szCs w:val="18"/>
          <w:color w:val="auto"/>
        </w:rPr>
      </w:pPr>
    </w:p>
    <w:p>
      <w:pPr>
        <w:jc w:val="both"/>
        <w:ind w:left="329" w:hanging="329"/>
        <w:spacing w:after="0" w:line="254"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and together with Whistler LP, the “WB Partnerships”) are party to a credit agreement consisting of a credit facility by and among Whistler LP, Blackcomb LP, certain subsidiaries of Whistler LP and Blackcomb LP and their general partner party thereto as guarantors, the financial institutions party thereto as lenders and The Toronto-Dominion Bank, as administrative agent. On September 24, 2025, we amended the Whistler Credit Agreement primarily to extend the maturity date to September 24, 2030, and to reduce the total size of the credit facility from C$300.0 million to C$250.0 million. The Whistler Credit Agreement uses rates based on SOFR with regard to borrowings under the facility made in U.S. dollars. As of October 31, 2025, there were no borrowings under the Whistler Credit Agreement. The Whistler Credit Agreement also includes a quarterly unused commitment fee based on the Consolidated Total Leverage Ratio, which as of October 31, 2025 is equal to 0.39% per annum.</w:t>
      </w:r>
    </w:p>
    <w:p>
      <w:pPr>
        <w:spacing w:after="0" w:line="218" w:lineRule="exact"/>
        <w:rPr>
          <w:rFonts w:ascii="Times New Roman" w:cs="Times New Roman" w:eastAsia="Times New Roman" w:hAnsi="Times New Roman"/>
          <w:sz w:val="18"/>
          <w:szCs w:val="18"/>
          <w:color w:val="auto"/>
        </w:rPr>
      </w:pPr>
    </w:p>
    <w:p>
      <w:pPr>
        <w:jc w:val="both"/>
        <w:ind w:left="329" w:hanging="329"/>
        <w:spacing w:after="0" w:line="266"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5" w:lineRule="exact"/>
        <w:rPr>
          <w:rFonts w:ascii="Times New Roman" w:cs="Times New Roman" w:eastAsia="Times New Roman" w:hAnsi="Times New Roman"/>
          <w:sz w:val="18"/>
          <w:szCs w:val="18"/>
          <w:color w:val="auto"/>
        </w:rPr>
      </w:pPr>
    </w:p>
    <w:p>
      <w:pPr>
        <w:ind w:left="969" w:hanging="41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2025, interest on this note accrued at a rate of 12.07%.</w:t>
      </w:r>
    </w:p>
    <w:p>
      <w:pPr>
        <w:spacing w:after="0" w:line="50" w:lineRule="exact"/>
        <w:rPr>
          <w:rFonts w:ascii="Times New Roman" w:cs="Times New Roman" w:eastAsia="Times New Roman" w:hAnsi="Times New Roman"/>
          <w:sz w:val="18"/>
          <w:szCs w:val="18"/>
          <w:color w:val="auto"/>
        </w:rPr>
      </w:pPr>
    </w:p>
    <w:p>
      <w:pPr>
        <w:ind w:left="969" w:hanging="46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October 31, 2025, interest on this note accrued at a rate of 11.75%.</w:t>
      </w:r>
    </w:p>
    <w:p>
      <w:pPr>
        <w:spacing w:after="0" w:line="50" w:lineRule="exact"/>
        <w:rPr>
          <w:rFonts w:ascii="Times New Roman" w:cs="Times New Roman" w:eastAsia="Times New Roman" w:hAnsi="Times New Roman"/>
          <w:sz w:val="18"/>
          <w:szCs w:val="18"/>
          <w:color w:val="auto"/>
        </w:rPr>
      </w:pPr>
    </w:p>
    <w:p>
      <w:pPr>
        <w:ind w:left="969" w:right="20" w:hanging="515"/>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October 31, 2025, interest on this note accrued at a rate of 11.75%.</w:t>
      </w:r>
    </w:p>
    <w:p>
      <w:pPr>
        <w:spacing w:after="0" w:line="50" w:lineRule="exact"/>
        <w:rPr>
          <w:rFonts w:ascii="Times New Roman" w:cs="Times New Roman" w:eastAsia="Times New Roman" w:hAnsi="Times New Roman"/>
          <w:sz w:val="18"/>
          <w:szCs w:val="18"/>
          <w:color w:val="auto"/>
        </w:rPr>
      </w:pPr>
    </w:p>
    <w:p>
      <w:pPr>
        <w:ind w:left="969" w:hanging="50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2025, interest on this note accrued at a rate of 12.69%.</w:t>
      </w:r>
    </w:p>
    <w:p>
      <w:pPr>
        <w:spacing w:after="0" w:line="50" w:lineRule="exact"/>
        <w:rPr>
          <w:rFonts w:ascii="Times New Roman" w:cs="Times New Roman" w:eastAsia="Times New Roman" w:hAnsi="Times New Roman"/>
          <w:sz w:val="18"/>
          <w:szCs w:val="18"/>
          <w:color w:val="auto"/>
        </w:rPr>
      </w:pPr>
    </w:p>
    <w:p>
      <w:pPr>
        <w:ind w:left="969" w:hanging="45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October 31, 2025, interest on this note accrued at a rate of 9.35%.</w:t>
      </w:r>
    </w:p>
    <w:p>
      <w:pPr>
        <w:spacing w:after="0" w:line="52" w:lineRule="exact"/>
        <w:rPr>
          <w:sz w:val="20"/>
          <w:szCs w:val="20"/>
          <w:color w:val="auto"/>
        </w:rPr>
      </w:pPr>
    </w:p>
    <w:p>
      <w:pPr>
        <w:ind w:left="329"/>
        <w:spacing w:after="0" w:line="282"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to fund interest payments and other amounts due and payable to EPR.</w:t>
      </w:r>
    </w:p>
    <w:p>
      <w:pPr>
        <w:spacing w:after="0" w:line="189" w:lineRule="exact"/>
        <w:rPr>
          <w:sz w:val="20"/>
          <w:szCs w:val="20"/>
          <w:color w:val="auto"/>
        </w:rPr>
      </w:pPr>
    </w:p>
    <w:p>
      <w:pPr>
        <w:ind w:left="329" w:hanging="329"/>
        <w:spacing w:after="0"/>
        <w:tabs>
          <w:tab w:leader="none" w:pos="3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Aggregate maturities of debt outstanding as of October 31, 2025 reflected by fiscal year (August 1 through July 31) are as follows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(November 2025 through July 2026)</w:t>
            </w:r>
          </w:p>
        </w:tc>
        <w:tc>
          <w:tcPr>
            <w:tcW w:w="3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574,783</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68,055</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57,050</w:t>
            </w: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770,511</w:t>
            </w: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507,328</w:t>
            </w:r>
          </w:p>
        </w:tc>
      </w:tr>
      <w:tr>
        <w:trPr>
          <w:trHeight w:val="229"/>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1,193,028</w:t>
            </w:r>
          </w:p>
        </w:tc>
      </w:tr>
      <w:tr>
        <w:trPr>
          <w:trHeight w:val="248"/>
        </w:trPr>
        <w:tc>
          <w:tcPr>
            <w:tcW w:w="63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36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3,170,755</w:t>
            </w:r>
          </w:p>
        </w:tc>
      </w:tr>
      <w:tr>
        <w:trPr>
          <w:trHeight w:val="20"/>
        </w:trPr>
        <w:tc>
          <w:tcPr>
            <w:tcW w:w="630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of $51.3 million and $42.8 million for the three months ended October 31, 2025 and 2024, respectively, of which $1.9 million and $1.4 million, respectively, was amortization of deferred financing costs. The Company was in compliance with all of its financial and operating covenants required to be maintained under its debt instruments for all periods presented.</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accounts receivables, net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320" w:type="dxa"/>
            <w:vAlign w:val="bottom"/>
          </w:tcPr>
          <w:p>
            <w:pPr>
              <w:spacing w:after="0"/>
              <w:rPr>
                <w:sz w:val="16"/>
                <w:szCs w:val="16"/>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98,753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381,187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129,364</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8,047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7,690</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2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accounts receivables</w:t>
            </w: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106,800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388,877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137,507</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w:t>
            </w:r>
          </w:p>
        </w:tc>
      </w:tr>
      <w:tr>
        <w:trPr>
          <w:trHeight w:val="248"/>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receivables, net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97,530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382,370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130,162</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7"/>
        </w:trPr>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3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24"/>
                <w:szCs w:val="24"/>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78,074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58,089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75,370</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8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78,255</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51,154</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38,786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34,432</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w:t>
            </w:r>
          </w:p>
        </w:tc>
      </w:tr>
      <w:tr>
        <w:trPr>
          <w:trHeight w:val="223"/>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195,115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93,823</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143,108</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2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0"/>
        </w:trPr>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3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24"/>
                <w:szCs w:val="24"/>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804,376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804,667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805,227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8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1,716,392</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1,712,138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1,688,492</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2,119,054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2,117,865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1,998,336</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351,748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349,921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322,855</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189,751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189,982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8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97,335</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96,504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94,310</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183,923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114,357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166,175</w:t>
            </w:r>
          </w:p>
        </w:tc>
      </w:tr>
      <w:tr>
        <w:trPr>
          <w:trHeight w:val="22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8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5,462,579</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5,385,434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5,240,312</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(3,082,160)</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(3,010,780)</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(2,809,552)</w:t>
            </w:r>
          </w:p>
        </w:tc>
      </w:tr>
      <w:tr>
        <w:trPr>
          <w:trHeight w:val="223"/>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2,380,418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2,374,654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2,430,760</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44"/>
        </w:trPr>
        <w:tc>
          <w:tcPr>
            <w:tcW w:w="5420" w:type="dxa"/>
            <w:vAlign w:val="bottom"/>
          </w:tcPr>
          <w:p>
            <w:pPr>
              <w:spacing w:after="0"/>
              <w:rPr>
                <w:sz w:val="24"/>
                <w:szCs w:val="24"/>
                <w:color w:val="auto"/>
              </w:rPr>
            </w:pPr>
          </w:p>
        </w:tc>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340" w:type="dxa"/>
            <w:vAlign w:val="bottom"/>
          </w:tcPr>
          <w:p>
            <w:pPr>
              <w:spacing w:after="0"/>
              <w:rPr>
                <w:sz w:val="16"/>
                <w:szCs w:val="16"/>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8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4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143,123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139,976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141,912</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927,306</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602,117</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901,586</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20,506</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59,779</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13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62,305</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64,869</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57,785</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40,562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42,284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43,401</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35,762</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34,883</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34,529</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116,734</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112,757</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85,561</w:t>
            </w:r>
          </w:p>
        </w:tc>
      </w:tr>
      <w:tr>
        <w:trPr>
          <w:trHeight w:val="223"/>
        </w:trPr>
        <w:tc>
          <w:tcPr>
            <w:tcW w:w="4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1,346,298</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1,056,665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1,297,994</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by segment for the three months ended October 31, 2025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00" w:type="dxa"/>
            <w:vAlign w:val="bottom"/>
          </w:tcPr>
          <w:p>
            <w:pPr>
              <w:spacing w:after="0"/>
              <w:rPr>
                <w:sz w:val="16"/>
                <w:szCs w:val="16"/>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2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3"/>
        </w:trPr>
        <w:tc>
          <w:tcPr>
            <w:tcW w:w="4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2025</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1,630,209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1,675,215</w:t>
            </w:r>
          </w:p>
        </w:tc>
      </w:tr>
      <w:tr>
        <w:trPr>
          <w:trHeight w:val="229"/>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(10,693)</w:t>
            </w:r>
          </w:p>
        </w:tc>
      </w:tr>
      <w:tr>
        <w:trPr>
          <w:trHeight w:val="248"/>
        </w:trPr>
        <w:tc>
          <w:tcPr>
            <w:tcW w:w="49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1,619,516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1,664,522</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which maximize the use of observable inputs and minimize the use of unobservable inputs when determining fair value. The three levels of the hierarchy are as follows: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restricted cash, other current assets and Contingent Consideration (defined below) measured at estimated fair value (all other assets and liabilities measured at fair value are immaterial)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247,270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247,270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52,040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52,040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83,200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80,576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80,576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65,962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65,962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93,300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81,465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81,465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95,544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95,544</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86,000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equivalents, restricted cash and other current assets are measured utilizing quoted market prices or pricing models whereby all significant inputs are either observable or corroborated by observable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three months ended October 31, 2025 and 2024 were as follows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 and 2024, respectively</w:t>
            </w:r>
          </w:p>
        </w:tc>
        <w:tc>
          <w:tcPr>
            <w:tcW w:w="24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93,300</w:t>
            </w:r>
          </w:p>
        </w:tc>
        <w:tc>
          <w:tcPr>
            <w:tcW w:w="6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r>
      <w:tr>
        <w:trPr>
          <w:trHeight w:val="230"/>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2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r>
      <w:tr>
        <w:trPr>
          <w:trHeight w:val="230"/>
        </w:trPr>
        <w:tc>
          <w:tcPr>
            <w:tcW w:w="5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4,639</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2025 and 2024, respectively</w:t>
            </w:r>
          </w:p>
        </w:tc>
        <w:tc>
          <w:tcPr>
            <w:tcW w:w="2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83,200</w:t>
            </w:r>
          </w:p>
        </w:tc>
        <w:tc>
          <w:tcPr>
            <w:tcW w:w="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86,000</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an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liability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present value. Other significant assumptions included a discount rate of 11.2% and volatility of 14.5%, which together with future period Park City EBITDA, are all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unobservable inputs. The Company prepared a sensitivity analysis to evaluate the effect that changes on certain key assumptions would have on the fair value of the Contingent Consideration. A change in the discount rate of 100 basis points or a 5% change in estimated subsequent year performance of the resort would result in a change in the fair value within the range of approximately $13.7 million to $18.8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2025, the Company made a payment to the landlord for Contingent Consideration of approximately $14.7 million and recorded an increase in the liability of approximately $4.6 million, primarily related to the estimated Contingent Consideration payment for the fiscal year ending July 31, 2026, which is partially offset by the impact of an increase in expected capital expenditures at Park City during the years ending July 31, 2025 and 2026. These changes resulted in an estimated fair value of the Contingent Consideration of approximately $83.2 million, which is included in accounts payable and other long-term liabilities in the Company’s Consolidated Condensed Balance Sheet as of October 31, 2025.</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2025, the Company had various letters of credit outstanding totaling $96.0 million, consisting of $53.4 million to support the Employee Housing Bonds; $6.4 million to support bonds issued by Holland Creek Metropolitan District; and $36.2 million of other standby letters of credit primarily related to insurance-related deductibles, a wind energy purchase agreement, and workers’ compensation. The Company also had surety bonds of $11.2 million as of October 31, 2025, primarily to provide collateral for its U.S. workers compensation self-insurance programs.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estimated the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is party to strategic long-term season pass alliance agreements with third-party mountain resorts in which the Company has committed to pay minimum revenue guarantees over the remaining terms of these agreements. The Company records payments under these pass alliance agreements as operating expense which are typically recognized over the course of the North American and European ski season.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estimable losses. As of October 31, 2025, July 31, 2025 and October 31, 2024, the accruals for the above loss contingencies were not material individually or in the aggregate.</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(the “CODM”), who monitors Reported EBITDA compared to budget and prior comparable periods at the segment level to assess segment performance and make decisions regarding the investment of capital allocation of resources. The Company’s CODM is the Chief Executive Officer. We believe Reported EBITDA serves as a measure that assists our CODM and our investors in comparing our segments' performance on a consistent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 presents key financial information by reportable segment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8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185,239</w:t>
            </w:r>
          </w:p>
        </w:tc>
        <w:tc>
          <w:tcPr>
            <w:tcW w:w="11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173,296</w:t>
            </w:r>
          </w:p>
        </w:tc>
      </w:tr>
      <w:tr>
        <w:trPr>
          <w:trHeight w:val="216"/>
        </w:trPr>
        <w:tc>
          <w:tcPr>
            <w:tcW w:w="7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85,710</w:t>
            </w: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86,916</w:t>
            </w:r>
          </w:p>
        </w:tc>
      </w:tr>
      <w:tr>
        <w:trPr>
          <w:trHeight w:val="20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Resort net revenue</w:t>
            </w:r>
          </w:p>
        </w:tc>
        <w:tc>
          <w:tcPr>
            <w:tcW w:w="9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270,949</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260,212</w:t>
            </w:r>
          </w:p>
        </w:tc>
      </w:tr>
      <w:tr>
        <w:trPr>
          <w:trHeight w:val="216"/>
        </w:trPr>
        <w:tc>
          <w:tcPr>
            <w:tcW w:w="7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w:t>
            </w: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0"/>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271,029</w:t>
            </w:r>
          </w:p>
        </w:tc>
        <w:tc>
          <w:tcPr>
            <w:tcW w:w="11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260,275</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expense:</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122,079</w:t>
            </w:r>
          </w:p>
        </w:tc>
        <w:tc>
          <w:tcPr>
            <w:tcW w:w="11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118,530</w:t>
            </w: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Retail cost of sales</w:t>
            </w:r>
          </w:p>
        </w:tc>
        <w:tc>
          <w:tcPr>
            <w:tcW w:w="9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14,932</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15,031</w:t>
            </w: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96,491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92,568</w:t>
            </w:r>
          </w:p>
        </w:tc>
      </w:tr>
      <w:tr>
        <w:trPr>
          <w:trHeight w:val="216"/>
        </w:trPr>
        <w:tc>
          <w:tcPr>
            <w:tcW w:w="7640" w:type="dxa"/>
            <w:vAlign w:val="bottom"/>
            <w:tcBorders>
              <w:bottom w:val="single" w:sz="8" w:color="auto"/>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95,418</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93,380</w:t>
            </w:r>
          </w:p>
        </w:tc>
      </w:tr>
      <w:tr>
        <w:trPr>
          <w:trHeight w:val="20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Mountain operating expense</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328,920</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319,509</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36,679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37,227</w:t>
            </w: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13,933</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w:t>
            </w: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Reimbursed payroll costs</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3,836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w:t>
            </w:r>
          </w:p>
        </w:tc>
      </w:tr>
      <w:tr>
        <w:trPr>
          <w:trHeight w:val="216"/>
        </w:trPr>
        <w:tc>
          <w:tcPr>
            <w:tcW w:w="7640" w:type="dxa"/>
            <w:vAlign w:val="bottom"/>
            <w:tcBorders>
              <w:bottom w:val="single" w:sz="8" w:color="auto"/>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28,359</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27,910</w:t>
            </w:r>
          </w:p>
        </w:tc>
      </w:tr>
      <w:tr>
        <w:trPr>
          <w:trHeight w:val="207"/>
        </w:trPr>
        <w:tc>
          <w:tcPr>
            <w:tcW w:w="7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Lodging operating expense</w:t>
            </w:r>
          </w:p>
        </w:tc>
        <w:tc>
          <w:tcPr>
            <w:tcW w:w="9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82,807</w:t>
            </w:r>
          </w:p>
        </w:tc>
        <w:tc>
          <w:tcPr>
            <w:tcW w:w="1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82,559</w:t>
            </w:r>
          </w:p>
        </w:tc>
      </w:tr>
      <w:tr>
        <w:trPr>
          <w:trHeight w:val="210"/>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Resort operating expense</w:t>
            </w:r>
          </w:p>
        </w:tc>
        <w:tc>
          <w:tcPr>
            <w:tcW w:w="9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411,727</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402,068</w:t>
            </w:r>
          </w:p>
        </w:tc>
      </w:tr>
      <w:tr>
        <w:trPr>
          <w:trHeight w:val="21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6"/>
        </w:trPr>
        <w:tc>
          <w:tcPr>
            <w:tcW w:w="7640" w:type="dxa"/>
            <w:vAlign w:val="bottom"/>
            <w:tcBorders>
              <w:bottom w:val="single" w:sz="8" w:color="auto"/>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1,624</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w:t>
            </w:r>
          </w:p>
        </w:tc>
      </w:tr>
      <w:tr>
        <w:trPr>
          <w:trHeight w:val="207"/>
        </w:trPr>
        <w:tc>
          <w:tcPr>
            <w:tcW w:w="7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Real Estate operating expense</w:t>
            </w:r>
          </w:p>
        </w:tc>
        <w:tc>
          <w:tcPr>
            <w:tcW w:w="9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1,624</w:t>
            </w:r>
          </w:p>
        </w:tc>
        <w:tc>
          <w:tcPr>
            <w:tcW w:w="1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r>
      <w:tr>
        <w:trPr>
          <w:trHeight w:val="209"/>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segment operating expense</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413,351</w:t>
            </w:r>
          </w:p>
        </w:tc>
        <w:tc>
          <w:tcPr>
            <w:tcW w:w="11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403,559</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real property</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13,020</w:t>
            </w:r>
          </w:p>
        </w:tc>
        <w:tc>
          <w:tcPr>
            <w:tcW w:w="11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16,506</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Mountain equity investment income, net</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1,093</w:t>
            </w:r>
          </w:p>
        </w:tc>
        <w:tc>
          <w:tcPr>
            <w:tcW w:w="11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EBITDA:</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96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5"/>
              </w:rPr>
              <w:t>(142,588)</w:t>
            </w:r>
          </w:p>
        </w:tc>
        <w:tc>
          <w:tcPr>
            <w:tcW w:w="11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(144,062)</w:t>
            </w:r>
          </w:p>
        </w:tc>
      </w:tr>
      <w:tr>
        <w:trPr>
          <w:trHeight w:val="216"/>
        </w:trPr>
        <w:tc>
          <w:tcPr>
            <w:tcW w:w="7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2,903</w:t>
            </w: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w:t>
            </w:r>
          </w:p>
        </w:tc>
      </w:tr>
      <w:tr>
        <w:trPr>
          <w:trHeight w:val="20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Resort</w:t>
            </w:r>
          </w:p>
        </w:tc>
        <w:tc>
          <w:tcPr>
            <w:tcW w:w="9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5"/>
              </w:rPr>
              <w:t>(139,685)</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(139,705)</w:t>
            </w:r>
          </w:p>
        </w:tc>
      </w:tr>
      <w:tr>
        <w:trPr>
          <w:trHeight w:val="216"/>
        </w:trPr>
        <w:tc>
          <w:tcPr>
            <w:tcW w:w="7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11,476</w:t>
            </w: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15,078</w:t>
            </w:r>
          </w:p>
        </w:tc>
      </w:tr>
      <w:tr>
        <w:trPr>
          <w:trHeight w:val="210"/>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Reported EBITDA</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5"/>
              </w:rPr>
              <w:t>(128,209)</w:t>
            </w:r>
          </w:p>
        </w:tc>
        <w:tc>
          <w:tcPr>
            <w:tcW w:w="11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(124,627)</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held for sale or investment</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85,222</w:t>
            </w:r>
          </w:p>
        </w:tc>
        <w:tc>
          <w:tcPr>
            <w:tcW w:w="11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85,317</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Reconciliation from net loss attributable to Vail Resorts, Inc. to Total Reported EBITDA:</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Vail Resorts, Inc.</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(186,752)</w:t>
            </w:r>
          </w:p>
        </w:tc>
        <w:tc>
          <w:tcPr>
            <w:tcW w:w="11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(173,255)</w:t>
            </w:r>
          </w:p>
        </w:tc>
      </w:tr>
      <w:tr>
        <w:trPr>
          <w:trHeight w:val="213"/>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(9,704)</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(8,708)</w:t>
            </w:r>
          </w:p>
        </w:tc>
      </w:tr>
      <w:tr>
        <w:trPr>
          <w:trHeight w:val="212"/>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(196,456)</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(181,963)</w:t>
            </w:r>
          </w:p>
        </w:tc>
      </w:tr>
      <w:tr>
        <w:trPr>
          <w:trHeight w:val="213"/>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(60,615)</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(58,384)</w:t>
            </w:r>
          </w:p>
        </w:tc>
      </w:tr>
      <w:tr>
        <w:trPr>
          <w:trHeight w:val="212"/>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before benefit from income taxes</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(257,071)</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(240,347)</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73,117</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71,544</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4,639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of fixed assets and other, net</w:t>
            </w:r>
          </w:p>
        </w:tc>
        <w:tc>
          <w:tcPr>
            <w:tcW w:w="9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2,763</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 and other, net</w:t>
            </w: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loss on intercompany loans</w:t>
            </w:r>
          </w:p>
        </w:tc>
        <w:tc>
          <w:tcPr>
            <w:tcW w:w="9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6"/>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51,287</w:t>
            </w: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42,797</w:t>
            </w:r>
          </w:p>
        </w:tc>
      </w:tr>
      <w:tr>
        <w:trPr>
          <w:trHeight w:val="209"/>
        </w:trPr>
        <w:tc>
          <w:tcPr>
            <w:tcW w:w="7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Reported EBITDA</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5"/>
              </w:rPr>
              <w:t>(128,209)</w:t>
            </w:r>
          </w:p>
        </w:tc>
        <w:tc>
          <w:tcPr>
            <w:tcW w:w="11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(124,627)</w:t>
            </w:r>
          </w:p>
        </w:tc>
      </w:tr>
      <w:tr>
        <w:trPr>
          <w:trHeight w:val="23"/>
        </w:trPr>
        <w:tc>
          <w:tcPr>
            <w:tcW w:w="7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both"/>
        <w:ind w:left="340" w:hanging="8"/>
        <w:spacing w:after="0" w:line="235" w:lineRule="auto"/>
        <w:tabs>
          <w:tab w:leader="none" w:pos="519"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operating expense primarily includes cost of sales, fuel, supplies, repairs and maintenance, professional services, rent, utilities and property taxes. The CODM uses consolidated expense information to manage operations and is not regularly provided disaggregated other segment items.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0" w:name="page21"/>
    <w:bookmarkEnd w:id="20"/>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September 25, 2024 and June 4, 2025, the Company’s Board of Directors increased the authorization by an additional 3,000,000, 1,500,000, 2,500,000, 1,100,000 and 1,500,000 Vail Shares, respectively, for a total authorization to repurchase up to 12,600,000 Vail Shares. The Company did not repurchase any Vail Shares during the three months ended October 31, 2025. The Company repurchased 114,800 Vail Shares during the three months ended October 31, 2024 (at a total cost of $20.0 million, excluding accrued excise tax). Since inception of this stock repurchase program through October 31, 2025, the Company has repurchased 11,060,183 Vail Shares at a cost of approximately $1,399.4 million. As of October 31, 2025, 1,539,817 Vail Shares remained available to repurchase under the existing share repurchase program. Vail Shares purchased pursuant to the repurchase program will be held as treasury shares and may be used for the issuance under the Company’s employee share award plan.</w:t>
      </w:r>
    </w:p>
    <w:p>
      <w:pPr>
        <w:spacing w:after="0" w:line="184"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of Previously Issued Consolidated Condensed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disclosed in Note 2, Summary of Significant Accounting Policies, during the fourth quarter of the fiscal year ended July 31, 2025, the Company identified errors to the Consolidated Financial Statements as of and for the years ended July 31, 2024 and July 31, 2023, as well as its unaudited Consolidated Condensed Financial Statements as of and for the three months ended October 31, 2024 relating to the misapplication of the interest method in the accounting for the EPR Secured Notes and its accounting for certain completed capital projects. Although the Company concluded that these errors were not material, either individually or in the aggregate, to its current or previously issued Consolidated Financial Statements as of and for the years ended July 31, 2025, July 31, 2024 and July 31, 2023 and its unaudited Consolidated Condensed Financial Statements as of and for the three months ended October 31, 2024, the Company elected to revise its previously issued Consolidated Financial Statements and its unaudited Consolidated Condensed Financial Statements to correct the errors. In connection with the revision, the Company is also correcting for other previously identified immaterial errors that were previously corrected as out of period adjustments in the period of identification.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certain errors originating prior to the year ended July 31, 2023, the opening retained earnings balance as of August 1, 2022 was understated by $12.0 million, primarily due to the impact of $6.9 million of non-cash interest expense that should have been recorded in prior periods.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revisions include corrections of previously identified errors to the Consolidated Condensed Balance Sheets for operating lease liabilities and right of use assets and adjustments to the income tax payable and income tax receivable for items identified during its reconciliation of completed income tax returns to its income tax provision that impacted jurisdictional netting. The accompanying Consolidated Condensed Statements of Cash Flows have been revised to correct a misclassification between operating and financing activities related to interest on finance lease obligations, and to reflect changes related to the items discussed above.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other changes to the Consolidated Condensed Statements of Stockholders’ Equity that have not otherwise been reflected in the Consolidated Condensed Balance Sheets, Consolidated Condensed Statements of Operations and Consolidated Condensed Statements of Comprehensive Loss described above. The following tables present the revisions to the Consolidated Condensed Balance Sheet, Consolidated Condensed Statement of Operations, Consolidated Condensed Statement of Comprehensive Loss and Consolidated Condensed Statement of Cash Flows for the three months ended October 31, 2024 (in thousands, except per share amounts):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Balance Sheet</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152,071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853,619</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844,656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2,434,776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2,430,760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254,489</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256,102</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5,642,215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5,630,849</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8,628</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57,045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2,160</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59,205</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1,363,667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1,357,199</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(Note 5)</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2,709,955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10,539</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2,720,494</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233,304</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279,687</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276,661</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4,896,916</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2,658</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4,899,574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524,450</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510,426</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444,099</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430,075</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745,299</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731,275</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5,642,215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5,630,849</w:t>
            </w:r>
          </w:p>
        </w:tc>
        <w:tc>
          <w:tcPr>
            <w:tcW w:w="0" w:type="dxa"/>
            <w:vAlign w:val="bottom"/>
          </w:tcPr>
          <w:p>
            <w:pPr>
              <w:spacing w:after="0"/>
              <w:rPr>
                <w:sz w:val="1"/>
                <w:szCs w:val="1"/>
                <w:color w:val="auto"/>
              </w:rPr>
            </w:pPr>
          </w:p>
        </w:tc>
      </w:tr>
      <w:tr>
        <w:trPr>
          <w:trHeight w:val="510"/>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Operations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(202,019)</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(42,797)</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(239,793)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(240,347)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58,249</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(181,963)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(173,255)</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Vail Resorts, Inc.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 attributable to Vail Resorts,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497"/>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Comprehensive Loss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(181,963)</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(187,572)</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Vail Resorts,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(177,403)</w:t>
            </w:r>
          </w:p>
        </w:tc>
        <w:tc>
          <w:tcPr>
            <w:tcW w:w="0" w:type="dxa"/>
            <w:vAlign w:val="bottom"/>
          </w:tcPr>
          <w:p>
            <w:pPr>
              <w:spacing w:after="0"/>
              <w:rPr>
                <w:sz w:val="1"/>
                <w:szCs w:val="1"/>
                <w:color w:val="auto"/>
              </w:rPr>
            </w:pPr>
          </w:p>
        </w:tc>
      </w:tr>
      <w:tr>
        <w:trPr>
          <w:trHeight w:val="510"/>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Cash Flows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71,633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income,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967</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282,424</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282,748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October 31, 2025 (“Form 10-Q”) as “we,” “us,” “our”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2025 (“Form 10-K”) and the Consolidated Condensed Financial Statements as of October 31, 2025 and 2024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29, 2025.</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loss attributable to Vail Resorts, Inc. to Total Reported EBITDA and Resort Reported EBITDA, and long-term debt, net to Net Debt.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has been adjusted to reflect our revision of previously issued Consolidated Condensed Financial Statements to correct for prior period misstatements, which we concluded did not, either individually or in the aggregate, result in a material misstatement of our previously issued Consolidated Condensed Financial Statements. Further information regarding the revision is included in Note 2, Summary of Significant Accounting Policies and Note 11, Revision of Previously Issued Consolidated Condensed Financial Statements of the Notes to the Consolidated Condensed Financial Statements contained in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258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of the lodging segment during our first fiscal quarter is generated primarily by the operations of our NPS concessioner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North American pass product sales through December 5, 2025 for the upcoming 2025/2026 ski season decreased approximately 2% in units and increased approximately 3% in sales dollars as compared to the period in the prior year through December 3, 2024. Pass product sales are adjusted to eliminate the impact of foreign currency by applying an exchange rate of $0.72 between the Canadian dollar and U.S. dollar in both periods for Whistler Blackcomb pass sales. We cannot predict the overall impact that sales of our pass products will have on total lift revenue or effective ticket price for the fiscal year ending July 31, 2026.</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tariffs and trade policies, prolonged elevated interest rates, geopolitical conflicts, political uncertainty, immigration policies,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2025, we had $581.5 million of cash and cash equivalents, as well as $507.7 million available under the revolver component of</w:t>
      </w:r>
    </w:p>
    <w:p>
      <w:pPr>
        <w:spacing w:after="0" w:line="2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the Vail Holdings Credit Agreement, which represents the total commitment of $600.0 million less certain letters of credit outstanding of $92.3 million. We also have $275.0 million available under a delayed draw term loan of the Vail Holdings Credit Agreement, which will remain available to draw on at any time until January 27, 2026. Additionally, we have a credit facility which supports the liquidity needs of Whistler Blackcomb (the “Whistler Credit Agreement”). As of October 31, 2025, we had C$246.6 million ($175.9 million) available under the revolver component of the Whistler Credit Agreement, which represents the total commitment of C$250.0 million ($178.3 million) less letters of credit outstanding of C$3.4 million ($2.4 million). On September 24, 2025, we amended the Whistler Credit Agreement primarily to extend the maturity date to September 24, 2030, and to reduce the total size of the credit agreement from C$300.0 million to C$250.0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Shown below is a summary of operating results for the three months ended October 31, 2025, compared to the three months ended October 31,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(173,255)</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(240,347)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(144,062)</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2,903</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(139,705)</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11,476</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w:t>
            </w:r>
          </w:p>
        </w:tc>
      </w:tr>
      <w:tr>
        <w:trPr>
          <w:trHeight w:val="248"/>
        </w:trPr>
        <w:tc>
          <w:tcPr>
            <w:tcW w:w="78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(124,627)</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loss attributable to Vail Resorts, Inc. to Total Reported EBITDA, and other items can be found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2025 compared to the three months ended October 31, 2024</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October 31, 2025 and 2024 are presented by category as follows (in thousands, except effective ticket price (“ETP”)). ETP is calculated as lift revenue divided by total skier visits for each applicable period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50"/>
        </w:trPr>
        <w:tc>
          <w:tcPr>
            <w:tcW w:w="6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4"/>
                <w:szCs w:val="4"/>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6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49,643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7,886</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19,787</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30,791</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77,132</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185,239</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122,079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14,932</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96,491</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95,418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328,920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319,509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1,093</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67.18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$5.4 million and $5.8 million of stock-based compensation expense for the three months ended October 31, 2025 and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first fiscal quarter historically results in negative Mountain Reported EBITDA, as most of our North American and European Resorts generally do not open for ski operations until our second fiscal quarter, which begins in November. The first fiscal quarter generally consists of operating and administrative expenses, North American and European summer activities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(including dining), retail/rental operations and the winter operations of our Australian ski areas, for which the ski season generally occurs from June through early October.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Mountain Reported EBITDA increased $1.5 million, or 1.0%, primarily driven by our Australian ski resorts from the impact of improved visitation, which was supported by improved weather conditions and the growth in pass sales for the 2025 Australian winter season, compared to the prior year, as well as savings attributable to our resource efficiency transformation plan. The increase in Mountain Reported EBITDA was partially offset by the impact of inflation and one-time operating expenses attributable to our resource efficiency transformation plan of $3.6 million and $2.0 million for the three months ended October 31, 2025 and 2024, respectively, as well as acquisition and integration related expenses of $0.1 million and $0.9 million for the three months ended October 31, 2025 and 2024,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Lift revenue increased $9.2 million, or 22.8%, primarily due to an increase in pass product revenue for the 2025 Australian winter season ($4.5 million), driven by growth in Australian pass product sales, as well as improved visitation at our Australian ski resorts, compared to the prior year, which was supported by improved weather conditions and resulted in an increase in non-pass revenue.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Ski school revenue increased $1.0 million or 15.3% primarily driven by improved visitation at our Australian resorts, as well as increased lesson pricing. Dining revenue decreased $0.8 million or (4.1)% primarily as a result of decreased group demand at our Destination resorts compared to prior year, partially offset by increased revenue at our Australian resorts a result of improved visitation. Retail/rental revenue increased $1.3 million, or 4.3%, driven by improved visitation at our Australian resorts.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revenue mainly consists of summer visitation and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also includes Australian ski area lodging and transportation revenue. Other revenue increased $1.3 million, or 1.6%, primarily driven by an increase in other on-mountain summer activities and sightseeing revenue from the impact of increased pricing.</w:t>
      </w: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increased $9.4 million, or 2.9%, which was primarily attributable to increased variable expenses associated with increased revenue in Australia, as well as increased general and administrative expenses. Operating expense also includes one-time expenses attributable to our resource efficiency transformation plan of $3.6 million and $2.0 million for the three months ended October 31, 2025 and 2024, respectively, as well as acquisition and integration related expenses of $0.1 million and $0.9 million for the three months ended October 31, 2025 and 2024,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Labor and labor-related benefits increased 3.0%, primarily due to an increase in labor expense to support increased Australian operations as a result of improved weather conditions compared to the prior year. General and administrative expense increased 4.2%, due to an increase in corporate overhead costs, including marketing expenses, legal expenses, and information technology expenses, partially offset by savings attributable to our resource efficiency transformation plan. Other expense increased 2.2%, primarily due to an increase in one-time costs relating to the resource efficiency transformation plan ($1.7 million) partially offset by a decrease in acquisition and integration related expenses ($0.8 million), as well as an increase in variable costs associated with the increased revenue at our Australian resorts.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2025 compared to the three months ended October 31,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October 31, 2025 and 2024 are presented by category as follows (in thousands, except average daily rates (“ADR”) and revenue per available room (“RevPAR”)):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2"/>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3"/>
                <w:szCs w:val="3"/>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28,447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9,690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19,382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7,772</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16,583</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81,874</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3,836</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85,710</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36,679</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13,933</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28,359</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78,971</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3,836</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82,807</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2,903</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325.48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181.01</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225.00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48.36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279.54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$0.8 million of stock-based compensation expense for each of the three months ended October 31, 2025 and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decreased $1.5 million, or 33.4%, primarily due to decreased demand for summer group lodging at our North American mountain resort properties, partially offset by increased demand for lodging and park visitation at GTLC driven by favorable weather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managed condominium rooms decreased $2.0 million, or 17.2%, primarily due to decreased group demand, which drove a decrease in ADR, as well as a net reduction in our inventory of available managed condominium rooms proximate to our North American mountain resort properties.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2025 compared to the three months ended October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October 31, 2025 and 2024 are presented by category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00" w:type="dxa"/>
            <w:vAlign w:val="bottom"/>
          </w:tcPr>
          <w:p>
            <w:pPr>
              <w:spacing w:after="0"/>
              <w:rPr>
                <w:sz w:val="13"/>
                <w:szCs w:val="13"/>
                <w:color w:val="auto"/>
              </w:rPr>
            </w:pPr>
          </w:p>
        </w:tc>
        <w:tc>
          <w:tcPr>
            <w:tcW w:w="190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900" w:type="dxa"/>
            <w:vAlign w:val="bottom"/>
            <w:vMerge w:val="restart"/>
          </w:tcPr>
          <w:p>
            <w:pPr>
              <w:jc w:val="center"/>
              <w:ind w:left="37"/>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1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2025, we recorded a gain on sale of real property for $13.0 million related to the sale of a real estate parcel in Breckenridge, Colorado for proceeds of $15.4 million. The proceeds were received in prior periods, but the terms of the agreement prevented transfer of control to the buyer at the time; therefore, recognition of the gain was deferred until control was transferred during the three months ended October 31, 2025. During the three months ended October 31, 2024, we recorded a gain on sale of real property for $16.5 million related to the resolution of the October 2023 Eagle County District Court final ruling and valuation regarding the Town of Vail’s condemnation of our East Vail property.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three months ended October 31, 2025 and 2024 was primarily comprised of general and administrative costs, such as labor and labor-related benefits, professional services and allocated corporate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fluctuations in the following items contributed to our overall financial results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 and 2024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8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3"/>
                <w:szCs w:val="3"/>
                <w:color w:val="auto"/>
              </w:rPr>
            </w:pPr>
          </w:p>
        </w:tc>
        <w:tc>
          <w:tcPr>
            <w:tcW w:w="1240" w:type="dxa"/>
            <w:vAlign w:val="bottom"/>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5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(51,287)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October 31, 2025 increased $8.5 million compared to the same period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primarily due to the offering of $500.0 million aggregate principal amount of 5.265% senior notes due 2030, issued under an indenture dated July 2,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reconciles net loss attributable to Vail Resorts, Inc. to Total Reported EBITDA for the three months ended October 31, 2025 and 2024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(173,255)</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(196,456)</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(181,963)</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(60,615)</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(58,384)</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(257,071)</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73,117</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2,763</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38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4,639</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38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51,287</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42,797</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(128,209)</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(124,627)</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(144,062)</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2,903</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(139,685)</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(139,705)</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11,476</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(128,209)</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(124,627)</w:t>
            </w: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6"/>
        </w:trPr>
        <w:tc>
          <w:tcPr>
            <w:tcW w:w="7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160" w:type="dxa"/>
            <w:vAlign w:val="bottom"/>
          </w:tcPr>
          <w:p>
            <w:pPr>
              <w:spacing w:after="0"/>
              <w:rPr>
                <w:sz w:val="17"/>
                <w:szCs w:val="17"/>
                <w:color w:val="auto"/>
              </w:rPr>
            </w:pP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2,583,298</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2,720,494</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589,744</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59,205</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3,173,042</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2,779,699</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581,465</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403,768</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2,591,577</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2,375,931</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three months ended October 31, 2025 and 2024 are presented by category as follows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315,943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282,748</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(71,006)</w:t>
            </w:r>
          </w:p>
        </w:tc>
      </w:tr>
      <w:tr>
        <w:trPr>
          <w:trHeight w:val="230"/>
        </w:trPr>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2025 compared to the three months ended October 31, 2024</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generated $315.9 million of cash from operating activities during the three months ended October 31, 2025, an increase of $33.2 million compared to $282.7 million generated during the three months ended October 31, 2024. The increase in operating cash flows was primarily a result of (i) a decrease in income tax payments of approximately $22.9 million for three months ended October 31, 2025 as compared to the prior year, primarily due to a change in tax year-end to align with our fiscal year-end, and (ii) an increase in pass and other product sales and receivable collections of approximately $22.3 million, partially offset by the timing of payments for accounts payable, accrued liabilities, and inventory.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The increase in cash used in investing activities for the three months ended October 31, 2025 of $0.7 million was primarily due to an increase in capital expenditures of approximately $0.7 million as compared to the prior year.</w:t>
      </w:r>
    </w:p>
    <w:p>
      <w:pPr>
        <w:spacing w:after="0" w:line="17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Cash used in financing activities decreased by $31.6 million during the three months ended October 31, 2025 compared to the three months ended October 31, 2024, primarily due to (i) a decrease in repurchases of common stock of $20.0 million, (ii) a decrease in excise tax payments of $5.4 million, and (iii) a decrease in dividends paid of $3.3 million which was driven by repurchases of common stock that occurred throughout fiscal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$581.5 million of cash and cash equivalents as of October 31, 2025, compared to $403.8 million as of October 31, 2024. The increase was primarily attributable to the proceeds received from the 5.625% Notes offering during fiscal 2025, partially offset by $200.0 million of share repurchases completed during the fourth quarter of fiscal 2025. We currently anticipate that our Mountain and Lodging segment operating results will continue to provide a significant source of future operating cash flows for at least the next 12 months and thereafter for the foreseeable future.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$581.5 million of cash and cash equivalents at October 31, 2025, we had $507.7 million available under the revolver component of our Vail Holdings Credit Agreement as of October 31, 2025 (which represents the total commitment of $600.0 million less outstanding letters of credit of $92.3 million). Additionally, we had C$246.6 million ($175.9 million) available under the revolver component of our Whistler Credit Agreement (which represents the total commitment of C$250.0 million ($178.3 million) less certain outstanding letters of credit of C$3.4 million ($2.4 million)). On September 24, 2025, we amended the Whistler Credit Agreement primarily to extend the maturity date to September 24, 2030, and to reduce the total size of the credit facility from C$300.0 million to C$250.0 million. We also had $275.0 million available under a delayed draw term loan of the Vail Holdings Credit Agreement which will remain available to draw on at any time until January 27, 2026. Proceeds from any borrowings on the revolver component of our Vail Holdings Credit Agreement and the delayed draw term loans are available to be used to refinance our 0.0% Convertible Notes. We expect that our liquidity needs in the near term will be met by continued use of our existing cash and cash equivalents, operating cash flows and borrowings under both the Vail Holdings Credit Agreement and Whistler Credit Agreement, if needed. Under the Vail Holdings Credit Agreement and the Whistler Credit Agreement, any new borrowings would be priced at the Secured Overnight Financing Rate plus 1.60% and Canadian Overnight Repo Rate Average plus 1.75%,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capital plan for calendar year 2025 will be approximately $198 million to $203 million, excluding $46 million of growth capital investments at our European resorts, comprised of $43 million at Andermatt-Sedrun and $3 million at Crans-Montana, $5 million of real estate related capital projects to complete multi-year transformational investments at the key base area portals of Breckenridge Peak 8 and Keystone River Run, and planning investments to support the development of the West Lionshead area into a fourth base village at Vail Mountain. Including European growth capital investments and real estate related capital, our total capital plan for calendar year 2025 is expected to be approximately $249 million to $254 million. Included in these estimated capital expenditures are approximately $124 million to $128 million of maintenance capital expenditures, which are necessary to maintain appearance and level of service appropriate to our resorts. We currently plan to utilize cash on hand, borrowings available under our credit agreements and/or cash flow generated from future operations to provide the cash necessary to complete our capital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2025, principal payments on the majority of our long-term debt ($1.7 billion of the total $3.2 billion debt outstanding as of October 31, 2025) are not due until fiscal year 2030 and beyond. As of October 31, 2025 and 2024, total long-term debt, net (including long-term debt due within one year) was $3.2 billion and $2.8 billion, respectively. Net Debt (defined as long-term debt, net plus long-term debt due within one year less cash and cash equivalents) increased from $2.4 billion as of October 31, 2024 to $2.6 billion as of October 31,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2025, we entered into the First Amendment to the Vail Holdings Credit Agreement (the “First Amendment”). The First Amendment, among other things, increased the revolving credit facility by $100.0 million to an aggregate principal amount of $600.0 million, and provided for an incremental term loan facility in an aggregate principal amount of $450.0 million in the form of delayed draw term loans. On July 2, 2025 the Company reduced the delayed draw term loan by $175.0 million pursuant to the Ninth Amended and Restated Credit Agreement and in conjunction with the 5.625% Notes offering. The remaining $275.0 million incremental term loan facility will expire on January 27, 2026. No other material terms of the Vail Holdings Credit Agreement were amended. As of October 31, 2025, the Vail Holdings Credit Agreement provides for (i) a revolving loan facility in an aggregate principal amount of $600.0 million, (ii) a term loan of $898.2 million and (iii) $275.0 million incremental term loan facility in the form of delayed draw term loans, and the Whistler Credit Agreement provides for a revolving loan facility in an aggregate principal amount of C$250.0 million. On September 24, 2025, we amended the Whistler Credit Agreement primarily to extend the maturity date to September 24, 2030, and to reduce the total size of the credit facility from C$300.0 million to C$250.0 million.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0.0% Convertible Notes due 2026 (the “0.0% Convertible Notes”) mature on January 1, 2026, and are therefore reflected within long-term debt due within one year on the Company’s Consolidated Condensed Balance Sheet as of October 31, 2025. On January 30, 2025, we completed separate, privately negotiated repurchases for an aggregate principal amount of $50.0 million of our 0.0% Convertible Notes with a limited number of holders for an aggregate cash repurchase price of approximately $48.0 million, representing a gain on extinguishment of debt of approximately $2.0 million, which was recorded within gain (loss) on disposal of fixed assets and other, net on the Company’s Consolidated Condensed Statements of Operations as of July 31, 2025. Following the repurchases, approximately $525.0 million aggregate principal amount of the 0.0% Convertible Notes remain outstanding. Proceeds from any borrowings on the incremental term loan facility and the increase in the revolving credit facility with regard to the First Amendment of the Vail Holdings Credit Agreement, as discussed further above, remain undrawn as of October 31, 2025, and are available to be used to refinance our 0.0% Convertible Notes. Additionally, the Company intends to use a portion of the proceeds from the 5.625% Notes for the repurchase or repayment of a portion of its outstanding 0.00% Convertible Notes at or prior to their maturity on January 1, 2026.</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$1.0 billion of variable-rate debt outstanding as of October 31, 2025. A 100-basis point change in our borrowing rates would cause our annual interest payments to change by approximately $9.5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9, 2025, the Company’s Board of Directors approved a cash dividend of $2.22 per share payable on January 12, 2026 to stockholders of record as of December 30, 2025. During the three months ended October 31, 2025, we paid cash dividends of $2.22 per share ($79.8 million). During the three months ended October 31, 2024, we paid cash dividends of $2.22 per share ($83.1 million).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September 25, 2024 and June 4, 2025, the Company’s Board of Directors increased the authorization by an additional 3,000,000, 1,500,000, 2,500,000, 1,100,000 and 1,500,000 Vail Shares, respectively, for a total authorization to repurchase up to 12,600,000 Vail Shares. The Company did not repurchase any Vail Shares during the three months ended October 31, 2025. The Company repurchased 114,800 Vail Shares during the three months ended October 31, 2024 (at an average cost of $174.21) for a total cost of approximately $20.0 million, excluding accrued excise tax. We funded the share repurchases with available cash on hand. Since inception of this stock repurchase program through October 31, 2025, we have repurchased 11,060,183 Vail Shares at a cost of approximately $1,399.4 million. As of October 31, 2025, 1,539,817 Vail Shares remained available to repurchase under the existing repurchase authorization. Vail Shares purchased pursuant to the repurchase program will be held as treasury shares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October 31, 2025.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to our critical accounting policies and estimates as reported in our Form 10-K for the fiscal year ended July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08" w:lineRule="exact"/>
        <w:rPr>
          <w:sz w:val="20"/>
          <w:szCs w:val="20"/>
          <w:color w:val="auto"/>
        </w:rPr>
      </w:pPr>
    </w:p>
    <w:p>
      <w:pPr>
        <w:ind w:left="820" w:hanging="650"/>
        <w:spacing w:after="0" w:line="262" w:lineRule="auto"/>
        <w:tabs>
          <w:tab w:leader="none" w:pos="8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 and our business and results of operations, including a result of changes in trade and tariff policy;</w:t>
      </w:r>
    </w:p>
    <w:p>
      <w:pPr>
        <w:ind w:left="820" w:hanging="650"/>
        <w:spacing w:after="0"/>
        <w:tabs>
          <w:tab w:leader="none" w:pos="8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climate change, natural disasters or other events;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60" w:lineRule="auto"/>
        <w:tabs>
          <w:tab w:leader="none" w:pos="8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ind w:left="820" w:hanging="650"/>
        <w:spacing w:after="0" w:line="262"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military conflicts or public health emergencies, and the cost and availability of travel options and changing consumer preferences or discretionary spending habits;</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 or accurately identify the need for, or anticipate the timing of certain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labor disruptions or strikes from labor unions representing certain employees;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sustainability practices and reporting;</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6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1. Item 1A. “Risk Factors” of our Annual Report on Form 10-K for the fiscal year ended July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October 31, 2025, we had approximately $1.0 billion of variable rate indebtedness, representing approximately 30.0% of our total debt outstanding, at an average interest rate during the three months ended October 31, 2025 of approximately 6.4%. Based on variable-rate borrowings outstanding as of October 31, 2025, a 100-basis point (or 1.0%) change in our borrowing rates would result in our annual interest payments changing by approximately $9.5 million. Our market risk exposure fluctuates based on changes in underlying interest rates.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losses, and foreign currency loss on intercompany loans recognized in comprehensive loss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October 31, 2025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29, 2025 as of and for the year ended July 31, 2025.</w:t>
      </w:r>
    </w:p>
    <w:p>
      <w:pPr>
        <w:spacing w:after="0" w:line="158" w:lineRule="exact"/>
        <w:rPr>
          <w:sz w:val="20"/>
          <w:szCs w:val="20"/>
          <w:color w:val="auto"/>
        </w:rPr>
      </w:pPr>
    </w:p>
    <w:p>
      <w:pPr>
        <w:ind w:right="41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2025, none of the Company’s directors or “officers” (as defined in Rule 16a-1(f) under the Exchange Act) adopted, modified or terminated “Rule 10b5-1 trading arrangements” or “non-Rule 10b5-1 trading arrangements”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3"/>
                <w:szCs w:val="13"/>
                <w:color w:val="auto"/>
              </w:rPr>
            </w:pPr>
          </w:p>
        </w:tc>
        <w:tc>
          <w:tcPr>
            <w:tcW w:w="8660" w:type="dxa"/>
            <w:vAlign w:val="bottom"/>
            <w:gridSpan w:val="11"/>
            <w:vMerge w:val="restart"/>
          </w:tcPr>
          <w:p>
            <w:pPr>
              <w:ind w:left="3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Pr>
          <w:p>
            <w:pPr>
              <w:spacing w:after="0"/>
              <w:rPr>
                <w:sz w:val="16"/>
                <w:szCs w:val="16"/>
                <w:color w:val="auto"/>
              </w:rPr>
            </w:pPr>
          </w:p>
        </w:tc>
        <w:tc>
          <w:tcPr>
            <w:tcW w:w="86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40" w:type="dxa"/>
            <w:vAlign w:val="bottom"/>
            <w:gridSpan w:val="12"/>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Executive Employment Agreement, between the Company and Robert A. Katz, dated as of September 26, 2025. (Incorporated by</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reference to Exhibit 10.1 of the report on Form 8-K/A of Vail Resorts, Inc. filed on September 29, 2025) (File No. 001-09614).</w:t>
              </w:r>
            </w:hyperlink>
          </w:p>
        </w:tc>
        <w:tc>
          <w:tcPr>
            <w:tcW w:w="18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40" w:type="dxa"/>
            <w:vAlign w:val="bottom"/>
            <w:gridSpan w:val="12"/>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Executive Employment Agreement, between the Company and Celeste Burgoyne, dated as of November 17, 2025. (Incorporated by</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5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reference to Exhibit 10.1 of the report on Form 8-K of Vail Resorts, Inc. filed on November 21, 2025) (File No. 001-09614).</w:t>
              </w:r>
            </w:hyperlink>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40" w:type="dxa"/>
            <w:vAlign w:val="bottom"/>
            <w:gridSpan w:val="12"/>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First Amending Agreement to the Whistler Second Amended and Restated Senior Credit Agreement, dated as of September 24, 2025,</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among Whistler Mountain Resort Limited Partnership and Blackcomb Skiing Enterprises Limited Partnership, as borrowers, the</w:t>
              </w:r>
            </w:hyperlink>
          </w:p>
        </w:tc>
        <w:tc>
          <w:tcPr>
            <w:tcW w:w="400" w:type="dxa"/>
            <w:vAlign w:val="bottom"/>
            <w:tcBorders>
              <w:top w:val="single" w:sz="8" w:color="0000FF"/>
            </w:tcBorders>
            <w:gridSpan w:val="4"/>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40" w:type="dxa"/>
            <w:vAlign w:val="bottom"/>
            <w:gridSpan w:val="12"/>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Guarantors Party hereto, the Financial Institutions named herein. The Toronto-Dominion Bank, as administrative agent, on its own</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94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behalf of the Lenders (Incorporated by reference to Exhibit 10.20 on Form 10-K of Vail Resorts, Inc. Filed on September 29, 2025)</w:t>
              </w:r>
            </w:hyperlink>
          </w:p>
        </w:tc>
        <w:tc>
          <w:tcPr>
            <w:tcW w:w="440" w:type="dxa"/>
            <w:vAlign w:val="bottom"/>
            <w:gridSpan w:val="4"/>
          </w:tcPr>
          <w:p>
            <w:pPr>
              <w:ind w:left="80"/>
              <w:spacing w:after="0" w:line="169"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(File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No. 001-09614).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6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40" w:hanging="1314"/>
        <w:spacing w:after="0" w:line="237"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34"/>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right="3740" w:firstLine="26"/>
        <w:spacing w:after="0" w:line="485" w:lineRule="auto"/>
        <w:tabs>
          <w:tab w:leader="none" w:pos="13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*Management contracts and compensatory plans and arrangements.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2025</w:t>
            </w: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Angela A. Korch</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0"/>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2025</w:t>
            </w: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36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8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Vice President, Controller and</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8"/>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887"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20" w:hanging="17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10, 2025</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87" w:lineRule="exact"/>
        <w:rPr>
          <w:sz w:val="20"/>
          <w:szCs w:val="20"/>
          <w:color w:val="auto"/>
        </w:rPr>
      </w:pPr>
    </w:p>
    <w:p>
      <w:pPr>
        <w:ind w:left="520" w:hanging="17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10, 2025</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October 31, 2025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10, 2025</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10, 2025</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6">
    <w:nsid w:val="66EF438D"/>
    <w:multiLevelType w:val="hybridMultilevel"/>
    <w:lvl w:ilvl="0">
      <w:lvlJc w:val="left"/>
      <w:lvlText w:val="(%1)"/>
      <w:numFmt w:val="lowerLetter"/>
      <w:start w:val="5"/>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32"/>
    </w:lvl>
  </w:abstractNum>
  <w:abstractNum w:abstractNumId="14">
    <w:nsid w:val="6B68079A"/>
    <w:multiLevelType w:val="hybridMultilevel"/>
    <w:lvl w:ilvl="0">
      <w:lvlJc w:val="left"/>
      <w:lvlText w:val="%1"/>
      <w:numFmt w:val="decimal"/>
      <w:start w:val="10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9" Type="http://schemas.openxmlformats.org/officeDocument/2006/relationships/hyperlink" Target="https://www.sec.gov/Archives/edgar/data/812011/000081201125000105/exhibit1012025-q4.htm" TargetMode="External"/><Relationship Id="rId50" Type="http://schemas.openxmlformats.org/officeDocument/2006/relationships/hyperlink" Target="https://www.sec.gov/Archives/edgar/data/812011/000081201125000230/exhibit10120251121.htm" TargetMode="External"/><Relationship Id="rId51" Type="http://schemas.openxmlformats.org/officeDocument/2006/relationships/hyperlink" Target="https://www.sec.gov/Archives/edgar/data/812011/000081201125000104/exhibit10202025-q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2025-12-10T15:13:10Z</dcterms:created>
  <dcterms:modified xsi:type="dcterms:W3CDTF">2025-12-10T15:13:10Z</dcterms:modified>
</cp:coreProperties>
</file>