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1" w:lineRule="auto"/>
        <w:framePr w:w="1200" w:h="200" w:wrap="auto" w:vAnchor="page" w:hAnchor="page" w:x="8820" w:y="12076"/>
        <w:rPr>
          <w:rFonts w:ascii="Times New Roman" w:cs="Times New Roman" w:eastAsia="Times New Roman" w:hAnsi="Times New Roman"/>
          <w:sz w:val="18"/>
          <w:szCs w:val="18"/>
          <w:color w:val="auto"/>
        </w:rPr>
      </w:pP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ectPr>
          <w:pgSz w:w="11900" w:h="16838" w:orient="portrait"/>
          <w:cols w:equalWidth="0" w:num="1">
            <w:col w:w="11220"/>
          </w:cols>
          <w:pgMar w:left="320" w:top="1334" w:right="359" w:bottom="1440" w:gutter="0" w:footer="0" w:header="0"/>
        </w:sectPr>
      </w:pPr>
    </w:p>
    <w:p>
      <w:pPr>
        <w:spacing w:after="0" w:line="61" w:lineRule="exact"/>
        <w:rPr>
          <w:rFonts w:ascii="Times New Roman" w:cs="Times New Roman" w:eastAsia="Times New Roman" w:hAnsi="Times New Roman"/>
          <w:sz w:val="18"/>
          <w:szCs w:val="18"/>
          <w:color w:val="auto"/>
        </w:rPr>
      </w:pPr>
    </w:p>
    <w:p>
      <w:pPr>
        <w:ind w:left="60"/>
        <w:spacing w:after="0" w:line="321" w:lineRule="exact"/>
        <w:rPr>
          <w:sz w:val="20"/>
          <w:szCs w:val="20"/>
          <w:color w:val="auto"/>
        </w:rPr>
      </w:pPr>
      <w:r>
        <w:rPr>
          <w:rFonts w:ascii="MS PGothic" w:cs="MS PGothic" w:eastAsia="MS PGothic" w:hAnsi="MS PGothic"/>
          <w:sz w:val="32"/>
          <w:szCs w:val="32"/>
          <w:color w:val="auto"/>
        </w:rPr>
        <w: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60"/>
        <w:spacing w:after="0" w:line="321" w:lineRule="exact"/>
        <w:rPr>
          <w:sz w:val="20"/>
          <w:szCs w:val="20"/>
          <w:color w:val="auto"/>
        </w:rPr>
      </w:pPr>
      <w:r>
        <w:rPr>
          <w:rFonts w:ascii="MS PGothic" w:cs="MS PGothic" w:eastAsia="MS PGothic" w:hAnsi="MS PGothic"/>
          <w:sz w:val="32"/>
          <w:szCs w:val="32"/>
          <w:color w:val="auto"/>
        </w:rPr>
        <w: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3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9" w:lineRule="exact"/>
        <w:rPr>
          <w:rFonts w:ascii="Times New Roman" w:cs="Times New Roman" w:eastAsia="Times New Roman" w:hAnsi="Times New Roman"/>
          <w:sz w:val="18"/>
          <w:szCs w:val="18"/>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For the fiscal year ended July 31, 2024</w:t>
      </w:r>
    </w:p>
    <w:p>
      <w:pPr>
        <w:spacing w:after="0" w:line="117" w:lineRule="exact"/>
        <w:rPr>
          <w:rFonts w:ascii="Times New Roman" w:cs="Times New Roman" w:eastAsia="Times New Roman" w:hAnsi="Times New Roman"/>
          <w:sz w:val="18"/>
          <w:szCs w:val="18"/>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or</w:t>
      </w:r>
    </w:p>
    <w:p>
      <w:pPr>
        <w:spacing w:after="0" w:line="23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rFonts w:ascii="Times New Roman" w:cs="Times New Roman" w:eastAsia="Times New Roman" w:hAnsi="Times New Roman"/>
          <w:sz w:val="18"/>
          <w:szCs w:val="18"/>
          <w:color w:val="auto"/>
        </w:rPr>
      </w:pPr>
    </w:p>
    <w:p>
      <w:pPr>
        <w:ind w:left="3740"/>
        <w:spacing w:after="0"/>
        <w:rPr>
          <w:sz w:val="20"/>
          <w:szCs w:val="20"/>
          <w:color w:val="auto"/>
        </w:rPr>
      </w:pPr>
      <w:r>
        <w:rPr>
          <w:rFonts w:ascii="Times New Roman" w:cs="Times New Roman" w:eastAsia="Times New Roman" w:hAnsi="Times New Roman"/>
          <w:sz w:val="18"/>
          <w:szCs w:val="18"/>
          <w:color w:val="auto"/>
        </w:rPr>
        <w:t>For the transition period from to</w:t>
      </w:r>
    </w:p>
    <w:p>
      <w:pPr>
        <w:spacing w:after="0" w:line="171" w:lineRule="exact"/>
        <w:rPr>
          <w:rFonts w:ascii="Times New Roman" w:cs="Times New Roman" w:eastAsia="Times New Roman" w:hAnsi="Times New Roman"/>
          <w:sz w:val="18"/>
          <w:szCs w:val="18"/>
          <w:color w:val="auto"/>
        </w:rPr>
      </w:pPr>
    </w:p>
    <w:p>
      <w:pPr>
        <w:ind w:left="3560"/>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1266190</wp:posOffset>
            </wp:positionH>
            <wp:positionV relativeFrom="paragraph">
              <wp:posOffset>154305</wp:posOffset>
            </wp:positionV>
            <wp:extent cx="3720465"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0465" cy="651510"/>
                    </a:xfrm>
                    <a:prstGeom prst="rect">
                      <a:avLst/>
                    </a:prstGeom>
                    <a:noFill/>
                  </pic:spPr>
                </pic:pic>
              </a:graphicData>
            </a:graphic>
          </wp:anchor>
        </w:drawing>
      </w:r>
    </w:p>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2">
            <w:col w:w="380" w:space="320"/>
            <w:col w:w="10520"/>
          </w:cols>
          <w:pgMar w:left="320" w:top="1334" w:right="359" w:bottom="1440" w:gutter="0" w:footer="0" w:header="0"/>
          <w:type w:val="continuous"/>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09" w:lineRule="exact"/>
        <w:rPr>
          <w:rFonts w:ascii="Times New Roman" w:cs="Times New Roman" w:eastAsia="Times New Roman" w:hAnsi="Times New Roman"/>
          <w:sz w:val="18"/>
          <w:szCs w:val="18"/>
          <w:color w:val="auto"/>
        </w:rPr>
      </w:pPr>
    </w:p>
    <w:tbl>
      <w:tblPr>
        <w:tblLayout w:type="fixed"/>
        <w:tblInd w:w="440" w:type="dxa"/>
        <w:tblCellMar>
          <w:top w:w="0" w:type="dxa"/>
          <w:left w:w="0" w:type="dxa"/>
          <w:bottom w:w="0" w:type="dxa"/>
          <w:right w:w="0" w:type="dxa"/>
        </w:tblCellMar>
      </w:tblPr>
      <w:tr>
        <w:trPr>
          <w:trHeight w:val="238"/>
        </w:trPr>
        <w:tc>
          <w:tcPr>
            <w:tcW w:w="5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00" w:type="dxa"/>
            <w:vAlign w:val="bottom"/>
          </w:tcPr>
          <w:p>
            <w:pPr>
              <w:jc w:val="right"/>
              <w:ind w:right="1919"/>
              <w:spacing w:after="0"/>
              <w:rPr>
                <w:sz w:val="20"/>
                <w:szCs w:val="20"/>
                <w:color w:val="auto"/>
              </w:rPr>
            </w:pPr>
            <w:r>
              <w:rPr>
                <w:rFonts w:ascii="Times New Roman" w:cs="Times New Roman" w:eastAsia="Times New Roman" w:hAnsi="Times New Roman"/>
                <w:sz w:val="18"/>
                <w:szCs w:val="18"/>
                <w:b w:val="1"/>
                <w:bCs w:val="1"/>
                <w:color w:val="auto"/>
              </w:rPr>
              <w:t>51-0291762</w:t>
            </w:r>
          </w:p>
        </w:tc>
      </w:tr>
      <w:tr>
        <w:trPr>
          <w:trHeight w:val="182"/>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60" w:type="dxa"/>
            <w:vAlign w:val="bottom"/>
          </w:tcPr>
          <w:p>
            <w:pPr>
              <w:spacing w:after="0"/>
              <w:rPr>
                <w:sz w:val="15"/>
                <w:szCs w:val="15"/>
                <w:color w:val="auto"/>
              </w:rPr>
            </w:pPr>
          </w:p>
        </w:tc>
        <w:tc>
          <w:tcPr>
            <w:tcW w:w="4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05"/>
        </w:trPr>
        <w:tc>
          <w:tcPr>
            <w:tcW w:w="5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4900" w:type="dxa"/>
            <w:vAlign w:val="bottom"/>
          </w:tcPr>
          <w:p>
            <w:pPr>
              <w:spacing w:after="0"/>
              <w:rPr>
                <w:sz w:val="24"/>
                <w:szCs w:val="24"/>
                <w:color w:val="auto"/>
              </w:rPr>
            </w:pPr>
          </w:p>
        </w:tc>
      </w:tr>
      <w:tr>
        <w:trPr>
          <w:trHeight w:val="238"/>
        </w:trPr>
        <w:tc>
          <w:tcPr>
            <w:tcW w:w="546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4900" w:type="dxa"/>
            <w:vAlign w:val="bottom"/>
          </w:tcPr>
          <w:p>
            <w:pPr>
              <w:jc w:val="right"/>
              <w:ind w:right="2139"/>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182"/>
        </w:trPr>
        <w:tc>
          <w:tcPr>
            <w:tcW w:w="5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5"/>
                <w:szCs w:val="15"/>
                <w:color w:val="auto"/>
              </w:rPr>
            </w:pPr>
          </w:p>
        </w:tc>
        <w:tc>
          <w:tcPr>
            <w:tcW w:w="4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171"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(303) 404-1800</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2165350</wp:posOffset>
            </wp:positionH>
            <wp:positionV relativeFrom="paragraph">
              <wp:posOffset>17145</wp:posOffset>
            </wp:positionV>
            <wp:extent cx="2811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color w:val="auto"/>
        </w:rPr>
      </w:pPr>
    </w:p>
    <w:p>
      <w:pPr>
        <w:ind w:left="37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rFonts w:ascii="Times New Roman" w:cs="Times New Roman" w:eastAsia="Times New Roman" w:hAnsi="Times New Roman"/>
          <w:sz w:val="18"/>
          <w:szCs w:val="18"/>
          <w:color w:val="auto"/>
        </w:rPr>
      </w:pPr>
    </w:p>
    <w:tbl>
      <w:tblPr>
        <w:tblLayout w:type="fixed"/>
        <w:tblInd w:w="10" w:type="dxa"/>
        <w:tblCellMar>
          <w:top w:w="0" w:type="dxa"/>
          <w:left w:w="0" w:type="dxa"/>
          <w:bottom w:w="0" w:type="dxa"/>
          <w:right w:w="0" w:type="dxa"/>
        </w:tblCellMar>
      </w:tblPr>
      <w:tr>
        <w:trPr>
          <w:trHeight w:val="243"/>
        </w:trPr>
        <w:tc>
          <w:tcPr>
            <w:tcW w:w="43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3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3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17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3211195</wp:posOffset>
            </wp:positionH>
            <wp:positionV relativeFrom="paragraph">
              <wp:posOffset>17145</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w:t>
      </w:r>
    </w:p>
    <w:p>
      <w:pPr>
        <w:spacing w:after="0" w:line="14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27" w:lineRule="exact"/>
        <w:rPr>
          <w:rFonts w:ascii="Times New Roman" w:cs="Times New Roman" w:eastAsia="Times New Roman" w:hAnsi="Times New Roman"/>
          <w:sz w:val="18"/>
          <w:szCs w:val="18"/>
          <w:color w:val="auto"/>
        </w:rPr>
      </w:pPr>
    </w:p>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593090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type w:val="continuous"/>
        </w:sectPr>
      </w:pPr>
    </w:p>
    <w:bookmarkStart w:id="1" w:name="page2"/>
    <w:bookmarkEnd w:id="1"/>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0"/>
          <w:szCs w:val="20"/>
          <w:color w:val="auto"/>
        </w:rPr>
      </w:pPr>
    </w:p>
    <w:p>
      <w:pPr>
        <w:ind w:left="280" w:hanging="272"/>
        <w:spacing w:after="0" w:line="242" w:lineRule="exact"/>
        <w:tabs>
          <w:tab w:leader="none" w:pos="2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w:t>
      </w:r>
      <w:r>
        <w:rPr>
          <w:rFonts w:ascii="Times New Roman" w:cs="Times New Roman" w:eastAsia="Times New Roman" w:hAnsi="Times New Roman"/>
          <w:sz w:val="16"/>
          <w:szCs w:val="16"/>
          <w:color w:val="auto"/>
        </w:rPr>
        <w:t>§ 232.405</w:t>
      </w:r>
      <w:r>
        <w:rPr>
          <w:rFonts w:ascii="Times New Roman" w:cs="Times New Roman" w:eastAsia="Times New Roman" w:hAnsi="Times New Roman"/>
          <w:sz w:val="18"/>
          <w:szCs w:val="18"/>
          <w:color w:val="auto"/>
        </w:rPr>
        <w:t xml:space="preserve"> of this chapter) during the preceding 12 months (or for such shorter period that the registrant was required to submit such files).</w:t>
      </w:r>
    </w:p>
    <w:p>
      <w:pPr>
        <w:ind w:left="280" w:hanging="272"/>
        <w:spacing w:after="0" w:line="228" w:lineRule="exact"/>
        <w:tabs>
          <w:tab w:leader="none" w:pos="2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Accelerated filer</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4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vMerge w:val="restart"/>
          </w:tcPr>
          <w:p>
            <w:pPr>
              <w:ind w:left="40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38"/>
        </w:trPr>
        <w:tc>
          <w:tcPr>
            <w:tcW w:w="20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4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000" w:type="dxa"/>
            <w:vAlign w:val="bottom"/>
            <w:vMerge w:val="restart"/>
          </w:tcPr>
          <w:p>
            <w:pPr>
              <w:ind w:left="820"/>
              <w:spacing w:after="0" w:line="221" w:lineRule="exact"/>
              <w:rPr>
                <w:sz w:val="20"/>
                <w:szCs w:val="20"/>
                <w:color w:val="auto"/>
              </w:rPr>
            </w:pPr>
            <w:r>
              <w:rPr>
                <w:rFonts w:ascii="MS PGothic" w:cs="MS PGothic" w:eastAsia="MS PGothic" w:hAnsi="MS PGothic"/>
                <w:sz w:val="22"/>
                <w:szCs w:val="22"/>
                <w:color w:val="auto"/>
                <w:w w:val="72"/>
              </w:rPr>
              <w:t>☐</w:t>
            </w:r>
          </w:p>
        </w:tc>
        <w:tc>
          <w:tcPr>
            <w:tcW w:w="0" w:type="dxa"/>
            <w:vAlign w:val="bottom"/>
          </w:tcPr>
          <w:p>
            <w:pPr>
              <w:spacing w:after="0"/>
              <w:rPr>
                <w:sz w:val="1"/>
                <w:szCs w:val="1"/>
                <w:color w:val="auto"/>
              </w:rPr>
            </w:pPr>
          </w:p>
        </w:tc>
      </w:tr>
      <w:tr>
        <w:trPr>
          <w:trHeight w:val="139"/>
        </w:trPr>
        <w:tc>
          <w:tcPr>
            <w:tcW w:w="20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81" w:lineRule="exact"/>
        <w:rPr>
          <w:sz w:val="20"/>
          <w:szCs w:val="20"/>
          <w:color w:val="auto"/>
        </w:rPr>
      </w:pPr>
    </w:p>
    <w:p>
      <w:pPr>
        <w:jc w:val="both"/>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02"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100" w:lineRule="exact"/>
        <w:rPr>
          <w:sz w:val="20"/>
          <w:szCs w:val="20"/>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16"/>
          <w:szCs w:val="16"/>
          <w:color w:val="auto"/>
        </w:rPr>
        <w:t>§240.10D-1(b)</w:t>
      </w:r>
      <w:r>
        <w:rPr>
          <w:rFonts w:ascii="Times New Roman" w:cs="Times New Roman" w:eastAsia="Times New Roman" w:hAnsi="Times New Roman"/>
          <w:sz w:val="18"/>
          <w:szCs w:val="18"/>
          <w:color w:val="auto"/>
        </w:rPr>
        <w:t xml:space="preserve">. </w:t>
      </w:r>
      <w:r>
        <w:rPr>
          <w:rFonts w:ascii="MS PGothic" w:cs="MS PGothic" w:eastAsia="MS PGothic" w:hAnsi="MS PGothic"/>
          <w:sz w:val="21"/>
          <w:szCs w:val="21"/>
          <w:color w:val="auto"/>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0"/>
          <w:szCs w:val="20"/>
          <w:color w:val="auto"/>
        </w:rPr>
      </w:pPr>
    </w:p>
    <w:p>
      <w:pPr>
        <w:ind w:left="280" w:hanging="272"/>
        <w:spacing w:after="0" w:line="242" w:lineRule="exact"/>
        <w:tabs>
          <w:tab w:leader="none" w:pos="28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based on the closing price of $222.00 per share as reported on the New York Stock Exchange Composite Tape on January 31, 2024 (the last business day of the registrant’s most recently completed second fiscal quarter) was $8,336,162,160.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23, 2024, 37,485,473 shares of the registrant’s common stock were outstanding.</w:t>
      </w:r>
    </w:p>
    <w:p>
      <w:pPr>
        <w:spacing w:after="0" w:line="17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DOCUMENTS INCORPORATED BY REFERENCE</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2024 Annual Meeting of Stockholders to be filed with the Securities and Exchange Commission within 120 days of July 31, 2024 are incorporated by reference herein into Part III, Items 10 through 14,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0" w:type="dxa"/>
            <w:vAlign w:val="bottom"/>
            <w:gridSpan w:val="18"/>
          </w:tcPr>
          <w:p>
            <w:pPr>
              <w:jc w:val="center"/>
              <w:ind w:right="32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1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20" w:type="dxa"/>
            <w:vAlign w:val="bottom"/>
            <w:gridSpan w:val="13"/>
            <w:shd w:val="clear" w:color="auto" w:fill="CCEEFF"/>
          </w:tcPr>
          <w:p>
            <w:pPr>
              <w:jc w:val="center"/>
              <w:ind w:right="4040"/>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3680" w:type="dxa"/>
            <w:vAlign w:val="bottom"/>
            <w:tcBorders>
              <w:top w:val="single" w:sz="8" w:color="CCEEFF"/>
            </w:tcBorders>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580" w:type="dxa"/>
            <w:vAlign w:val="bottom"/>
            <w:tcBorders>
              <w:top w:val="single" w:sz="8" w:color="0000FF"/>
            </w:tcBorders>
            <w:gridSpan w:val="2"/>
          </w:tcPr>
          <w:p>
            <w:pPr>
              <w:spacing w:after="0"/>
              <w:rPr>
                <w:sz w:val="16"/>
                <w:szCs w:val="16"/>
                <w:color w:val="auto"/>
              </w:rPr>
            </w:pPr>
          </w:p>
        </w:tc>
        <w:tc>
          <w:tcPr>
            <w:tcW w:w="4040" w:type="dxa"/>
            <w:vAlign w:val="bottom"/>
            <w:tcBorders>
              <w:top w:val="single" w:sz="8" w:color="CCEEFF"/>
            </w:tcBorders>
            <w:gridSpan w:val="11"/>
          </w:tcPr>
          <w:p>
            <w:pPr>
              <w:spacing w:after="0"/>
              <w:rPr>
                <w:sz w:val="16"/>
                <w:szCs w:val="16"/>
                <w:color w:val="auto"/>
              </w:rPr>
            </w:pPr>
          </w:p>
        </w:tc>
        <w:tc>
          <w:tcPr>
            <w:tcW w:w="1280" w:type="dxa"/>
            <w:vAlign w:val="bottom"/>
            <w:tcBorders>
              <w:top w:val="single" w:sz="8" w:color="CCEE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Risk Factors</w:t>
            </w:r>
          </w:p>
        </w:tc>
        <w:tc>
          <w:tcPr>
            <w:tcW w:w="7380" w:type="dxa"/>
            <w:vAlign w:val="bottom"/>
            <w:gridSpan w:val="27"/>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1B.</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Cybersecurity</w:t>
            </w:r>
          </w:p>
        </w:tc>
        <w:tc>
          <w:tcPr>
            <w:tcW w:w="7280" w:type="dxa"/>
            <w:vAlign w:val="bottom"/>
            <w:gridSpan w:val="26"/>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102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280" w:type="dxa"/>
            <w:vAlign w:val="bottom"/>
            <w:gridSpan w:val="26"/>
          </w:tcPr>
          <w:p>
            <w:pPr>
              <w:spacing w:after="0"/>
              <w:rPr>
                <w:sz w:val="16"/>
                <w:szCs w:val="16"/>
                <w:color w:val="auto"/>
              </w:rPr>
            </w:pPr>
          </w:p>
        </w:tc>
        <w:tc>
          <w:tcPr>
            <w:tcW w:w="1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6960" w:type="dxa"/>
            <w:vAlign w:val="bottom"/>
            <w:gridSpan w:val="24"/>
            <w:shd w:val="clear" w:color="auto" w:fill="CCEEFF"/>
          </w:tcPr>
          <w:p>
            <w:pPr>
              <w:spacing w:after="0"/>
              <w:rPr>
                <w:sz w:val="16"/>
                <w:szCs w:val="16"/>
                <w:color w:val="auto"/>
              </w:rPr>
            </w:pPr>
          </w:p>
        </w:tc>
        <w:tc>
          <w:tcPr>
            <w:tcW w:w="1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0000FF"/>
            </w:tcBorders>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4000" w:type="dxa"/>
            <w:vAlign w:val="bottom"/>
            <w:tcBorders>
              <w:bottom w:val="single" w:sz="8" w:color="CCEEFF"/>
            </w:tcBorders>
            <w:gridSpan w:val="10"/>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1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0000FF"/>
              </w:rPr>
              <w:t>43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40" w:type="dxa"/>
            <w:vAlign w:val="bottom"/>
            <w:vMerge w:val="continue"/>
          </w:tcPr>
          <w:p>
            <w:pPr>
              <w:spacing w:after="0"/>
              <w:rPr>
                <w:sz w:val="13"/>
                <w:szCs w:val="13"/>
                <w:color w:val="auto"/>
              </w:rPr>
            </w:pPr>
          </w:p>
        </w:tc>
        <w:tc>
          <w:tcPr>
            <w:tcW w:w="72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6600" w:type="dxa"/>
            <w:vAlign w:val="bottom"/>
            <w:tcBorders>
              <w:top w:val="single" w:sz="8" w:color="0000FF"/>
            </w:tcBorders>
            <w:gridSpan w:val="28"/>
          </w:tcPr>
          <w:p>
            <w:pPr>
              <w:spacing w:after="0"/>
              <w:rPr>
                <w:sz w:val="13"/>
                <w:szCs w:val="13"/>
                <w:color w:val="auto"/>
              </w:rPr>
            </w:pPr>
          </w:p>
        </w:tc>
        <w:tc>
          <w:tcPr>
            <w:tcW w:w="98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Item 6.</w:t>
            </w:r>
          </w:p>
        </w:tc>
        <w:tc>
          <w:tcPr>
            <w:tcW w:w="6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8"/>
              </w:rPr>
              <w:t>Reserved</w:t>
            </w:r>
          </w:p>
        </w:tc>
        <w:tc>
          <w:tcPr>
            <w:tcW w:w="40" w:type="dxa"/>
            <w:vAlign w:val="bottom"/>
            <w:shd w:val="clear" w:color="auto" w:fill="CCEEFF"/>
          </w:tcPr>
          <w:p>
            <w:pPr>
              <w:spacing w:after="0"/>
              <w:rPr>
                <w:sz w:val="17"/>
                <w:szCs w:val="17"/>
                <w:color w:val="auto"/>
              </w:rPr>
            </w:pPr>
          </w:p>
        </w:tc>
        <w:tc>
          <w:tcPr>
            <w:tcW w:w="7580" w:type="dxa"/>
            <w:vAlign w:val="bottom"/>
            <w:gridSpan w:val="29"/>
            <w:shd w:val="clear" w:color="auto" w:fill="CCEEFF"/>
          </w:tcPr>
          <w:p>
            <w:pPr>
              <w:spacing w:after="0"/>
              <w:rPr>
                <w:sz w:val="17"/>
                <w:szCs w:val="17"/>
                <w:color w:val="auto"/>
              </w:rPr>
            </w:pPr>
          </w:p>
        </w:tc>
        <w:tc>
          <w:tcPr>
            <w:tcW w:w="1260" w:type="dxa"/>
            <w:vAlign w:val="bottom"/>
            <w:gridSpan w:val="4"/>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7A.</w:t>
            </w:r>
          </w:p>
        </w:tc>
        <w:tc>
          <w:tcPr>
            <w:tcW w:w="830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26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62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8.</w:t>
            </w:r>
          </w:p>
        </w:tc>
        <w:tc>
          <w:tcPr>
            <w:tcW w:w="436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3940" w:type="dxa"/>
            <w:vAlign w:val="bottom"/>
            <w:gridSpan w:val="7"/>
          </w:tcPr>
          <w:p>
            <w:pPr>
              <w:spacing w:after="0"/>
              <w:rPr>
                <w:sz w:val="16"/>
                <w:szCs w:val="16"/>
                <w:color w:val="auto"/>
              </w:rPr>
            </w:pPr>
          </w:p>
        </w:tc>
        <w:tc>
          <w:tcPr>
            <w:tcW w:w="126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tcBorders>
              <w:bottom w:val="single" w:sz="8" w:color="0000FF"/>
            </w:tcBorders>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1780" w:type="dxa"/>
            <w:vAlign w:val="bottom"/>
            <w:tcBorders>
              <w:bottom w:val="single" w:sz="8" w:color="CCEEFF"/>
            </w:tcBorders>
            <w:gridSpan w:val="3"/>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96"/>
              </w:rPr>
              <w:t>104</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9A.</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2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104</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6980" w:type="dxa"/>
            <w:vAlign w:val="bottom"/>
            <w:tcBorders>
              <w:bottom w:val="single" w:sz="8" w:color="CCEEFF"/>
            </w:tcBorders>
            <w:gridSpan w:val="25"/>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96"/>
              </w:rPr>
              <w:t>105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9C.</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Disclosure Reporting Regarding Foreign Jurisdictions that Prevent Inspections</w:t>
            </w:r>
          </w:p>
        </w:tc>
        <w:tc>
          <w:tcPr>
            <w:tcW w:w="12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8"/>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0000FF"/>
                <w:w w:val="99"/>
              </w:rPr>
              <w:t>PART III</w:t>
            </w:r>
          </w:p>
        </w:tc>
        <w:tc>
          <w:tcPr>
            <w:tcW w:w="3960" w:type="dxa"/>
            <w:vAlign w:val="bottom"/>
            <w:tcBorders>
              <w:bottom w:val="single" w:sz="8" w:color="CCEEFF"/>
            </w:tcBorders>
            <w:gridSpan w:val="8"/>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10.</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2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11.</w:t>
            </w:r>
          </w:p>
        </w:tc>
        <w:tc>
          <w:tcPr>
            <w:tcW w:w="830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12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12.</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2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105</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840" w:type="dxa"/>
            <w:vAlign w:val="bottom"/>
            <w:tcBorders>
              <w:bottom w:val="single" w:sz="8" w:color="CCEEFF"/>
            </w:tcBorders>
            <w:gridSpan w:val="6"/>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96"/>
              </w:rPr>
              <w:t>105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14.</w:t>
            </w:r>
          </w:p>
        </w:tc>
        <w:tc>
          <w:tcPr>
            <w:tcW w:w="83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280" w:type="dxa"/>
            <w:vAlign w:val="bottom"/>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80" w:type="dxa"/>
            <w:vAlign w:val="bottom"/>
            <w:gridSpan w:val="15"/>
            <w:shd w:val="clear" w:color="auto" w:fill="CCEEFF"/>
          </w:tcPr>
          <w:p>
            <w:pPr>
              <w:jc w:val="center"/>
              <w:ind w:right="3980"/>
              <w:spacing w:after="0" w:line="189" w:lineRule="exact"/>
              <w:rPr>
                <w:sz w:val="20"/>
                <w:szCs w:val="20"/>
                <w:color w:val="auto"/>
              </w:rPr>
            </w:pPr>
            <w:r>
              <w:rPr>
                <w:rFonts w:ascii="Times New Roman" w:cs="Times New Roman" w:eastAsia="Times New Roman" w:hAnsi="Times New Roman"/>
                <w:sz w:val="18"/>
                <w:szCs w:val="18"/>
                <w:b w:val="1"/>
                <w:bCs w:val="1"/>
                <w:color w:val="0000FF"/>
                <w:w w:val="95"/>
              </w:rPr>
              <w:t>PART IV</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15.</w:t>
            </w:r>
          </w:p>
        </w:tc>
        <w:tc>
          <w:tcPr>
            <w:tcW w:w="3620" w:type="dxa"/>
            <w:vAlign w:val="bottom"/>
            <w:tcBorders>
              <w:top w:val="single" w:sz="8" w:color="CCEE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Exhibits, Financial Statement Schedules</w:t>
            </w:r>
          </w:p>
        </w:tc>
        <w:tc>
          <w:tcPr>
            <w:tcW w:w="700" w:type="dxa"/>
            <w:vAlign w:val="bottom"/>
            <w:tcBorders>
              <w:top w:val="single" w:sz="8" w:color="0000FF"/>
            </w:tcBorders>
            <w:gridSpan w:val="6"/>
          </w:tcPr>
          <w:p>
            <w:pPr>
              <w:spacing w:after="0"/>
              <w:rPr>
                <w:sz w:val="16"/>
                <w:szCs w:val="16"/>
                <w:color w:val="auto"/>
              </w:rPr>
            </w:pPr>
          </w:p>
        </w:tc>
        <w:tc>
          <w:tcPr>
            <w:tcW w:w="3980" w:type="dxa"/>
            <w:vAlign w:val="bottom"/>
            <w:tcBorders>
              <w:top w:val="single" w:sz="8" w:color="CCEEFF"/>
            </w:tcBorders>
            <w:gridSpan w:val="9"/>
          </w:tcPr>
          <w:p>
            <w:pPr>
              <w:spacing w:after="0"/>
              <w:rPr>
                <w:sz w:val="16"/>
                <w:szCs w:val="16"/>
                <w:color w:val="auto"/>
              </w:rPr>
            </w:pPr>
          </w:p>
        </w:tc>
        <w:tc>
          <w:tcPr>
            <w:tcW w:w="1280" w:type="dxa"/>
            <w:vAlign w:val="bottom"/>
            <w:tcBorders>
              <w:top w:val="single" w:sz="8" w:color="CCEEFF"/>
            </w:tcBorders>
            <w:gridSpan w:val="5"/>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106</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6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16.</w:t>
            </w:r>
          </w:p>
        </w:tc>
        <w:tc>
          <w:tcPr>
            <w:tcW w:w="830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Form 10-K Summary</w:t>
            </w:r>
          </w:p>
        </w:tc>
        <w:tc>
          <w:tcPr>
            <w:tcW w:w="1280" w:type="dxa"/>
            <w:vAlign w:val="bottom"/>
            <w:gridSpan w:val="5"/>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1"/>
        </w:trPr>
        <w:tc>
          <w:tcPr>
            <w:tcW w:w="16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Annual Report on Form 10-K (this “Form 10-K”)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08" w:lineRule="exact"/>
        <w:rPr>
          <w:sz w:val="20"/>
          <w:szCs w:val="20"/>
          <w:color w:val="auto"/>
        </w:rPr>
      </w:pPr>
    </w:p>
    <w:p>
      <w:pPr>
        <w:ind w:left="820" w:hanging="650"/>
        <w:spacing w:after="0" w:line="262"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 and our business and results of operations;</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the effects of high or prolonged inflation, elevated interest rates and financial institution disruptions;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natural disasters or other unexpected events;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ultimate amount of refunds that we could be required to refund to our pass product holders for qualifying circumstances under our Epic Coverage program;</w:t>
      </w:r>
    </w:p>
    <w:p>
      <w:pPr>
        <w:ind w:left="820" w:hanging="650"/>
        <w:spacing w:after="0" w:line="250"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or ability of our guests to travel due to terrorism, the uncertainty of military conflicts or public health emergencies, and the cost and availability of travel options and changing consumer preferences or discretionary spending habits;</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travel and airline disruptions, and other adverse impacts on the ability of our guests to travel;</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acquire, develop and implement relevant technology offerings for customers and partners;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 or accurately identify the need for, or anticipate the timing of certain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resource efficiency transformation initiatives;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 including environmental and health and safety laws and regulations;</w:t>
      </w:r>
    </w:p>
    <w:p>
      <w:pPr>
        <w:ind w:left="820" w:hanging="650"/>
        <w:spacing w:after="0" w:line="250"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launch and promote adoption of new products, technology, services and programs;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right="20" w:hanging="650"/>
        <w:spacing w:after="0" w:line="250"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ind w:left="820" w:hanging="650"/>
        <w:spacing w:after="0" w:line="250"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scrutiny and changing expectations regarding our environmental, social and governance practices and reporting;</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 including 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both"/>
        <w:ind w:left="820" w:hanging="650"/>
        <w:spacing w:after="0" w:line="258" w:lineRule="auto"/>
        <w:tabs>
          <w:tab w:leader="none" w:pos="81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ind w:left="820" w:hanging="650"/>
        <w:spacing w:after="0"/>
        <w:tabs>
          <w:tab w:leader="none" w:pos="8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risks and uncertainties included under Part I, Item 1A. “Risk Factors” in this document.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10-K,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this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document as “we,” “us,” “our” or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a Delaware corporation, was organized as a holding company in 1997 and operates through various subsidiaries. Our operations are grouped into three reportable segments: Mountain, Lodging and Real Estate, which represented approximately 88%, 12% and 0%, respectively, of our net revenue for our fiscal year ended July 31, 2024 (“Fiscal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Mountain segment operates 42 world-class destination mountain resorts and regional ski areas (collectively, our “Resorts”). Additionally, the Mountain segment includes ancillary services, primarily including ski school, dining and retail/rental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we own and/or manage a collection of luxury hotels and condominiums under our RockResorts brand, other strategic lodging properties and a large number of condominiums located in proximity to our North American mountain resorts, National Park Service (“NPS”) concessioner properties including the Grand Teton Lodge Company (“GTLC”), which operates destination resorts in Grand Teton National Park, a Colorado resort ground transportation company and mountain resort golf courses.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refer to “Resort” as the combination of the Mountain and Lodging segments. Our Real Estate segment owns, develops and sells real estate in and around our resort communities.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financial information and other information about the Company’s segments and geographic areas, see Item 7. “Management’s Discussion and Analysis of Financial Condition and Results of Operations” and 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Mountain Segment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including four resorts within the top ten most visited resorts in the United States for the 2023/2024 North American ski season: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863590" cy="258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Mountain segment derives revenue through the sale of lift tickets, including pass products, as well as a comprehensive offering of amenities available to guests, including ski and snowboard lessons, equipment rentals and retail merchandise sales, a variety of dining venues, private club operations and other winter and summer recreational activities. In addition to providing extensive guest amenities, we also lease some of our owned and leased commercial space to third party operators to add unique restaurants and retail stores to the mix of amenities at the base of our resorts.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destination mountain resorts operate year-round and provide a comprehensive resort experience to a diverse clientele with an attractive demographic profile. We offer a broad complement of winter and summer recreational activities, including skiing, snowboarding, snowshoeing, snowtubing, sightseeing, mountain biking, guided hiking, zip lines, challenge ropes courses, alpine slides, mountain coasters, children’s activities and other recreational activities. Collectively, our Resorts are located in close proximity to population centers totaling approximately 110 million people.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Destination Mountain Resorts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Rocky Mountains (Colorado and Utah Resorts)</w:t>
      </w:r>
    </w:p>
    <w:p>
      <w:pPr>
        <w:spacing w:after="0" w:line="119"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Vail Mountain Resort (“Vail Mountain”) - the most visited mountain resort in the United States (“U.S.”) for the 2023/2024 ski season. Vail Mountain offers some of the most expansive and varied terrain in North America with approximately 5,300 skiable acres including seven world renowned back bowls and the resort’s Blue Sky Basin.</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Breckenridge Ski Resort (“Breckenridge”) - the second most visited mountain resort in the U.S. for the 2023/2024 ski season with five interconnected peaks offering an expansive variety of terrain for every skill level, including access to above tree line intermediate and expert terrain, and progressive and award-winning terrain parks.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 City Resort (“Park City”) - the third most visited mountain resort in the U.S. for the 2023/2024 ski season and the largest by acreage in the U.S. Park City offers 7,300 skiable acres, including diverse terrain for every type of skier and snowboarder. In 2024, the International Olympic Committee selected Salt Lake City as the host for the 2034 Winter Olympics, naming Park City as an official venue for certain competitions.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Keystone Resort (“Keystone”) - the ninth most visited mountain resort in the U.S. for the 2023/2024 ski season, as well as the largest area for night skiing in Colorado. In December 2023, we completed our transformational lift-served terrain expansion project in Bergman Bowl, increasing lift-served terrain by 555 acres with the addition of a new six-</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7" w:name="page8"/>
    <w:bookmarkEnd w:id="7"/>
    <w:p>
      <w:pPr>
        <w:ind w:left="660" w:right="20"/>
        <w:spacing w:after="0" w:line="282" w:lineRule="auto"/>
        <w:rPr>
          <w:sz w:val="20"/>
          <w:szCs w:val="20"/>
          <w:color w:val="auto"/>
        </w:rPr>
      </w:pPr>
      <w:r>
        <w:rPr>
          <w:rFonts w:ascii="Times New Roman" w:cs="Times New Roman" w:eastAsia="Times New Roman" w:hAnsi="Times New Roman"/>
          <w:sz w:val="18"/>
          <w:szCs w:val="18"/>
          <w:color w:val="auto"/>
        </w:rPr>
        <w:t>person high speed lift, and also providing lift-served access to Erickson Bowl. Keystone is a premier destination for families with its “Kidtopia” program focused on providing activities for kids on and off the mountain.</w:t>
      </w:r>
    </w:p>
    <w:p>
      <w:pPr>
        <w:spacing w:after="0" w:line="54" w:lineRule="exact"/>
        <w:rPr>
          <w:sz w:val="20"/>
          <w:szCs w:val="20"/>
          <w:color w:val="auto"/>
        </w:rPr>
      </w:pPr>
    </w:p>
    <w:p>
      <w:pPr>
        <w:jc w:val="both"/>
        <w:ind w:left="66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Beaver Creek Resort (“Beaver Creek”) - the eleventh most visited mountain resort in the U.S. for the 2023/2024 ski season. Beaver Creek is a European-style resort with multiple villages and also includes a world renowned children’s ski school program focused on providing a first-class experience with unique amenities such as a dedicated children’s gondola.</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Crested Butte Mountain Resort (“Crested Butte”) - located in southwest Colorado and includes over 1,500 skiable acres and over 3,000 feet of vertical drop. Crested Butte is known for its historic town, iconic mountain peaks and legendary skiing and riding terrain.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Pacific Northwest (British Columbia, Canada)</w:t>
      </w:r>
    </w:p>
    <w:p>
      <w:pPr>
        <w:spacing w:after="0" w:line="119" w:lineRule="exact"/>
        <w:rPr>
          <w:sz w:val="20"/>
          <w:szCs w:val="20"/>
          <w:color w:val="auto"/>
        </w:rPr>
      </w:pPr>
    </w:p>
    <w:p>
      <w:pPr>
        <w:jc w:val="both"/>
        <w:ind w:left="660" w:hanging="328"/>
        <w:spacing w:after="0" w:line="25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Blackcomb (“Whistler Blackcomb”) - located in the Coast Mountains of British Columbia, Canada, approximately 85 miles (135 kilometers) from the Vancouver International Airport, Whistler Blackcomb is the largest year-round mountain resort in North America, with two mountains connected by the PEAK 2 PEAK gondola, which combined offer over 200 marked runs, over 8,000 skiable acres (3,300 hectares), 14 alpine bowls, three glaciers and one of the longest ski seasons in North America. In the summer Whistler Blackcomb offers a variety of activities, including hiking trails, a bike park and sightseeing. Whistler Blackcomb is a popular destination for international visitors and was home to the 2010 Winter Olympics.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Lake Tahoe Resorts</w:t>
      </w:r>
    </w:p>
    <w:p>
      <w:pPr>
        <w:spacing w:after="0" w:line="119"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Heavenly Mountain Resort (“Heavenly”) - the twelfth most visited mountain resort in the U.S. for the 2023/2024 ski season. Located near the South Shore of Lake Tahoe with over 4,800 skiable acres, Heavenly straddles the border of California and Nevada and offers unique and spectacular views of Lake Tahoe. Heavenly offers great nightlife, including its proximity to several casinos.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Northstar Resort (“Northstar”) - located near the North Shore of Lake Tahoe, Northstar is the premier luxury mountain resort destination near Lake Tahoe which offers premium lodging, a vibrant base area and over 3,000 skiable acres. Northstar’s village features high-end shops and restaurants, a conference center and a 9,000 square-foot skating rink.</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Kirkwood Mountain Resort (“Kirkwood”) - located about 35 miles southwest of South Lake Tahoe, offering a unique location atop the Sierra Crest, Kirkwood is recognized for offering some of the best high alpine advanced terrain in North America with 2,000 feet of vertical drop and over 2,300 skiable acres.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Switzerland</w:t>
      </w:r>
    </w:p>
    <w:p>
      <w:pPr>
        <w:spacing w:after="0" w:line="119" w:lineRule="exact"/>
        <w:rPr>
          <w:sz w:val="20"/>
          <w:szCs w:val="20"/>
          <w:color w:val="auto"/>
        </w:rPr>
      </w:pPr>
    </w:p>
    <w:p>
      <w:pPr>
        <w:jc w:val="both"/>
        <w:ind w:left="660" w:hanging="328"/>
        <w:spacing w:after="0" w:line="25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Andermatt-Sedrun (“Andermatt-Sedrun”) - located approximately 70 miles (110 kilometers) from Zurich, Switzerland in the Ursern Valley of the Swiss Alps and approximately 200 miles (320 kilometers) from Geneva, Switzerland. Andermatt-Sedrun offers nearly 75 miles (120 kilometers) of varied terrain and a top elevation of 9,800 feet (3,000 meters) across the mountains of Andermatt, Sedrun and Gemsstock, with connected access to Disentis, which is independently owned. The ski area spans over 10 miles (16 kilometers) of scenic high alpine terrain between Andermatt and Sedrun, including the iconic Oberalp Pass, and is connected by the Matterhorn Gothard Bahn, a railway which operates year-round.</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Crans-Montana Mountain Resort (“Crans-Montana”) - during Fiscal 2024, we acquired a controlling interest in Crans-Montana, marking our second owned and operated resort in Europe. Crans-Montana Mountain Resort is located in the Valais canton of Switzerland, approximately 125 miles (200 kilometers) from Geneva and approximately 190 miles (310 kilometers) from Zurich. The resort spans nearly 4,600 feet (1,400 meters) of skiable vertical terrain, and approximately 87 miles (140 kilometers) of trails. Crans-Montana has a legacy of being a renowned outdoor sports destination, having hosted signature events such as the Ski World Cup, Mountain Bike World Cup, Omega European Masters and Caprices Festival. The commune of Crans-Montana has gourmet restaurants and luxury retail stores, as well as five-star hotels, including the recently developed Six Senses lodge and spa, a luxury 45-room ski-in, ski-out chalet-style property situated above the main gondola. Additionally, the International Ski Federation Council has awarded the FIS Alpine World Ski Championships 2027 to Crans-Montana.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Regional Ski Areas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ski resort network allows us to connect guests with drive-to access and destination resort access on a single pass product. Building a presence near major metropolitan areas with large populations enables us to drive advance commitment pass product sales among a broad array of guests.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auto"/>
        </w:rPr>
        <w:t>Northeast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own and operate eight regional ski areas in the Northeast that we believe provide a compelling regional and local connection to guests within driving distance from the New York, Boston and the greater New England markets. Stowe is the premier, high-end regional ski area in the Northeast offering outstanding skiing and an exceptional base area experience. Okemo and Mount Snow are compelling regional destinations serving guests in the New York metropolitan area and throughout New England. Hunter Mountain is a day-trip ski area primarily serving the New York metropolitan area. Additionally, we own four ski areas in New Hampshire serving guests throughout New England.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Mid-Atlantic (Pennsylvania)</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own and operate eight ski areas in the Mid-Atlantic region serving guests in Philadelphia, Pittsburgh, Southern New Jersey, Baltimore and Washington D.C. Our presence in the region allows us to offer compelling local options and easy overnight weekend and holiday trips to our premium Northeast regional ski areas, which are within driving distance from these markets.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Midwest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and operate ten ski areas in the Midwest that draw guests from Chicago, Detroit, Minneapolis, St. Louis, Indianapolis, Cleveland, Columbus, Kansas City and Louisville, among others. Located within close proximity to major metropolitan markets, these ski areas provide beginners with easy access to beginner ski programs and many also offer night skiing for young adults and families. Additionally, the proximity of these ski areas to metropolitan areas allows for regular usage by avid skiers.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Pacific Northwest (U.S.)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Stevens Pass Resort (“Stevens Pass’’) - located less than 85 miles from Seattle on the crest of Washington State’s Cascade Range, Stevens Pass offers terrain for all levels across more than 1,100 acres of skiable terrain. Stevens Pass has operated for over 80 years and is known for its numerous bowls, glades and faces, as well as extensive lighted terrain for skiing and riding well into the evening.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Australia</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Australia is an important market for both domestic skiing during the Australian winter and as a source of international visitation to the Northern Hemisphere in the Australian off-season, with typically over one million estimated Australian skier visits annually to North America, Europe and Japan. We own three of the five largest ski areas in Australia, which we serve with the Epic Australia Pass, an Australian dollar denominated pass product marketed specifically to Australian guests. Perisher, located in New South Wales, is the largest ski resort in Australia and targets guests in the Sydney metropolitan area and the broader New South Wales market, while Falls Creek and Mount Hotham are two of the largest ski areas in Victoria and target guests in the Melbourne metropolitan area and the broader Victoria market.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Ski Industry/Competition</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approximately 770 ski areas operating in North America with approximately 485 in the U.S., ranging from small ski area operations that service day skiers to large resorts that attract both day skiers and destination guests looking for a comprehensive vacation experience. During the 2023/2024 North American ski season, combined skier visits for all ski areas in North America were approximately 78.4 million. Our North American Resorts had approximately 15.8 million skier visits during the 2023/2024 ski season, representing approximately 20.2% of North American skier visits.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limited opportunity for development of new destination ski resorts due to the limited private lands on which ski areas can be built, the difficulty in obtaining the appropriate governmental approvals to build on public lands and the significant capital needed to construct the necessary infrastructure. As such, there have been virtually no new destination ski resorts of scale in North America for nearly 45 years, which has allowed and should continue to allow the best-positioned destination resorts to benefit from future industry growth. Our resorts compete with other major destination mountain resorts, including, among others, Aspen Snowmass, Deer Valley, Jackson Hole, Copper Mountain, Steamboat, Winter Park, Snowbird, Palisades Tahoe, Killington, Mammoth, St. Moritz and Zermatt, as well as other ski areas in Colorado, California, Nevada, Utah, the Pacific Northwest, the Northeast, the Southwest, British Columbia, Canada, Australia and Switzerland, and other destination ski areas worldwide as well as non-ski related vacation options and destinations. Additionally, our pass products compete with other single and multi-resort frequency pass products in North America, including the IKON Pass, the Mountain Collective Pass and various regional and local pass products.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ski industry statistics stated in this section have been derived primarily from data published by the Canadian Ski Council and Kottke National End of Season Surveys as well as other industry publications.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Our Competitive Strengths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premier resorts and business model differentiate our Company from the rest of the ski industry. We own and operate some of the most iconic, branded destination mountain resorts in geographically diverse and important ski destinations in North America, including Colorado, Utah, Lake Tahoe and the Pacific Northwest, including British Columbia, Canada. These resorts are complemented by regional ski areas in the Northeast, Pacific Northwest, Midwest and Mid-Atlantic regions, which are strategically positioned near key U.S. population centers, as well as three ski areas in Australia and two ski resorts in Switzerland. Through our data-driven marketing analytics and personalized marketing capabilities, we target increased penetration of ski pass products, providing our guests with a strong value proposition in return for guests committing to ski or ride at our resorts prior to, or very early into the ski season, which we believe attracts more guests to our resorts. We believe we invest in more capital improvements than our competitors and we create synergies through our owned and operated network of resorts, which enhances our profitability by enabling customers to access our network of resorts with our pass products. Many of our destination mountain resorts located in the U.S. typically rank in the most visited ski resorts in the U.S. (four of the top ten for the 2023/2024 U.S. ski season), and most of our destination mountain resorts are consistently in the top ranked ski resorts in North America according to industry surveys, which we attribute to our ability to provide a high-quality experience.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factors contribute directly to each Resort’s success: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Exceptional Mountain Experience</w:t>
      </w:r>
    </w:p>
    <w:p>
      <w:pPr>
        <w:spacing w:after="0" w:line="25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World-Class Destination Mountain Resorts and Integrated Base Resort Areas</w:t>
      </w:r>
    </w:p>
    <w:p>
      <w:pPr>
        <w:spacing w:after="0" w:line="117"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destination mountain resorts offer a multitude of skiing and snowboarding experiences for the beginner, intermediate, advanced and expert levels. Each destination mountain resort is fully integrated into expansive resort base areas offering a broad array of lodging, dining, retail, nightlife and other amenities, some of which we own or manage.</w:t>
      </w:r>
    </w:p>
    <w:p>
      <w:pPr>
        <w:spacing w:after="0" w:line="20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 Conditions</w:t>
      </w:r>
    </w:p>
    <w:p>
      <w:pPr>
        <w:spacing w:after="0" w:line="117"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Resorts in the Rocky Mountain region of Colorado and Utah, the Sierra Nevada Mountains in Lake Tahoe and the Coast Mountains in British Columbia, Canada generally receive abundant snowfall each year, but we have invested significantly in snowmaking systems in these areas which help to provide a more consistent guest experience, especially in the early season. We have made significant investments in our snowmaking systems within the past several years in Colorado that transformed the early-season terrain experience at Vail, Keystone and Beaver Creek. Our other ski areas receive less snowfall than our western North American mountain resorts, but we have invested in snowmaking operations at these resorts in order to provide a consistent experience for our guests. In calendar year 2024, the Company plans to invest in snowmaking projects at Park City, Hunter Mountain and Andermatt-Sedrun in order to enhance the early season guest experience. Additionally, we provide several hundred acres of groomed terrain at each of our mountain resorts with extensive fleets of snow grooming equipment.</w:t>
      </w:r>
    </w:p>
    <w:p>
      <w:pPr>
        <w:spacing w:after="0" w:line="21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Lift Service</w:t>
      </w:r>
    </w:p>
    <w:p>
      <w:pPr>
        <w:spacing w:after="0" w:line="117" w:lineRule="exact"/>
        <w:rPr>
          <w:rFonts w:ascii="Times New Roman" w:cs="Times New Roman" w:eastAsia="Times New Roman" w:hAnsi="Times New Roman"/>
          <w:sz w:val="18"/>
          <w:szCs w:val="18"/>
          <w:color w:val="auto"/>
        </w:rPr>
      </w:pPr>
    </w:p>
    <w:p>
      <w:pPr>
        <w:ind w:left="6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systematically upgrade our lifts and put in new lifts to increase uphill capacity and streamline skier traffic to maximize the guest experience. Discretionary capital expenditures expected for calendar year 2024 include, among other projects:</w:t>
      </w:r>
    </w:p>
    <w:p>
      <w:pPr>
        <w:spacing w:after="0" w:line="1" w:lineRule="exact"/>
        <w:rPr>
          <w:rFonts w:ascii="Times New Roman" w:cs="Times New Roman" w:eastAsia="Times New Roman" w:hAnsi="Times New Roman"/>
          <w:sz w:val="18"/>
          <w:szCs w:val="18"/>
          <w:color w:val="auto"/>
        </w:rPr>
      </w:pPr>
    </w:p>
    <w:p>
      <w:pPr>
        <w:ind w:left="1300" w:right="20" w:hanging="320"/>
        <w:spacing w:after="0" w:line="281"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Whistler Blackcomb’s existing four-person high speed Jersey Cream lift with a new six-person high-speed lift, which is expected to provide a meaningful increase to uphill capacity and better distribute guests at a central part of the resort;</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Hunter Mountain’s existing fixed-grip four-person Broadway lift with a new high-speed six-person lift and relocating the two-person fixed-grip E lift, providing a meaningful increase in uphill capacity and improved access to terrain that is key to the progressive learning experience for our guests;</w:t>
      </w:r>
    </w:p>
    <w:p>
      <w:pPr>
        <w:spacing w:after="0" w:line="13" w:lineRule="exact"/>
        <w:rPr>
          <w:rFonts w:ascii="Times New Roman" w:cs="Times New Roman" w:eastAsia="Times New Roman" w:hAnsi="Times New Roman"/>
          <w:sz w:val="18"/>
          <w:szCs w:val="18"/>
          <w:color w:val="auto"/>
        </w:rPr>
      </w:pPr>
    </w:p>
    <w:p>
      <w:pPr>
        <w:ind w:left="1300" w:hanging="320"/>
        <w:spacing w:after="0" w:line="281"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Perisher’s Double and Triple Chairs with a new high-speed six-person lift, which is expected in advance of the 2025 winter season in Australia; and</w:t>
      </w:r>
    </w:p>
    <w:p>
      <w:pPr>
        <w:spacing w:after="0" w:line="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preparatory work for the planned replacement of Park City’s fixed-grip two-person lift with a new ten-person Sunrise Gondola in calendar year 2025 in partnership with Canyons Village Management Association, which will provide improved access and enhanced guest experience for existing and future developments within Canyons Village.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jc w:val="both"/>
        <w:ind w:left="328" w:hanging="328"/>
        <w:spacing w:after="0" w:line="266" w:lineRule="auto"/>
        <w:tabs>
          <w:tab w:leader="none" w:pos="3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several years, we have installed or upgraded several high speed chairlifts and gondolas across our Resorts, including five new or replacement lifts across five Resorts for the 2023/2024 North American ski season, which meaningfully increased lift capacity and reduced wait times at those lift locations. Investments in the past several years include:</w:t>
      </w:r>
    </w:p>
    <w:p>
      <w:pPr>
        <w:spacing w:after="0" w:line="1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high-speed six-person lift in Bergman Bowl at Keystone;</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Breckenridge’s fixed-grip double 5-Chair with a new high-speed four-person lift;</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Whistler Blackcomb’s existing four-person high speed Fitzsimmons lift with a new high-speed eight-person lift;</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Stevens Pass’ current fixed-grip double Kehr’s Chair lift with a new four-person lift;</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three-person fixed-grip Summit Triple lift at Attitash with a new high-speed four-person lift;</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high-speed ten-person gondola at Whistler Blackcomb replacing the existing six-person gondola;</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Whistler Blackcomb’s existing Big Red Express high-speed four-person lift with a high-speed six-person lift;</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high-speed four-person lift in Vail’s Sun Down Bowl;</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four-person lift in Vail’s Game Creek Bowl with a new high-speed six-person lift;</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Breckenridge’s fixed-grip double Rip’s Ride lift with a high-speed four-person lift;</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high-speed six-person chair replacing Northstar’s Comstock four-person lift;</w:t>
      </w:r>
    </w:p>
    <w:p>
      <w:pPr>
        <w:spacing w:after="0" w:line="63"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Heavenly’s fixed-grip triple North Bowl lift with a high-speed four-person lift;</w:t>
      </w:r>
    </w:p>
    <w:p>
      <w:pPr>
        <w:spacing w:after="0" w:line="63" w:lineRule="exact"/>
        <w:rPr>
          <w:rFonts w:ascii="Times New Roman" w:cs="Times New Roman" w:eastAsia="Times New Roman" w:hAnsi="Times New Roman"/>
          <w:sz w:val="18"/>
          <w:szCs w:val="18"/>
          <w:color w:val="auto"/>
        </w:rPr>
      </w:pPr>
    </w:p>
    <w:p>
      <w:pPr>
        <w:ind w:left="968" w:right="20" w:hanging="320"/>
        <w:spacing w:after="0" w:line="281" w:lineRule="auto"/>
        <w:tabs>
          <w:tab w:leader="none" w:pos="96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11 existing lifts at Stowe, Mount Snow, Attitash, Boston Mills, Brandywine, Jack Frost and Big Boulder with new high-speed and fixed-grip lifts;</w:t>
      </w:r>
    </w:p>
    <w:p>
      <w:pPr>
        <w:spacing w:after="0" w:line="1"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250-acre lift-served terrain expansion in the McCoy Park area of Beaver Creek;</w:t>
      </w:r>
    </w:p>
    <w:p>
      <w:pPr>
        <w:spacing w:after="0" w:line="63" w:lineRule="exact"/>
        <w:rPr>
          <w:rFonts w:ascii="Times New Roman" w:cs="Times New Roman" w:eastAsia="Times New Roman" w:hAnsi="Times New Roman"/>
          <w:sz w:val="18"/>
          <w:szCs w:val="18"/>
          <w:color w:val="auto"/>
        </w:rPr>
      </w:pPr>
    </w:p>
    <w:p>
      <w:pPr>
        <w:ind w:left="888" w:hanging="240"/>
        <w:spacing w:after="0"/>
        <w:tabs>
          <w:tab w:leader="none" w:pos="8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four-person high speed lift to serve Peak 7 at Breckenridge;</w:t>
      </w:r>
    </w:p>
    <w:p>
      <w:pPr>
        <w:spacing w:after="0" w:line="63" w:lineRule="exact"/>
        <w:rPr>
          <w:rFonts w:ascii="Times New Roman" w:cs="Times New Roman" w:eastAsia="Times New Roman" w:hAnsi="Times New Roman"/>
          <w:sz w:val="18"/>
          <w:szCs w:val="18"/>
          <w:color w:val="auto"/>
        </w:rPr>
      </w:pPr>
    </w:p>
    <w:p>
      <w:pPr>
        <w:ind w:left="888" w:hanging="240"/>
        <w:spacing w:after="0"/>
        <w:tabs>
          <w:tab w:leader="none" w:pos="8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four-person Peru lift at Keystone with a six-person high speed lift;</w:t>
      </w:r>
    </w:p>
    <w:p>
      <w:pPr>
        <w:spacing w:after="0" w:line="63" w:lineRule="exact"/>
        <w:rPr>
          <w:rFonts w:ascii="Times New Roman" w:cs="Times New Roman" w:eastAsia="Times New Roman" w:hAnsi="Times New Roman"/>
          <w:sz w:val="18"/>
          <w:szCs w:val="18"/>
          <w:color w:val="auto"/>
        </w:rPr>
      </w:pPr>
    </w:p>
    <w:p>
      <w:pPr>
        <w:ind w:left="888" w:hanging="240"/>
        <w:spacing w:after="0"/>
        <w:tabs>
          <w:tab w:leader="none" w:pos="8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replacing the Peachtree lift at Crested Butte with a new three-person fixed-grip lift; and</w:t>
      </w:r>
    </w:p>
    <w:p>
      <w:pPr>
        <w:spacing w:after="0" w:line="63" w:lineRule="exact"/>
        <w:rPr>
          <w:rFonts w:ascii="Times New Roman" w:cs="Times New Roman" w:eastAsia="Times New Roman" w:hAnsi="Times New Roman"/>
          <w:sz w:val="18"/>
          <w:szCs w:val="18"/>
          <w:color w:val="auto"/>
        </w:rPr>
      </w:pPr>
    </w:p>
    <w:p>
      <w:pPr>
        <w:ind w:left="968" w:right="20" w:hanging="320"/>
        <w:spacing w:after="0" w:line="282" w:lineRule="auto"/>
        <w:tabs>
          <w:tab w:leader="none" w:pos="94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upgrade of the four-person Quantum lift at Okemo with a six-person high speed lift, and relocating the four-person Quantum lift to replace the Green Ridge three-person fixed-grip lift.</w:t>
      </w:r>
    </w:p>
    <w:p>
      <w:pPr>
        <w:spacing w:after="0" w:line="188"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Terrain Parks</w:t>
      </w:r>
    </w:p>
    <w:p>
      <w:pPr>
        <w:spacing w:after="0" w:line="117" w:lineRule="exact"/>
        <w:rPr>
          <w:rFonts w:ascii="Times New Roman" w:cs="Times New Roman" w:eastAsia="Times New Roman" w:hAnsi="Times New Roman"/>
          <w:sz w:val="18"/>
          <w:szCs w:val="18"/>
          <w:color w:val="auto"/>
        </w:rPr>
      </w:pPr>
    </w:p>
    <w:p>
      <w:pPr>
        <w:jc w:val="both"/>
        <w:ind w:left="32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leading the industry in terrain park design, education and events for the growing segment of freestyle skiers and snowboarders. Each of our destination mountain resorts has multiple terrain parks that include progressively-challenging features. These park structures, coupled with freestyle ski school programs, promote systematic learning from basic to professional skills.</w:t>
      </w:r>
    </w:p>
    <w:p>
      <w:pPr>
        <w:spacing w:after="0" w:line="2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i w:val="1"/>
          <w:iCs w:val="1"/>
          <w:color w:val="auto"/>
        </w:rPr>
        <w:t>Extraordinary Service and Amenities</w:t>
      </w:r>
    </w:p>
    <w:p>
      <w:pPr>
        <w:spacing w:after="0" w:line="254" w:lineRule="exact"/>
        <w:rPr>
          <w:sz w:val="20"/>
          <w:szCs w:val="20"/>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 to the Guest Experience</w:t>
      </w:r>
    </w:p>
    <w:p>
      <w:pPr>
        <w:spacing w:after="0" w:line="117"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is to provide quality service at every touch point of the guest journey. Prior to arrival at our mountain resorts, guests can receive personal assistance through our full-service, central reservations group and through our comprehensive websites to book desired lodging accommodations, lift tickets and pass products, ski school lessons, equipment rentals, activities and other resort services. Upon arrival, our resort staff serve as ambassadors to engage guests, answer questions and foster a customer-focused environment. We are also committed to ongoing technological innovation as a means to further enhance the quality of the guest experience and continue to shape our industry and culture. We recently achieved the following technological milestones:</w:t>
      </w:r>
    </w:p>
    <w:p>
      <w:pPr>
        <w:spacing w:after="0" w:line="79" w:lineRule="exact"/>
        <w:rPr>
          <w:rFonts w:ascii="Times New Roman" w:cs="Times New Roman" w:eastAsia="Times New Roman" w:hAnsi="Times New Roman"/>
          <w:sz w:val="18"/>
          <w:szCs w:val="18"/>
          <w:color w:val="auto"/>
        </w:rPr>
      </w:pPr>
    </w:p>
    <w:p>
      <w:pPr>
        <w:jc w:val="both"/>
        <w:ind w:left="968" w:hanging="320"/>
        <w:spacing w:after="0" w:line="255" w:lineRule="auto"/>
        <w:tabs>
          <w:tab w:leader="none" w:pos="96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Epic mobile application (“My Epic App”) - During the 2023/2024 North American ski season, we launched the My Epic App, which allows our guests to purchase their pass product or lift ticket online and access our Resorts via the new app, utilizing hands free Bluetooth® technology, eliminating the need to wait in line to purchase lift tickets. In addition, the My Epic App allows guests to capture their activity on the mountain (e.g. number of ski days, vertical feet skied and chairlift activity); provides current trail maps along with real-time trail and lift status; allows guests to access real and forecasted lift line wait times; and provides information regarding parking, dining, events and other on-mountain activities. The My Epic App also provides access to My Epic Gear and My Epic Assistant, as discussed below.</w:t>
      </w:r>
    </w:p>
    <w:p>
      <w:pPr>
        <w:spacing w:after="0" w:line="200" w:lineRule="exact"/>
        <w:rPr>
          <w:sz w:val="20"/>
          <w:szCs w:val="20"/>
          <w:color w:val="auto"/>
        </w:rPr>
      </w:pPr>
    </w:p>
    <w:p>
      <w:pPr>
        <w:spacing w:after="0" w:line="3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99" w:right="339" w:bottom="1440" w:gutter="0" w:footer="0" w:header="0"/>
        </w:sectPr>
      </w:pPr>
    </w:p>
    <w:bookmarkStart w:id="11" w:name="page12"/>
    <w:bookmarkEnd w:id="11"/>
    <w:p>
      <w:pPr>
        <w:jc w:val="both"/>
        <w:ind w:left="968" w:hanging="320"/>
        <w:spacing w:after="0" w:line="255" w:lineRule="auto"/>
        <w:tabs>
          <w:tab w:leader="none" w:pos="9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Epic Gear membership program (“My Epic Gear”) - During the 2023/2024 North American ski season, we piloted our new gear membership program, My Epic Gear, to a limited number of Epic Pass holders at Vail, Beaver Creek, Breckenridge and Keystone. The program will be launched for the 2024/2025 ski season at 12 destination and regional resorts across North America, including kids gear, with further expansions planned for future seasons. My Epic Gear provides members with the ability to choose the gear they want from a selection of popular ski and snowboard models, and have that gear delivered to them when and where they want it, with free slopeside pick up and drop off. My Epic Gear is designed to allow users to manage their entire experience from gear selection to boot fitting to delivery all from the new My Epic App.</w:t>
      </w:r>
    </w:p>
    <w:p>
      <w:pPr>
        <w:spacing w:after="0" w:line="80" w:lineRule="exact"/>
        <w:rPr>
          <w:rFonts w:ascii="Times New Roman" w:cs="Times New Roman" w:eastAsia="Times New Roman" w:hAnsi="Times New Roman"/>
          <w:sz w:val="18"/>
          <w:szCs w:val="18"/>
          <w:color w:val="auto"/>
        </w:rPr>
      </w:pPr>
    </w:p>
    <w:p>
      <w:pPr>
        <w:jc w:val="both"/>
        <w:ind w:left="968" w:hanging="320"/>
        <w:spacing w:after="0" w:line="255" w:lineRule="auto"/>
        <w:tabs>
          <w:tab w:leader="none" w:pos="96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My Epic Assistant mobile application (“My Epic Assistant”) - During the 2023/2024 North American ski season, we announced the launch of the new My Epic Assistant, a new technology within My Epic App, which is scheduled to launch to a limited number of Epic Pass holders at Vail, Beaver Creek, Breckenridge and Keystone for the upcoming 2024/2025 North American ski season. Expansion of the application is planned to additional resorts in future seasons. Powered by artificial intelligence and resort experts, My Epic Assistant will provide real-time service to allow our guests to navigate their day at our resorts with confidence, efficiency and ease. Whether looking for the latest snow conditions, or on-mountain support with rentals and lessons, guests can simply open the My Epic App and use My Epic Assistant to point them in the right direction.</w:t>
      </w:r>
    </w:p>
    <w:p>
      <w:pPr>
        <w:spacing w:after="0" w:line="81"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We also solicit guest feedback through a variety of surveys and results, which are used to ensure high levels of customer satisfaction, understand trends and develop future resort programs and amenities. We then utilize this guest feedback to help us focus our capital spending and operational efforts to the areas of the greatest need.</w:t>
      </w:r>
    </w:p>
    <w:p>
      <w:pPr>
        <w:spacing w:after="0" w:line="203" w:lineRule="exact"/>
        <w:rPr>
          <w:sz w:val="20"/>
          <w:szCs w:val="20"/>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Frontline Talent</w:t>
      </w:r>
    </w:p>
    <w:p>
      <w:pPr>
        <w:spacing w:after="0" w:line="117"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talent philosophy is designed to enable us to fully achieve our mission and vision by ensuring we have the talent in place to deliver on our future growth plans, and we believe our frontline talent is a strategic advantage. Over the past several years, ongoing investments in frontline talent have driven strong staffing levels, with high engagement and season-to-season return rates, enabling our mountain resorts to deliver strong guest experience results, including on-mountain activities as well as at our restaurants, lodging, ski and ride school, and retail/rental locations. For more information, refer to the “Human Capital Management” section.</w:t>
      </w:r>
    </w:p>
    <w:p>
      <w:pPr>
        <w:spacing w:after="0" w:line="21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 Pass &amp; Epic Day Pass Products</w:t>
      </w:r>
    </w:p>
    <w:p>
      <w:pPr>
        <w:spacing w:after="0" w:line="117" w:lineRule="exact"/>
        <w:rPr>
          <w:rFonts w:ascii="Times New Roman" w:cs="Times New Roman" w:eastAsia="Times New Roman" w:hAnsi="Times New Roman"/>
          <w:sz w:val="18"/>
          <w:szCs w:val="18"/>
          <w:color w:val="auto"/>
        </w:rPr>
      </w:pPr>
    </w:p>
    <w:p>
      <w:pPr>
        <w:jc w:val="both"/>
        <w:ind w:left="32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a variety of pass products, primarily season pass and Epic Day Pass products, for all of our Resorts that are marketed towards both out-of-state and international (“Destination”) guests as well as in-state and local (“Local”) guests. These pass products are available for purchase prior to the start of the ski season, offering our guests a better value in exchange for their commitment to pass products with access to our Resorts before the season begins. Our pass program drives strong customer loyalty and mitigates exposure to more weather sensitive guests, leading to greater revenue stability and allowing us to capture valuable guest data. Additionally, our pass product customers typically ski more days each season than those guests who do not buy pass products, which leads to additional ancillary spending. In addition, our pass products attract new guests to our Resorts. Our pass products generated approximately 65% of our total lift revenue for Fiscal 2024, and generated approximately 75% of total visitation (excluding complimentary access) for Fiscal 2024. Sales of pass products are a key component of our overall Mountain segment revenue and help create strong synergies among our Resorts. Our pass product offerings range from providing access for a certain number of days to one or a combination of our Resorts to our Epic Pass, which allows pass holders unlimited and unrestricted access to all of our Resorts. The Epic Day Pass is a customizable one to seven day pass product purchased in advance of the season, for those skiers and riders who want to purchase access for a certain number of days during the season, and which is available in three tiers of resort offerings. All of our various pass product options can be found on our consumer website www.snow.com. Information on our websites does not constitute part of this document.</w:t>
      </w: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99" w:right="339" w:bottom="1440" w:gutter="0" w:footer="0" w:header="0"/>
        </w:sectPr>
      </w:pPr>
    </w:p>
    <w:bookmarkStart w:id="12" w:name="page13"/>
    <w:bookmarkEnd w:id="12"/>
    <w:p>
      <w:pPr>
        <w:jc w:val="both"/>
        <w:ind w:left="328"/>
        <w:spacing w:after="0" w:line="253" w:lineRule="auto"/>
        <w:rPr>
          <w:sz w:val="20"/>
          <w:szCs w:val="20"/>
          <w:color w:val="auto"/>
        </w:rPr>
      </w:pPr>
      <w:r>
        <w:rPr>
          <w:rFonts w:ascii="Times New Roman" w:cs="Times New Roman" w:eastAsia="Times New Roman" w:hAnsi="Times New Roman"/>
          <w:sz w:val="18"/>
          <w:szCs w:val="18"/>
          <w:color w:val="auto"/>
        </w:rPr>
        <w:t>As part of our continued strategy to drive pass product sales and create a stronger connection between key skier markets and our iconic destination mountain resorts, we have continued to expand our portfolio of properties in recent years. We acquired Crans-Montana and Andermatt-Sedrun in May 2024 and August 2022, respectively. These acquisitions represent strategic investments to operate ski resorts in Europe as a part of our continued focus to expand our network of resort offerings, which provides a differentiated suite of options to our guests. In December 2021, we acquired Seven Springs Mountain Resort, Hidden Valley Resort and Laurel Mountain Ski Area in Pennsylvania (collectively, the “Seven Springs Resorts”), which added three regional ski areas strategically located near Pittsburgh, expanding our presence in the Mid-Atlantic region and generating incremental drive-to business from other major metropolitan areas such as Washington DC, Baltimore and Cleveland. Additionally, we enter into strategic long-term season pass alliance agreements with third-party mountain resorts, which for the 2024/2025 ski season include Telluride Ski Resort in Colorado, Hakuba Valley and Rusutsu Resort in Japan, Resorts of the Canadian Rockies in Canada, Les 3 Vallées in France, Disentis Ski Area and Verbier 4 Vallées in Switzerland, Skirama Dolomiti in Italy and Ski Arlberg in Austria, which further increase the value proposition of our pass products.</w:t>
      </w:r>
    </w:p>
    <w:p>
      <w:pPr>
        <w:spacing w:after="0" w:line="84" w:lineRule="exact"/>
        <w:rPr>
          <w:sz w:val="20"/>
          <w:szCs w:val="20"/>
          <w:color w:val="auto"/>
        </w:rPr>
      </w:pPr>
    </w:p>
    <w:p>
      <w:pPr>
        <w:jc w:val="both"/>
        <w:ind w:left="328"/>
        <w:spacing w:after="0" w:line="254" w:lineRule="auto"/>
        <w:rPr>
          <w:sz w:val="20"/>
          <w:szCs w:val="20"/>
          <w:color w:val="auto"/>
        </w:rPr>
      </w:pPr>
      <w:r>
        <w:rPr>
          <w:rFonts w:ascii="Times New Roman" w:cs="Times New Roman" w:eastAsia="Times New Roman" w:hAnsi="Times New Roman"/>
          <w:sz w:val="18"/>
          <w:szCs w:val="18"/>
          <w:color w:val="auto"/>
        </w:rPr>
        <w:t>Pass product holders also receive additional value in exchange for their advance commitment through our Epic Mountain Rewards program, which provides pass product holders a discount of 20% off on-mountain food and beverage, lodging, group ski school lessons, equipment rentals and more at our North American owned and operated Resorts. Epic Mountain Rewards is available for everyone who purchases an Epic Pass, Epic Local Pass, Epic Day Pass, Epic Military Pass and most of our other pass products, regardless of whether guests plan to ski one day or every day of the season. Additionally, Epic Coverage is included with the purchase of all pass products for no additional charge and provides refunds in the event of certain resort closures and certain travel restrictions, giving pass holders a refund for any portion of the season that is lost due to qualifying circumstances. Additionally, Epic Coverage provides refunds for qualifying personal circumstances including eligible injuries, job losses and other personal events.</w:t>
      </w:r>
    </w:p>
    <w:p>
      <w:pPr>
        <w:spacing w:after="0" w:line="219" w:lineRule="exact"/>
        <w:rPr>
          <w:sz w:val="20"/>
          <w:szCs w:val="20"/>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Premier Ski Schools</w:t>
      </w:r>
    </w:p>
    <w:p>
      <w:pPr>
        <w:spacing w:after="0" w:line="117"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mountain resorts are home to some of the highest quality and most widely recognized ski schools in the industry. Through a combination of outstanding training and abundant work opportunities, our ski schools have become home to many of the most experienced and credentialed professionals in the business. We complement our instructor staff with state-of-the-art facilities and extensive learning terrain, all with a keen attention to guest needs. We offer a wide variety of adult and child group and private lesson options with a goal of creating lifelong skiers and riders and showcasing to our guests all the terrain our resorts have to offer.</w:t>
      </w:r>
    </w:p>
    <w:p>
      <w:pPr>
        <w:spacing w:after="0" w:line="21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Dining</w:t>
      </w:r>
    </w:p>
    <w:p>
      <w:pPr>
        <w:spacing w:after="0" w:line="117" w:lineRule="exact"/>
        <w:rPr>
          <w:rFonts w:ascii="Times New Roman" w:cs="Times New Roman" w:eastAsia="Times New Roman" w:hAnsi="Times New Roman"/>
          <w:sz w:val="18"/>
          <w:szCs w:val="18"/>
          <w:color w:val="auto"/>
        </w:rPr>
      </w:pPr>
    </w:p>
    <w:p>
      <w:pPr>
        <w:ind w:left="328"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Resorts provide a variety of quality on-mountain and base village dining venues, ranging from top-rated fine dining restaurants to on-mountain express service restaurants. For the 2023/2024 ski season, we operated approximately 275 dining venues at our Resorts.</w:t>
      </w:r>
    </w:p>
    <w:p>
      <w:pPr>
        <w:spacing w:after="0" w:line="29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Retail/Rental</w:t>
      </w:r>
    </w:p>
    <w:p>
      <w:pPr>
        <w:spacing w:after="0" w:line="117" w:lineRule="exact"/>
        <w:rPr>
          <w:rFonts w:ascii="Times New Roman" w:cs="Times New Roman" w:eastAsia="Times New Roman" w:hAnsi="Times New Roman"/>
          <w:sz w:val="18"/>
          <w:szCs w:val="18"/>
          <w:color w:val="auto"/>
        </w:rPr>
      </w:pPr>
    </w:p>
    <w:p>
      <w:pPr>
        <w:jc w:val="both"/>
        <w:ind w:left="328"/>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approximately 330 retail/rental locations specializing in sporting goods including ski, snowboard and cycling equipment. Several of our rental locations offer delivery services, bringing ski and snowboard gear and expert advice directly to our guests. In addition to providing a major retail/rental presence at each of our Resorts, we also have retail/rental locations throughout the Colorado Front Range and Minneapolis. Starting with the 2023/2024 North American ski season, we piloted our new rental membership program, My Epic Gear, which reimagines the traditional gear rental and ownership model, with the goal of providing more choices, at a lower cost and less hassle to our customers. The program will be launched for the 2024/2025 ski season at 12 destination and regional resorts across North America, including kids gear, with further expansions planned for future seasons. My Epic Gear provides members with the ability to choose the gear they want from a selection of popular ski and snowboard models, and have it delivered to them when and where they want it, with free slopeside pick up and drop off.</w:t>
      </w:r>
    </w:p>
    <w:p>
      <w:pPr>
        <w:spacing w:after="0" w:line="8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On-Mountain Activities</w:t>
      </w:r>
    </w:p>
    <w:p>
      <w:pPr>
        <w:spacing w:after="0" w:line="117" w:lineRule="exact"/>
        <w:rPr>
          <w:rFonts w:ascii="Times New Roman" w:cs="Times New Roman" w:eastAsia="Times New Roman" w:hAnsi="Times New Roman"/>
          <w:sz w:val="18"/>
          <w:szCs w:val="18"/>
          <w:color w:val="auto"/>
        </w:rPr>
      </w:pPr>
    </w:p>
    <w:p>
      <w:pPr>
        <w:jc w:val="both"/>
        <w:ind w:left="32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ski industry leader in providing comprehensive destination vacation experiences, including on-mountain activities designed to appeal to a broad range of interests. During the winter season, in addition to our offered ski experiences, guests can choose from a variety of non-ski related activities such as snowtubing, snowshoeing, scenic snow cat tours, backcountry expeditions, horse-drawn sleigh rides and high-altitude dining. During the summer season, our mountain resorts offer non-ski related recreational activities including scenic chairlift and gondola rides, mountain biking, horseback riding, guided hiking, 4x4 Jeep tours and our Epic Discovery program at Vail Mountain, Heavenly and Breckenridge. The Epic Discovery program encourages “learn through play” by featuring extensive environmental</w:t>
      </w: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99" w:right="339" w:bottom="1440" w:gutter="0" w:footer="0" w:header="0"/>
        </w:sectPr>
      </w:pPr>
    </w:p>
    <w:bookmarkStart w:id="13" w:name="page14"/>
    <w:bookmarkEnd w:id="13"/>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educational elements interspersed between numerous activities, consisting of zip lines, children’s activities, challenge ropes courses, tubing, mountain excursions, an alpine slide and alpine coasters. The Mountain segment also operates several company-owned mountain resort golf courses, including three in Colorado, one in Vermont and two in Pennsylvania.</w:t>
      </w:r>
    </w:p>
    <w:p>
      <w:pPr>
        <w:spacing w:after="0" w:line="20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and Real Estate</w:t>
      </w:r>
    </w:p>
    <w:p>
      <w:pPr>
        <w:spacing w:after="0" w:line="117"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quality lodging options are an integral part of providing a complete resort experience. Our owned and managed properties proximate to our mountain resorts, including six RockResorts branded properties (with a seventh RockResorts property planned for opening in 2025 in Keystone, Colorado) and a significant inventory of managed condominium units, provide numerous accommodation options for our mountain resort guests. Our recent real estate efforts have primarily focused on the potential to expand our destination bed base and upgrade our resorts through the sale of land parcels to third-party developers, which in turn provides opportunity for the development of condominiums, luxury hotels, parking and commercial space for restaurants and retail shops. Our Lodging and Real Estate segments have and continue to invest in resort related assets and amenities or seek opportunities to expand and enhance the overall resort experience.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Lodging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Lodging segment includes owned and managed lodging properties, including those under our luxury hotel brand, RockResorts; managed condominium units which are in and around our mountain resorts in Colorado, Lake Tahoe, Utah, Vermont, New York, Pennsylvania and British Columbia, Canada; two NPS concessioner properties in and near Grand Teton National Park in Wyoming; a resort ground transportation company in Colorado; and company-owned and operated mountain resort golf courses managed by our Lodging operations, including two in Colorado, one in Wyoming, one in Lake Tahoe, California, and one in Park City, Utah. For additional property details, see Item 2. “Properties”.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Lodging segment currently includes approximately 5,300 owned and managed hotel rooms and condominium units. Our lodging strategy seeks to complement and enhance our mountain resort operations through our ownership or management of lodging properties and condominiums proximate to our mountain resorts and selective management of luxury resort hotels in premier destination locations.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our portfolio of owned and managed luxury resort hotels and other hotels and properties, our lodging business also features a Colorado ground transportation company, which represents the first point of contact with many of our guests when they arrive by air to Colorado. We offer year-round ground transportation from Denver International Airport and Eagle County Airport to the Vail Valley (locations in and around Vail, Beaver Creek, Avon and Edwards) and Summit County (which includes Keystone, Breckenridge, Copper Mountain, Frisco and Silverthorne).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Lodging Industry/Market</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Hotels are categorized by Smith Travel Research, a leading lodging industry research firm, as luxury, upper upscale, upscale, upper midscale, midscale and economy. The service quality and level of accommodations of our RockResorts’ hotels place them in the luxury segment, which represents hotels achieving the highest average daily rates (“ADR”) in the industry, and includes such brands as the Four Seasons, Ritz-Carlton and Marriott’s Luxury Collection hotels. Our other hotels are categorized in the upper upscale and upscale segments of the hotel market. The luxury and upper upscale segments consist of approximately 860,000 rooms at approximately 2,800 properties in the U.S. as of July 31, 2024. For Fiscal 2024, our owned hotels, which include a combination of RockResort hotels as well as other hotels in proximity to our Resorts, had an overall ADR of $317.65, a paid occupancy rate of 50.9% and revenue per available room (“RevPAR”) of $161.82, as compared to the upper upscale segment’s ADR of $225.01, a paid occupancy rate of 68.3% and RevPAR of $153.70. We believe that this comparison to the upper upscale segment is appropriate as our mix of owned hotels include those in the luxury and upper upscale segments, as well as some of our hotels that fall in the upscale segment. The highly seasonal nature of our lodging properties typically results in lower average occupancy as compared to the upper upscale segment of the lodging industry as a whole.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Competition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in the hotel industry is generally based on quality and consistency of rooms, restaurants, meeting facilities and services, the attractiveness of locations, availability of a global distribution system and price. Our properties compete within their geographic markets with hotels and resorts that include locally-owned independent hotels, as well as facilities owned or managed by national and international chains, including such brands as Four Seasons, Hilton, Hyatt, Marriott, Ritz-Carlton and Westin. Our properties also compete for convention and conference business across the national market. We believe we are highly competitive in the resort hotel niche for the following reasons:</w:t>
      </w:r>
    </w:p>
    <w:p>
      <w:pPr>
        <w:spacing w:after="0" w:line="21" w:lineRule="exact"/>
        <w:rPr>
          <w:sz w:val="20"/>
          <w:szCs w:val="20"/>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hotels are located in unique, highly desirable resort destinations;</w:t>
      </w:r>
    </w:p>
    <w:p>
      <w:pPr>
        <w:spacing w:after="0" w:line="63"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hotel portfolio has achieved some of the most prestigious hotel designations in the world, including two properties in our portfolio that are currently rated as AAA 4-Diamond;</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hotels (both owned and managed) are designed to provide a look that feels indigenous to their surroundings, enhancing the guest’s vacation experience;</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RockResorts hotels provides the same high level of quality and services, while still providing unique characteristics which distinguish the resorts from one another. This appeals to travelers looking for consistency in quality and service offerings together with an experience more unique than typically offered by larger luxury hotel chains;</w:t>
      </w:r>
    </w:p>
    <w:p>
      <w:pPr>
        <w:spacing w:after="0" w:line="13"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the hotels in our portfolio provide a wide array of amenities available to the guest such as access to world-class ski and golf resorts, spa and fitness facilities, water sports and a number of other outdoor activities, as well as highly acclaimed dining options;</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conference space with the latest technology is available at most of our hotels. In addition, guests at Keystone can use our company-owned Keystone Conference Center, the largest conference facility in the Colorado Rocky Mountain region with more than 100,000 square feet of meeting, exhibit and function space. The Seven Springs Resorts also provide conference services, offering over 77,000 square feet of meeting and function space;</w:t>
      </w:r>
    </w:p>
    <w:p>
      <w:pPr>
        <w:spacing w:after="0" w:line="17" w:lineRule="exact"/>
        <w:rPr>
          <w:rFonts w:ascii="Times New Roman" w:cs="Times New Roman" w:eastAsia="Times New Roman" w:hAnsi="Times New Roman"/>
          <w:sz w:val="18"/>
          <w:szCs w:val="18"/>
          <w:color w:val="auto"/>
        </w:rPr>
      </w:pPr>
    </w:p>
    <w:p>
      <w:pPr>
        <w:ind w:left="980" w:hanging="324"/>
        <w:spacing w:after="0" w:line="281"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central reservations system that leverages our mountain resort reservations system and has an online planning and booking platform, offering our guests a seamless and useful way to make reservations at our resorts; and</w:t>
      </w:r>
    </w:p>
    <w:p>
      <w:pPr>
        <w:spacing w:after="0" w:line="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actively upgrade the quality of the accommodations and amenities available at our hotels through capital improvements. Capital funding for third-party owned properties is provided by the owners of those properties to maintain standards required by our management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National Park Concessioner Properties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own GTLC, which is based in the Jackson Hole area in Wyoming and operates within Grand Teton National Park under a concession agreement with the NPS with an initial term that would have expired on December 31, 2021. In June 2021, we agreed to an amendment extending the term of the agreement an additional two years, with an expiration date of December 31, 2023. Additionally, in November 2023, we agreed to an amendment to the agreement extending the term until December 31, 2024. The NPS currently expects to release a contract solicitation for the services offered by GTLC by the end of calendar year 2024. We currently expect that our existing agreement will be extended for an additional one year through December 31, 2025 due to the time needed for solicitation, preparation, review and award of a new contract. We expect the NPS to confirm this extension in the fall of 2024. We also own Flagg Ranch, located in Moran, Wyoming and centrally located between Yellowstone National Park and Grand Teton National Park on the John D. Rockefeller, Jr. Memorial Parkway (the “Parkway”). Flagg Ranch operates under a concession agreement with the NPS that expires October 31, 2028. GTLC also owns Jackson Hole Golf &amp; Tennis Club (“JHG&amp;TC”), located outside Grand Teton National Park near Jackson, Wyoming. GTLC’s operations within Grand Teton National Park and JHG&amp;TC have operating seasons that generally run from mid-May through the end of September.</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primarily compete with such companies as Aramark Parks &amp; Resorts, Delaware North Companies Parks &amp; Resorts, ExploreUS and Xanterra Parks &amp; Resorts in retaining and obtaining NPS concession agreements. Four full-service concessioners provide accommodations within Grand Teton National Park, including GTLC. In a normal operating season, GTLC offers three lodging options within Grand Teton National Park: Jackson Lake Lodge, a full-service, 385-room resort with 17,000 square feet of conference facilities; Jenny Lake Lodge, a small, rustically elegant retreat with 37 cabins; and Colter Bay Village, a facility with 166 log cabins, 66 tent cabins, 337 campsites and a 112-space recreational vehicle park. We also operate two additional campgrounds separate from these facilities: the 304-site Gros Ventre Campground and 51-site Jenny Lake Campground. GTLC offers dining options as extensive as its lodging options, with cafeterias, casual eateries and fine dining establishments. Additionally we operate 11 retail outlets located throughout the GTLC properties. GTLC’s resorts provide a wide range of activities for guests to enjoy, including cruises on Jackson Lake, boat rentals, horseback riding, guided fishing, float trips, golf and guided Grand Teton National Park tours. As a result of the extensive amenities offered, as well as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tremendous popularity of the National Park System, GTLC’s accommodations within Grand Teton National Park generally operate near full capacity during their operating season.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Segment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extensive holdings of real property at our mountain resorts primarily throughout Summit and Eagle Counties in Colorado, as well as proximate to our resorts in Park City and Whistler Blackcomb. 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In addition to the cash flow generated from real estate development sales, these development activities benefit our Mountain and Lodging segments by (1) creating additional resort lodging and other resort related facilities and venues (primarily restaurants, spas, commercial space, private mountain clubs, skier services facilities and parking structures) that provide us with the opportunity to create new sources of recurring revenue, enhance the guest experience and expand our destination bed base; (2) controlling the architectural themes of our resorts; and (3) expanding our property management and commercial leasing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Sales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Mountain segment’s marketing and sales efforts are focused on leveraging marketing analytics to drive targeted and personalized marketing to our existing and prospective guests. We capture guest data on the vast majority of guest transactions through sales of our pass products, lift tickets, ski and ride school products, gear rentals, and lodging properties on our e-commerce platform, as well as through our mobile applications and our lift ticket windows. We promote our Resorts using guest-centric omni-channel marketing campaigns leveraging email, direct mail, promotional programs, digital marketing (including social, search and display) and traditional media advertising where appropriate (e.g. targeted print, TV and radio). We also have marketing programs directed at attracting groups, corporate meetings and convention business. Most of our marketing efforts drive traffic to our websites, where we provide our guests with information regarding each of our Resorts, including services and amenities, reservations information, virtual tours and the opportunity to book/purchase our full suite of products (e.g. lift access, lodging, ski and ride school, rentals, etc.) for their visits. We also enter into strategic alliances with companies to enhance the guest experience at our Resorts, as well as to create opportunities for cross-marketing.</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our Lodging segment, we promote our hotels and lodging properties through marketing and sales programs, which include marketing directly to many of our guests through our digital channels (search, social and display), promotional programs and print media advertising, all of which are designed to drive traffic to our websites and central reservations call center. We also promote comprehensive vacation experiences through various package offerings and promotions (combining lodging, lift tickets, ski school lessons, ski rental equipment, transportation and dining). In addition, our hotels have active sales forces to generate conference and group business. We market our resort properties in conjunction with our mountain resort marketing efforts where appropriate, given the strong synergies across the two businesses.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Across both the Mountain and Lodging segments, sales made through our websites and call center allow us to transact directly with our guests, which further expands our customer base and enables analytics to deliver an increasingly guest-centric marketing experience.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Ski resort operations are highly seasonal in nature, with a typical ski season in North America and Europe generally beginning in mid-November and running through mid-April. In an effort to partially mitigate the concentration of our revenue in the winter months in North America, we offer several non-ski related activities in the summer months such as sightseeing, mountain biking, guided hiking, mountain coasters, ziplines, golf (primarily included in the operations of the Lodging segment) and our Epic Discovery program. These activities also help attract destination conference and group business to our Resorts in our off-season. In addition, the operating results of our Australian Resorts, for which the ski season generally occurs from June through early October, partially counterbalances the concentration of our revenues during this seasonally lower period in North America.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lodging business is also highly seasonal in nature, with peak seasons primarily in the winter months (with the exception of GTLC, Flagg Ranch, certain managed properties and mountain resort golf operations). We actively promote our extensive conference facilities and have added more off-season activities to help offset the seasonality of our lodging business. Additionally, we operate several golf courses proximate to our Resorts, as described above.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Sustainability &amp; Social Responsibility</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Sustainability remains a core philosophy for us. As a company rooted in the great outdoors, we have a unique responsibility to protect and preserve the incredible environments in which we operate. Our corporate sustainability and social responsibility program, EpicPromise, is comprised of four key pillars of our promise: Sustainability, Community Support, Employee Foundation, and Inclusive Access. The environment is our business, and we focus on climate change mitigation and adaptation, resource conservation and building stronger local communities through contributions to local non-profit organizations. Our sustainability efforts are diverse and touch nearly every area of our operations. In 2017, we launched Commitment to Zero, our pledge to have a zero net operating footprint by 2030. This commitment includes (i) achieving zero net emissions by finding operational energy efficiencies, investing in renewable energy and investing in offsets and other emissions reduction projects, (ii) zero waste to landfill and (iii) zero net operating impact to forests and habitat by restoring an acre of forest for every acre displaced by our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this commitment, Vail Resorts was accepted as the first travel and tourism company into RE100, a collaborative initiative uniting more than 400 global and influential businesses committed to 100% renewable electricity. During Fiscal 2024, we continued to make progress toward our Commitment to Zero goals. Specifically, we focused on reducing waste to landfill and expanding our robust composting and recycling programs. As a result of our waste reduction efforts, we were a finalist for the National Ski Area Association’s (“NSAA”) Golden Eagle Overall Environmental Excellence Award at the 2024 NSAA annual conference. Additionally, during Fiscal 2024, we continued to procure renewable electricity from the 82-turbine Plum Creek Wind project we enabled, and the Elektron Solar Project we helped enable began operation in May 2024 and will provide Park City Mountain with 100% clean renewable electricity on the same utility grid Park City Mountain operates.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over five years, Vail Resorts has been a member and active leader of the Mountain Collaborative for Climate Action, working with leaders from Alterra Mountain Company, Boyne Resorts and POWDR to develop an industry-driven climate commitment. As the ski industry’s first unified effort to combat climate change, this group continues to advocate for climate-smart policy, innovative waste reduction, and deepened sustainability within the partners’ respective operations. This partnership leverages our leadership in sustainability and is expected to accelerate our collective progress, leading the industry toward long-term transformational change.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during Fiscal 2024 we sponsored the reforestation of 10 acres in California and Minnesota that were previously impacted by wildfire or in need of native habitat restoration and forest resilience, which addressed 100% of the forests permanently impacted by our operations throughout the year. Through direct EpicPromise grants and contributions from our $1 guest donation program, we partnered with several local environmental organizations to fund environmental stewardship projects, including the National Forest Foundation, the Tahoe Fund, Grand Teton National Park Foundation, Mountain Trails Foundation in Park City and the EnviroFund at Whistler Blackcomb. We also encouraged our employees to help protect the environment and support their local community by volunteering with various local organizations. Vail Resorts was recognized by Newsweek as one of the “Most Trustworthy Companies in America” in both 2024 and 2023, which we believe reflects our focus on building customer, investor, and employee trust through listening, learning and adapting to the needs of our team members and guests, while remaining responsible stewards through our industry-leading sustainability efforts.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Fiscal 2024, our focus for the EpicPromise community impact grant program focused on larger grants in key communities to support housing and childcare. In addition, support continues to be given for food security, equal access to education and other basic needs and services. In the third year of our Epic for Everyone Youth Access in partnership with the Katz Amsterdam Foundation, we hosted 2,584 urban youth to attend a 5-day snowsports program. We also continued our legacy access program with more than 12,000 youth participating in multi-day programs focused on mentorship, leadership and the beneficial impact of outdoor time on mental health. Finally, our EpicPromise Employee Foundation (the “Foundation”), which was established in 2015, is a charitable foundation funded by annual contributions from the Company, its employees and its guests. The Foundation supports Vail Resorts’ employees and their families via grants for emergency relief and scholarships. Annually more than $1.0 million in grants and scholarships are provided to help employees in times of need or to pursue educational opportunities. For more information on both the Foundation and our environmental stewardship, visit www.vailresorts.com. Information on our websites does not constitute part of this document.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Vail Resorts, our talent philosophy is designed to enable us to fully achieve our mission and vision by ensuring we have the talent in place to deliver on our future growth plans. We are truly passionate about our people, and we are focused on attracting, developing and retaining the best talent and building the best teams around them. At fiscal year end, we employed approximately 7,600 year-round employees. Over the course of our Resorts’ various winter and summer operating seasons in Fiscal 2024, we employed approximately 44,900 seasonal employees. In addition, we employed approximately 300 year-round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employees and 200 seasonal employees on behalf of the owners of our managed hotel properties. We consider our employee relations to be positive.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Over the past several years, ongoing investments in frontline talent have driven strong staffing levels, with high engagement and season-to-season return rates, enabling our mountain resorts to deliver strong guest experience results, including on-mountain activities as well as at our restaurants, lodging, ski and ride school, and retail/rental locations. These investments included: (i) competitive wages and benefits for all of our hourly employees, including seasonal frontline staff; (ii) investments in our human resource systems and processes to support full staffing and deliver enhanced employee experience;</w:t>
      </w:r>
    </w:p>
    <w:p>
      <w:pPr>
        <w:spacing w:after="0" w:line="3" w:lineRule="exact"/>
        <w:rPr>
          <w:sz w:val="20"/>
          <w:szCs w:val="20"/>
          <w:color w:val="auto"/>
        </w:rPr>
      </w:pPr>
    </w:p>
    <w:p>
      <w:pPr>
        <w:jc w:val="both"/>
        <w:ind w:firstLine="8"/>
        <w:spacing w:after="0" w:line="253" w:lineRule="auto"/>
        <w:tabs>
          <w:tab w:leader="none" w:pos="32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differentiated frontline training and leadership development programming; (iv) mental health and wellness programming available for all employees, even if they are not enrolled in an employer-sponsored healthcare plan, which includes free mental health therapy sessions; and (v) unique employee benefits, including ski passes for employees and dependents, complementary ski/ride coupons and a 40% discount for retail and rental gear. Collectively, we believe these investments helped attract top frontline talent from the external market and drove strong frontline retention and return rates.</w:t>
      </w:r>
    </w:p>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The Vail Resorts talent philosophy recognizes that people are our most important asset in driving our business growth, and outlines the role that leaders play in attracting, developing, engaging, retaining and rewarding high performing, high potential talent, including supporting them to achieve their future career growth. Our talent management system equips leaders with programs and tools to effectively assess, develop and reward talent and includes regular leadership talent review and assessment processes to ensure that the caliber and capability of our talent aligns with the sophistication of our business strategies and processes. We also offer a variety of leadership development programs, which are available to everyone from entry-level seasonal frontline employees to our most senior executives. Our executive team reviews talent strategy and succession planning frequently, including with our Board of Directors, to assess current and future talent needs. We have a strong track record of hiring, developing and preparing high performing, high potential talent for internal mobility and succession. As a result, succession for our year-round senior leadership roles is primarily sourced through internal talent development and promotion, rather than external hires, with an internal fill rate of approximately 80% for Fiscal 2024. Our Chief Executive Officer was an internal successor appointed in November 2021, and over the past year, internal successors were selected for some of the most senior roles in our Company, including the Chief Information Officer and the General Counsel. Nearly all of our appointments of General Managers and Chief Operating Officers of our Resorts for the past three years came from internal succession. Additionally, in December 2022 we appointed a new Executive Vice President and Chief Financial Officer who had previously been with the Company for more than ten years, serving in various senior finance leadership roles.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ensure we are building high performing teams, we encourage every employee at every level within the Company to continuously grow their leadership by participating in ongoing events that build leadership capability and drive aligned leadership expectations to enable business outcomes. We host an annual leadership summit that brings together our leaders at the director level and above to build understanding and alignment to business priorities, explore emerging leadership topics and build connections across our growing global business and organization. In 2024, we expanded the leadership summit population of employees to include all manager level and above, creating separate, regional, in-person experiences for managers and senior managers across the Company to engage in leadership topics and connection opportunities relevant to their unique leadership roles. We offer ongoing digital leadership series discussions led by our executive team members and enterprise senior leaders for this same population throughout the year and equip leaders with tools and guides to share learnings and insights from these sessions in dialogue with their teams for the benefit of the entire organization. Our leadership philosophy has a very strong emphasis on emotional intelligence and a leader’s ability to understand their own impact on others, and shape that impact to unlock the potential of their teams.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broad range of professionally designed leadership development programs, with differentiated development for our highest performing, highest potential employees who make up our long-term leadership succession pipeline. Building upon our culture of leadership development for seasonal, frontline talent, we also provide our signature “Epic Service” training. This program inspires and equips frontline talent, who play the most important role in delivering a differentiated guest experience, to practice service-based leadership. We reinforce the principles of this program through a daily in-resort frontline recognition program and manager-led career development conversations for frontline staff. The full Epic Service development platform enables employees to choose curated learning experiences in Leadership, Guest Service and Business – that align with their motivations and career goals. Results are measured by completion of required training, utilization and impact of the Epic Service recognition program, employee engagement scores, internal frontline talent promotion rates, pipeline readiness of top internal frontline talent for frontline leader roles, and Guest Experience and Net Promoter Scores.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leverage a quarterly continuous listening survey to measure and understand the key drivers of sustainable engagement among our employees, make timely adjustments to maintain strong alignment, and to care for the needs of our employees.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auto"/>
        </w:rPr>
        <w:t>Vail Resorts Culture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Core to our human capital management strategy is our mission – to create an </w:t>
      </w:r>
      <w:r>
        <w:rPr>
          <w:rFonts w:ascii="Times New Roman" w:cs="Times New Roman" w:eastAsia="Times New Roman" w:hAnsi="Times New Roman"/>
          <w:sz w:val="18"/>
          <w:szCs w:val="18"/>
          <w:i w:val="1"/>
          <w:iCs w:val="1"/>
          <w:color w:val="auto"/>
        </w:rPr>
        <w:t>Experience of a Lifetime</w:t>
      </w:r>
      <w:r>
        <w:rPr>
          <w:rFonts w:ascii="Times New Roman" w:cs="Times New Roman" w:eastAsia="Times New Roman" w:hAnsi="Times New Roman"/>
          <w:sz w:val="18"/>
          <w:szCs w:val="18"/>
          <w:color w:val="auto"/>
        </w:rPr>
        <w:t xml:space="preserve"> for our employees so they can in turn create an </w:t>
      </w:r>
      <w:r>
        <w:rPr>
          <w:rFonts w:ascii="Times New Roman" w:cs="Times New Roman" w:eastAsia="Times New Roman" w:hAnsi="Times New Roman"/>
          <w:sz w:val="18"/>
          <w:szCs w:val="18"/>
          <w:i w:val="1"/>
          <w:iCs w:val="1"/>
          <w:color w:val="auto"/>
        </w:rPr>
        <w:t xml:space="preserve">Experience of a Lifetime </w:t>
      </w:r>
      <w:r>
        <w:rPr>
          <w:rFonts w:ascii="Times New Roman" w:cs="Times New Roman" w:eastAsia="Times New Roman" w:hAnsi="Times New Roman"/>
          <w:sz w:val="18"/>
          <w:szCs w:val="18"/>
          <w:color w:val="auto"/>
        </w:rPr>
        <w:t>for our guests. We have a values based leadership culture that places a premium on leader transparency, vulnerability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authenticity. We look for people to join Vail Resorts who are brave, passionate and ambitious. As Vail Resorts employees, we hold ourselves accountable for living these seven core values every day in everything we do: Serve Others, Do Right, Do Good, Be Safe, Have Fun, Be Inclusive and Drive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Diversity, Equity and Inclusion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diversity, equity and inclusion (“DEI”) is core to both our company success and the future growth of our industry. At Vail Resorts, one of our core values is “Be Inclusive,” which means that we expect everyone at our Company to be welcoming to others, including all races, gender identities, sexual orientations, abilities and other differences. We have a specific leadership competency, “Elevate,” which requires that all our leaders are self-aware of their own inclusive behavior so they can intentionally build diverse representation, bring equity to our business practices, and create inclusive communities in which all people can thrive. We are focused on continuing to move from accountability to action and have added “Elevate” as a competency in our annual performance management process for all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-5715</wp:posOffset>
            </wp:positionV>
            <wp:extent cx="4234815" cy="22631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3481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long history of building gender diversity throughout the Company. Women represent 54% of our corporate senior leaders at the director level and above and 52% of our corporate roles generally. Eight resorts in our portfolio are led by women, including five of our twelve destination mountain resorts (Vail, Park City, Keystone, Crested Butte, and Whistler Blackcomb). Six of the twelve directors on our Board are women, seven of our twelve executive committee members are women, we are one of only a few Fortune 1000 companies with women in both the Chief Financial Officer and Chief Executive Officer positions, and our Chief Executive Officer, Kirsten Lynch, is the only woman in our industry to head a Fortune 1000 company. While women currently represent approximately 22% of mountain operations senior leadership roles, we continue to strive to bring more gender diversity to these roles, which have historically been male-dominated. We have also developed women in leadership programs and a Women and Allies Employee Resource Group to foster an inclusive culture and ensure equity of our talent practices. Employee Resource Groups and Affinity Groups are part of a framework for under-represented talent to create a community with people who share those parts of their identity and their allies. Collectively, we refer to Employee Resource Groups and Affinity Groups as the “Employee Inclusion Network.” An Affinity Group is an employee-led group that provides voluntary connection opportunities for our employees to build supportive relationships with colleagues who identify similarly to one another. An Employee Resources Group is an employee-led group focused on driving systemic change through data-driven recommendations to processes, policies and programs to further Company goals of equity and inclusion. Our Employee Inclusion Network is currently made up of two Employee Resource Groups (Women and Allies &amp; Rainbow Room) and four Affinity Groups (Black Employee Network; Veterans, Partners and Allies; Asian and Pacific Islander and Allies; and La Comunidad - Latine/Hispanic Employees).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Building on our success with increasing representation of women, we are focused on improving racial diversity at Vail Resorts, as well as in our communities and our industry. We recognize that the future of the sport is inclusion, and the industry is facing a business imperative to inspire the next generation of diverse skiers and riders to join the sport. In the 2023/2024 North American ski season, our youth access programs served more than 12,000 youth who may not have otherwise had access to the sport from across 32 of our mountain communities, including Vail, Heavenly, and Park City, as well as from cities surrounding our regional ski areas, such as Boston, New York, Chicago, Detroit, Philadelphia, St. Louis, and more. Additionally, Vail Resorts offers the adaptive pass with discounted pricing for individuals with permanent disability to enjoy unlimited,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9" w:name="page20"/>
    <w:bookmarkEnd w:id="19"/>
    <w:p>
      <w:pPr>
        <w:jc w:val="both"/>
        <w:spacing w:after="0" w:line="253" w:lineRule="auto"/>
        <w:rPr>
          <w:sz w:val="20"/>
          <w:szCs w:val="20"/>
          <w:color w:val="auto"/>
        </w:rPr>
      </w:pPr>
      <w:r>
        <w:rPr>
          <w:rFonts w:ascii="Times New Roman" w:cs="Times New Roman" w:eastAsia="Times New Roman" w:hAnsi="Times New Roman"/>
          <w:sz w:val="18"/>
          <w:szCs w:val="18"/>
          <w:color w:val="auto"/>
        </w:rPr>
        <w:t>unrestricted access to all Vail Resorts owned and operated resorts plus limited access at partner resorts including Telluride Ski Resort in Colorado and Resorts of the Canadian Rockies. This year, nearly 3,400 Epic Adaptive passes were sold, and the Company continues to deepen partnerships with over 50 nonprofit organizations to offer adaptive programming for those with physical and mental barriers, providing impactful in-kind support including lift tickets, ski passes, and office space. Keystone was also selected by the National Brotherhood of Snowsports (“NBS”) as the host site for the 2025 NBS Summit to continue the welcoming experience the NBS community had at Vail Mountain in 2023. In service of this vision for the future of the sport, Vail Resorts is investing in building purposeful representation of talent from under-represented communities, embedding equity into leadership competencies and talent processes, and fostering an environment of inclusion where all employees are empowered to bring their full selves to work. Over the past four years, we have increased the representation of talent from under-represented communities in our senior leader positions, built leader capability to “Lead with Equity,” and ensured employees have the opportunity to connect and engage with peers who share an identity through the aforementioned Employee Inclusion Network. As part of our commitment to driving sustainable change, we are listening and learning as a company, and the Company is part of CEO Action, Colorado Inclusive Economy and Civic Alliance.</w:t>
      </w:r>
    </w:p>
    <w:p>
      <w:pPr>
        <w:spacing w:after="0" w:line="21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are committed to providing our employees with an </w:t>
      </w:r>
      <w:r>
        <w:rPr>
          <w:rFonts w:ascii="Times New Roman" w:cs="Times New Roman" w:eastAsia="Times New Roman" w:hAnsi="Times New Roman"/>
          <w:sz w:val="18"/>
          <w:szCs w:val="18"/>
          <w:i w:val="1"/>
          <w:iCs w:val="1"/>
          <w:color w:val="auto"/>
        </w:rPr>
        <w:t>Experience of a Lifetime</w:t>
      </w:r>
      <w:r>
        <w:rPr>
          <w:rFonts w:ascii="Times New Roman" w:cs="Times New Roman" w:eastAsia="Times New Roman" w:hAnsi="Times New Roman"/>
          <w:sz w:val="18"/>
          <w:szCs w:val="18"/>
          <w:color w:val="auto"/>
        </w:rPr>
        <w:t>. We have a holistic set of total rewards programs designed to support all aspects of that experience for people of all races and genders, and we strive for competitiveness against the external market for talent. In addition, as part of our “Be Inclusive” core value, we conduct regular pay equity audits and make adjustments as needed.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Code of Conduct states that every employee is entitled to work in a respectful environment that is free of harassment and discrimination and we require our full-time, year-round employees, as well as certain seasonal employees, to complete a Code of Conduct training on an annual basis. This annual requirement includes training on various topics, such as financial integrity, information security, ethical leadership and anti-harassment. In Fiscal 2024, the training was completed by 98% of this employee base.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Mountain Safety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nature of our on-mountain operations comes with inherent safety risks, and the health and safety of our employees is a top priority. It is the shared responsibility of every employee to actively participate in creating a safe and secure environment and to minimize injuries. To that end, we routinely:</w:t>
      </w:r>
    </w:p>
    <w:p>
      <w:pPr>
        <w:spacing w:after="0" w:line="189" w:lineRule="exact"/>
        <w:rPr>
          <w:sz w:val="20"/>
          <w:szCs w:val="20"/>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provide resources and education to promote safe operating environments at our resorts, including compliance with Occupational Safety and Health Administration standards, as well as to improve overall workplace safety and health. This includes regular and ongoing safety training and assessments as well as safety audits, and all employees are required to take annual slope safety training;</w:t>
      </w:r>
    </w:p>
    <w:p>
      <w:pPr>
        <w:ind w:left="660" w:hanging="328"/>
        <w:spacing w:after="0" w:line="249" w:lineRule="auto"/>
        <w:tabs>
          <w:tab w:leader="none" w:pos="655"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proactively assess risks to identify and mitigate unsafe conditions and integrate learnings from incidents to prevent future occurrences across our network of resorts;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Times New Roman" w:cs="Times New Roman" w:eastAsia="Times New Roman" w:hAnsi="Times New Roman"/>
          <w:sz w:val="18"/>
          <w:szCs w:val="18"/>
          <w:color w:val="auto"/>
        </w:rPr>
        <w:t>hire and train a dedicated health and safety team that oversees resort operations as well as highly trained ski patrol professionals at each resort.</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Employee Housing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identifying and securing affordable housing options is challenging in some of the communities in which we operate, providing frontline employees affordable housing in our resort communities is a critical aspect of the employee value proposition. For the 2024/2025 North American ski season, we expect to serve approximately 6,100 frontline team members with affordable housing across our Resorts, as well as an additional 1,200 team members at GTLC for the 2025 summer season.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development of intellectual property is part of our overall business strategy, and we regard our intellectual property as an important element of our success. Accordingly, we protect our intellectual property rights and seek to protect against its unauthorized use through international, national and state laws and common law rights. We file applications for and obtain trademark registrations and have filed for patents to protect inventions and will continue to do so where appropriate. We also seek to maintain our trade secrets and confidential information by nondisclosure policies and through the use of appropriate confidentiality agreements and contractual provisions.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highly competitive industry in which we operate, trademarks, service marks, trade names and logos are very important in the sales and marketing of our pass products, destination mountain resorts and regional ski areas, lodging properties and services. We seek to register and protect our trademarks, service marks, trade names and logos and have obtained a significant number of registrations for those trademarks. We believe our brands have become synonymous in the travel and leisure industry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0" w:name="page21"/>
    <w:bookmarkEnd w:id="20"/>
    <w:p>
      <w:pPr>
        <w:jc w:val="both"/>
        <w:spacing w:after="0" w:line="228" w:lineRule="auto"/>
        <w:rPr>
          <w:sz w:val="20"/>
          <w:szCs w:val="20"/>
          <w:color w:val="auto"/>
        </w:rPr>
      </w:pPr>
      <w:r>
        <w:rPr>
          <w:rFonts w:ascii="Times New Roman" w:cs="Times New Roman" w:eastAsia="Times New Roman" w:hAnsi="Times New Roman"/>
          <w:sz w:val="18"/>
          <w:szCs w:val="18"/>
          <w:color w:val="auto"/>
        </w:rPr>
        <w:t xml:space="preserve">with a reputation for excellence in service and authentic hospitality. Among other national and international trademark registrations, the Company owns U.S. federal registrations for </w:t>
      </w:r>
      <w:r>
        <w:rPr>
          <w:rFonts w:ascii="Times New Roman" w:cs="Times New Roman" w:eastAsia="Times New Roman" w:hAnsi="Times New Roman"/>
          <w:sz w:val="18"/>
          <w:szCs w:val="18"/>
          <w:i w:val="1"/>
          <w:iCs w:val="1"/>
          <w:color w:val="auto"/>
        </w:rPr>
        <w:t>Epic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Epic Pass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Vail Resorts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Vail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Beaver Creek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Breckenridge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Keystone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Crested Butte &amp; Design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Kirkwood &amp;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Design</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Heavenly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 also owns Canadian and U.S. trademark registrations for the</w:t>
      </w:r>
      <w:r>
        <w:rPr>
          <w:rFonts w:ascii="Times New Roman" w:cs="Times New Roman" w:eastAsia="Times New Roman" w:hAnsi="Times New Roman"/>
          <w:sz w:val="18"/>
          <w:szCs w:val="18"/>
          <w:i w:val="1"/>
          <w:iCs w:val="1"/>
          <w:color w:val="auto"/>
        </w:rPr>
        <w:t xml:space="preserve"> Whistler Blackcomb &amp; Design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 and logo,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Swiss trademark registrations for the </w:t>
      </w:r>
      <w:r>
        <w:rPr>
          <w:rFonts w:ascii="Times New Roman" w:cs="Times New Roman" w:eastAsia="Times New Roman" w:hAnsi="Times New Roman"/>
          <w:sz w:val="18"/>
          <w:szCs w:val="18"/>
          <w:i w:val="1"/>
          <w:iCs w:val="1"/>
          <w:color w:val="auto"/>
        </w:rPr>
        <w:t>CMA Group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Giorgio Rocca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name and logos.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Compliance and other Laws and Regulations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subject to federal, state and local laws and regulations governing the environment, including laws and regulations governing water and sewer discharges, water use, air emissions, soil and groundwater contamination, the maintenance of underground and aboveground storage tanks and the disposal of waste and hazardous materials. Examples of such laws and regulations in the U.S. include the National Environmental Policy Act (NEPA), the California Environmental Quality Act and the Vermont Land Use and Development Act. Internationally, we are subject to the Forest and Range Practices Act and Watershed Sustainability Act in British Columbia as well as the Environmental Planning and Assessment Act 1979 (NSW, Australia) and the Environment Protection Act 1970 and the Environment Protection and Biodiversity Conservation Act 1999 (Victoria, Australia). We are also required to comply with all Swiss regulations, including federal acts and ordinances, as well as Cantonal authorities.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Various federal, state, local and provincial regulations also govern our resort operations, including liquor licensing and food safety regulations applicable to our food and beverage operations and safety standards relating to our lift operations and heli-ski operations at Whistler Blackcomb. In addition, each resort is subject to and must comply with state, county, regional and local government land use regulations and restrictions, including, for example, employee housing ordinances, zoning and density restrictions, noise ordinances and wildlife, water and air quality regulations. We believe that we are in compliance, in all material respects, with environmental and other laws and regulations. Compliance with such provisions has not materially impacted our capital expenditures, earnings, or competitive position, and we do not anticipate that it will have a material impact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Contracts with Governmental Authorities for Resort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Forest Service Resorts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operations of Breckenridge, Vail Mountain, Keystone, Crested Butte, Stevens Pass, Heavenly, Kirkwood, Mount Snow, Attitash and portions of Beaver Creek and Wildcat are conducted on land under the jurisdiction of the U.S. Forest Service (collectively, the “Forest Service Resorts”). The 1986 Ski Area Permit Act (the “1986 Act”) allows the Forest Service to grant Term Special Use Permits (each, a “SUP”) for the operation of ski areas and construction of related facilities on National Forest lands. In November 2011, the 1986 Act was amended by the Ski Area Recreational Opportunity Enhancement Act (the “Enhancement Act”) to clarify the Forest Service’s authority to approve facilities primarily for year-round recreation. Under the 1986 Act and the Enhancement Act, the Forest Service has the authority to review and approve the location, design and construction of improvements in the permit area and many operational matters.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individual national forest is required by the National Forest Management Act to develop and maintain a Land and Resource Management Plan (a “Forest Plan”), which establishes standards and guidelines for the Forest Service to follow and consider in reviewing and approving our proposed actions.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Each of the Forest Service Resorts operates under a SUP, and the acreage and expiration date information for each SUP is as follows:</w:t>
      </w:r>
    </w:p>
    <w:p>
      <w:pPr>
        <w:spacing w:after="0" w:line="246" w:lineRule="exact"/>
        <w:rPr>
          <w:sz w:val="20"/>
          <w:szCs w:val="20"/>
          <w:color w:val="auto"/>
        </w:rPr>
      </w:pPr>
    </w:p>
    <w:tbl>
      <w:tblPr>
        <w:tblLayout w:type="fixed"/>
        <w:tblInd w:w="2920" w:type="dxa"/>
        <w:tblCellMar>
          <w:top w:w="0" w:type="dxa"/>
          <w:left w:w="0" w:type="dxa"/>
          <w:bottom w:w="0" w:type="dxa"/>
          <w:right w:w="0" w:type="dxa"/>
        </w:tblCellMar>
      </w:tblPr>
      <w:tr>
        <w:trPr>
          <w:trHeight w:val="190"/>
        </w:trPr>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Forest Service Resort</w:t>
            </w:r>
          </w:p>
        </w:tc>
        <w:tc>
          <w:tcPr>
            <w:tcW w:w="118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Acres</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r>
      <w:tr>
        <w:trPr>
          <w:trHeight w:val="23"/>
        </w:trPr>
        <w:tc>
          <w:tcPr>
            <w:tcW w:w="2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23"/>
        </w:trPr>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Breckenridge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5,702</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2029</w:t>
            </w:r>
          </w:p>
        </w:tc>
      </w:tr>
      <w:tr>
        <w:trPr>
          <w:trHeight w:val="230"/>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Vail Mountain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12,353</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1, 2031</w:t>
            </w:r>
          </w:p>
        </w:tc>
      </w:tr>
      <w:tr>
        <w:trPr>
          <w:trHeight w:val="229"/>
        </w:trPr>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Keystone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8,376</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31, 2032</w:t>
            </w:r>
          </w:p>
        </w:tc>
      </w:tr>
      <w:tr>
        <w:trPr>
          <w:trHeight w:val="229"/>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Beaver Creek</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3,801</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8, 2039</w:t>
            </w:r>
          </w:p>
        </w:tc>
      </w:tr>
      <w:tr>
        <w:trPr>
          <w:trHeight w:val="230"/>
        </w:trPr>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Heavenly</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7,050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May 1, 2042</w:t>
            </w:r>
          </w:p>
        </w:tc>
      </w:tr>
      <w:tr>
        <w:trPr>
          <w:trHeight w:val="229"/>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Mount Snow</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894</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4, 2047</w:t>
            </w:r>
          </w:p>
        </w:tc>
      </w:tr>
      <w:tr>
        <w:trPr>
          <w:trHeight w:val="230"/>
        </w:trPr>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Attitash</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279</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2047</w:t>
            </w:r>
          </w:p>
        </w:tc>
      </w:tr>
      <w:tr>
        <w:trPr>
          <w:trHeight w:val="229"/>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Wildcat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953</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18, 2050</w:t>
            </w:r>
          </w:p>
        </w:tc>
      </w:tr>
      <w:tr>
        <w:trPr>
          <w:trHeight w:val="229"/>
        </w:trPr>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Kirkwood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2,330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1, 2052</w:t>
            </w:r>
          </w:p>
        </w:tc>
      </w:tr>
      <w:tr>
        <w:trPr>
          <w:trHeight w:val="230"/>
        </w:trPr>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Stevens Pass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2,443</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31, 2058</w:t>
            </w:r>
          </w:p>
        </w:tc>
      </w:tr>
      <w:tr>
        <w:trPr>
          <w:trHeight w:val="229"/>
        </w:trPr>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Crested Butte</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4,350</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27, 2058</w:t>
            </w: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requesting a new SUP for each Forest Service Resort prior to its expiration date as provided by Forest Service regulations and the terms of each existing SUP. We are not aware of the Forest Service refusing to issue a new SUP to replace an expiring SUP for a ski resort in operation at the time of expiration. The Forest Service can also terminate a SUP if it determines that termination is required in the public interest. However, to our knowledge, no SUP has ever been terminated by the Forest Service over the opposition of the permit holder.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SUP contains a number of requirements, including indemnifying the Forest Service from third-party claims arising out of our operation under the SUP and compliance with applicable laws, such as those relating to water quality and endangered or threatened species. For use of the land authorized by the SUPs, we pay a fee to the Forest Service ranging from 1.5% to 4.0% of adjusted gross revenue for activities authorized by the SUPs. Included in the calculation are sales from, among other things, lift tickets, pass products, ski school lessons, food and beverage, certain summer activities, equipment rentals and retail merchandise.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SUPs may be revised or amended to accommodate changes initiated by us or by the Forest Service to change the permit area or permitted uses. The Forest Service may amend a SUP if it determines that such amendment is in the public interest. While the Forest Service is required to seek the permit holder’s consent to any amendment, an amendment can be finalized over a permit holder’s objection. Permit amendments must be consistent with the Forest Plan and are subject to the provisions of the National Environmental Policy Act (“NEPA”), both of which are discussed below.</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1986 Act requires a Master Development Plan (“MDP”) for each ski area that is granted a SUP, and all improvements that we propose to make on National Forest System lands under any of our SUPs must be included in a MDP, which describes the existing and proposed facilities, developments and area of activity within the permit area. The MDPs are reviewed by the Forest Service for compliance with the Forest Plan and other applicable laws and, if found to be compliant, are accepted by the Forest Service. Notwithstanding acceptance by the Forest Service of the conceptual MDPs, individual projects still require separate applications and compliance with NEPA and other applicable laws before the Forest Service will approve such projects. We update or amend our MDPs for our Forest Service Resorts from time to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Whistler Blackcomb</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Whistler Blackcomb is comprised of two mountains: Whistler Mountain and Blackcomb Mountain. Whistler Mountain and Blackcomb Mountain are located on Crown Land within the traditional territory of the Squamish and Lil’wat Nations. The relationship between Whistler Blackcomb and Her Majesty, the Queen in Right of British Columbia (the “Province”) is largely governed by Master Development Agreements (the “MDAs”) between the Province and Whistler Mountain Resort Limited Partnership (“Whistler LP”) with respect to Whistler Mountain, and between the Province and Blackcomb Skiing Enterprises Limited Partnership (“Blackcomb LP”) with respect to Blackcomb Mountain. Together, Whistler LP and Blackcomb LP are referred to as the “Partnerships.”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MDAs, which were entered into in February 2017, have a term of 60 years (expiring on February 23, 2077) and are replaceable for an additional 60 years by option exercisable by the Partnerships after the first 30 years of the initial term. In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2" w:name="page23"/>
    <w:bookmarkEnd w:id="22"/>
    <w:p>
      <w:pPr>
        <w:jc w:val="both"/>
        <w:spacing w:after="0" w:line="282" w:lineRule="auto"/>
        <w:rPr>
          <w:sz w:val="20"/>
          <w:szCs w:val="20"/>
          <w:color w:val="auto"/>
        </w:rPr>
      </w:pPr>
      <w:r>
        <w:rPr>
          <w:rFonts w:ascii="Times New Roman" w:cs="Times New Roman" w:eastAsia="Times New Roman" w:hAnsi="Times New Roman"/>
          <w:sz w:val="18"/>
          <w:szCs w:val="18"/>
          <w:color w:val="auto"/>
        </w:rPr>
        <w:t>accordance with the MDAs, the Partnerships are obligated to pay annual fees to the Province at a percentage of gross revenues related to the operation of certain activities at Whistler Blackcomb.</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MDAs require that each of the mountains be developed, operated and maintained in accordance with its respective master plan, which contains requirements as to matters such as trail design and development, passenger lift development and environmental concerns. The MDAs grant a general license to use the Whistler Mountain lands and the Blackcomb Mountain lands for the operation and development of Whistler Blackcomb. The MDAs also provide for the granting of specific tenures of land owned by the Province to the Whistler LP or the Blackcomb LP, as applicable, by way of rights-of-way, leases or licenses. Each Partnership is permitted to develop new improvements to Whistler Mountain or Blackcomb Mountain, as the case may be, within standard municipal type development control conditions. We are obligated to indemnify the Province from third-party claims arising out of our operations under the MDAs.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Northeast Resorts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Stowe and Okemo operate partially on land that we own and partially on land we lease from the State of Vermont. With respect to Stowe, the land we own is on the Spruce Peak side of the resort while the land we lease from the State of Vermont is located on Mt. Mansfield in the Mt. Mansfield State Forest. The initial ten-year term of the lease commenced in June 1967, and the lease provides for eight separate ten-year extension options. The current term of the lease extends through June 2027, and there are three remaining ten-year extension options. With respect to Okemo, we own the Jackson Gore base area land and lease most of the skiable terrain from the State of Vermont. The initial ten-year term of the lease commenced in December 1963, and the lease provides for eight separate ten-year extension options. The current term of the lease extends through December 2033, and there are two remaining ten-year extension options. Under both leases, the land can be used for the development and operation of a ski area including ski trails, ski lifts, warming shelters, restaurants and maintenance facilities. For use of the land under the leases, we pay a fee to the State of Vermont based on revenue for activities authorized by the lease, such as lift tickets, pass products, food and beverage, summer activities and retail merchandise. We are obligated to indemnify the State of Vermont from third-party claims arising out of our operations under the lease.</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Mount Sunapee lies within the Mount Sunapee State Park and operates on land that we lease from the State of New Hampshire. The initial twenty-year term of the lease commenced in July 1998, and the lease provides for three separate ten-year extension options. The current term of the lease extends through June 2028, and there are two remaining ten-year extension options. The land can be managed and operated as a ski area and summer recreational facility, including all of its support activities, to provide year-round outdoor recreation. For use of the land under the lease, we pay a fee to the State of New Hampshire that includes both a base fee and a fee based on revenue from activities authorized by the lease, such as lift tickets, pass products, food and beverage, summer activities and retail merchandise. We are obligated to indemnify the State of New Hampshire from third-party claims arising out of our operations under the lease.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Laurel Mountain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Laurel Mountain Ski Area operates within Laurel Mountain State Park (“State Park”) under a Concession Lease Agreement (the “Lease Agreement”) with the Commonwealth of Pennsylvania, acting through the Department of Conservation and Natural Resources (“Department”). The Lease Agreement, first entered into on October 15, 2018, allows for ski operations on approximately 387 acres of the State Park, including the existing ski area, buildings and equipment owned by the Department. The Lease Agreement is automatically renewed for a total of 35 one-year terms through October 31, 2051. We pay a fixed annual rent, as well and an additional amount based on the number of skier visits, with a cap subject to semi-annual consumer price index adjustments.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Australian Resorts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Perisher is located in the Kosciuszko National Park, the largest national park in New South Wales, Australia. The resort includes four villages (Perisher Valley, Smiggin Holes, Guthega and Blue Cow) and their associated ski fields, as well as the site of the Skitube Alpine Railway at Bullock’s Flat, which is accredited in accordance with the Rail Safety National Law (NSW) No. 82a. The Office of Environment and Heritage (“OEH”), an agency of the New South Wales government, which is part of the Department of Planning and Environment, is responsible for the protection and conservation of the Kosciuszko National Park. The National Parks and Wildlife Act 1974 (NSW) (“NPW Act”) establishes the National Parks and Wildlife Service and is responsible for the control and management of the Kosciusko National Park.</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NPW Act requires the Kosciuszko National Park to be managed in accordance with the principles specified in that legislation, including the provision for sustainable visitor or tourist use and enjoyment that is compatible with the conservation of the national park’s natural and cultural values. The legislation also authorizes the Minister for the Environment and the Minister for Heritage (the “Minister”) to grant leases and licenses of land within the Kosciuszko National Park for various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purposes, including for purposes related to sustainable visitor or tourist use and enjoyment. Under this power, the Minister has granted to Perisher a lease and a license of specified land within the Kosciusko National Park until June 30, 2048, with an option to renew for an additional period of 20 years. The Minister has also granted Perisher a lease of the parking lot at Perisher Valley that expires on December 31, 2025. Subject to certain conditions being met, the lease for the Perisher Valley parking lot can be extended until June 30, 2048, with an option to renew for a further 20 years. The lease and license provide for the payment of a minimum annual base rent with periodic increases in base rent over the term, turnover rent payments based on a percentage of certain gross revenue, remittance of park user fees and certain other charges, also subject to periodic increases over the term.</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Falls Creek and Hotham are located in the Alpine National Park in Victoria, Australia. Falls Creek and Hotham both operate on Crown land permanently reserved under the </w:t>
      </w:r>
      <w:r>
        <w:rPr>
          <w:rFonts w:ascii="Times New Roman" w:cs="Times New Roman" w:eastAsia="Times New Roman" w:hAnsi="Times New Roman"/>
          <w:sz w:val="18"/>
          <w:szCs w:val="18"/>
          <w:i w:val="1"/>
          <w:iCs w:val="1"/>
          <w:color w:val="auto"/>
        </w:rPr>
        <w:t>Crown Land (Reserves) Act 1978</w:t>
      </w:r>
      <w:r>
        <w:rPr>
          <w:rFonts w:ascii="Times New Roman" w:cs="Times New Roman" w:eastAsia="Times New Roman" w:hAnsi="Times New Roman"/>
          <w:sz w:val="18"/>
          <w:szCs w:val="18"/>
          <w:color w:val="auto"/>
        </w:rPr>
        <w:t xml:space="preserve"> (Vic), with the exception of three small parcels of freehold land within the Hotham resort area. Each resort is subject to the </w:t>
      </w:r>
      <w:r>
        <w:rPr>
          <w:rFonts w:ascii="Times New Roman" w:cs="Times New Roman" w:eastAsia="Times New Roman" w:hAnsi="Times New Roman"/>
          <w:sz w:val="18"/>
          <w:szCs w:val="18"/>
          <w:i w:val="1"/>
          <w:iCs w:val="1"/>
          <w:color w:val="auto"/>
        </w:rPr>
        <w:t>Alpine Resorts (Management) Act 1997</w:t>
      </w:r>
      <w:r>
        <w:rPr>
          <w:rFonts w:ascii="Times New Roman" w:cs="Times New Roman" w:eastAsia="Times New Roman" w:hAnsi="Times New Roman"/>
          <w:sz w:val="18"/>
          <w:szCs w:val="18"/>
          <w:color w:val="auto"/>
        </w:rPr>
        <w:t xml:space="preserve"> (Vic) (the “ARM Act”), which is in place to manage the development, promotion, management and use of the resorts on a sustainable basis and in a manner that is compatible with the alpine environment. The ARM Act established the Alpine Resorts Commission to plan for the direction and sustainable growth of Victoria’s five alpine resorts (including Falls Creek and Hotham). This includes review and coordination of the implementation of an Alpine Resorts Strategic Plan to which Falls Creek and Hotham are subject.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ARM Act also established each of the Falls Creek Resort Management Board and Hotham Resort Management Board (the “RMBs”), each of which is appointed by, and responsible to, the Minister for Energy, Environment and Climate Change (the “Minister”). The RMBs are responsible for the management and collection of fees for entrance into the Alpine National Park and from Falls Creek and Hotham ski resorts. The ARM Act authorizes the RMBs to grant leases subject to Ministerial approval, and under this power, the entities operating the Hotham and Falls Creek resorts have each been leased land within the Alpine National Park under various long-term leases with differing expiration dates. The main lease for the ski field at Falls Creek expires December 31, 2040, while the main lease for the ski field at Hotham expires December 31, 2057. The key ski field leases provide for the payment of rent with both a fixed and variable component, a community service charge payable to the ARCC and a ski patrol contribution payable to RMBs. At Hotham, we also lease land known as ‘Dinner Plain’ within the Alpine National Park which expires on June 30, 2031, with an option to extend for a further 10 years.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Alpine Resorts (Management) Regulations 2009</w:t>
      </w:r>
      <w:r>
        <w:rPr>
          <w:rFonts w:ascii="Times New Roman" w:cs="Times New Roman" w:eastAsia="Times New Roman" w:hAnsi="Times New Roman"/>
          <w:sz w:val="18"/>
          <w:szCs w:val="18"/>
          <w:color w:val="auto"/>
        </w:rPr>
        <w:t xml:space="preserve"> (Vic) gives the RMBs the power to declare the snow season, temporarily close the resort to entry if there is a significant danger to public safety, determine parts of a resort to which entry is prohibited, set aside areas of the resort for public use, parking, driving of vehicles, or landing of aircraft, and determine the areas for cross country ski trails, skiing, snowboarding and other snow play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Swiss Resorts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Andermatt-Sedrun - </w:t>
      </w:r>
      <w:r>
        <w:rPr>
          <w:rFonts w:ascii="Times New Roman" w:cs="Times New Roman" w:eastAsia="Times New Roman" w:hAnsi="Times New Roman"/>
          <w:sz w:val="18"/>
          <w:szCs w:val="18"/>
          <w:color w:val="auto"/>
        </w:rPr>
        <w:t>acquired by the Company on August 3, 2022, Andermatt-Sedrun is located in the Usern Valley of the Swiss Alps and comprises five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mountains (Gemsstock, Nätschen, Sedrun/Oberalp, Realp and Valtgeva). Ski operations are conducted on land owned by Andermatt Swiss Alps AG (“ASA”) as freehold or leasehold properties, land owned by Usern Corporation, land owned by the municipality of Tujetsch and land owned by private property owners.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ASA holds three leasehold properties, which are owned by either Usern Corporation, a corporation under public law consisting of all the citizens of the Usern Valley, or the Swiss Confederation, namely the Federal Department of Defense, Civil Protection, and Sport (“DDPS”). For the land owned by Usern Corporation, ASA and Usern Corporation have entered into a main framework concession agreement, dated August 13, 2013, which sets forth the terms and conditions for the use of the land in connection with ski infrastructure facilities in the Gemsstock and Nätschen-Gütsch-Oberalp areas (“Ursern Framework Concession”). The Ursern Framework Concession was entered into for a fixed term until December 31, 2032. An application for renewal of the Ursern Framework Concession must be submitted at least 12 months prior to the expiration of the concession agreement, and we anticipate applying for the</w:t>
      </w:r>
    </w:p>
    <w:p>
      <w:pPr>
        <w:spacing w:after="0" w:line="1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renewal. For the land owned by the Swiss Confederation, ASA has entered into leasehold agreements with the DDPS, which have a term of 50 years expiring on April 10, 2067 and March 13, 2068.</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Another part of the land on which the Andermatt-Sedrun resort operations are conducted is owned by the municipality of Tujetsch. By means of a personal easement agreement dated October 12, 2012, ASA was granted various building rights and rights of way in order to build, operate and maintain the T-Bars and chairlifts on Tujetsch's property. The personal easement agreement was entered into for a fixed term until October 12, 2032, and we anticipate applying for renewal.</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respect to Swiss operations, companies who provide for regular and commercial passenger transportation by rail, road and water as well as by cable cars and elevators must obtain a passenger transport concession from the Federal Office of Transport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4" w:name="page25"/>
    <w:bookmarkEnd w:id="24"/>
    <w:p>
      <w:pPr>
        <w:jc w:val="both"/>
        <w:spacing w:after="0" w:line="256" w:lineRule="auto"/>
        <w:rPr>
          <w:sz w:val="20"/>
          <w:szCs w:val="20"/>
          <w:color w:val="auto"/>
        </w:rPr>
      </w:pPr>
      <w:r>
        <w:rPr>
          <w:rFonts w:ascii="Times New Roman" w:cs="Times New Roman" w:eastAsia="Times New Roman" w:hAnsi="Times New Roman"/>
          <w:sz w:val="18"/>
          <w:szCs w:val="18"/>
          <w:color w:val="auto"/>
        </w:rPr>
        <w:t>(“FOT”). Under the Ursern Framework Concession, ASA was granted the required concessions for all ski infrastructure facilities and the usage of the ski slopes on the property of the Ursern Corporation. In the course of expanding the ski infrastructure facilities Urserntal-Oberalp, the FOT granted ASA passenger transport concessions for a total of 12 cableway installations by means of a plan approval dated May 30, 2014. Each passenger transport concession has a separate expiration date between 2026 and 2042, and we will then be able to apply for an extension or new concession. Additionally, the plan approval included concessions and approvals for ancillary installations such as ski slopes, snowmaking systems, rolling carpets, railway station passenger subway and clearings.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Crans-Montana - </w:t>
      </w:r>
      <w:r>
        <w:rPr>
          <w:rFonts w:ascii="Times New Roman" w:cs="Times New Roman" w:eastAsia="Times New Roman" w:hAnsi="Times New Roman"/>
          <w:sz w:val="18"/>
          <w:szCs w:val="18"/>
          <w:color w:val="auto"/>
        </w:rPr>
        <w:t>acquired by the Company on May 2, 2024, Crans-Montana is located in the Valais canton of Switzerland. The acquired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an approximate 84% ownership stake in Remontées Mécaniques Crans Montana Aminona SA (“CMA”), which controls and operates all the resort’s lifts and supporting mountain operations, including four retail and rental locations; full ownership of SportLifeAG, which operates one of the ski schools located at the resort; and full ownership of 11 restaurants located on and around the mountain (operated by Crans-Montana Food and Beverage SA, or “CMFB”).</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municipalities of Crans-Montana and Lens hold a stake in CMA of approximately 9.47% and 3.33%, respectively, which, together with our ownership share, collectively accounts for a total of approximately 96.22% ownership. For the purpose of governing the exercise of selected rights and obligations as shareholders in CMA, we entered into a shareholders’ agreement with the municipalities of Crans-Montana and Lens. The initial fixed term of the agreement expires on December 31, 2035, subject to future automated ten-year renewal periods, unless terminated by us or the municipalities acting jointly. Among other things, the shareholders’ agreement provides for terms and conditions in relation to the election and governance of the board of directors, company policies, dividends, financial aspects and related matters.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operations of the resort are conducted on land owned by CMA or CMFB as freehold or leasehold properties, land owned by regional civic communities, land owned by the municipalities of Crans-Montana or Lens and land owned by private property owners. Portions of the Crans-Montana resort operations are conducted on land owned by third parties, including local municipalities, via numerous registered easements, building rights, or other agreements. Certain of these building rights are also subject to federal concessions.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noted above, companies who provide for regular and commercial passenger transportation by rail, road and water as well as by cable cars and elevators must obtain a passenger transport concession from the FOT. Crans-Montana was granted the required concessions for all ski infrastructure facilities and the usage of the ski slopes. Each passenger transport concession is granted for a maximum of 40 years and may then be extended, with the existing concessions having expiration dates between 2032 and 2047.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Concession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Park Concessioner Properties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GTLC operates three lodging properties, food and beverage services, retail, camping and other services within the Grand Teton National Park under a concession agreement with the NPS. Our concession agreement with the NPS for GTLC, which had an initial term expiration date of December 31, 2021, was amended in June 2021 to extend the term to December 31, 2023. Additionally, in November 2023, we agreed to an amendment to the agreement extending the term until December 31, 2024. The NPS currently expects to release a contract solicitation for the services offered by GTLC by the end of calendar year 2024. We currently expect that our existing agreement will be extended for an additional one year through December 31, 2025 due to the time needed for solicitation, preparation, review and award of a new contract. We expect the NPS to confirm this extension in the fall of 2024. We pay a fee to the NPS of a percentage of the majority of our sales occurring in Grand Teton National Park.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Flagg Ranch Company, a wholly-owned subsidiary, provides lodging, food and beverage services, retail, service station, recreation and other services on the Parkway located between Grand Teton National Park and Yellowstone National Park. Our concession contract with the NPS for the Parkway expires on October 31, 2028, and we pay a fee to the NPS of a percentage of the majority of our sales occurring in the Parkway.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expiration of these concession contracts, we will have the opportunity to bid against other prospective concessioners for award of a new contract. The NPS may suspend operations under the concession contract at any time if the NPS determines it is necessary to protect visitors or resources within the Grand Teton National Park or during a Federal Government shutdown. The NPS may also terminate the concession contract for breach, following notice and a 15 day cure period or if it believes termination is necessary to protect visitors or resources within the Grand Teton National Park.</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 “Exchange Act”). These reports and proxy statements are available free of charge on our corporate website </w:t>
      </w:r>
      <w:r>
        <w:rPr>
          <w:rFonts w:ascii="Times New Roman" w:cs="Times New Roman" w:eastAsia="Times New Roman" w:hAnsi="Times New Roman"/>
          <w:sz w:val="18"/>
          <w:szCs w:val="18"/>
          <w:u w:val="single" w:color="auto"/>
          <w:color w:val="auto"/>
        </w:rPr>
        <w:t>www.vailresorts.com</w:t>
      </w:r>
      <w:r>
        <w:rPr>
          <w:rFonts w:ascii="Times New Roman" w:cs="Times New Roman" w:eastAsia="Times New Roman" w:hAnsi="Times New Roman"/>
          <w:sz w:val="18"/>
          <w:szCs w:val="18"/>
          <w:color w:val="auto"/>
        </w:rPr>
        <w:t xml:space="preserve"> as soon as reasonably practicable after they are electronically filed with or furnished to the SEC. We also use our website as a means of disclosing additional information, including for complying with our disclosure obligations under the SEC’s Regulation FD (Fair Disclosure). Information on our websites does not constitute part of this document. Materials filed with or furnished to the SEC are also made available on its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that could adversely affect our financial position, results of operations and cash flows. The risks described below should carefully be considered together with the other information contained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the risk of prolonged weakness in general economic conditions including adverse effects on the overall travel and leisure related industries.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Skiing, travel and tourism are discretionary recreational activities that can entail a relatively high cost of participation and may be adversely affected by economic slowdown or recession. Economic conditions in North America, Europe and parts of the rest of the world, including inflationary pressures, elevated interest rates, supply chain disruption, fluctuating commodity pricing, geopolitical conflicts and uncertainties, increased labor costs and shortages, increased fuel prices, high unemployment, erosion of consumer confidence, health pandemics, sovereign debt issues and financial instability in the global markets, among other factors, could have negative effects on the travel and leisure industry and on our results of operations. As a result of these and other economic uncertainties, we have experienced and may continue to experience changes in booking trends including guest reservations made much closer to the actual date of stay, a decrease in the length of stay, a decrease in consumer spending and/or a decrease in group bookings. We cannot predict what further impact these uncertainties may continue to have on overall travel and leisure or more specifically, on our guest visitation, guest spending or other related trends and the ultimate impact it will have on our results of operations. Additionally, the actual or perceived fear of weakness in the economy could also lead to decreased spending by our guests. This could be further exacerbated by the fact that we charge some of the highest prices for single day lift tickets and ancillary services in the ski industry; however, we offer pass products, including the Epic Day Pass, which are available at a discount to the single day lift ticket prices. In the event of a decrease in visitation and overall guest spending we may decide we need to offer a higher amount of discounts and incentives than we have historically, which would adversely impact our operating results. Our Resorts also serve as a destination for international guests. To the extent there are material changes in exchange rates relative to the U.S. dollar or travel restrictions in place due to inflation, geopolitical conflicts or uncertainties, health pandemics or other factors, it could impact the volume of international visitation, which could have a significant impact on our operating results.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adversely impacted by the effects of high or prolonged inflation and elevated interest rates.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 increases the cost of goods we purchase and services we buy, the cost of capital projects and wages and benefits for our workforce. Although we may take measures to mitigate the impact of inflation through pricing actions or cost reduction measures, if we are not able to offset inflationary costs, our results of operations will be negatively impacted and possibly in a material manner. As a result, the impact of high and prolonged inflation could have a material adverse effect on our business, financial condition, or results of operations. Inflationary pressures also increase the cost of living and cost of travel, which decreases consumers’ disposable income and could impact our guests’ discretionary spending habits or willingness to visit our Resorts, which could reduce customer demand for the products and services that we offer and negatively impact our financial condition or our results of operations. In addition, the existence of inflation in certain economies has resulted in, and may continue to result in, elevated interest rates. Our business could be adversely impacted by increases in the cost of borrowing from elevated interest rates. Elevated interest rates increase the borrowing costs on new debt, including debt we may refinance, as well as any existing variable rate indebtedness, and could affect the fair value of our investments.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vulnerable to unfavorable weather conditions and the impact of natural disasters.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attract guests to our Resorts is partly influenced by weather conditions and by the amount and timing of snowfall during the ski season. Unfavorable weather conditions can adversely affect skier visits and our revenue and profits. Unseasonably warm weather may result in inadequate natural snowfall and reduce skiable terrain, which increases the cost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snowmaking and could render snowmaking, wholly or partially, ineffective in maintaining quality skiing conditions, including in areas which are not accessible by snowmaking equipment. On the other hand, excessive natural snowfall may significantly increase the costs incurred to groom trails and may make it difficult for guests to access our Resorts.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there is scientific research that emissions of greenhouse gases continue to alter the composition of the global atmosphere in ways that are affecting and are expected to continue affecting the global climate. The effect of climate change, including any impact of global warming, could have a material adverse effect on our results of operations as a result of decreased snowfall, increased weather variability and/or warmer overall temperatures,</w:t>
      </w:r>
    </w:p>
    <w:p>
      <w:pPr>
        <w:spacing w:after="0"/>
        <w:rPr>
          <w:sz w:val="20"/>
          <w:szCs w:val="20"/>
          <w:color w:val="auto"/>
        </w:rPr>
      </w:pPr>
      <w:r>
        <w:rPr>
          <w:rFonts w:ascii="Times New Roman" w:cs="Times New Roman" w:eastAsia="Times New Roman" w:hAnsi="Times New Roman"/>
          <w:sz w:val="18"/>
          <w:szCs w:val="18"/>
          <w:color w:val="auto"/>
        </w:rPr>
        <w:t>which could adversely affect skier visits and our revenue and profits. Revenues and profits generated from mountain summer activities/sightseeing and golf</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peak season operations are not nearly sufficient to off-set off-season losses from our other mountain and lodging operations. This impact could be exacerbated by climate change.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can be no assurance that our Resorts will receive seasonal snowfalls near their historical averages. An example of weather variability was observed throughout the 2023/2024 North American ski season, where significant weather-related challenges disrupted operating days and impacted demand, including lower snowfall for the full winter season compared to the prior year period across our western North American resorts and limited natural snow and variable temperatures at our Eastern U.S. resorts (comprising the Midwest, Mid-Atlantic, and Northeast). Past ski season snowfall levels or consistency of snow conditions can impact sales of pass products or other advanced bookings. Additionally, the early season snow conditions and skier perceptions of early season snow conditions can influence the momentum and success of the overall ski season. Unfavorable weather conditions can adversely affect our Resorts and lodging properties as guests tend to delay or postpone vacations if conditions differ from those that are typical at such Resorts for a given season. Although we have created geographic diversification to help mitigate the impact of weather variability, there is no way for us to predict future weather patterns or the impact that weather patterns may have on our results of operations or visitation.</w:t>
      </w:r>
    </w:p>
    <w:p>
      <w:pPr>
        <w:spacing w:after="0" w:line="21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severe natural disaster, such as a forest fire, may interrupt our operations, damage our properties, reduce the number of guests who visit our Resorts in affected areas and negatively impact our revenue and profitability. Damage to our properties could take a long time to repair and there is no guarantee that we would have adequate insurance to cover the costs of repair and recoup lost profits. Furthermore, such a disaster may interrupt or impede access to our affected properties or require evacuations and may cause visits to our affected properties to decrease for an indefinite period. The ability to attract visitors to our Resorts is also influenced by the aesthetics and natural beauty of the outdoor environment where our Resorts are located. A severe forest fire or other severe impacts from naturally occurring events could negatively impact the natural beauty of our Resorts and have a long-term negative impact on our overall guest visitation as it could take several years for the environment to recover.</w:t>
      </w:r>
    </w:p>
    <w:p>
      <w:pPr>
        <w:spacing w:after="0" w:line="2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Epic Coverage program may require us to provide significant refunds to our pass product holders, which would result in reduced revenue and could also expose us to the risk of customer complaints and negative perception about our pass products.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Epic Coverage is included with the purchase of all pass products for no additional charge. Epic Coverage offers refunds to pass product holders if certain qualifying personal or Resort closure events occur before or during the ski season, subject to express terms and conditions. Accordingly, to the extent that a significant volume of qualifying events occur during the ski season, we could be required to provide a significant amount of refunds to our pass product holders, subject to express terms and conditions, which could have a material negative impact on our financial performance and condition.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estimated amount of refunds reduce the amount of pass product revenue recognized by the Company. To estimate the amount of refunds under Epic Coverage, the Company considers historical claims data for personal events and the Company’s operating plans for its Resorts. The Company believes the estimates of refunds are reasonable; however, the program is subject to a number of variables and uncertainties, and therefore actual results could vary materially from such estimates, and the Company could be required to refund significantly higher amounts than estimated.</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Epic Coverage has also resulted in customer complaints and negative perception by customers who believe they are entitled to a refund for events that do not qualify under the express terms and conditions of the program. Any complaints posted by customers on social media platforms, even if inaccurate, may harm our reputation, and may divert management’s time and attention away from other business matters.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Leisure travel is particularly susceptible to various factors outside of our control, including terrorism, the uncertainty of military and geopolitical conflicts, the cost and availability of travel options and changing consumer preferences or willingness to travel.</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sensitive to the willingness of our guests to travel. Adverse economic conditions, pandemics, acts of terrorism, political events and developments in military and geopolitical conflicts in areas of the world from which we draw our guests could depress the public’s propensity to travel and cause severe disruptions in both domestic and international air travel and consumer discretionary spending, which could reduce the number of visitors to our Resorts and have an adverse effect on our results of operations. Many of our guests travel by air and the impact of higher prices for commercial airline services, availability of air services and willingness of guests to travel by air could cause a decrease in visitation by Destination guests to our Resorts. Visitation may also decrease if widespread airline or airport disruptions or flight cancellations occur. A significant portion of our guests also travel by vehicle and higher gasoline prices or willingness of guests to travel generally due to safety or traffic concerns could cause a decrease in visitation by guests who would typically drive to our Resorts. Higher cost of travel may also affect the amount that guests are willing to spend at our Resorts and could negatively impact our revenue particularly for lodging, ski school, dining and retail/rental. In addition, economic volatility and uncertainty, supply chain disruptions, increased fuel prices and increases to cost of travel (as a result of geopolitical factors or otherwise) may adversely affect our business and results of operations.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success depends on our ability to attract visitors to our Resorts. Changes in consumer tastes and preferences, particularly those affecting the popularity of skiing and snowboarding, and other social and demographic trends could adversely affect the number of skier visits during a ski season. A significant decline in skier visits compared to historical levels would have a material adverse effect on our business, prospects, financial condition, results of operations and cash flows.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Pandemics and public health emergencies could materially disrupt our business and negatively impact our results of operations, cash flows and financial condition.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Pandemics and public health emergencies, such as the COVID-19 pandemic, may impact our results of operations, cash flows and financial condition in ways that are uncertain, unpredictable and outside of our control. The extent of the impact of such an event depends on the severity and duration of the public health emergency or pandemic, as well as the nature and duration of federal, state and local laws, orders, rules, emergency temporary standards, regulations and mandates, together with protocols and contractual requirements implemented by our customers, that may be enacted or newly enforced in response. Additionally, our ability to provide our services during such an event may be dependent on the governmental or societal responses to these circumstances in the markets in which we operate. A pandemic or public health emergency is likely to heighten and exacerbate the risks described herein. We experienced many of these risks in connection with the COVID-19 pandemic. Any resurgence of infection rates or the spread of new variants or viruses could adversely affect our revenue, results of operations and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Cyberattacks or other interruptions to or disruption of our information technology systems and services could disrupt our business.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relies on the continuous operation of information technology systems and services. Despite our efforts, our information networks and systems are vulnerable to service interruptions or to security breaches from inadvertent or intentional actions by our employees or vendors, natural disasters, system or equipment malfunctions, power outages, computer viruses or intentional attacks by malicious third parties, which could persist undetected for an extended period of time. Any interruption to these systems and services could adversely impact our business, including lost revenue, customer claims, damage to reputation, litigation, and/or denial or interruption to our processing of transactions and/or the services we provide to customers. We also provide information to third party service providers and rely on third party service providers for the provision of information technology services. There is a risk that the information held by third parties could be disclosed, otherwise compromised, or disrupted. We carry insurance for many of these adverse events, including cyber security insurance, but our insurance coverage may not always be sufficient to meet all of our liabilities or our losses.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has been a rise in the number of sophisticated cyberattacks on network and information systems, including ransomware attacks that prevent the target from accessing its own data and/or systems until a ransom is paid. As a result, the risks associated with such an event continue to increase. We have experienced cybersecurity threats and incidents, none of which have been material. We have taken, and continue to take, steps to address these concerns by implementing various cybersecurity risk management strategies, initiatives, and internal controls, with the goal of enhancing cybersecurity. However, there can be no assurance that our internal controls or cybersecurity risk management practices will be effective, and that a system interruption, security breach or unauthorized access will not occur. Cyber threats and attacks are constantly evolving and becoming more sophisticated, which increases the difficulty</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cost of detecting and defending against them. In addition, despite our efforts to proactively institute cybersecurity defense mechanisms, such as regular cybersecurity tabletop exercises, control gap analyses, threat modeling, impact analyses, internal and external cybersecurity audits, vulnerability scans, penetration tests, third party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spacing w:after="0" w:line="254" w:lineRule="auto"/>
        <w:rPr>
          <w:sz w:val="20"/>
          <w:szCs w:val="20"/>
          <w:color w:val="auto"/>
        </w:rPr>
      </w:pPr>
      <w:r>
        <w:rPr>
          <w:rFonts w:ascii="Times New Roman" w:cs="Times New Roman" w:eastAsia="Times New Roman" w:hAnsi="Times New Roman"/>
          <w:sz w:val="18"/>
          <w:szCs w:val="18"/>
          <w:color w:val="auto"/>
        </w:rPr>
        <w:t>analyses, and other cybersecurity threat defense strategies, such strategies may ultimately prove ineffective, as they are, by their nature, largely reactive, and cybersecurity threats are constantly evolving as threat actors become more sophisticated. For additional information regarding our cybersecurity processes, policies and programs, refer to Item 1C. “Cybersecurity.” Cyber threats and attacks can have cascading impacts across networks, systems and operations. Any such interruption, breach or unauthorized access to our network or systems, or the networks or systems of our vendors, could adversely affect our business operations and result in the loss of critical or sensitive confidential information or intellectual property, as well as impact our ability to meet regulatory or compliance obligations, and could result in financial, legal, business and reputational harm to us. These events also could result in large expenditures to repair or replace the damaged properties, products, services, networks or information systems to protect them from similar events in the future.</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maintain the integrity and security of our internal, employee or guest data could result in damages to our reputation and subject us to costs, fines or lawsuits.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relies on the use of large volumes of data. We collect and retain guest data, including credit card numbers and other sensitive personal information, for various business purposes, such as processing transactions, marketing and other promotional purposes. We also maintain personal information about our employees. We could make faulty decisions if data is inaccurate or incomplete. Maintaining the integrity and security of data can be costly and is critical to our business, and our guests and employees have a high expectation that we will adequately protect their personal information. A significant theft, loss, loss of access to, or fraudulent use of customer, employee, or company data held by us or our service providers could adversely impact our reputation, and could result in significant remedial and other expenses, fines, and/or litigation.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highly seasonal.</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mountain and lodging operations are highly seasonal in nature. Peak operating season for our North American and European Resorts is from mid-December to mid-April, and accordingly, revenue and profits from our mountain and most of our lodging operations are substantially lower and historically result in losses from late spring to late fall. Conversely, peak operating seasons for our Australian Resorts, GTLC and Flagg Ranch, mountain summer activities (including our Epic Discovery program), sightseeing and our golf courses generally occur from June to the end of September. Revenue and profits generated by our Australian Resorts, GTLC and Flagg Ranch, mountain summer activities/sightseeing and golf peak season operations are not nearly sufficient to fully offset our off-season losses from our other mountain and lodging operations. For Fiscal 2024, approximately 82% of total combined Mountain and Lodging segment net revenue (excluding Lodging segment revenue associated with reimbursement of payroll costs) was earned during our second and third fiscal quarters. This seasonality is partially mitigated by the sale of pass products (which for Fiscal 2024 accounted for approximately 65% of the total lift revenue) predominately occurring during the period prior to the start of the ski season as the cash from those sales is collected in advance and revenue is primarily recognized in the second and third fiscal quarters. In addition, the timing of major holidays and school breaks can impact vacation patterns and therefore visitation at our destination mountain Resorts and regional ski areas. If we were to experience an adverse event or realize a significant deterioration in our operating results during our peak periods (our fiscal second and third quarters) we would be unable to fully recover any significant declines in such fiscal year due to the seasonality of our business. Operating results for any quarter are not necessarily indicative of the results that may be achieved for any subsequent quarter or for a full fiscal year (see Notes to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significant competition.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ski resort and lodging industries are highly competitive. There are approximately 770 ski areas in North America, including approximately 485 in the U.S. that serve local and destination guests, and these ski areas can be more or less impacted by weather conditions based on their location and snowmaking capabilities. The factors that we believe are important to customers include:</w:t>
      </w:r>
    </w:p>
    <w:p>
      <w:pPr>
        <w:spacing w:after="0" w:line="20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proximity to population centers;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availability and cost of transportation to ski areas;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availability and quality of lodging options and other amenities in resort areas;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ease of travel to ski areas (including direct flights by major airlines);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pricing of lift tickets and/or pass products;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the magnitude, quality and price of related ancillary services (ski school, dining and retail/rental);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quality of snowmaking;</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type and quality of skiing and snowboarding offered;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duration of the ski season;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weather conditions;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Times New Roman" w:cs="Times New Roman" w:eastAsia="Times New Roman" w:hAnsi="Times New Roman"/>
          <w:sz w:val="18"/>
          <w:szCs w:val="18"/>
          <w:color w:val="auto"/>
        </w:rPr>
        <w:t>reputation.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line="261" w:lineRule="auto"/>
        <w:rPr>
          <w:sz w:val="20"/>
          <w:szCs w:val="20"/>
          <w:color w:val="auto"/>
        </w:rPr>
      </w:pPr>
      <w:r>
        <w:rPr>
          <w:rFonts w:ascii="Times New Roman" w:cs="Times New Roman" w:eastAsia="Times New Roman" w:hAnsi="Times New Roman"/>
          <w:sz w:val="18"/>
          <w:szCs w:val="18"/>
          <w:color w:val="auto"/>
        </w:rPr>
        <w:t>There are many competing options for our guests, including other major resorts in Colorado, Utah, California, Nevada, the Pacific Northwest, Northeast and Southwest United States, and British Columbia, Canada, Australia, Switzerland, and other major destination ski areas worldwide. Our guests can choose from any of these alternatives, as well as non-skiing vacation options and destinations around the world. In addition, other forms of leisure such as sporting events and participation in other competing indoor and outdoor recreational activities are available to potential guests.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retail/rental business competes with numerous other national, regional, local and online retail and rental businesses. RockResorts hotels, our other hotels and our property management business compete with numerous other hotel and property management companies. Each of these competing businesses may have greater financial resources than we do and they may be able to adapt more quickly to changes in customer requirements or devote greater resources to promotion of their offerings than us. Additionally these competing businesses may offer locations, pricing or other factors that appeal to potential customers.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high fixed cost structure of mountain resort operations can result in significantly lower margins if revenues decline.</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and other resort related fees, credit card fees, retail/rental cost of sales, labor, and resort, dining and ski school operations. Any material declines in the economy, elevated geopolitical uncertainties and/or significant changes in historical snowfall patterns, as well as other risk factors discussed herein, could adversely affect revenue. As such, our margins, profits and cash flows may be materially reduced due to declines in revenue given our relatively high fixed cost structure. In addition, inflation has accelerated in the U.S. and globally in recent years due in part to global supply chain issues, the Ukraine-Russia war, a rise in energy prices and strong consumer demand. Increases in expenses as a result of this inflationary environment and other economic factors may adversely impact wages and other labor costs, energy, healthcare, insurance, transportation and fuel, cost of goods, property taxes, minimum lease payments and other expenses and operating costs included in our fixed cost structure, which may also reduce our margin, profits and cash flows.</w:t>
      </w:r>
    </w:p>
    <w:p>
      <w:pPr>
        <w:spacing w:after="0" w:line="2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fund resort capital expenditures, accurately identify the need for, or anticipate the timing of certain capital expenditures, which may adversely impact our business.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regularly expend capital to construct, maintain and renovate our mountain Resorts and properties in order to remain competitive, maintain the value and brand standards of our mountain Resorts and properties and comply with applicable laws and regulations. We cannot always predict where and when capital will need to be expended in a given fiscal year and capital expenditures can increase due to circumstances beyond our control. We currently anticipate that we will spend approximately $216 million to $221 million on capital projects in calendar year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fund capital expenditures will depend on our ability to generate sufficient cash flow from operations and/or to borrow from third parties in the debt market or raise additional capital in the equity market. We cannot provide assurances that our operations will be able to generate sufficient cash flow to fund such capital expenditures or that cash flows generated will be allocated to fund capital expenditures, or that we will be able to obtain sufficient capital from other sources on adequate terms, or at all, especially considering elevated interest rates. Our ability to generate cash flow and to obtain third-party financing will depend upon many factors, including:</w:t>
      </w:r>
    </w:p>
    <w:p>
      <w:pPr>
        <w:spacing w:after="0" w:line="21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our future operating performance;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general economic conditions, including interest rates, and economic conditions affecting the resort industry, the ski industry and the capital markets;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competition;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Times New Roman" w:cs="Times New Roman" w:eastAsia="Times New Roman" w:hAnsi="Times New Roman"/>
          <w:sz w:val="18"/>
          <w:szCs w:val="18"/>
          <w:color w:val="auto"/>
        </w:rPr>
        <w:t>legislative and regulatory matters affecting our operations and business;</w:t>
      </w:r>
    </w:p>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inability to generate sufficient cash flows from operations or to obtain adequate third-party financing could cause us to delay or abandon certain projects and/or plans.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our properties and equipment at our mountain Resorts, including parking areas, roads, ski lifts, and other infrastructure, require periodic maintenance capital expenditures in order to maintain standards of satisfactory operating performance and appearance. Although some maintenance capital expenditure projects are routine and normally planned to occur outside of peak operating periods in order to not interfere with business operations, other maintenance capital expenditure projects are non-routine, difficult to predict, and could arise during peak operating periods. If we fail to identify the need for a maintenance project, address a maintenance project timely, or fail to anticipate the criticality of a maintenance project for key infrastructure and therefore defer maintenance projects, we could be forced as a result to temporarily close certain of our facilities, particularly during peak operating periods, and our business and results of operations could be materially adversely impacted.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A disruption in our water supply would impact our snowmaking capabilities and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heavily dependent upon our access to adequate supplies of water for snowmaking and to otherwise conduct our operations. Our mountain Resorts are subject to federal, state, provincial and local laws and regulations relating to water rights. Changes in these laws and regulations may adversely affect our operations. In addition, a severe and prolonged drought may adversely affect our water supply and increase the cost of snowmaking. A significant change in law or policy, impact from climate change or any other interference with our access to adequate supplies of water to support our current operations or an expansion of our operations would have a material adverse effect on our business, prospects, financial position, results of operations and cash flows.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various government permits and landlord approvals at our U.S. resorts.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U.S. Resort operations require permits and approvals from certain federal, state and local authorities, including the Forest Service, U.S. Army Corps of Engineers, the States of Vermont, New Hampshire and Pennsylvania and the NPS. Virtually all of our ski trails and related activities, including our summer activities, at Vail Mountain, Breckenridge, Keystone, Crested Butte, Stevens Pass, Heavenly, Kirkwood, Mount Snow, Wildcat, a majority of Beaver Creek and portions of Attitash are located on National Forest land. The Forest Service has granted us permits to use these lands, but maintains the right to review and approve many operational matters, as well as the location, design and construction of improvements in these areas. The expiration dates for our permits are set forth in the Business section of this Form 10-K under the heading “Contracts with Governmental Authorities for Resort Operations”.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Forest Service can terminate or amend these permits if, in its opinion, such termination is required in the public interest. A termination or amendment of any of our permits could have a materially adverse effect on our business and operations. In order to undertake improvements and new development, we must apply for permits and other approvals. These efforts, if unsuccessful, could impact our expansion efforts. Furthermore, Congress may materially increase the fees we pay to the Forest Service for use of these National Forest lands.</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Stowe and Okemo are partially located on land we lease from the State of Vermont, Mount Sunapee is located on land we lease from the State of New Hampshire and Laurel Mountain is located on land we lease from the State of Pennsylvania. We are required to seek approval from such states for certain developments and improvements made to the resort. Certain other resorts are operated on land under long-term leases with third parties. For example, operations at our Northstar, Park City and Mad River Mountain Resorts are conducted pursuant to long-term leases with third parties who require us to operate the Resorts in accordance with the terms of the leases and seek certain approvals from the respective landlords for improvements made to the Resorts. The initial lease term for Northstar with affiliates of EPR Properties expires in January 2027 and allows for three 10-year renewal options. We entered into a transaction agreement, master lease agreement and ancillary transaction documents with affiliate companies of Talisker Corporation (“Talisker”), and the initial lease term for our Park City resort with Talisker expires in May 2063. Following the initial lease term expiration, we have six 50-year renewal options. Additionally, GTLC and Flagg Ranch operate under concession agreements with the NPS that expire on December 31, 2024 (which we currently expect will be extended in the fall of 2024 for an additional year through December 31, 2025 due to the time needed for solicitation, preparation, review and award of a new contract) and October 31, 2028, respectively. There is no guarantee that at the end of the lease/license or agreements under which we operate our Resorts we will renew or, if desired, be able to negotiate new terms that are favorable to us. Additionally, our Resorts that operate on privately-owned land are subject to local land use regulation and oversight by county and/or town governments, and we may not be able to obtain the requisite approvals needed for resort improvements or expansions. Failure to comply with the provisions, obligations and terms (including renewal requirements and deadlines) of our material permits and leases could adversely impact our operating results.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rely on foreign government leases and landlord approvals, and are subject to certain related laws and regulations, at our international resorts.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international Resort operations require permits and approvals from certain foreign authorities, including, but not limited to, the (i) Province of British Columbia; (ii) the New South Wales and Victoria, Australia governments; and (iii) the DDPS, the municipalities of Tujetsch, Crans-Montana, and Lens, regional civic communities, such as Bourgeoisie de Montana and Consortage de l’Alpage de Mer-dechon, and the FOT in Switzerland. Our operations at Whistler Blackcomb are located on Crown Land within the traditional territory of the Squamish and Lil’wat Nations, and the operations and future development of both Whistler Mountain and Blackcomb Mountain are governed by Master Development Agreements, which expire on February 23, 2077. We have a lease and a license for Perisher within the Kosciusko National Park which expires in June 2048, with an option to renew for an additional period of 20 years. Perisher relies on a suite of planning approvals (and existing use rights) granted under the Australian EPA Act to operate the resort. Strategic planning documents have been adopted to provide a framework for the assessment and approval of future development at the resort. Perisher also holds a number of environmental approvals to regulate its operations, including an environment protection license and a suite of dangerous goods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18"/>
          <w:szCs w:val="18"/>
          <w:color w:val="auto"/>
        </w:rPr>
        <w:t>licenses related to the storage of diesel, heating oil and propane in storage tanks across the resort. Each of Falls Creek and a majority of Hotham is located in the Alpine National Park in Victoria, Australia that is permanently reserved under the Crown Land Act and subject to the ARM Act. The ARM Act established the Falls Creek RMB and the Hotham RMB, which is responsible for the management and collection of fees from Falls Creek and Hotham, respectively, and the ARM Regulations give each of the Falls Creek RMB and the Hotham RMB certain discretion over the operations of Falls Creek and Hotham, respectively, including the authority to (i) declare the snow season, (ii) temporarily close the applicable resort if entry would be a significant danger to public safety and (iii) determine which portions of the applicable resort are open to the public and the activities that are permitted on those portions of such resort. Portions of our operations at Andermatt-Sedrun are located on land owned by (i) the DDPS and subject to two leasehold agreements with ASA, each with a term of 50 years expiring on April 10, 2067 and March 13, 2068; and (ii) the municipality of Tujetsch by means of a personal easement agreement which expires on October 12, 2032 with an option to apply for renewal. We also hold a passenger transport concessions from the FOT, for a total of 12 cableway installations by means of a plan approval dated May 3, 2014. Each passenger transport concession has a separate expiration date between 2026 and 2042, and we will then be able to apply for an extension or new concession. Portions of our operations at Crans-Montana are located on land owned by regional Bourgeoisies, the municipality of Crans-Montana and private property owners, whereby the owners have granted building rights and/or easements for the operations. Such leasehold property rights expire between 2027 and 2094, and we will then be able to negotiate for an extension. These leasehold properties primarily relate to forest and agricultural zones for which usage is needed for the operation of the ski lifts (e.g. passing through of ski lifts or in connection with the arrival or departure stations of the ski lifts) and are spread over the entire ski resort. We also hold passenger transport concessions from the FOT, for a total of 20 cableway installations. Each passenger transport concession has a separate expiration date between 2032 and 2047, and we will then be able to apply for an extension or new concession. There is no guarantee that at the end of the initial lease/license or agreements under which we operate our Resorts we will renew or, if desired, be able to negotiate new terms that are favorable to us. Failure to comply with the provisions, obligations and terms (including renewal requirements and deadlines) of our material permits and leases could adversely impact our operating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resource efficiency transformation initiatives that we undertake may not deliver the results we expect.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create organizational effectiveness and scale for operating leverage as we grow globally, we announced a multi-year resource efficiency transformation plan to achieve $100 million in annualized savings by the end of 2026. Our ability to realize anticipated benefits from these plans is subject to many estimates and assumptions, including business, economic and competitive uncertainties and contingencies, and accordingly there can be no assurance that the anticipated savings, operating efficiencies or other benefits will be achieved, within the anticipated timeframes or at all, or that they will not be significantly and materially less than anticipated.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extensive environmental and health and safety laws and regulations in the ordinary course of business.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operations are subject to a variety of federal, state, local and foreign environmental laws and regulations including those relating to air emissions, discharges to water, storage, treatment and disposal of wastes and other liquids, land use, remediation of contaminated sites, protection of natural resources such as wetlands and sustainable visitor or tourist use and enjoyment. For example, future expansions of certain of our mountain facilities must comply with applicable forest plans approved under the National Forest Management Act, federal, state and foreign wildlife protection laws or local zoning requirements, and in Vermont, our operations must comply with Act 250, which regulates the impacts of development to, among other things, waterways, air, wildlife and earth resources, and any projects must be completed pursuant to a Master Plan. In addition, most projects to improve, upgrade or expand our ski areas are subject to environmental review under the NEPA, FRPA, Act 250, the CEQA, the Australian NPW Act, the Australian EPA Act or the Australian EP Act, as applicable. Our ski area improvement proposals may not be approved or may be approved with modifications that substantially increase the cost or decrease the desirability of implementing the project. From time to time our operations are subject to inspections by environmental regulators or other regulatory agencies. We are also subject to worker health and safety requirements as well as various state and local public health laws, rules, regulations and orders. We believe our operations are in substantial compliance with applicable material environmental, health and safety requirements. However, our efforts to comply do not eliminate the risk that we may be held liable, incur fines or be subject to claims for damages, and that the amount of any liability, fines, damages or remediation costs may be material for, among other things, the presence or release of regulated materials at, on or emanating from properties we now or formerly owned or operated, newly discovered environmental impacts or contamination at or from any of our properties, or changes in environmental laws and regulations or their enforcement.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Changes in security and privacy laws and regulations could increase our operating costs, increase our exposure to fines and litigation, and adversely affect our ability to market our products, properties and services effectively.</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security and privacy requirements imposed by applicable laws and governmental regulation and the payment card industry are increasingly demanding in the U.S. and other jurisdictions where we operate. Maintaining compliance with applicable security and privacy regulations may increase our operating costs or our exposure to potential fines and litigation in connection with the enforcement of such regulations, particularly in light of the launch of the My Epic App, or otherwise impact our ability to market our products, properties and services to our guests. In addition, any failure to maintain compliance with such regulations may cause us to incur significant penalties and generate negative publicity, require us to change our business practices, increase our costs and adversely affect our business. Any future changes or restrictions in U.S. or international privacy laws could also adversely affect our operations, including our ability to transfer guest data. Changes in U.S. or international law affecting marketing, solicitation or privacy, could adversely affect our marketing activities and force changes in our marketing strategy or increase the costs of marketing. If access to lists of potential customers from travel service providers or other companies with whom we have relationships was prohibited or otherwise restricted, our ability to develop new customers and introduce them to our products could be impaired.</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rely on information technology to operate our businesses and maintain our competitiveness, and any failure to adapt to technological developments or industry trends could harm our business or competitive position.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the use of sophisticated information technology and systems for central reservations, point of sale, marketing, customer relationship management and communication, procurement, maintaining the privacy of guest and employee data, administration and technologies we make available to our guests. We must continuously improve and upgrade our systems and infrastructure to offer enhanced products, services, features and functionality, while maintaining the reliability and integrity of our systems, network security and infrastructure. Particularly in light of the launch of the My Epic App, we may not be able to maintain our existing systems or replace or introduce new technologies and systems as quickly as we would like or in a cost-effective manner, which may keep us from achieving the desired results in a timely manner, to the extent anticipated, or at all. Also, we may be unable to devote adequate financial resources to new technologies and systems in the future. If any of these events occur, our business and financial performance could suffer.</w:t>
      </w:r>
    </w:p>
    <w:p>
      <w:pPr>
        <w:spacing w:after="0" w:line="2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not be able to hire, train, reward and retain adequate team members and determine and maintain adequate staffing, including our seasonal workforce, which may impact labor costs and our ability to achieve our operating, growth and financial objectives.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long-term growth and profitability depend partially on our ability to recruit and retain high-quality employees to work in and manage our Resorts. Adequate staffing and retention of qualified employees is a critical factor affecting our guests’ experiences in our Resorts. In addition, our mountain and lodging operations are highly dependent on a large seasonal workforce. Maintaining adequate staffing is complicated and unpredictable. The market for the most qualified talent continues to be highly competitive and we must provide competitive wages, benefits and workplace conditions to attract and retain the most qualified employees, particularly during a time when we have seen significant wage inflation in the market for employees. In addition, in many communities, the supply of resort-area housing is constrained due to market conditions, making it difficult for our employees to obtain available, affordable housing. Further, zoning regulations, protracted approval processes and local anti-development sentiment can prevent or substantially delay new housing projects that we or other parties may pursue to meet the demand for new affordable housing stock.</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immigration laws could also impact our workforce because we typically recruit and hire foreign nationals as part of our seasonal workforce. A shortage of international workers, failure to adequately recruit and retain new domestic employees, higher than expected attrition levels, or increased wages all could affect our ability to open and operate parts of our Resorts, deliver guest service at traditional margins or achieve our labor cost objectives.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various federal, state and foreign laws governing matters such as minimum wage requirements, sick leave pay, overtime compensation and other working conditions, work authorization requirements, discrimination and family and medical leave. Cost of labor and labor-related benefits are primary components in the cost of our operations. Labor shortages, affordable employee housing shortages, increased employee turnover and health care mandates can increase our labor costs. We are subject to mandated minimum wage rates and we also experience market-driven pressures to pay wages even higher than mandated minimum wages. This can result in increases not only to the wages of our minimum wage employees but also to the wages paid to employees at wage rates that are above the minimum wage. During Fiscal 2023, we increased our minimum wage for North American employees to $20 per hour and announced a substantial investment in our human resource department to support more normalized staffing and operations at our Resorts. From time to time, we have experienced non-union employees attempting to unionize. While only a very small portion of our employees are unionized at present, we may experience additional union activity in the future, which could lead to disruptions in our business, increases in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costs and/or constraints on our operating flexibility. These potential labor impacts could adversely impact our results of operations. For additional details, see “Business—Human Capital Management.”</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recently acquired Crans-Montana, which was not subject to rules and regulations promulgated under the Sarbanes-Oxley Act of 2002, as amended ("Sarbanes-Oxley"), and may therefore lack the internal controls that would be required of a U.S. public company, which could ultimately affect our ability to ensure compliance with the requirements of Section 404 of Sarbanes-Oxley.</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recently acquired Crans-Montana, which was not previously subject to the rules and regulations promulgated under Sarbanes-Oxley and accordingly was not required to establish and maintain an internal control infrastructure meeting the standards promulgated under Sarbanes-Oxley. Our assessment of and conclusion on the effectiveness of our internal control over financial reporting as of July 31, 2024 did not include certain elements of the internal controls of Crans-Montana, which was acquired on May 2,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management will continue to review and evaluate the effectiveness of our internal controls in light of this acquisition, we cannot provide any assurances that there will be no significant deficiencies or material weaknesses in our internal control over financial reporting. Any significant deficiencies or material weaknesses in the internal control structure of our acquired businesses may cause significant deficiencies or material weaknesses in our internal control over financial reporting, which could have a material adverse effect on our business and our ability to comply with Section 404 of Sarbanes-Oxley.</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business depends on the quality and reputation of our brands, and any deterioration in the quality or reputation of these brands, including as a result of misappropriation of our intellectual property or the risk of accidents occurring at our mountain resorts or competing mountain resorts, may reduce visitation and negatively impact our operations.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negative public image or other adverse events could affect the reputation of one or more of our mountain Resorts, other destination resorts, hotel properties and other businesses or more generally impact the reputation of our brands. Any resulting harm on our business may be immediate without affording us an opportunity for redress or correction. Our ability to attract and retain guests depends, in part, upon the external perceptions of the Company, the quality and safety of our Resorts, services and activities, including summer activities, and our corporate and management integrity. While we maintain and promote an on-mountain safety program, there are inherent risks associated with our Resort activities. From time to time in the past, accidents and other injuries have occurred on Resort property. An accident or an injury at any of our Resorts or at resorts operated by competitors, particularly an accident or injury involving the safety of guests and employees that receives media attention, could negatively impact our brand or reputation, cause loss of consumer confidence in us, reduce visitation at our Resorts, and negatively impact our results of operations.</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considerable expansion in the use of social media over recent years has compounded the impact of negative publicity. Information posted on social media platforms at any time may be adverse to our interests or may be inaccurate, each of which may harm our reputation or business. If the reputation or perceived quality of our brands declines, our market share, reputation, business, financial condition or results of operations could be adversely impacted. Additionally, our intellectual property, including our trademarks, domain names and other proprietary rights, constitutes a significant part of our value. Any misappropriation, infringement or violation of our intellectual property rights could also diminish the value of our brands and their market acceptance, competitive advantages or goodwill, which could adversely affect our business.</w:t>
      </w:r>
    </w:p>
    <w:p>
      <w:pPr>
        <w:spacing w:after="0" w:line="21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Increased scrutiny and changing expectations from investors, consumers, employees, regulators, and others regarding our environmental, social and governance practices and reporting could cause us to incur additional costs, devote additional resources and expose us to additional risks, which could adversely impact our reputation, customer attraction, access to capital and employee recruitment and retention.</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Investors, consumers, employees and other stakeholders have focused increasingly on ESG practices and have placed increasing importance on the implications and social cost of their investments, purchases and other interactions with companies. In 2017, we launched an ambitious Commitment to Zero pledge to have a zero net operating footprint by 2030, which includes commitments to (i) achieving zero net emissions, (ii) zero waste to landfill, and (iii) zero net operating impact to forests. Additionally, we were awarded the NSAA’s Golden Eagle Climate Change award at the 2023 NSAA annual conference and we were a finalist for the NSAA Golden Eagle Overall Environmental Excellence Award at the 2024 NSAA annual conference; however we may not be able to sustain such recognition for our ESG efforts. If our ESG practices do not meet investor, consumer or employee expectations related to our Commitment to Zero or any other ESG initiative, which continue to evolve, or if we do not maintain recognition for our ESG efforts, our brand, reputation and customer retention may be negatively impacted.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Our ability to achieve any ESG objective is subject to numerous risks, many of which are outside of our control. Examples of such risks include:</w:t>
      </w:r>
    </w:p>
    <w:p>
      <w:pPr>
        <w:spacing w:after="0" w:line="274"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evolving regulatory requirements affecting ESG practices;</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the availability of suppliers that can meet sustainability, diversity and other ESG standards that we may set; and</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recruit, develop and retain diverse talent in our labor markets.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or are perceived to be failing, to meet the standards included in any sustainability disclosure (including our Commitment to Zero pledge included in our annual EpicPromise Progress Report) or the expectations of our various stakeholders, it could negatively impact our reputation, customer attraction and retention, access to capital, and employee retention. In addition, new sustainability rules and regulations have been adopted and may continue to be introduced. Our failure to comply with any applicable rules or regulations could lead to penalties and adversely impact our reputation, customer attraction and retention, access to capital, and employee retention.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acquisitions might not be successful.</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we have completed numerous acquisitions and may continue to acquire certain mountain resorts, hotel properties and other businesses complementary to our own, as well as developable land in proximity to our Resorts. Acquisitions are complex to evaluate, execute and integrate. We cannot ensure that we will be able to accurately evaluate or successfully integrate and manage acquired mountain resorts, properties and businesses and increase our profits from these operations. We continually evaluate potential acquisitions both domestically and internationally and intend to actively pursue acquisition opportunities, some of which could be significant. As a result, we face various risks from acquisitions, including our recent acquisitions of the Seven Springs Resorts, Andermatt-Sedrun and Crans-Montana, some of which include:</w:t>
      </w:r>
    </w:p>
    <w:p>
      <w:pPr>
        <w:spacing w:after="0" w:line="21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evaluation of the synergies and/or long-term benefits of an acquired business;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our inability to integrate acquired businesses into our operations as planned;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diversion of our management’s attention;</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increased expenditures (including legal, accounting and due diligence expenses, higher administrative costs to support the acquired entities, information technology, personnel and other integration expenses);</w:t>
      </w: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increased debt leverage;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issuance of dilutive equity securities;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litigation arising from acquisition activity;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potential impairment of goodwill, intangible or tangible assets;</w:t>
      </w:r>
    </w:p>
    <w:p>
      <w:pPr>
        <w:spacing w:after="0" w:line="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with respect to current and potential international operations, including by unique laws, regulations and business practices of foreign jurisdictions;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Times New Roman" w:cs="Times New Roman" w:eastAsia="Times New Roman" w:hAnsi="Times New Roman"/>
          <w:sz w:val="18"/>
          <w:szCs w:val="18"/>
          <w:color w:val="auto"/>
        </w:rPr>
        <w:t>unanticipated problems or liabilities.</w:t>
      </w:r>
    </w:p>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run the risk that any new acquisitions may fail to perform in accordance with expectations, and that estimates of the costs of improvements and integration for such properties may prove inaccurate.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additional risks with respect to our current and potential international operations and properties.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and may continue to increase our operations outside of the United States, with international acquisitions to date including Whistler Blackcomb in Canada; Perisher, Hotham and Falls Creek in Australia; and Andermatt-Sedrun and Crans-Montana in Switzerland. We are accordingly subject to a number of risks relating to doing business internationally. We also intend to consider strategic growth opportunities for our portfolio globally through acquisitions in attractive international markets to service demonstrable demand where we believe the anticipated risk-adjusted returns are consistent with our investment objectives. Our international operations and properties and in particular our newly acquired European properties could be affected by factors peculiar to the laws, regulations and business practices of those jurisdictions. These laws, regulations and business practices expose us to risks that are different than or in addition to those commonly found in the United States. Risks relating to our international operations and properties include:</w:t>
      </w:r>
    </w:p>
    <w:p>
      <w:pPr>
        <w:spacing w:after="0" w:line="216"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governmental rules and policies, including changes in land use and zoning laws;</w:t>
      </w:r>
    </w:p>
    <w:p>
      <w:pPr>
        <w:spacing w:after="0" w:line="27" w:lineRule="exact"/>
        <w:rPr>
          <w:rFonts w:ascii="Times New Roman" w:cs="Times New Roman" w:eastAsia="Times New Roman" w:hAnsi="Times New Roman"/>
          <w:sz w:val="18"/>
          <w:szCs w:val="18"/>
          <w:color w:val="auto"/>
        </w:rPr>
      </w:pPr>
    </w:p>
    <w:p>
      <w:pPr>
        <w:ind w:left="660" w:hanging="328"/>
        <w:spacing w:after="0" w:line="249" w:lineRule="auto"/>
        <w:tabs>
          <w:tab w:leader="none" w:pos="655"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enactment of laws relating to international ownership and laws restricting the ability to remove profits earned from activities within a particular country to a person’s or company’s country of origin;</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5"/>
        </w:numPr>
        <w:rPr>
          <w:rFonts w:ascii="Arial" w:cs="Arial" w:eastAsia="Arial" w:hAnsi="Arial"/>
          <w:sz w:val="18"/>
          <w:szCs w:val="18"/>
          <w:color w:val="auto"/>
        </w:rPr>
      </w:pPr>
      <w:r>
        <w:rPr>
          <w:rFonts w:ascii="Times New Roman" w:cs="Times New Roman" w:eastAsia="Times New Roman" w:hAnsi="Times New Roman"/>
          <w:sz w:val="18"/>
          <w:szCs w:val="18"/>
          <w:color w:val="auto"/>
        </w:rPr>
        <w:t>changes in laws or policies governing foreign trade or investment and use of foreign operations or workers, and any negative sentiments towards multinational companies as a result of any such changes to laws, regulations or policies or due to trends such as political populism and economic nationalism;</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ind w:left="660" w:hanging="328"/>
        <w:spacing w:after="0"/>
        <w:tabs>
          <w:tab w:leader="none" w:pos="66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variations in currency exchange rates and the imposition of currency controls;</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adverse market conditions caused by terrorism, civil unrest, natural disasters, infectious disease and changes in international, national or local governmental or economic conditions;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business disruptions arising from public health crises and outbreaks of communicable diseases, including the recent coronavirus outbreak;</w:t>
      </w:r>
    </w:p>
    <w:p>
      <w:pPr>
        <w:spacing w:after="0" w:line="9"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the willingness of U.S. or international lenders to make loans in certain countries and changes in the availability, cost and terms of secured and unsecured debt resulting from varying governmental economic policies;</w:t>
      </w:r>
    </w:p>
    <w:p>
      <w:pPr>
        <w:ind w:left="660" w:hanging="328"/>
        <w:spacing w:after="0" w:line="249" w:lineRule="auto"/>
        <w:tabs>
          <w:tab w:leader="none" w:pos="65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the imposition of unique tax structures and changes in tax rates and other operating expenses in particular countries, including the potential imposition of adverse or confiscatory taxes;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the potential imposition of restrictions on currency conversions or the transfer of funds;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general political and economic instability;</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compliance with international laws and regulations (including anti-corruption regulations, such as the U.S. Foreign Corrupt Practices Act);</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data security, including requirements that local customer data be stored locally and not transferred to other jurisdictions; and</w:t>
      </w:r>
    </w:p>
    <w:p>
      <w:pPr>
        <w:spacing w:after="0" w:line="8" w:lineRule="exact"/>
        <w:rPr>
          <w:rFonts w:ascii="Arial" w:cs="Arial" w:eastAsia="Arial" w:hAnsi="Arial"/>
          <w:sz w:val="18"/>
          <w:szCs w:val="18"/>
          <w:color w:val="auto"/>
        </w:rPr>
      </w:pPr>
    </w:p>
    <w:p>
      <w:pPr>
        <w:ind w:left="660" w:hanging="328"/>
        <w:spacing w:after="0" w:line="258" w:lineRule="auto"/>
        <w:tabs>
          <w:tab w:leader="none" w:pos="655" w:val="left"/>
        </w:tabs>
        <w:numPr>
          <w:ilvl w:val="0"/>
          <w:numId w:val="26"/>
        </w:numPr>
        <w:rPr>
          <w:rFonts w:ascii="Arial" w:cs="Arial" w:eastAsia="Arial" w:hAnsi="Arial"/>
          <w:sz w:val="18"/>
          <w:szCs w:val="18"/>
          <w:color w:val="auto"/>
        </w:rPr>
      </w:pPr>
      <w:r>
        <w:rPr>
          <w:rFonts w:ascii="Times New Roman" w:cs="Times New Roman" w:eastAsia="Times New Roman" w:hAnsi="Times New Roman"/>
          <w:sz w:val="18"/>
          <w:szCs w:val="18"/>
          <w:color w:val="auto"/>
        </w:rPr>
        <w:t>our limited experience and expertise in foreign countries, particularly European countries, relative to our experience and expertise in the United States;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 foregoing risks were to materialize, they could materially and adversely affect us.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fluctuations could result in significant foreign currency gains and losses and affect our business results.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currency translation risk because the local currency utilized in the operations of Whistler Blackcomb, Perisher, Hotham, Falls Creek, Andermatt-Sedrun and Crans-Montana are different than our functional currency, the U.S. dollar. As a result, changes in foreign exchange rates, in particular between the Canadian dollar, Australian dollar, Swiss franc and the U.S. dollar, affect the amounts we record for our foreign assets, liabilities, revenues and expenses, and could have a negative effect on our financial results. We currently do not enter into hedging arrangements to minimize the impact of foreign currency fluctuations. We expect that our exposure to foreign currency exchange rate fluctuations will increase as our international operations grow and if we acquire additional international resorts.</w:t>
      </w:r>
    </w:p>
    <w:p>
      <w:pPr>
        <w:spacing w:after="0" w:line="2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tax laws and regulations in multiple jurisdictions, and changes to those laws and regulations or interpretations thereof or adverse determinations by tax authorities may adversely affect us.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and in multiple foreign jurisdictions.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reached agreement among various countries to implement a minimum 15% tax rate on certain multinational enterprises, commonly referred to as Pillar Two. Many countries continue to announce changes in their tax laws and regulations based on the Pillar Two proposals. We are continuing to evaluate the impact of these proposed and enacted legislative changes as new guidance becomes available. Some of these legislative changes could impact our effective tax rate and tax liabilities. Given the numerous proposed tax law changes and the uncertainty regarding such proposed legislative changes, the impact of Pillar Two cannot be determined at this time.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also subject to the examination of tax returns and other tax matters by the Internal Revenue Service and other tax authorities and governmental bodies. We regularly assess the likelihood of an adverse outcome resulting from these examinations to determine the adequacy of our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cannot provide assurance that we will pay dividends, or if paid, that dividend payments will be consistent with historical levels.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generally paid quarterly dividends since fiscal 2011 (with the exception of several quarters in Fiscal 2020 and Fiscal 2021 to maintain short-term liquidity in response to the COVID-19 pandemic), which are funded through cash flow from operations, available cash on hand and borrowings under our Credit Facilities. The declaration of dividends is subject to the discretion of our Board of Directors, and is limited by applicable state law concepts of available funds for distribution, as well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spacing w:after="0" w:line="273" w:lineRule="auto"/>
        <w:rPr>
          <w:sz w:val="20"/>
          <w:szCs w:val="20"/>
          <w:color w:val="auto"/>
        </w:rPr>
      </w:pPr>
      <w:r>
        <w:rPr>
          <w:rFonts w:ascii="Times New Roman" w:cs="Times New Roman" w:eastAsia="Times New Roman" w:hAnsi="Times New Roman"/>
          <w:sz w:val="17"/>
          <w:szCs w:val="17"/>
          <w:color w:val="auto"/>
        </w:rPr>
        <w:t>as contractual restrictions. As a result, the amount, if any, of the dividends to be paid in the future will depend upon a number of factors, including our available cash on hand, anticipated cash needs, overall financial condition, restrictions contained in our Ninth Amended and Restated Credit Agreement (the “Vail Holdings Credit Agreement”), any future contractual restrictions, future prospects for earnings and cash flows, as well as other factors considered relevant by our Board of Directors. In addition, our Board of Directors may also suspend the payment of dividends at any time if it deems such action to be in the best interests of the Company and its stockholders. If we do not pay dividends, the price of our common stock must appreciate for investors to realize a gain on their investment in Vail Resorts, Inc. This appreciation may not occur and our stock may in fact depreciate in value. On September 25, 2024, our Board of Directors approved a cash dividend of $2.22 per share payable on October 24, 2024 to stockholders of record as of October 8, 2024.</w:t>
      </w:r>
    </w:p>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Our indebtedness could adversely affect our financial condition and our ability to operate our business, to react to changes in the economy or our industry, to fulfill our obligations under our various notes, to pay our other debts, and could divert our cash flow from operations for debt payments.</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 substantial amount of debt, which requires significant interest and principal payments. As of July 31, 2024, we had $2.8 billion in total indebtedness outstanding. This amount includes (i) $959.8 million of indebtedness pursuant to the term loan facility under the Vail Holdings Credit Agreement that matures in 2029, (ii) $600.0 million aggregate principal amount of our unsecured senior notes due 2032 (the “6.50% Notes”), (iii) $575.0 million in aggregate principal amount of 0.0% convertible notes due 2026 (the “0.0% Convertible Notes”), (iv) $369.1 million with respect to our obligation associated with the Canyons long-term lease, (v) $114.2 million with respect to the EPR Secured Notes under the master credit and security agreements and other related agreements with EPT Ski Properties, Inc. and its affiliates (“EPR”), as amended (collectively, the “EPR Agreements”), (vi) $52.6 million with respect to our obligations associated with outstanding debt of certain employee housing entities, (vii) $37.1 million with respect to the New Regional Policy loan between Andermatt-Sedrun and the Canton of Uri and Canton of Graubünden (the “NRP Loan”), and (viii) $27.9 million with respect to our obligations associated with Whistler Blackcomb employee housing leases. We also have a credit agreement at Whistler Blackcomb that matures in 2028 (the “Whistler Credit Agreement”), which had no amounts outstanding as of July 31, 2024. Collectively, the Vail Holdings Credit Agreement, the Whistler Credit Agreement, the EPR Agreements and the NRP Loan are referred to herein as the “Credit Agreements,” and such facilities, the “Credit Facilities.” Our borrowings under the Vail Holdings Credit Agreement are subject to interest rate changes substantially increasing our risk to changes in interest rates. Under the Vail Holdings Credit Agreement, borrowings under the Vail Holdings Credit Agreement, including the term loan facility, bear interest annually at a rate of SOFR plus 1.60%. As of July 31, 2024 we also have, on a cumulative basis, minimum lease payment obligations under operating leases of approximately $371.1 million over the term of the leases. Our level of indebtedness and minimum lease payment obligations could have important consequences. For example, it could:</w:t>
      </w:r>
    </w:p>
    <w:p>
      <w:pPr>
        <w:spacing w:after="0" w:line="22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under our outstanding debt;</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including the annual payments under the Canyons lease, thereby reducing the availability of our cash flow to fund dividend payments, working capital, capital expenditures, real estate developments, marketing efforts and other general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refinance debt, or obtain additional financing for working capital, capital expenditures, debt service requirements, acquisitions or other general corporate purposes;</w:t>
      </w: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obligations, including debt service requirements under our outstanding debt; and</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potential or existing customers to not contract with us due to concerns over our ability to meet our financial obligations, such as insuring against our professional liability risks, under such contracts.</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our debt under our Credit Facilities bears interest at variable rates, which may be impacted by potential future changes in interest rates due to reference rate reform. We may be able to incur additional indebtedness in the future. The terms of our Credit Facilities, the 0.0% Convertible Notes and the 6.50% Notes do not fully prohibit us from doing so. If we incur additional debt, the related risks that we face could intensify.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our Credit Facilities also impose significant operating and financial restrictions on us. These restrictions limit our ability and the ability of our subsidiaries to, among other things:</w:t>
      </w:r>
    </w:p>
    <w:p>
      <w:pPr>
        <w:spacing w:after="0" w:line="18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incur or guarantee additional debt or issue capital stock;</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pay dividends and make other distributions on, or redeem or repurchase, capital stock;</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Times New Roman" w:cs="Times New Roman" w:eastAsia="Times New Roman" w:hAnsi="Times New Roman"/>
          <w:sz w:val="18"/>
          <w:szCs w:val="18"/>
          <w:color w:val="auto"/>
        </w:rPr>
        <w:t>make certain investments;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ind w:left="660" w:hanging="328"/>
        <w:spacing w:after="0"/>
        <w:tabs>
          <w:tab w:leader="none" w:pos="66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incur certain liens;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merge or consolidate;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enter into agreements that restrict the ability of subsidiaries to make dividends, distributions or other payments to us or the guarantors;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designate restricted subsidiaries as unrestricted subsidiaries;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Times New Roman" w:cs="Times New Roman" w:eastAsia="Times New Roman" w:hAnsi="Times New Roman"/>
          <w:sz w:val="18"/>
          <w:szCs w:val="18"/>
          <w:color w:val="auto"/>
        </w:rPr>
        <w:t>transfer or sell assets.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 governing the 6.50% Notes contains a number of significant restrictions and covenants that limit our ability to:</w:t>
      </w:r>
    </w:p>
    <w:p>
      <w:pPr>
        <w:spacing w:after="0" w:line="6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grant or permit liens;</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engage in sale/leaseback transactions;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Times New Roman" w:cs="Times New Roman" w:eastAsia="Times New Roman" w:hAnsi="Times New Roman"/>
          <w:sz w:val="18"/>
          <w:szCs w:val="18"/>
          <w:color w:val="auto"/>
        </w:rPr>
        <w:t>engage in a consolidation or merger, or sell, transfer or otherwise dispose of all or substantially all of our assets.</w:t>
      </w:r>
    </w:p>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Whistler Credit Agreement contains restrictions on the ability of Whistler Mountain Resort Limited Partnership and Blackcomb Skiing Enterprises Limited Partnership (together “The WB Partnerships”) and their respective subsidiaries, and the EPR Agreements contain restrictions on the ability of Peak Resorts and its subsidiaries, to make dividends, distributions or other payments to us or the guarantors. We and our subsidiaries are subject to other covenants, representations and warranties in respect of our Credit Facilities, including financial covenants as defined in the Credit Agreements. Events beyond our control may affect our ability to comply with these covenants.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of any future indebtedness we may incur could include more restrictive covenants. We may not be able to maintain compliance with our financial covenants in the future and, if we fail to do so, we may not be able to obtain waivers from the lenders and/or amend the covenants.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we will meet the financial covenants contained in our Credit Facilities, when in effect. If we breach any of these restrictions or covenants, or suffer a material adverse change which restricts our borrowing ability under our Credit Facilities, we would not be able to borrow funds thereunder without a waiver. Any inability to borrow could have an adverse effect on our business, financial condition and results of operations. In addition, a breach, if uncured, could cause a default under the applicable agreement(s) governing our indebtedness, in which case such we may be required to repay these borrowings before their due date. We may not have or be able to obtain sufficient funds to make these accelerated payments. If we are forced to refinance these borrowings on less favorable terms or cannot refinance these borrowings, our results of operations and financial condition could be adversely affected.</w:t>
      </w:r>
    </w:p>
    <w:p>
      <w:pPr>
        <w:spacing w:after="0" w:line="2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may not continue to repurchase our common stock pursuant to our share repurchase program, and any such repurchases may not enhance long-term stockholder value. Share repurchases could also increase the volatility of the price of our common stock and could diminish our cash reserves.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and March 7, 2023, the Company’s Board of Directors increased the authorization by an additional 3,000,000, 1,500,000 and 2,500,000 Vail Shares, respectively, for a total authorization to repurchase up to 10,000,000 Vail Shares. Since inception of this stock repurchase program through July 31, 2024, the Company has repurchased 9,369,680 shares at a cost of approximately $1,129.4 million, excluding accrued excise tax. As of July 31, 2024, 630,320 Vail Shares remained available to repurchase under the existing share repurchase program, which has no expiration date.</w:t>
      </w:r>
    </w:p>
    <w:p>
      <w:pPr>
        <w:spacing w:after="0" w:line="2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our Board of Directors has approved a share repurchase program, the share repurchase program does not obligate us to repurchase any specific dollar amount or to acquire any specific number of shares. The timing and amount of repurchases, if any, will depend upon several factors, including market and business conditions, our liquidity and capital resources, the trading price of our common stock and the nature of other investment opportunities. The repurchase program may be limited, suspended or discontinued at any time without prior notice. In addition, repurchases of our common stock pursuant to our share repurchase program could cause our stock price to be higher than it would be in the absence of such a program and could potentially reduce the market liquidity for our stock. Additionally, our share repurchase program could reduce our available liquidity, which may impact our ability to finance future growth and to pursue possible future strategic opportunities and acquisitions. Further, the Internal Revenue Service recently implemented a nondeductible excise tax equal to 1% of the fair market value of certain corporate share repurchases. There can be no assurance that any share repurchases will enhance stockholder value because the market price of our common stock may decline below levels at which we repurchased shares of stock. Although our share repurchase program is intended to enhance long-term stockholder value, there is no assurance that it will do so and short-term stock price fluctuations could reduce the program’s effectiveness.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litigation in the ordinary course of business.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from time to time, subject to various asserted or unasserted legal proceedings and claims. Any such proceedings or claims, regardless of merit, could be time consuming and expensive to defend and could divert management’s attention and resources. While we believe we have adequate insurance coverage and/or accrue for loss contingencies for all known matters that are probable and can be reasonably estimated, we cannot provide any assurance that the outcome of all current or future litigation proceedings and claims will not have a material adverse effect on us and our results of operations.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complex and evolving accounting regulations and use certain estimates and judgments that may differ significantly from actual results.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Implementation of existing and future legislation, rulings, standards and interpretations from the Financial Accounting Standards Board or other regulatory bodies could affect the presentation of our financial statements and related disclosures. Future regulatory requirements could significantly change our current accounting practices and disclosures. Such changes in the presentation of our financial statements and related disclosures could change an investor’s interpretation or perception of our financial position and results of operations.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many methods, estimates and judgments in applying our accounting policies (see “Critical Accounting Policies” in Item 7 of this Form 10-K). Such methods, estimates and judgments are, by their nature, subject to substantial risks, uncertainties and assumptions, and factors may arise over time that lead us to change our methods, estimates and judgments. Changes in those methods, estimates and judgments could significantly affect our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 affecting us could prevent or delay a change of control that is beneficial to our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of our certificate of incorporation and bylaws, provisions of our debt instruments and other agreements and provisions of applicable Delaware law and applicable federal and state regulations may discourage, delay or prevent a merger or other change of control that holders of our securities may consider favorable. These provisions could:</w:t>
      </w:r>
    </w:p>
    <w:p>
      <w:pPr>
        <w:spacing w:after="0" w:line="203"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delay, defer or prevent a change in control of our Company;</w:t>
      </w:r>
    </w:p>
    <w:p>
      <w:pPr>
        <w:spacing w:after="0" w:line="2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discourage bids for our securities at a premium over the market price;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adversely affect the market price of, and the voting and other rights of the holders of our securities;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Times New Roman" w:cs="Times New Roman" w:eastAsia="Times New Roman" w:hAnsi="Times New Roman"/>
          <w:sz w:val="18"/>
          <w:szCs w:val="18"/>
          <w:color w:val="auto"/>
        </w:rPr>
        <w:t>impede the ability of the holders of our securities to change our management.</w:t>
      </w:r>
    </w:p>
    <w:p>
      <w:pPr>
        <w:spacing w:after="0" w:line="2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instance, provisions of the indentures governing our indebtedness stipulate that the Company must repurchase the senior notes at the option of their holders upon the event of a change in control of the Company. Further, a change of control would constitute an event of default under our credit agreements.</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is a dynamic and constantly evolving field. We are committed to continuously improving our cybersecurity posture by staying informed about emerging threats, adopting industry best practices, and integrating feedback from our assessments and incidents. Our goal is to maintain a resilient cybersecurity framework that protects our assets and supports our long-term business objectives.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manage risks from cybersecurity threats through our overall enterprise risk management process, which is overseen by our Board. Our cybersecurity risks are considered individually as part of our enterprise risk management process alongside other risks, and priorities and discussed with our Board. Management has created an information security program, which is comprised of a dedicated information security team and policies, procedures, and processes for assessing, identifying, and managing risks from cybersecurity threats. Our policies, procedures, and processes follow recognized frameworks established by the National Institute of Standards and Technology (“NIST”) and the International Organization for Standardization, as well as other relevant standards. Our program is designed to maintain the confidentiality, integrity, security, and availability of data created, collected, stored, and used to operate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We identify, assess, and manage risks from cybersecurity threats through various mechanisms, which from time to time may include tabletop exercises, control gap analyses, threat modeling, impact analyses, internal audits, external audits, vulnerability scans, penetration tests, and engagement of third parties to conduct analyses of our information security program. We obtain cybersecurity threat intelligence from recognized forums, third parties, and other sources as part of our risk assessment process. We also maintain a risk-based approach for assessing, identifying, and managing risks from cybersecurity threats associated with third party service providers and other companies with whom we do business. As part of our cybersecurity program, team members receive cybersecurity training and participate in awareness programs including phishing simulation exercises and reminders, and programming and events during Cybersecurity Awareness Month. We also carry cyber security insurance, which is renewed annually and covers cyber events and business interruption. We closely monitor costs of breaches within the industry in an effort to ensure that our coverage is sufficient to address all reasonably foreseeable threats and levels of risk.</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Incident Response Plan (“IRP”), which applies to information security incidents. Our IRP sets out a coordinated, multi-functional approach for investigating, containing, and mitigating incidents, as well as the communication protocol of such incidents to senior management and other key stakeholders pursuant to established thresholds so that decisions regarding the disclosure and reporting of such incidents can be made by management in a timely manner. In general, our incident response process follows the NIST framework and focuses on four phases: (i) preparation; (ii) detection and analysis; (iii) containment, eradication, and recovery; and (iv) post-incident remediation.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Board oversight of cybersecurity risk management is supported by the Audit Committee, which regularly reviews internal reports from management with respect to information technology and cybersecurity issues, and interacts with our enterprise risk management function and our Chief Information Officer (“CIO”) regarding major cybersecurity risk areas and recommended actions to address such risks.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Information Security and Compliance teams, in coordination with the Board and Audit Committee, oversees the management of risks from cybersecurity threats, including the policies, standards, processes, and practices that our CIO and our Vice President of Information Security, in coordination with our Information Technology Senior Leadership Team, develop and implement to address risks from cybersecurity threats. The Board and the Audit Committee each receive regular presentations and reports on cybersecurity risks, which address a wide range of topics including, for example, recent developments, evolving standards, vulnerability assessments, third-party and independent reviews, the threat environment, technological trends, and information security considerations arising with respect to our peers and third parties. The Board and the Audit Committee are also informed of any cybersecurity incident that meets established reporting thresholds, as well as ongoing updates regarding such incident until it has been addressed. At least once each quarter, the Audit Committee discusses our approach to cybersecurity risk management with our CIO, and at least annually, or more frequently as necessary, our CIO meets with the Board to discuss cybersecurity risk management.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CIO and our Vice President of Information Security are principally responsible for overseeing our cybersecurity risk management program, in partnership with other business leaders across company. Our CIO serves as Chair of our Cybersecurity Incident Materiality Assessment Council and works in coordination with the other members of our Executive Committee.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CIO has served in various roles in information technology and information security for over 27 years, including in technology leadership roles such as Chief Information Officer, Vice President Business Technology, Vice President Business Information Services, Senior Director of Mountain Technology, Director of Resort Application Development, and Director of Order Management Systems leadership roles for large public companies. Our CIO holds a B.B.A. in Management Information Systems and Accounting from University of Oklahoma.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Vice President of Information Security has served in various roles in information technology and information security for over 27 years, including as Vice President of Information Security for large public companies. In addition, our Vice President of Information Security has previously held roles including Vice President of Information Security and Technology, Senior Director Information Technology, Director IT Security and Compliance, and Senior IT Audit Manager. Our Vice President of Information Security holds several certifications including CISSP, CISA, CISSM, and PCI-ISA. Our Vice President of Information Security holds a B.S. in Management Information Systems from Iowa State University and an MBA from Auburn University.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CIO and Vice President of Information Security, in coordination with our Legal, Internal Audit, and Compliance teams, work collaboratively across the company to implement a program designed to protect our information systems from cybersecurity threats and to promptly respond to any cybersecurity incidents in accordance with our security IRP. To facilitate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40" w:name="page41"/>
    <w:bookmarkEnd w:id="40"/>
    <w:p>
      <w:pPr>
        <w:jc w:val="both"/>
        <w:spacing w:after="0" w:line="261" w:lineRule="auto"/>
        <w:rPr>
          <w:sz w:val="20"/>
          <w:szCs w:val="20"/>
          <w:color w:val="auto"/>
        </w:rPr>
      </w:pPr>
      <w:r>
        <w:rPr>
          <w:rFonts w:ascii="Times New Roman" w:cs="Times New Roman" w:eastAsia="Times New Roman" w:hAnsi="Times New Roman"/>
          <w:sz w:val="18"/>
          <w:szCs w:val="18"/>
          <w:color w:val="auto"/>
        </w:rPr>
        <w:t>the success of this program, multidisciplinary teams throughout the company are deployed to address cybersecurity threats and to respond to cybersecurity incidents in accordance with our incident response and recovery plans. Through the ongoing communications from these teams, the CIO, the Vice President of Information Security, and our Cybersecurity Incident Materiality Assessment Council monitor the prevention, detection, mitigation, and remediation of cybersecurity incidents in real time, and report such incidents to the Audit Committee when appropriate.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reviews our cybersecurity management strategy and initiatives on a regular basis and oversees the management of risks from cybersecurity threats, including the policies, processes, and practices implemented by the Company to address such risks. The Audit Committee also routinely receives reports on the cybersecurity landscape, regulatory requirements, industry standards, and emerging threats. Prompt and timely information regarding any significant cybersecurity incident as specified in our IRP, including ongoing updates as the incident unfolds and until it has been addressed, are also provided to both the Board and the Audit Committee.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currently believe cybersecurity threats, including as a result of any previous cybersecurity incidents, have materially affected or are reasonably likely to affect us, including our business strategy, results of operations, or financial condition; however, we could experience a cybersecurity incident that materially affects us in the future.</w:t>
      </w:r>
    </w:p>
    <w:p>
      <w:pPr>
        <w:spacing w:after="0" w:line="1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principal properties that we own or lease for use in our operations:</w:t>
      </w:r>
    </w:p>
    <w:p>
      <w:pPr>
        <w:spacing w:after="0" w:line="138" w:lineRule="exact"/>
        <w:rPr>
          <w:sz w:val="20"/>
          <w:szCs w:val="20"/>
          <w:color w:val="auto"/>
        </w:rPr>
      </w:pPr>
    </w:p>
    <w:p>
      <w:pPr>
        <w:ind w:left="20"/>
        <w:spacing w:after="0"/>
        <w:tabs>
          <w:tab w:leader="none" w:pos="4940" w:val="left"/>
          <w:tab w:leader="none" w:pos="6480" w:val="left"/>
        </w:tabs>
        <w:rPr>
          <w:sz w:val="20"/>
          <w:szCs w:val="20"/>
          <w:color w:val="auto"/>
        </w:rPr>
      </w:pPr>
      <w:r>
        <w:rPr>
          <w:rFonts w:ascii="Times New Roman" w:cs="Times New Roman" w:eastAsia="Times New Roman" w:hAnsi="Times New Roman"/>
          <w:sz w:val="14"/>
          <w:szCs w:val="14"/>
          <w:b w:val="1"/>
          <w:bCs w:val="1"/>
          <w:color w:val="auto"/>
        </w:rPr>
        <w:t>Location</w:t>
      </w:r>
      <w:r>
        <w:rPr>
          <w:sz w:val="20"/>
          <w:szCs w:val="20"/>
          <w:color w:val="auto"/>
        </w:rPr>
        <w:tab/>
      </w:r>
      <w:r>
        <w:rPr>
          <w:rFonts w:ascii="Times New Roman" w:cs="Times New Roman" w:eastAsia="Times New Roman" w:hAnsi="Times New Roman"/>
          <w:sz w:val="14"/>
          <w:szCs w:val="14"/>
          <w:b w:val="1"/>
          <w:bCs w:val="1"/>
          <w:color w:val="auto"/>
        </w:rPr>
        <w:t>Ownership</w:t>
      </w:r>
      <w:r>
        <w:rPr>
          <w:sz w:val="20"/>
          <w:szCs w:val="20"/>
          <w:color w:val="auto"/>
        </w:rPr>
        <w:tab/>
      </w:r>
      <w:r>
        <w:rPr>
          <w:rFonts w:ascii="Times New Roman" w:cs="Times New Roman" w:eastAsia="Times New Roman" w:hAnsi="Times New Roman"/>
          <w:sz w:val="14"/>
          <w:szCs w:val="14"/>
          <w:b w:val="1"/>
          <w:bCs w:val="1"/>
          <w:color w:val="auto"/>
        </w:rPr>
        <w:t>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248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6285" cy="248920"/>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Afton Alps, MN</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Alpine Valley Resort, OH</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Andermatt Ski Resort, Switzerland</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Andermatt Ski Resort, Switzerland</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Andermatt Ski Resort, Switzerland</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Andermatt Ski Resort, Switzerland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Arrowhead Mountain, CO</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Attitash Mountain, NH</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Attitash Mountain, NH (279 acres)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BC Housing RiverEdge, CO</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Bachelor Gulch Village, CO</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Beaver Creek Resort, CO</w:t>
      </w: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Beaver Creek Mountain, CO (3,801 acres)</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Beaver Creek Mountain Resort, CO</w:t>
      </w:r>
    </w:p>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Big Boulder Mountain, PA</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Boston Mills, OH</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Brandywine, OH</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resort operations, including ski lifts, ski trails, clubhouse, buildings,</w:t>
      </w:r>
    </w:p>
    <w:p>
      <w:pPr>
        <w:ind w:left="1540"/>
        <w:spacing w:after="0"/>
        <w:rPr>
          <w:sz w:val="20"/>
          <w:szCs w:val="20"/>
          <w:color w:val="auto"/>
        </w:rPr>
      </w:pPr>
      <w:r>
        <w:rPr>
          <w:rFonts w:ascii="Times New Roman" w:cs="Times New Roman" w:eastAsia="Times New Roman" w:hAnsi="Times New Roman"/>
          <w:sz w:val="16"/>
          <w:szCs w:val="16"/>
          <w:color w:val="auto"/>
        </w:rPr>
        <w:t>commercial space and other improvements</w:t>
      </w:r>
    </w:p>
    <w:p>
      <w:pPr>
        <w:spacing w:after="0" w:line="10"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resort operations, including ski lifts, ski trails, golf course,</w:t>
      </w:r>
    </w:p>
    <w:p>
      <w:pPr>
        <w:ind w:left="154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p>
      <w:pPr>
        <w:spacing w:after="0" w:line="10"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resort operations, including ski lifts, ski trails, buildings,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-113665</wp:posOffset>
            </wp:positionV>
            <wp:extent cx="7106285"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6"/>
          <w:szCs w:val="16"/>
          <w:color w:val="auto"/>
        </w:rPr>
        <w:t>commercial space and other improvements, and dining facilities</w:t>
      </w:r>
    </w:p>
    <w:p>
      <w:pPr>
        <w:spacing w:after="0" w:line="10"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Leased</w:t>
      </w:r>
      <w:r>
        <w:rPr>
          <w:sz w:val="20"/>
          <w:szCs w:val="20"/>
          <w:color w:val="auto"/>
        </w:rPr>
        <w:tab/>
      </w:r>
      <w:r>
        <w:rPr>
          <w:rFonts w:ascii="Times New Roman" w:cs="Times New Roman" w:eastAsia="Times New Roman" w:hAnsi="Times New Roman"/>
          <w:sz w:val="16"/>
          <w:szCs w:val="16"/>
          <w:color w:val="auto"/>
        </w:rPr>
        <w:t>Ski resort operations, including buildings, commercial space, parking</w:t>
      </w:r>
    </w:p>
    <w:p>
      <w:pPr>
        <w:ind w:left="1540"/>
        <w:spacing w:after="0"/>
        <w:rPr>
          <w:sz w:val="20"/>
          <w:szCs w:val="20"/>
          <w:color w:val="auto"/>
        </w:rPr>
      </w:pPr>
      <w:r>
        <w:rPr>
          <w:rFonts w:ascii="Times New Roman" w:cs="Times New Roman" w:eastAsia="Times New Roman" w:hAnsi="Times New Roman"/>
          <w:sz w:val="16"/>
          <w:szCs w:val="16"/>
          <w:color w:val="auto"/>
        </w:rPr>
        <w:t>and other improvements, dining facilities and employee housing</w:t>
      </w:r>
    </w:p>
    <w:p>
      <w:pPr>
        <w:spacing w:after="0" w:line="10"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Easement</w:t>
      </w:r>
      <w:r>
        <w:rPr>
          <w:sz w:val="20"/>
          <w:szCs w:val="20"/>
          <w:color w:val="auto"/>
        </w:rPr>
        <w:tab/>
      </w:r>
      <w:r>
        <w:rPr>
          <w:rFonts w:ascii="Times New Roman" w:cs="Times New Roman" w:eastAsia="Times New Roman" w:hAnsi="Times New Roman"/>
          <w:sz w:val="16"/>
          <w:szCs w:val="16"/>
          <w:color w:val="auto"/>
        </w:rPr>
        <w:t>Ski resort operations, including third party land use rights, and dining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-113665</wp:posOffset>
            </wp:positionV>
            <wp:extent cx="7106285" cy="2400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6"/>
          <w:szCs w:val="16"/>
          <w:color w:val="auto"/>
        </w:rPr>
        <w:t>facilities</w:t>
      </w:r>
    </w:p>
    <w:p>
      <w:pPr>
        <w:spacing w:after="0" w:line="1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Concession contract</w:t>
        <w:tab/>
        <w:t>Ski resort operations, including third party land use rights</w:t>
      </w:r>
    </w:p>
    <w:p>
      <w:pPr>
        <w:spacing w:after="0" w:line="2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resort operations, including ski lifts, ski trails, buildings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-113665</wp:posOffset>
            </wp:positionV>
            <wp:extent cx="7106285"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p>
      <w:pPr>
        <w:spacing w:after="0" w:line="10"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resort operations, including ski lifts, ski trails, buildings,</w:t>
      </w:r>
    </w:p>
    <w:p>
      <w:pPr>
        <w:ind w:left="1540"/>
        <w:spacing w:after="0"/>
        <w:rPr>
          <w:sz w:val="20"/>
          <w:szCs w:val="20"/>
          <w:color w:val="auto"/>
        </w:rPr>
      </w:pPr>
      <w:r>
        <w:rPr>
          <w:rFonts w:ascii="Times New Roman" w:cs="Times New Roman" w:eastAsia="Times New Roman" w:hAnsi="Times New Roman"/>
          <w:sz w:val="16"/>
          <w:szCs w:val="16"/>
          <w:color w:val="auto"/>
        </w:rPr>
        <w:t>commercial space and other improvements</w:t>
      </w:r>
    </w:p>
    <w:p>
      <w:pPr>
        <w:spacing w:after="0" w:line="1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SUP</w:t>
      </w:r>
      <w:r>
        <w:rPr>
          <w:sz w:val="20"/>
          <w:szCs w:val="20"/>
          <w:color w:val="auto"/>
        </w:rPr>
        <w:tab/>
      </w:r>
      <w:r>
        <w:rPr>
          <w:rFonts w:ascii="Times New Roman" w:cs="Times New Roman" w:eastAsia="Times New Roman" w:hAnsi="Times New Roman"/>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-116205</wp:posOffset>
            </wp:positionV>
            <wp:extent cx="710628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26% Owned</w:t>
      </w:r>
      <w:r>
        <w:rPr>
          <w:sz w:val="20"/>
          <w:szCs w:val="20"/>
          <w:color w:val="auto"/>
        </w:rPr>
        <w:tab/>
      </w:r>
      <w:r>
        <w:rPr>
          <w:rFonts w:ascii="Times New Roman" w:cs="Times New Roman" w:eastAsia="Times New Roman" w:hAnsi="Times New Roman"/>
          <w:sz w:val="16"/>
          <w:szCs w:val="16"/>
          <w:color w:val="auto"/>
        </w:rPr>
        <w:t>Employee housing facilities</w:t>
      </w:r>
    </w:p>
    <w:p>
      <w:pPr>
        <w:spacing w:after="0" w:line="2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resort operations, including ski lifts, ski trails, buildings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-113665</wp:posOffset>
            </wp:positionV>
            <wp:extent cx="7106285" cy="2400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240030"/>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p>
      <w:pPr>
        <w:spacing w:after="0" w:line="10"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resort operations, including ski lifts, ski trails, buildings and other</w:t>
      </w:r>
    </w:p>
    <w:p>
      <w:pPr>
        <w:ind w:left="1540" w:right="100"/>
        <w:spacing w:after="0" w:line="231" w:lineRule="auto"/>
        <w:rPr>
          <w:sz w:val="20"/>
          <w:szCs w:val="20"/>
          <w:color w:val="auto"/>
        </w:rPr>
      </w:pPr>
      <w:r>
        <w:rPr>
          <w:rFonts w:ascii="Times New Roman" w:cs="Times New Roman" w:eastAsia="Times New Roman" w:hAnsi="Times New Roman"/>
          <w:sz w:val="16"/>
          <w:szCs w:val="16"/>
          <w:color w:val="auto"/>
        </w:rPr>
        <w:t>improvements, property management, commercial space and real estate held for sale or development</w:t>
      </w:r>
    </w:p>
    <w:p>
      <w:pPr>
        <w:spacing w:after="0" w:line="6"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SUP</w:t>
      </w:r>
      <w:r>
        <w:rPr>
          <w:sz w:val="20"/>
          <w:szCs w:val="20"/>
          <w:color w:val="auto"/>
        </w:rPr>
        <w:tab/>
      </w:r>
      <w:r>
        <w:rPr>
          <w:rFonts w:ascii="Times New Roman" w:cs="Times New Roman" w:eastAsia="Times New Roman" w:hAnsi="Times New Roman"/>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-116205</wp:posOffset>
            </wp:positionV>
            <wp:extent cx="71062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8"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Golf course, clubhouse, commercial space and residential condominium</w:t>
      </w:r>
    </w:p>
    <w:p>
      <w:pPr>
        <w:ind w:left="1540"/>
        <w:spacing w:after="0"/>
        <w:rPr>
          <w:sz w:val="20"/>
          <w:szCs w:val="20"/>
          <w:color w:val="auto"/>
        </w:rPr>
      </w:pPr>
      <w:r>
        <w:rPr>
          <w:rFonts w:ascii="Times New Roman" w:cs="Times New Roman" w:eastAsia="Times New Roman" w:hAnsi="Times New Roman"/>
          <w:sz w:val="16"/>
          <w:szCs w:val="16"/>
          <w:color w:val="auto"/>
        </w:rPr>
        <w:t>units</w:t>
      </w:r>
    </w:p>
    <w:p>
      <w:pPr>
        <w:spacing w:after="0" w:line="14"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-116205</wp:posOffset>
            </wp:positionV>
            <wp:extent cx="71062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1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trails, ski lifts, buildings and other improvements</w:t>
      </w:r>
    </w:p>
    <w:p>
      <w:pPr>
        <w:spacing w:after="0" w:line="32"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16"/>
          <w:szCs w:val="16"/>
          <w:color w:val="auto"/>
        </w:rPr>
        <w:t>Owned</w:t>
      </w:r>
      <w:r>
        <w:rPr>
          <w:sz w:val="20"/>
          <w:szCs w:val="20"/>
          <w:color w:val="auto"/>
        </w:rPr>
        <w:tab/>
      </w:r>
      <w:r>
        <w:rPr>
          <w:rFonts w:ascii="Times New Roman" w:cs="Times New Roman" w:eastAsia="Times New Roman" w:hAnsi="Times New Roman"/>
          <w:sz w:val="16"/>
          <w:szCs w:val="16"/>
          <w:color w:val="auto"/>
        </w:rPr>
        <w:t>Ski trails, ski lifts, buildings and other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-116205</wp:posOffset>
            </wp:positionV>
            <wp:extent cx="710628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720"/>
            <w:col w:w="6280"/>
          </w:cols>
          <w:pgMar w:left="320" w:top="1107"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9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9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3"/>
        </w:trPr>
        <w:tc>
          <w:tcPr>
            <w:tcW w:w="44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155"/>
        </w:trPr>
        <w:tc>
          <w:tcPr>
            <w:tcW w:w="442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Breckenridge Ski Resort, CO</w:t>
            </w:r>
          </w:p>
        </w:tc>
        <w:tc>
          <w:tcPr>
            <w:tcW w:w="1960" w:type="dxa"/>
            <w:vAlign w:val="bottom"/>
          </w:tcPr>
          <w:p>
            <w:pPr>
              <w:ind w:left="540"/>
              <w:spacing w:after="0" w:line="155" w:lineRule="exact"/>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line="15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3"/>
        </w:trPr>
        <w:tc>
          <w:tcPr>
            <w:tcW w:w="4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Breckenridge Mountain, CO (5,702 acres)</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Breckenridge Terrace, CO</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50% Owned</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Broomfield, CO</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Corporate offices</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Colter Bay Village, WY</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Concession contract</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165"/>
        </w:trPr>
        <w:tc>
          <w:tcPr>
            <w:tcW w:w="4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Crans-Montana Mountain Resort, Switzerland</w:t>
            </w:r>
          </w:p>
        </w:tc>
        <w:tc>
          <w:tcPr>
            <w:tcW w:w="1960" w:type="dxa"/>
            <w:vAlign w:val="bottom"/>
            <w:shd w:val="clear" w:color="auto" w:fill="CCEEFF"/>
          </w:tcPr>
          <w:p>
            <w:pPr>
              <w:ind w:left="540"/>
              <w:spacing w:after="0" w:line="165" w:lineRule="exact"/>
              <w:rPr>
                <w:sz w:val="20"/>
                <w:szCs w:val="20"/>
                <w:color w:val="auto"/>
              </w:rPr>
            </w:pPr>
            <w:r>
              <w:rPr>
                <w:rFonts w:ascii="Times New Roman" w:cs="Times New Roman" w:eastAsia="Times New Roman" w:hAnsi="Times New Roman"/>
                <w:sz w:val="16"/>
                <w:szCs w:val="16"/>
                <w:color w:val="auto"/>
              </w:rPr>
              <w:t>84% Owned</w:t>
            </w:r>
          </w:p>
        </w:tc>
        <w:tc>
          <w:tcPr>
            <w:tcW w:w="48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Crans-Montana Mountain Resort, Switzerland</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resort operations, including ski school and dining operations</w:t>
            </w:r>
          </w:p>
        </w:tc>
      </w:tr>
      <w:tr>
        <w:trPr>
          <w:trHeight w:val="165"/>
        </w:trPr>
        <w:tc>
          <w:tcPr>
            <w:tcW w:w="4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Crested Butte Mountain Resort, CO</w:t>
            </w:r>
          </w:p>
        </w:tc>
        <w:tc>
          <w:tcPr>
            <w:tcW w:w="1960" w:type="dxa"/>
            <w:vAlign w:val="bottom"/>
            <w:shd w:val="clear" w:color="auto" w:fill="CCEEFF"/>
          </w:tcPr>
          <w:p>
            <w:pPr>
              <w:ind w:left="54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48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Buildings, other improvements and land used for operation of Crested</w:t>
            </w:r>
          </w:p>
        </w:tc>
      </w:tr>
      <w:tr>
        <w:trPr>
          <w:trHeight w:val="216"/>
        </w:trPr>
        <w:tc>
          <w:tcPr>
            <w:tcW w:w="4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Butte Mountain Resort</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Crested Butte Mountain Resort, CO (4,350 acres)</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Crotched Mountain, NH</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Eagle-Vail, CO</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Warehouse facility</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Edwards, CO</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Administrative offices</w:t>
            </w:r>
          </w:p>
        </w:tc>
      </w:tr>
      <w:tr>
        <w:trPr>
          <w:trHeight w:val="162"/>
        </w:trPr>
        <w:tc>
          <w:tcPr>
            <w:tcW w:w="4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Falls Creek Alpine Resort, Victoria, Australia (1,112 acres)</w:t>
            </w:r>
          </w:p>
        </w:tc>
        <w:tc>
          <w:tcPr>
            <w:tcW w:w="196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8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3"/>
        </w:trPr>
        <w:tc>
          <w:tcPr>
            <w:tcW w:w="4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improvements</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Headwaters Lodge &amp; Cabins at Flagg Ranch, WY</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Concession contract</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162"/>
        </w:trPr>
        <w:tc>
          <w:tcPr>
            <w:tcW w:w="4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Heavenly Mountain Resort, CA &amp; NV</w:t>
            </w:r>
          </w:p>
        </w:tc>
        <w:tc>
          <w:tcPr>
            <w:tcW w:w="196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3"/>
        </w:trPr>
        <w:tc>
          <w:tcPr>
            <w:tcW w:w="4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Heavenly Mountain, CA &amp; NV (7,050 acres)</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Hidden Valley Resort, MO</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Hidden Valley Resort, PA</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Hotham Alpine Resort, Victoria, Australia (791 acres)</w:t>
            </w:r>
          </w:p>
        </w:tc>
        <w:tc>
          <w:tcPr>
            <w:tcW w:w="196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48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3"/>
        </w:trPr>
        <w:tc>
          <w:tcPr>
            <w:tcW w:w="4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improvements</w:t>
            </w:r>
          </w:p>
        </w:tc>
      </w:tr>
      <w:tr>
        <w:trPr>
          <w:trHeight w:val="165"/>
        </w:trPr>
        <w:tc>
          <w:tcPr>
            <w:tcW w:w="4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Hunter Mountain, NY</w:t>
            </w:r>
          </w:p>
        </w:tc>
        <w:tc>
          <w:tcPr>
            <w:tcW w:w="1960" w:type="dxa"/>
            <w:vAlign w:val="bottom"/>
            <w:shd w:val="clear" w:color="auto" w:fill="CCEEFF"/>
          </w:tcPr>
          <w:p>
            <w:pPr>
              <w:ind w:left="54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48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6"/>
        </w:trPr>
        <w:tc>
          <w:tcPr>
            <w:tcW w:w="4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Jack Frost Ski Resort, PA</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Jackson Hole Golf &amp; Tennis Club, WY</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Golf course, clubhouse, tennis and dining facilities</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Jackson Lake Lodge, WY</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Concession contract</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Jenny Lake Lodge, WY</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Concession contract</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Keystone Conference Center, CO</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Conference facility</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Keystone Lodge, CO</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162"/>
        </w:trPr>
        <w:tc>
          <w:tcPr>
            <w:tcW w:w="4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Keystone Resort, CO</w:t>
            </w:r>
          </w:p>
        </w:tc>
        <w:tc>
          <w:tcPr>
            <w:tcW w:w="196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4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8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improvements, commercial space, property management, dining and</w:t>
            </w:r>
          </w:p>
        </w:tc>
      </w:tr>
      <w:tr>
        <w:trPr>
          <w:trHeight w:val="213"/>
        </w:trPr>
        <w:tc>
          <w:tcPr>
            <w:tcW w:w="4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real estate held for sale or development</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Keystone Mountain, CO (8,376 acres)</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Keystone Ranch, CO</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Golf course, clubhouse and dining facilities</w:t>
            </w:r>
          </w:p>
        </w:tc>
      </w:tr>
      <w:tr>
        <w:trPr>
          <w:trHeight w:val="165"/>
        </w:trPr>
        <w:tc>
          <w:tcPr>
            <w:tcW w:w="44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Kirkwood Mountain Resort, CA</w:t>
            </w:r>
          </w:p>
        </w:tc>
        <w:tc>
          <w:tcPr>
            <w:tcW w:w="1960" w:type="dxa"/>
            <w:vAlign w:val="bottom"/>
            <w:shd w:val="clear" w:color="auto" w:fill="CCEEFF"/>
          </w:tcPr>
          <w:p>
            <w:pPr>
              <w:ind w:left="54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482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4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Kirkwood Mountain, CA (2,330 acres)</w:t>
            </w:r>
          </w:p>
        </w:tc>
        <w:tc>
          <w:tcPr>
            <w:tcW w:w="19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SUP</w:t>
            </w: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9"/>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Laurel Mountain, PA</w:t>
            </w:r>
          </w:p>
        </w:tc>
        <w:tc>
          <w:tcPr>
            <w:tcW w:w="1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Leased</w:t>
            </w:r>
          </w:p>
        </w:tc>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44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Liberty Mountain Resort, PA</w:t>
            </w:r>
          </w:p>
        </w:tc>
        <w:tc>
          <w:tcPr>
            <w:tcW w:w="1960" w:type="dxa"/>
            <w:vAlign w:val="bottom"/>
          </w:tcPr>
          <w:p>
            <w:pPr>
              <w:ind w:left="54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4820" w:type="dxa"/>
            <w:vAlign w:val="bottom"/>
          </w:tcPr>
          <w:p>
            <w:pPr>
              <w:ind w:left="12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0"/>
        </w:trPr>
        <w:tc>
          <w:tcPr>
            <w:tcW w:w="44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clubhouse, buildings and other improvements</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90"/>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60" w:type="dxa"/>
            <w:vAlign w:val="bottom"/>
          </w:tcPr>
          <w:p>
            <w:pPr>
              <w:ind w:left="9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3"/>
        </w:trPr>
        <w:tc>
          <w:tcPr>
            <w:tcW w:w="39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0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Mad River Mountain, OH</w:t>
            </w:r>
          </w:p>
        </w:tc>
        <w:tc>
          <w:tcPr>
            <w:tcW w:w="22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Leased</w:t>
            </w: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Mount Snow, VT</w:t>
            </w:r>
          </w:p>
        </w:tc>
        <w:tc>
          <w:tcPr>
            <w:tcW w:w="2260" w:type="dxa"/>
            <w:vAlign w:val="bottom"/>
          </w:tcPr>
          <w:p>
            <w:pPr>
              <w:ind w:left="9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3"/>
        </w:trPr>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clubhouse, buildings, commercial space and other improvements.</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Mount Snow, VT (894 acres)</w:t>
            </w:r>
          </w:p>
        </w:tc>
        <w:tc>
          <w:tcPr>
            <w:tcW w:w="22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SUP</w:t>
            </w: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Mount Sunapee Resort, NH (850 acres)</w:t>
            </w:r>
          </w:p>
        </w:tc>
        <w:tc>
          <w:tcPr>
            <w:tcW w:w="2260" w:type="dxa"/>
            <w:vAlign w:val="bottom"/>
          </w:tcPr>
          <w:p>
            <w:pPr>
              <w:ind w:left="960"/>
              <w:spacing w:after="0" w:line="162" w:lineRule="exact"/>
              <w:rPr>
                <w:sz w:val="20"/>
                <w:szCs w:val="20"/>
                <w:color w:val="auto"/>
              </w:rPr>
            </w:pPr>
            <w:r>
              <w:rPr>
                <w:rFonts w:ascii="Times New Roman" w:cs="Times New Roman" w:eastAsia="Times New Roman" w:hAnsi="Times New Roman"/>
                <w:sz w:val="16"/>
                <w:szCs w:val="16"/>
                <w:color w:val="auto"/>
              </w:rPr>
              <w:t>Owned/Leased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3"/>
        </w:trPr>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165"/>
        </w:trPr>
        <w:tc>
          <w:tcPr>
            <w:tcW w:w="3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Mt. Brighton, MI</w:t>
            </w:r>
          </w:p>
        </w:tc>
        <w:tc>
          <w:tcPr>
            <w:tcW w:w="2260" w:type="dxa"/>
            <w:vAlign w:val="bottom"/>
            <w:shd w:val="clear" w:color="auto" w:fill="CCEEFF"/>
          </w:tcPr>
          <w:p>
            <w:pPr>
              <w:ind w:left="96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216"/>
        </w:trPr>
        <w:tc>
          <w:tcPr>
            <w:tcW w:w="39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Mt. Mansfield, VT (1,400 acres)</w:t>
            </w:r>
          </w:p>
        </w:tc>
        <w:tc>
          <w:tcPr>
            <w:tcW w:w="2260" w:type="dxa"/>
            <w:vAlign w:val="bottom"/>
          </w:tcPr>
          <w:p>
            <w:pPr>
              <w:ind w:left="9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trails, ski lifts, buildings and other improvements used for</w:t>
            </w:r>
          </w:p>
        </w:tc>
      </w:tr>
      <w:tr>
        <w:trPr>
          <w:trHeight w:val="213"/>
        </w:trPr>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operation of Stowe Mountain Resort</w:t>
            </w:r>
          </w:p>
        </w:tc>
      </w:tr>
      <w:tr>
        <w:trPr>
          <w:trHeight w:val="165"/>
        </w:trPr>
        <w:tc>
          <w:tcPr>
            <w:tcW w:w="3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Northstar California Resort, CA (7,200 acres)</w:t>
            </w:r>
          </w:p>
        </w:tc>
        <w:tc>
          <w:tcPr>
            <w:tcW w:w="2260" w:type="dxa"/>
            <w:vAlign w:val="bottom"/>
            <w:shd w:val="clear" w:color="auto" w:fill="CCEEFF"/>
          </w:tcPr>
          <w:p>
            <w:pPr>
              <w:ind w:left="960"/>
              <w:spacing w:after="0" w:line="165" w:lineRule="exact"/>
              <w:rPr>
                <w:sz w:val="20"/>
                <w:szCs w:val="20"/>
                <w:color w:val="auto"/>
              </w:rPr>
            </w:pPr>
            <w:r>
              <w:rPr>
                <w:rFonts w:ascii="Times New Roman" w:cs="Times New Roman" w:eastAsia="Times New Roman" w:hAnsi="Times New Roman"/>
                <w:sz w:val="16"/>
                <w:szCs w:val="16"/>
                <w:color w:val="auto"/>
              </w:rPr>
              <w:t>Leased</w:t>
            </w:r>
          </w:p>
        </w:tc>
        <w:tc>
          <w:tcPr>
            <w:tcW w:w="50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Ski trails, ski lifts, golf course, commercial space, dining facilities,</w:t>
            </w:r>
          </w:p>
        </w:tc>
      </w:tr>
      <w:tr>
        <w:trPr>
          <w:trHeight w:val="216"/>
        </w:trPr>
        <w:tc>
          <w:tcPr>
            <w:tcW w:w="39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buildings and other improvements</w:t>
            </w: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Northstar Village, CA</w:t>
            </w:r>
          </w:p>
        </w:tc>
        <w:tc>
          <w:tcPr>
            <w:tcW w:w="2260" w:type="dxa"/>
            <w:vAlign w:val="bottom"/>
          </w:tcPr>
          <w:p>
            <w:pPr>
              <w:ind w:left="9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Commercial space, ski resort operations, dining facilities, buildings,</w:t>
            </w:r>
          </w:p>
        </w:tc>
      </w:tr>
      <w:tr>
        <w:trPr>
          <w:trHeight w:val="213"/>
        </w:trPr>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property management and other improvements</w:t>
            </w:r>
          </w:p>
        </w:tc>
      </w:tr>
      <w:tr>
        <w:trPr>
          <w:trHeight w:val="165"/>
        </w:trPr>
        <w:tc>
          <w:tcPr>
            <w:tcW w:w="3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Okemo Mountain Resort, VT</w:t>
            </w:r>
          </w:p>
        </w:tc>
        <w:tc>
          <w:tcPr>
            <w:tcW w:w="2260" w:type="dxa"/>
            <w:vAlign w:val="bottom"/>
            <w:shd w:val="clear" w:color="auto" w:fill="CCEEFF"/>
          </w:tcPr>
          <w:p>
            <w:pPr>
              <w:ind w:left="96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39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improvements, property management and commercial space</w:t>
            </w: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Okemo Mountain, VT (1,223 acres)</w:t>
            </w:r>
          </w:p>
        </w:tc>
        <w:tc>
          <w:tcPr>
            <w:tcW w:w="2260" w:type="dxa"/>
            <w:vAlign w:val="bottom"/>
          </w:tcPr>
          <w:p>
            <w:pPr>
              <w:ind w:left="9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dining facilities,</w:t>
            </w:r>
          </w:p>
        </w:tc>
      </w:tr>
      <w:tr>
        <w:trPr>
          <w:trHeight w:val="213"/>
        </w:trPr>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buildings and other improvements</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Paoli Peaks, IN</w:t>
            </w:r>
          </w:p>
        </w:tc>
        <w:tc>
          <w:tcPr>
            <w:tcW w:w="22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Owned/Leased</w:t>
            </w: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2"/>
        </w:trPr>
        <w:tc>
          <w:tcPr>
            <w:tcW w:w="39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Park City Mountain, UT (8,900 acres)</w:t>
            </w:r>
          </w:p>
        </w:tc>
        <w:tc>
          <w:tcPr>
            <w:tcW w:w="2260" w:type="dxa"/>
            <w:vAlign w:val="bottom"/>
          </w:tcPr>
          <w:p>
            <w:pPr>
              <w:ind w:left="960"/>
              <w:spacing w:after="0" w:line="162" w:lineRule="exact"/>
              <w:rPr>
                <w:sz w:val="20"/>
                <w:szCs w:val="20"/>
                <w:color w:val="auto"/>
              </w:rPr>
            </w:pPr>
            <w:r>
              <w:rPr>
                <w:rFonts w:ascii="Times New Roman" w:cs="Times New Roman" w:eastAsia="Times New Roman" w:hAnsi="Times New Roman"/>
                <w:sz w:val="16"/>
                <w:szCs w:val="16"/>
                <w:color w:val="auto"/>
              </w:rPr>
              <w:t>Leased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162"/>
        </w:trPr>
        <w:tc>
          <w:tcPr>
            <w:tcW w:w="3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commercial space, dining facilities, property management, conference</w:t>
            </w:r>
          </w:p>
        </w:tc>
      </w:tr>
      <w:tr>
        <w:trPr>
          <w:trHeight w:val="162"/>
        </w:trPr>
        <w:tc>
          <w:tcPr>
            <w:tcW w:w="39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facilities and other improvements (including areas previously referred</w:t>
            </w:r>
          </w:p>
        </w:tc>
      </w:tr>
      <w:tr>
        <w:trPr>
          <w:trHeight w:val="213"/>
        </w:trPr>
        <w:tc>
          <w:tcPr>
            <w:tcW w:w="39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 as Canyons Resort, UT)</w:t>
            </w:r>
          </w:p>
        </w:tc>
      </w:tr>
      <w:tr>
        <w:trPr>
          <w:trHeight w:val="165"/>
        </w:trPr>
        <w:tc>
          <w:tcPr>
            <w:tcW w:w="39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Park City Mountain, UT (220 acres)</w:t>
            </w:r>
          </w:p>
        </w:tc>
        <w:tc>
          <w:tcPr>
            <w:tcW w:w="2260" w:type="dxa"/>
            <w:vAlign w:val="bottom"/>
            <w:shd w:val="clear" w:color="auto" w:fill="CCEEFF"/>
          </w:tcPr>
          <w:p>
            <w:pPr>
              <w:ind w:left="96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Ski trails, ski lifts, dining facilities, commercial space, buildings, real</w:t>
            </w:r>
          </w:p>
        </w:tc>
      </w:tr>
      <w:tr>
        <w:trPr>
          <w:trHeight w:val="216"/>
        </w:trPr>
        <w:tc>
          <w:tcPr>
            <w:tcW w:w="394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estate held for sale or development and other improvements</w:t>
            </w:r>
          </w:p>
        </w:tc>
      </w:tr>
    </w:tbl>
    <w:p>
      <w:pPr>
        <w:spacing w:after="0" w:line="1" w:lineRule="exact"/>
        <w:rPr>
          <w:sz w:val="20"/>
          <w:szCs w:val="20"/>
          <w:color w:val="auto"/>
        </w:rPr>
      </w:pPr>
    </w:p>
    <w:p>
      <w:pPr>
        <w:sectPr>
          <w:pgSz w:w="11900" w:h="16838" w:orient="portrait"/>
          <w:cols w:equalWidth="0" w:num="1">
            <w:col w:w="11200"/>
          </w:cols>
          <w:pgMar w:left="320" w:top="1019" w:right="379" w:bottom="1440" w:gutter="0" w:footer="0" w:header="0"/>
        </w:sectPr>
      </w:pPr>
    </w:p>
    <w:p>
      <w:pPr>
        <w:ind w:left="20"/>
        <w:spacing w:after="0"/>
        <w:rPr>
          <w:sz w:val="20"/>
          <w:szCs w:val="20"/>
          <w:color w:val="auto"/>
        </w:rPr>
      </w:pPr>
      <w:r>
        <w:rPr>
          <w:rFonts w:ascii="Times New Roman" w:cs="Times New Roman" w:eastAsia="Times New Roman" w:hAnsi="Times New Roman"/>
          <w:sz w:val="16"/>
          <w:szCs w:val="16"/>
          <w:color w:val="auto"/>
        </w:rPr>
        <w:t>Perisher Ski Resort, NSW, Australia (3,335 acres)</w:t>
      </w:r>
    </w:p>
    <w:p>
      <w:pPr>
        <w:spacing w:after="0" w:line="20" w:lineRule="exact"/>
        <w:rPr>
          <w:sz w:val="20"/>
          <w:szCs w:val="20"/>
          <w:color w:val="auto"/>
        </w:rPr>
      </w:pPr>
      <w:r>
        <w:rPr>
          <w:sz w:val="20"/>
          <w:szCs w:val="20"/>
          <w:color w:val="auto"/>
        </w:rPr>
        <w:br w:type="column"/>
      </w:r>
    </w:p>
    <w:p>
      <w:pPr>
        <w:ind w:right="460" w:hanging="1646"/>
        <w:spacing w:after="0" w:line="245" w:lineRule="auto"/>
        <w:rPr>
          <w:sz w:val="20"/>
          <w:szCs w:val="20"/>
          <w:color w:val="auto"/>
        </w:rPr>
      </w:pPr>
      <w:r>
        <w:rPr>
          <w:rFonts w:ascii="Times New Roman" w:cs="Times New Roman" w:eastAsia="Times New Roman" w:hAnsi="Times New Roman"/>
          <w:sz w:val="16"/>
          <w:szCs w:val="16"/>
          <w:color w:val="auto"/>
        </w:rPr>
        <w:t>Owned/Leased/Licensed Ski trails, ski lifts, dining facilities, commercial space, railway, buildings, lodging, conference facilities and other improvements</w:t>
      </w:r>
    </w:p>
    <w:p>
      <w:pPr>
        <w:spacing w:after="0" w:line="1" w:lineRule="exact"/>
        <w:rPr>
          <w:sz w:val="20"/>
          <w:szCs w:val="20"/>
          <w:color w:val="auto"/>
        </w:rPr>
      </w:pPr>
    </w:p>
    <w:p>
      <w:pPr>
        <w:sectPr>
          <w:pgSz w:w="11900" w:h="16838" w:orient="portrait"/>
          <w:cols w:equalWidth="0" w:num="2">
            <w:col w:w="5820" w:space="720"/>
            <w:col w:w="4660"/>
          </w:cols>
          <w:pgMar w:left="320" w:top="1019" w:right="37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4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Red Cliffs Lodge, CA</w:t>
            </w:r>
          </w:p>
        </w:tc>
        <w:tc>
          <w:tcPr>
            <w:tcW w:w="15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Leased</w:t>
            </w:r>
          </w:p>
        </w:tc>
        <w:tc>
          <w:tcPr>
            <w:tcW w:w="50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Dining facilities, ski resort operations, commercial space,</w:t>
            </w:r>
          </w:p>
        </w:tc>
      </w:tr>
      <w:tr>
        <w:trPr>
          <w:trHeight w:val="216"/>
        </w:trPr>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administrative offices</w:t>
            </w:r>
          </w:p>
        </w:tc>
      </w:tr>
      <w:tr>
        <w:trPr>
          <w:trHeight w:val="162"/>
        </w:trPr>
        <w:tc>
          <w:tcPr>
            <w:tcW w:w="4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Red Sky Ranch, CO</w:t>
            </w:r>
          </w:p>
        </w:tc>
        <w:tc>
          <w:tcPr>
            <w:tcW w:w="15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Golf courses, clubhouses, dining facilities and real estate held for sale</w:t>
            </w:r>
          </w:p>
        </w:tc>
      </w:tr>
      <w:tr>
        <w:trPr>
          <w:trHeight w:val="213"/>
        </w:trPr>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or development</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River Course at Keystone, CO</w:t>
            </w:r>
          </w:p>
        </w:tc>
        <w:tc>
          <w:tcPr>
            <w:tcW w:w="1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Golf course and clubhouse</w:t>
            </w:r>
          </w:p>
        </w:tc>
      </w:tr>
      <w:tr>
        <w:trPr>
          <w:trHeight w:val="162"/>
        </w:trPr>
        <w:tc>
          <w:tcPr>
            <w:tcW w:w="4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Roundtop Mountain Resort, PA</w:t>
            </w:r>
          </w:p>
        </w:tc>
        <w:tc>
          <w:tcPr>
            <w:tcW w:w="15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w:t>
            </w:r>
          </w:p>
        </w:tc>
      </w:tr>
      <w:tr>
        <w:trPr>
          <w:trHeight w:val="213"/>
        </w:trPr>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commercial space and other improvements</w:t>
            </w:r>
          </w:p>
        </w:tc>
      </w:tr>
      <w:tr>
        <w:trPr>
          <w:trHeight w:val="165"/>
        </w:trPr>
        <w:tc>
          <w:tcPr>
            <w:tcW w:w="4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Seven Springs Resort, PA</w:t>
            </w:r>
          </w:p>
        </w:tc>
        <w:tc>
          <w:tcPr>
            <w:tcW w:w="15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Ski trails, ski lifts, dining facilities, commercial space, lodging,</w:t>
            </w:r>
          </w:p>
        </w:tc>
      </w:tr>
      <w:tr>
        <w:trPr>
          <w:trHeight w:val="216"/>
        </w:trPr>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property management, conference facilities and other improvements</w:t>
            </w: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Snow Creek, MO</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Owned</w:t>
            </w: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5"/>
        </w:trPr>
        <w:tc>
          <w:tcPr>
            <w:tcW w:w="4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SSI Venture, Inc. (“VRR”) Properties; CO, CA, NV, UT, MN &amp; BC,</w:t>
            </w:r>
          </w:p>
        </w:tc>
        <w:tc>
          <w:tcPr>
            <w:tcW w:w="15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Owned/Leased</w:t>
            </w:r>
          </w:p>
        </w:tc>
        <w:tc>
          <w:tcPr>
            <w:tcW w:w="50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Approximately 245 rental and retail stores (of which approximately 85</w:t>
            </w:r>
          </w:p>
        </w:tc>
      </w:tr>
      <w:tr>
        <w:trPr>
          <w:trHeight w:val="162"/>
        </w:trPr>
        <w:tc>
          <w:tcPr>
            <w:tcW w:w="46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Canada</w:t>
            </w:r>
          </w:p>
        </w:tc>
        <w:tc>
          <w:tcPr>
            <w:tcW w:w="1520" w:type="dxa"/>
            <w:vAlign w:val="bottom"/>
            <w:shd w:val="clear" w:color="auto" w:fill="CCEEFF"/>
          </w:tcPr>
          <w:p>
            <w:pPr>
              <w:spacing w:after="0"/>
              <w:rPr>
                <w:sz w:val="14"/>
                <w:szCs w:val="14"/>
                <w:color w:val="auto"/>
              </w:rPr>
            </w:pPr>
          </w:p>
        </w:tc>
        <w:tc>
          <w:tcPr>
            <w:tcW w:w="5000" w:type="dxa"/>
            <w:vAlign w:val="bottom"/>
            <w:shd w:val="clear" w:color="auto" w:fill="CCEEFF"/>
          </w:tcPr>
          <w:p>
            <w:pPr>
              <w:ind w:left="340"/>
              <w:spacing w:after="0" w:line="162" w:lineRule="exact"/>
              <w:rPr>
                <w:sz w:val="20"/>
                <w:szCs w:val="20"/>
                <w:color w:val="auto"/>
              </w:rPr>
            </w:pPr>
            <w:r>
              <w:rPr>
                <w:rFonts w:ascii="Times New Roman" w:cs="Times New Roman" w:eastAsia="Times New Roman" w:hAnsi="Times New Roman"/>
                <w:sz w:val="16"/>
                <w:szCs w:val="16"/>
                <w:color w:val="auto"/>
              </w:rPr>
              <w:t>stores are currently held under lease) for recreational products, 7 leased</w:t>
            </w:r>
          </w:p>
        </w:tc>
      </w:tr>
      <w:tr>
        <w:trPr>
          <w:trHeight w:val="216"/>
        </w:trPr>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warehouses and 4 My Epic Gear member services locations.</w:t>
            </w: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Ski Tip Lodge, CO</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Owned</w:t>
            </w: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Lodging and dining facilities</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Stevens Pass, WA</w:t>
            </w:r>
          </w:p>
        </w:tc>
        <w:tc>
          <w:tcPr>
            <w:tcW w:w="1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Employee housing and guest parking facilities</w:t>
            </w: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Stevens Pass Mountain, WA (2,443 acres)</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SUP</w:t>
            </w: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5"/>
        </w:trPr>
        <w:tc>
          <w:tcPr>
            <w:tcW w:w="46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Stevens Pass Ski Resort, WA</w:t>
            </w:r>
          </w:p>
        </w:tc>
        <w:tc>
          <w:tcPr>
            <w:tcW w:w="152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6"/>
        </w:trPr>
        <w:tc>
          <w:tcPr>
            <w:tcW w:w="4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162"/>
        </w:trPr>
        <w:tc>
          <w:tcPr>
            <w:tcW w:w="46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Stowe Mountain Resort, VT</w:t>
            </w:r>
          </w:p>
        </w:tc>
        <w:tc>
          <w:tcPr>
            <w:tcW w:w="152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50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3"/>
        </w:trPr>
        <w:tc>
          <w:tcPr>
            <w:tcW w:w="46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improvements and commercial space</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Arrabelle at Vail Square, CO</w:t>
            </w:r>
          </w:p>
        </w:tc>
        <w:tc>
          <w:tcPr>
            <w:tcW w:w="1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213"/>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Lodge at Vail, CO</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Owned</w:t>
            </w: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Lodging, spa, dining and conference facilities</w:t>
            </w:r>
          </w:p>
        </w:tc>
      </w:tr>
      <w:tr>
        <w:trPr>
          <w:trHeight w:val="219"/>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Osprey at Beaver Creek, CO</w:t>
            </w:r>
          </w:p>
        </w:tc>
        <w:tc>
          <w:tcPr>
            <w:tcW w:w="15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Owned</w:t>
            </w:r>
          </w:p>
        </w:tc>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Tarnes at Beaver Creek, CO</w:t>
            </w:r>
          </w:p>
        </w:tc>
        <w:tc>
          <w:tcPr>
            <w:tcW w:w="15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31% Owned</w:t>
            </w:r>
          </w:p>
        </w:tc>
        <w:tc>
          <w:tcPr>
            <w:tcW w:w="5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Employee housing facilities</w:t>
            </w:r>
          </w:p>
        </w:tc>
      </w:tr>
    </w:tbl>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90"/>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74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506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Use</w:t>
            </w:r>
          </w:p>
        </w:tc>
      </w:tr>
      <w:tr>
        <w:trPr>
          <w:trHeight w:val="23"/>
        </w:trPr>
        <w:tc>
          <w:tcPr>
            <w:tcW w:w="44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Tenderfoot Housing, CO</w:t>
            </w:r>
          </w:p>
        </w:tc>
        <w:tc>
          <w:tcPr>
            <w:tcW w:w="1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50% Owned</w:t>
            </w: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Pines Lodge at Beaver Creek, CO</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Lodging, dining and conference facilities</w:t>
            </w:r>
          </w:p>
        </w:tc>
      </w:tr>
      <w:tr>
        <w:trPr>
          <w:trHeight w:val="165"/>
        </w:trPr>
        <w:tc>
          <w:tcPr>
            <w:tcW w:w="4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Vail Mountain, CO</w:t>
            </w:r>
          </w:p>
        </w:tc>
        <w:tc>
          <w:tcPr>
            <w:tcW w:w="1740" w:type="dxa"/>
            <w:vAlign w:val="bottom"/>
            <w:shd w:val="clear" w:color="auto" w:fill="CCEEFF"/>
          </w:tcPr>
          <w:p>
            <w:pPr>
              <w:ind w:left="560"/>
              <w:spacing w:after="0" w:line="165" w:lineRule="exact"/>
              <w:rPr>
                <w:sz w:val="20"/>
                <w:szCs w:val="20"/>
                <w:color w:val="auto"/>
              </w:rPr>
            </w:pPr>
            <w:r>
              <w:rPr>
                <w:rFonts w:ascii="Times New Roman" w:cs="Times New Roman" w:eastAsia="Times New Roman" w:hAnsi="Times New Roman"/>
                <w:sz w:val="16"/>
                <w:szCs w:val="16"/>
                <w:color w:val="auto"/>
              </w:rPr>
              <w:t>Owned</w:t>
            </w:r>
          </w:p>
        </w:tc>
        <w:tc>
          <w:tcPr>
            <w:tcW w:w="50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44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6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6"/>
        </w:trPr>
        <w:tc>
          <w:tcPr>
            <w:tcW w:w="44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213"/>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Vail Mountain, CO (12,353 acres)</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SUP</w:t>
            </w:r>
          </w:p>
        </w:tc>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165"/>
        </w:trPr>
        <w:tc>
          <w:tcPr>
            <w:tcW w:w="44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Whistler Blackcomb Resort, BC, Canada</w:t>
            </w:r>
          </w:p>
        </w:tc>
        <w:tc>
          <w:tcPr>
            <w:tcW w:w="1740" w:type="dxa"/>
            <w:vAlign w:val="bottom"/>
            <w:shd w:val="clear" w:color="auto" w:fill="CCEEFF"/>
          </w:tcPr>
          <w:p>
            <w:pPr>
              <w:ind w:left="560"/>
              <w:spacing w:after="0" w:line="165" w:lineRule="exact"/>
              <w:rPr>
                <w:sz w:val="20"/>
                <w:szCs w:val="20"/>
                <w:color w:val="auto"/>
              </w:rPr>
            </w:pPr>
            <w:r>
              <w:rPr>
                <w:rFonts w:ascii="Times New Roman" w:cs="Times New Roman" w:eastAsia="Times New Roman" w:hAnsi="Times New Roman"/>
                <w:sz w:val="16"/>
                <w:szCs w:val="16"/>
                <w:color w:val="auto"/>
              </w:rPr>
              <w:t>75% Owned</w:t>
            </w:r>
          </w:p>
        </w:tc>
        <w:tc>
          <w:tcPr>
            <w:tcW w:w="50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162"/>
        </w:trPr>
        <w:tc>
          <w:tcPr>
            <w:tcW w:w="44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5060" w:type="dxa"/>
            <w:vAlign w:val="bottom"/>
            <w:shd w:val="clear" w:color="auto" w:fill="CCEEFF"/>
          </w:tcPr>
          <w:p>
            <w:pPr>
              <w:ind w:left="360"/>
              <w:spacing w:after="0" w:line="162" w:lineRule="exact"/>
              <w:rPr>
                <w:sz w:val="20"/>
                <w:szCs w:val="20"/>
                <w:color w:val="auto"/>
              </w:rPr>
            </w:pPr>
            <w:r>
              <w:rPr>
                <w:rFonts w:ascii="Times New Roman" w:cs="Times New Roman" w:eastAsia="Times New Roman" w:hAnsi="Times New Roman"/>
                <w:sz w:val="16"/>
                <w:szCs w:val="16"/>
                <w:color w:val="auto"/>
              </w:rPr>
              <w:t>improvements, property management, commercial space and real estate</w:t>
            </w:r>
          </w:p>
        </w:tc>
      </w:tr>
      <w:tr>
        <w:trPr>
          <w:trHeight w:val="216"/>
        </w:trPr>
        <w:tc>
          <w:tcPr>
            <w:tcW w:w="44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held for sale or development</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Whistler Mountain and Blackcomb Mountain, BC, Canada</w:t>
            </w:r>
          </w:p>
        </w:tc>
        <w:tc>
          <w:tcPr>
            <w:tcW w:w="174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MDA</w:t>
            </w:r>
          </w:p>
        </w:tc>
        <w:tc>
          <w:tcPr>
            <w:tcW w:w="50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buildings and other</w:t>
            </w:r>
          </w:p>
        </w:tc>
      </w:tr>
      <w:tr>
        <w:trPr>
          <w:trHeight w:val="213"/>
        </w:trPr>
        <w:tc>
          <w:tcPr>
            <w:tcW w:w="4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improvements</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Whistler Blackcomb Resort, BC, Canada</w:t>
            </w:r>
          </w:p>
        </w:tc>
        <w:tc>
          <w:tcPr>
            <w:tcW w:w="1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Leased</w:t>
            </w: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housing facilities</w:t>
            </w:r>
          </w:p>
        </w:tc>
      </w:tr>
      <w:tr>
        <w:trPr>
          <w:trHeight w:val="162"/>
        </w:trPr>
        <w:tc>
          <w:tcPr>
            <w:tcW w:w="44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Whitetail Resort, PA</w:t>
            </w:r>
          </w:p>
        </w:tc>
        <w:tc>
          <w:tcPr>
            <w:tcW w:w="1740" w:type="dxa"/>
            <w:vAlign w:val="bottom"/>
          </w:tcPr>
          <w:p>
            <w:pPr>
              <w:ind w:left="560"/>
              <w:spacing w:after="0" w:line="162" w:lineRule="exact"/>
              <w:rPr>
                <w:sz w:val="20"/>
                <w:szCs w:val="20"/>
                <w:color w:val="auto"/>
              </w:rPr>
            </w:pPr>
            <w:r>
              <w:rPr>
                <w:rFonts w:ascii="Times New Roman" w:cs="Times New Roman" w:eastAsia="Times New Roman" w:hAnsi="Times New Roman"/>
                <w:sz w:val="16"/>
                <w:szCs w:val="16"/>
                <w:color w:val="auto"/>
              </w:rPr>
              <w:t>Owned</w:t>
            </w:r>
          </w:p>
        </w:tc>
        <w:tc>
          <w:tcPr>
            <w:tcW w:w="50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Ski resort operations, including ski lifts, ski trails, golf course,</w:t>
            </w:r>
          </w:p>
        </w:tc>
      </w:tr>
      <w:tr>
        <w:trPr>
          <w:trHeight w:val="213"/>
        </w:trPr>
        <w:tc>
          <w:tcPr>
            <w:tcW w:w="4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buildings, commercial space and other improvements</w:t>
            </w:r>
          </w:p>
        </w:tc>
      </w:tr>
      <w:tr>
        <w:trPr>
          <w:trHeight w:val="21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Wildcat Mountain, NH (953 acres)</w:t>
            </w:r>
          </w:p>
        </w:tc>
        <w:tc>
          <w:tcPr>
            <w:tcW w:w="1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SUP</w:t>
            </w:r>
          </w:p>
        </w:tc>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Wilmot Mountain, WI</w:t>
            </w:r>
          </w:p>
        </w:tc>
        <w:tc>
          <w:tcPr>
            <w:tcW w:w="1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Owned</w:t>
            </w:r>
          </w:p>
        </w:tc>
        <w:tc>
          <w:tcPr>
            <w:tcW w:w="5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Ski trails, ski lifts, buildings and other improvements</w:t>
            </w:r>
          </w:p>
        </w:tc>
      </w:tr>
    </w:tbl>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of our properties are used across all segments in complementary and interdependent ways.</w:t>
      </w:r>
    </w:p>
    <w:p>
      <w:pPr>
        <w:spacing w:after="0" w:line="35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estimable and probable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 For additional information, see 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MARKET FOR REGISTRANT’S COMMON EQUITY, RELATED STOCKHOLDER MATTERS AND ISSUER PURCHASES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Stockholders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traded on the New York Stock Exchange (“NYSE”) under the symbol “MTN.” As of September 23, 2024, 37,485,473 shares of common stock were outstanding, held by approximately 231 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fiscal 2011, our Board of Directors approved the commencement of a regular quarterly cash dividend on our common stock, subject to quarterly declaration, which has typically been increased on an annual basis. The amount, if any, of dividends to be paid in the future will depend on our available cash on hand, anticipated cash needs, overall financial condition, restrictions contained in our Ninth Amended and Restated Credit Agreement (the “Vail Holdings Credit Agreement”), future prospects for earnings and cash flows, as well as other factors considered relevant by our Board of Directors. On September 25, 2024, our Board of Directors approved a cash dividend of $2.22 per share payable on October 24, 2024 to stockholders of record as of October 8, 2024. We expect to fund the dividend with available cash on hand.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purchases of shares of our common stock during the fourth quarter of our fiscal year ended July 31, 2024 (“Fiscal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89"/>
        </w:trPr>
        <w:tc>
          <w:tcPr>
            <w:tcW w:w="2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2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75"/>
        </w:trPr>
        <w:tc>
          <w:tcPr>
            <w:tcW w:w="26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vMerge w:val="restart"/>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21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as Part of Publicly</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176"/>
        </w:trPr>
        <w:tc>
          <w:tcPr>
            <w:tcW w:w="2660" w:type="dxa"/>
            <w:vAlign w:val="bottom"/>
          </w:tcPr>
          <w:p>
            <w:pPr>
              <w:spacing w:after="0"/>
              <w:rPr>
                <w:sz w:val="15"/>
                <w:szCs w:val="15"/>
                <w:color w:val="auto"/>
              </w:rPr>
            </w:pPr>
          </w:p>
        </w:tc>
        <w:tc>
          <w:tcPr>
            <w:tcW w:w="228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34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21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rPr>
              <w:t>Announced Plans</w:t>
            </w:r>
          </w:p>
        </w:tc>
        <w:tc>
          <w:tcPr>
            <w:tcW w:w="1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189"/>
        </w:trPr>
        <w:tc>
          <w:tcPr>
            <w:tcW w:w="2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tcPr>
          <w:p>
            <w:pPr>
              <w:jc w:val="center"/>
              <w:ind w:right="3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Paid per Share</w:t>
            </w:r>
          </w:p>
        </w:tc>
        <w:tc>
          <w:tcPr>
            <w:tcW w:w="212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b w:val="1"/>
                <w:bCs w:val="1"/>
                <w:color w:val="auto"/>
                <w:w w:val="98"/>
              </w:rPr>
              <w:t>or Programs</w:t>
            </w:r>
          </w:p>
        </w:tc>
        <w:tc>
          <w:tcPr>
            <w:tcW w:w="19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30"/>
        </w:trPr>
        <w:tc>
          <w:tcPr>
            <w:tcW w:w="266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3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1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2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768,910</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2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138,590</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180.38</w:t>
            </w:r>
          </w:p>
        </w:tc>
        <w:tc>
          <w:tcPr>
            <w:tcW w:w="2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138,590</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630,320</w:t>
            </w:r>
          </w:p>
        </w:tc>
        <w:tc>
          <w:tcPr>
            <w:tcW w:w="0" w:type="dxa"/>
            <w:vAlign w:val="bottom"/>
          </w:tcPr>
          <w:p>
            <w:pPr>
              <w:spacing w:after="0"/>
              <w:rPr>
                <w:sz w:val="1"/>
                <w:szCs w:val="1"/>
                <w:color w:val="auto"/>
              </w:rPr>
            </w:pPr>
          </w:p>
        </w:tc>
      </w:tr>
      <w:tr>
        <w:trPr>
          <w:trHeight w:val="229"/>
        </w:trPr>
        <w:tc>
          <w:tcPr>
            <w:tcW w:w="2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2024 - July 31, 2024</w:t>
            </w:r>
          </w:p>
        </w:tc>
        <w:tc>
          <w:tcPr>
            <w:tcW w:w="2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630,320</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138,590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180.38</w:t>
            </w:r>
          </w:p>
        </w:tc>
        <w:tc>
          <w:tcPr>
            <w:tcW w:w="2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138,590</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630,320</w:t>
            </w:r>
          </w:p>
        </w:tc>
        <w:tc>
          <w:tcPr>
            <w:tcW w:w="0" w:type="dxa"/>
            <w:vAlign w:val="bottom"/>
          </w:tcPr>
          <w:p>
            <w:pPr>
              <w:spacing w:after="0"/>
              <w:rPr>
                <w:sz w:val="1"/>
                <w:szCs w:val="1"/>
                <w:color w:val="auto"/>
              </w:rPr>
            </w:pPr>
          </w:p>
        </w:tc>
      </w:tr>
      <w:tr>
        <w:trPr>
          <w:trHeight w:val="20"/>
        </w:trPr>
        <w:tc>
          <w:tcPr>
            <w:tcW w:w="266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price per share excludes any excise tax imposed on stock repurchases as part of the Inflation Reduction Act of 2022.</w:t>
      </w:r>
    </w:p>
    <w:p>
      <w:pPr>
        <w:spacing w:after="0" w:line="27" w:lineRule="exact"/>
        <w:rPr>
          <w:rFonts w:ascii="Times New Roman" w:cs="Times New Roman" w:eastAsia="Times New Roman" w:hAnsi="Times New Roman"/>
          <w:sz w:val="18"/>
          <w:szCs w:val="18"/>
          <w:color w:val="auto"/>
        </w:rPr>
      </w:pPr>
    </w:p>
    <w:p>
      <w:pPr>
        <w:jc w:val="both"/>
        <w:ind w:left="500" w:hanging="492"/>
        <w:spacing w:after="0" w:line="251" w:lineRule="auto"/>
        <w:tabs>
          <w:tab w:leader="none" w:pos="4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and 2,500,000 Vail Shares (March 7, 2023), for a total authorization to repurchase up to 10,000,000 Vail Shares. From inception of this stock repurchase program through July 31, 2024, the Company has repurchased 9,369,680 shares at a cost of approximately $1,129.4 million, excluding excise tax. As of July 31, 2024, 630,320 shares remained available to repurchase under the existing repurchase authorization. On September 25, 2024, the Company’s Board of Directors approved an increase in the number of shares authorized to be repurchased under the share repurchase program by an additional 1,100,000 Vail Shares. As a result, 1,730,320 Vail Shares are available to repurchase under the share repurchase program. Repurchases under these authorizations may be made from time to time at prevailing prices as permitted by applicable laws, including under plans complying with Rule 10b5-1 under the Securities Exchange Act of 1934, as amended,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These authorizations have no expiration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total return graph below is presented for the period from the beginning of our fiscal year ended July 31, 2020 through the end of Fiscal 2024. The comparison assumes that $100 was invested at the beginning of the period in our common stock (“MTN”), The Russell 2000 Stock Index, The Standard &amp; Poor’s 500 Stock Index and the Dow Jones U.S. Travel and Leisure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Stock Index, with dividends reinvested where applicable. We include the Dow Jones U.S. Travel and Leisure Index as we believe we compete in the travel and leisure industry.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performance graph is not deemed filed with the Securities and Exchange Commission (“SEC”) and is not to be incorporated by reference into any of our filings under the Securities Act of 1933 or the Exchange Act, unless such filings specifically incorporate the performance graph by reference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114300</wp:posOffset>
            </wp:positionV>
            <wp:extent cx="4766310" cy="28543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66310"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July 31,</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1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12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Vail Resorts, Inc.</w:t>
            </w:r>
          </w:p>
        </w:tc>
        <w:tc>
          <w:tcPr>
            <w:tcW w:w="20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116.51</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76.48</w:t>
            </w:r>
          </w:p>
        </w:tc>
      </w:tr>
      <w:tr>
        <w:trPr>
          <w:trHeight w:val="338"/>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Russell 2000</w:t>
            </w:r>
          </w:p>
        </w:tc>
        <w:tc>
          <w:tcPr>
            <w:tcW w:w="20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91.14</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127.97</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w:t>
            </w:r>
          </w:p>
        </w:tc>
      </w:tr>
      <w:tr>
        <w:trPr>
          <w:trHeight w:val="338"/>
        </w:trPr>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 500</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216.97</w:t>
            </w:r>
          </w:p>
        </w:tc>
      </w:tr>
      <w:tr>
        <w:trPr>
          <w:trHeight w:val="338"/>
        </w:trPr>
        <w:tc>
          <w:tcPr>
            <w:tcW w:w="3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Dow Jones U.S. Travel and Leisure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5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138.95</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w:t>
            </w:r>
          </w:p>
        </w:tc>
      </w:tr>
      <w:tr>
        <w:trPr>
          <w:trHeight w:val="615"/>
        </w:trPr>
        <w:tc>
          <w:tcPr>
            <w:tcW w:w="1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the Consolidated Financial Statements and notes related thereto included in this Form 10-K. To the extent that the following MD&amp;A contains statements which are not of a historical nature, such statements are forward-looking statements which involve risks and uncertainties. These risks include, but are not limited to, those discussed in Item 1A. “Risk Factors” in this Form 10-K. The following discussion and analysis should be read in conjunction with the Forward-Looking Statements section and Item 1A. “Risk Factors,” each included in this Form 10-K.</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w:t>
      </w:r>
    </w:p>
    <w:p>
      <w:pPr>
        <w:sectPr>
          <w:pgSz w:w="11900" w:h="16838" w:orient="portrait"/>
          <w:cols w:equalWidth="0" w:num="1">
            <w:col w:w="11240"/>
          </w:cols>
          <w:pgMar w:left="320" w:top="999"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46" w:name="page47"/>
    <w:bookmarkEnd w:id="46"/>
    <w:p>
      <w:pPr>
        <w:jc w:val="both"/>
        <w:spacing w:after="0" w:line="256" w:lineRule="auto"/>
        <w:rPr>
          <w:sz w:val="20"/>
          <w:szCs w:val="20"/>
          <w:color w:val="auto"/>
        </w:rPr>
      </w:pPr>
      <w:r>
        <w:rPr>
          <w:rFonts w:ascii="Times New Roman" w:cs="Times New Roman" w:eastAsia="Times New Roman" w:hAnsi="Times New Roman"/>
          <w:sz w:val="18"/>
          <w:szCs w:val="18"/>
          <w:color w:val="auto"/>
        </w:rPr>
        <w:t>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Financial Statements.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 The Mountain, Lodging and Real Estate segments represented approximately 88%, 12% and 0%, respectively, of our net revenue for Fiscal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5863590" cy="258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Resorts typically experience their peak operating season for the Mountain segment from mid-December through mid-April, and our Australian ski areas typically experience their peak operating season from June to early October. Our largest source of Mountain segment revenue comes from the sale of lift tickets (including pass products), which represented approximately 57%, 56%, and 59% of Mountain segment net revenue for Fiscal 2024, the fiscal year ended July 31, 2023 (“Fiscal 2023”) and the fiscal year ended July 31, 2022 (“Fiscal 2022”), respectively.</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both the 2023/2024 and 2022/2023 North American ski seasons, Destination guests comprised approximately 57% of our North American destination mountain resort skier visits (excluding complimentary access), while Local guests comprised approximately 43%, which compares to approximately 58% and 42%, respectively, for the 2021/2022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want to purchase access for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2024/2025 ski season, our pass alliances include Telluride Ski Resort in Colorado, Hakuba Valley and Rusutsu Resort in Japan, Resorts of the Canadian Rockies in Canada, Les 3 Vallées in France, Disentis Ski Area and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our Consolidated Statements of Operations throughout the ski season on a straight-line basis using the number of skiable days of the season-to-date period relative to the total estimated number of skiable days of the season.</w:t>
      </w:r>
    </w:p>
    <w:p>
      <w:pPr>
        <w:spacing w:after="0" w:line="2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Lift revenue consists of pass product lift revenue (“pass revenue”) and non-pass product lift revenue (“non-pass revenue”). Approximately 65%, 61% and 61% of total lift revenue was derived from pass revenue for Fiscal 2024, Fiscal 2023 and Fiscal 2022,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expenses associated with our dining operations; as such, profit margins can fluctuate greatly based on the level of revenues.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8" w:name="page49"/>
    <w:bookmarkEnd w:id="48"/>
    <w:p>
      <w:pPr>
        <w:jc w:val="both"/>
        <w:spacing w:after="0" w:line="253" w:lineRule="auto"/>
        <w:rPr>
          <w:sz w:val="20"/>
          <w:szCs w:val="20"/>
          <w:color w:val="auto"/>
        </w:rPr>
      </w:pPr>
      <w:r>
        <w:rPr>
          <w:rFonts w:ascii="Times New Roman" w:cs="Times New Roman" w:eastAsia="Times New Roman" w:hAnsi="Times New Roman"/>
          <w:sz w:val="18"/>
          <w:szCs w:val="18"/>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68%, 71% and 73% of Lodging segment net revenue (excluding Lodging segment revenue associated with the reimbursement of payroll costs) for Fiscal 2024, Fiscal 2023 and Fiscal 2022,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during the months of June to October), as well as golf operations and seasonally low operations from our other owned and managed properties and businesses.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identified the following important factors (as well as risks and uncertainties associated with such factors) that could impact our future financial performance or condition:</w:t>
      </w:r>
    </w:p>
    <w:p>
      <w:pPr>
        <w:spacing w:after="0" w:line="189" w:lineRule="exact"/>
        <w:rPr>
          <w:sz w:val="20"/>
          <w:szCs w:val="20"/>
          <w:color w:val="auto"/>
        </w:rPr>
      </w:pPr>
    </w:p>
    <w:p>
      <w:pPr>
        <w:jc w:val="both"/>
        <w:ind w:left="500" w:hanging="330"/>
        <w:spacing w:after="0" w:line="254"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overall results for the year highlight the stability and resilience of our advance commitment strategy. Skier visitation declined 9.5% compared to the prior year, driven by unfavorable conditions across our resorts in North America and Australia, combined with the impact of broader industry normalization post-COVID following record visitation in North America during the 2022/2023 ski season. In North America, snowfall across our western resorts was down 28% from the prior year and our Eastern U.S. resorts (comprising the Midwest, Mid-Atlantic and Northeast) experienced limited natural snow and variable temperatures. Despite industry normalization and challenging conditions, Resort Reported EBITDA, excluding the impact of the Crans-Montana acquisition, remained consistent with prior year results. Performance was supported by strong growth in ancillary spending per visit across ski school, dining, and rental businesses at our resorts, and by strong delivery of the guest experience and cost discipline across our operations.</w:t>
      </w:r>
    </w:p>
    <w:p>
      <w:pPr>
        <w:spacing w:after="0" w:line="218" w:lineRule="exact"/>
        <w:rPr>
          <w:rFonts w:ascii="Times New Roman" w:cs="Times New Roman" w:eastAsia="Times New Roman" w:hAnsi="Times New Roman"/>
          <w:sz w:val="18"/>
          <w:szCs w:val="18"/>
          <w:color w:val="auto"/>
        </w:rPr>
      </w:pPr>
    </w:p>
    <w:p>
      <w:pPr>
        <w:jc w:val="both"/>
        <w:ind w:left="500" w:hanging="330"/>
        <w:spacing w:after="0" w:line="253"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weather conditions, including 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2024, we began our season pass sales program for the 2024/2025 North American ski season. Pass product sales through September 20, 2024 for the upcoming 2024/2025 North American ski season decreased approximately 3% in units and increased approximately 3% in sales dollars as compared to the prior year period through September 22, 2023. Pass product sales are adjusted to eliminate the impact of foreign currency by applying an exchange rate of $0.74 between the Canadian dollar and U.S. dollar in both periods for Whistler Blackcomb pass sales. We cannot predict if these trends will continue through the 2024 North American pass sales campaign or the overall impact that pass sales will have on lift revenue for the 2024/2025 North American ski season.</w:t>
      </w:r>
    </w:p>
    <w:p>
      <w:pPr>
        <w:spacing w:after="0" w:line="221" w:lineRule="exact"/>
        <w:rPr>
          <w:rFonts w:ascii="Times New Roman" w:cs="Times New Roman" w:eastAsia="Times New Roman" w:hAnsi="Times New Roman"/>
          <w:sz w:val="18"/>
          <w:szCs w:val="18"/>
          <w:color w:val="auto"/>
        </w:rPr>
      </w:pPr>
    </w:p>
    <w:p>
      <w:pPr>
        <w:jc w:val="both"/>
        <w:ind w:left="500" w:hanging="330"/>
        <w:spacing w:after="0" w:line="258" w:lineRule="auto"/>
        <w:tabs>
          <w:tab w:leader="none" w:pos="4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and from which we attract our guests may be impacted by economic challenges associated with elevated inflation, prolonged elevated interest rates, geopolitical conflicts, political uncertainty and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and other negative impacts to consumer discretionary spending may have a pronounced impact on visitation to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ind w:left="500"/>
        <w:spacing w:after="0"/>
        <w:rPr>
          <w:sz w:val="20"/>
          <w:szCs w:val="20"/>
          <w:color w:val="auto"/>
        </w:rPr>
      </w:pPr>
      <w:r>
        <w:rPr>
          <w:rFonts w:ascii="Times New Roman" w:cs="Times New Roman" w:eastAsia="Times New Roman" w:hAnsi="Times New Roman"/>
          <w:sz w:val="18"/>
          <w:szCs w:val="18"/>
          <w:color w:val="auto"/>
        </w:rPr>
        <w:t>Resorts. We cannot predict the extent to which we may be impacted by such potential economic challenges, whether in North America or globally.</w:t>
      </w:r>
    </w:p>
    <w:p>
      <w:pPr>
        <w:spacing w:after="0" w:line="252" w:lineRule="exact"/>
        <w:rPr>
          <w:sz w:val="20"/>
          <w:szCs w:val="20"/>
          <w:color w:val="auto"/>
        </w:rPr>
      </w:pPr>
    </w:p>
    <w:p>
      <w:pPr>
        <w:jc w:val="both"/>
        <w:ind w:left="500" w:hanging="330"/>
        <w:spacing w:after="0" w:line="255" w:lineRule="auto"/>
        <w:tabs>
          <w:tab w:leader="none" w:pos="4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July 31, 2024, we had $322.8 million of cash and cash equivalents, as well as $407.9 million available under the revolver component of the Vail Holdings Credit Agreement, which represents the total commitment of $500.0 million less certain letters of credit outstanding of $92.1 million. Additionally, we have a credit facility which supports the liquidity needs of Whistler Blackcomb (the “Whistler Credit Agreement”). As of July 31, 2024, we had C$296.6 million ($214.8 million) available under the revolver component of the Whistler Credit Agreement which represents the total commitment of C$300.0 million ($217.3 million) less letters of credit outstanding of C$3.4 million ($2.5 million). We believe that our existing cash and cash equivalents, availability under our credit agreements and the continued positive cash flow from operating activities of our Mountain and Lodging segments less resort capital expenditures will continue to provide us with sufficient liquidity to fund our operations.</w:t>
      </w:r>
    </w:p>
    <w:p>
      <w:pPr>
        <w:spacing w:after="0" w:line="215" w:lineRule="exact"/>
        <w:rPr>
          <w:rFonts w:ascii="Times New Roman" w:cs="Times New Roman" w:eastAsia="Times New Roman" w:hAnsi="Times New Roman"/>
          <w:sz w:val="18"/>
          <w:szCs w:val="18"/>
          <w:color w:val="auto"/>
        </w:rPr>
      </w:pPr>
    </w:p>
    <w:p>
      <w:pPr>
        <w:jc w:val="both"/>
        <w:ind w:left="500" w:hanging="330"/>
        <w:spacing w:after="0" w:line="255" w:lineRule="auto"/>
        <w:tabs>
          <w:tab w:leader="none" w:pos="4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 2024, we acquired Crans-Montana Mountain Resort (“Crans-Montana”) in Switzerland from CPI Property Group for a cash purchase price of CHF 97.2 million ($106.8 million), after adjustments for certain agreed-upon items. We acquired (i) an 84% ownership stake in Remontées Mécaniques Crans Montana Aminona SA, which controls and operates all of the lifts and supporting mountain operations, including four retail and rental locations; (ii) 100% ownership of SportLife AG, which operates one of the ski schools located at the resort; and (iii) 100% ownership of 11 restaurants located on and around the mountain. The acquisition was funded with cash on hand. We plan to include unlimited and unrestricted access to Crans-Montana on the Epic Pass for the 2024/2025 ski season, as well as provide access on other pass products. We cannot predict the ultimate impact the acquisition of Crans-Montana will have on our future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Shown below is a summary of operating results for Fiscal 2024, Fiscal 2023 and Fiscal 2022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0"/>
        </w:trPr>
        <w:tc>
          <w:tcPr>
            <w:tcW w:w="57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7"/>
                <w:szCs w:val="17"/>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230,405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268,148</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347,923</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06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345,095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373,517</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457,161</w:t>
            </w: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802,072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822,570</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811,167</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1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23,018</w:t>
            </w: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12,267</w:t>
            </w: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25,747</w:t>
            </w:r>
          </w:p>
        </w:tc>
      </w:tr>
      <w:tr>
        <w:trPr>
          <w:trHeight w:val="223"/>
        </w:trPr>
        <w:tc>
          <w:tcPr>
            <w:tcW w:w="5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825,090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834,837</w:t>
            </w:r>
          </w:p>
        </w:tc>
        <w:tc>
          <w:tcPr>
            <w:tcW w:w="48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836,914</w:t>
            </w:r>
          </w:p>
        </w:tc>
      </w:tr>
      <w:tr>
        <w:trPr>
          <w:trHeight w:val="23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1,475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(3,927)</w:t>
            </w:r>
          </w:p>
        </w:tc>
      </w:tr>
    </w:tbl>
    <w:p>
      <w:pPr>
        <w:spacing w:after="0" w:line="3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discussion of segment results, including reconciliations of net income attributable to Vail Resorts, Inc. to Total Reported EBITDA, and other items can be found below. The consolidated results of operations, including any consolidated financial metrics pertaining thereto, include the operations of Crans-Montana (acquired May 2, 2024), Andermatt-Sedrun (acquired August 3, 2022) and Seven Springs Mountain Resort, Hidden Valley Resort and Laurel Mountain Ski Area in Pennsylvania (collectively, the “Seven Springs Resorts,” acquired December 31, 2021) prospectively from their respective dates of acquisition.</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sections titled “Fiscal 2024 compared to Fiscal 2023” in each of the Mountain and Lodging segment discussions below provide comparisons of financial and operating performance for Fiscal 2024 to Fiscal 2023, unless otherwise noted. Discussion of our financial results for Fiscal 2023 compared to Fiscal 2022 can be found in our Annual Report on Form 10-K for Fiscal 2023, which was filed on September 28,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Fiscal 2024, Fiscal 2023 and Fiscal 2022 are presented by category as follows (in thousands, except effective ticket price (“ETP)):</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tcPr>
          <w:p>
            <w:pPr>
              <w:spacing w:after="0"/>
              <w:rPr>
                <w:sz w:val="16"/>
                <w:szCs w:val="16"/>
                <w:color w:val="auto"/>
              </w:rPr>
            </w:pPr>
          </w:p>
        </w:tc>
      </w:tr>
      <w:tr>
        <w:trPr>
          <w:trHeight w:val="202"/>
        </w:trPr>
        <w:tc>
          <w:tcPr>
            <w:tcW w:w="3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00" w:type="dxa"/>
            <w:vAlign w:val="bottom"/>
            <w:gridSpan w:val="2"/>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80" w:type="dxa"/>
            <w:vAlign w:val="bottom"/>
            <w:gridSpan w:val="2"/>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3"/>
        </w:trPr>
        <w:tc>
          <w:tcPr>
            <w:tcW w:w="3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3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6"/>
                <w:szCs w:val="16"/>
                <w:color w:val="auto"/>
              </w:rPr>
            </w:pPr>
          </w:p>
        </w:tc>
        <w:tc>
          <w:tcPr>
            <w:tcW w:w="108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2020" w:type="dxa"/>
            <w:vAlign w:val="bottom"/>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11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2023/2022</w:t>
            </w:r>
          </w:p>
        </w:tc>
      </w:tr>
      <w:tr>
        <w:trPr>
          <w:trHeight w:val="2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Lift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1,442,784</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1,420,900</w:t>
            </w:r>
          </w:p>
        </w:tc>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1,310,213</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1.5 %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Ski school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304,548</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287,275</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223,645</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6.0 %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28.5 %</w:t>
            </w:r>
          </w:p>
        </w:tc>
      </w:tr>
      <w:tr>
        <w:trPr>
          <w:trHeight w:val="230"/>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Dining</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227,572</w:t>
            </w:r>
          </w:p>
        </w:tc>
        <w:tc>
          <w:tcPr>
            <w:tcW w:w="4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224,642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163,705</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1.3 %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37.2 %</w:t>
            </w:r>
          </w:p>
        </w:tc>
      </w:tr>
      <w:tr>
        <w:trPr>
          <w:trHeight w:val="229"/>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Retail/rental</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317,196</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361,484</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311,768</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(12.3)%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29"/>
        </w:trPr>
        <w:tc>
          <w:tcPr>
            <w:tcW w:w="3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252,270</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246,605</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203,783</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2.3 %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3"/>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2,544,370</w:t>
            </w: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2,540,906</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2,213,114</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0.1 %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r>
      <w:tr>
        <w:trPr>
          <w:trHeight w:val="88"/>
        </w:trPr>
        <w:tc>
          <w:tcPr>
            <w:tcW w:w="3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60" w:type="dxa"/>
            <w:vAlign w:val="bottom"/>
          </w:tcPr>
          <w:p>
            <w:pPr>
              <w:spacing w:after="0"/>
              <w:rPr>
                <w:sz w:val="7"/>
                <w:szCs w:val="7"/>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731,153</w:t>
            </w:r>
          </w:p>
        </w:tc>
        <w:tc>
          <w:tcPr>
            <w:tcW w:w="4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744,613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561,266</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(1.8)%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32.7 %</w:t>
            </w:r>
          </w:p>
        </w:tc>
      </w:tr>
      <w:tr>
        <w:trPr>
          <w:trHeight w:val="230"/>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Retail cost of sales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107,093</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118,717</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99,024</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(9.8)%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29"/>
        </w:trPr>
        <w:tc>
          <w:tcPr>
            <w:tcW w:w="3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Resort related fees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110,113</w:t>
            </w:r>
          </w:p>
        </w:tc>
        <w:tc>
          <w:tcPr>
            <w:tcW w:w="4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104,797</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93,177</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5.1 %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29"/>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350,788</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325,903</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292,412</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7.6 %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30"/>
        </w:trPr>
        <w:tc>
          <w:tcPr>
            <w:tcW w:w="3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444,204</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424,911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358,648</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4.5 %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18.5 %</w:t>
            </w:r>
          </w:p>
        </w:tc>
      </w:tr>
      <w:tr>
        <w:trPr>
          <w:trHeight w:val="22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1,743,351</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1,718,941</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1,404,527</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1.4 %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r>
        <w:trPr>
          <w:trHeight w:val="230"/>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1,053</w:t>
            </w: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605</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color w:val="auto"/>
              </w:rPr>
              <w:t>74.0 %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802,072</w:t>
            </w:r>
          </w:p>
        </w:tc>
        <w:tc>
          <w:tcPr>
            <w:tcW w:w="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822,570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811,167</w:t>
            </w:r>
          </w:p>
        </w:tc>
        <w:tc>
          <w:tcPr>
            <w:tcW w:w="10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(2.5)%</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34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17,564</w:t>
            </w:r>
          </w:p>
        </w:tc>
        <w:tc>
          <w:tcPr>
            <w:tcW w:w="42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19,410</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17,298</w:t>
            </w:r>
          </w:p>
        </w:tc>
        <w:tc>
          <w:tcPr>
            <w:tcW w:w="100" w:type="dxa"/>
            <w:vAlign w:val="bottom"/>
          </w:tcPr>
          <w:p>
            <w:pPr>
              <w:spacing w:after="0"/>
              <w:rPr>
                <w:sz w:val="19"/>
                <w:szCs w:val="19"/>
                <w:color w:val="auto"/>
              </w:rPr>
            </w:pPr>
          </w:p>
        </w:tc>
        <w:tc>
          <w:tcPr>
            <w:tcW w:w="202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(9.5)%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r>
      <w:tr>
        <w:trPr>
          <w:trHeight w:val="230"/>
        </w:trPr>
        <w:tc>
          <w:tcPr>
            <w:tcW w:w="3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82.14</w:t>
            </w:r>
          </w:p>
        </w:tc>
        <w:tc>
          <w:tcPr>
            <w:tcW w:w="4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73.20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ind w:right="433"/>
              <w:spacing w:after="0"/>
              <w:rPr>
                <w:sz w:val="20"/>
                <w:szCs w:val="20"/>
                <w:color w:val="auto"/>
              </w:rPr>
            </w:pPr>
            <w:r>
              <w:rPr>
                <w:rFonts w:ascii="Times New Roman" w:cs="Times New Roman" w:eastAsia="Times New Roman" w:hAnsi="Times New Roman"/>
                <w:sz w:val="18"/>
                <w:szCs w:val="18"/>
                <w:color w:val="auto"/>
              </w:rPr>
              <w:t>12.2 %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$23.2 million, $21.2 million and $20.9 million of stock-based compensation expense for Fiscal 2024, Fiscal 2023 and Fiscal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Mountain Reported EBITDA decreased $20.5 million, or 2.5%. The decrease was primarily driven by (i) challenging conditions at our North American resorts for a large portion of the 2023/2024 ski season compared to the prior year, as well as broader industry normalization post-COVID following record visitation in North America during the 2022/2023 ski season, which led to a decline in both Local and Destination skier visitation and decreases in non-pass revenue and retail/rental revenue; (ii) our Australian operations, which experienced weather-related challenges that impacted terrain during the 2023 and 2024 Australian ski seasons, compared to record visitation and favorable snow conditions during the 2022 ski season; and (iii) increases in general and administrative expenses, property tax expense and repairs and maintenance expense, each including the impact of inflation. These decreases were partially offset by (i) an increase in pass revenue, driven by an increase in pass product sales for the 2023/2024 North American ski season compared to the prior year; (ii) strong growth in spending per visit in our ski school and dining businesses compared to the prior year; (iii) decreased labor and labor-related benefits due to disciplined cost management in response to decreased skier visits; and (iv) other decreases in variable expenses. Mountain segment results also include $8.0 million and $3.1 million of acquisition and integration related expenses for Fiscal 2024 and Fiscal 2023, respectively.</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Lift revenue increased $21.9 million, or 1.5%, primarily due to an increase in pass revenue of 9.4%, which was primarily driven by an increase in pass product sales for the 2023/2024 North American ski season compared to the prior year, partially offset by a decrease in non-pass revenue of 10.7%, primarily driven by challenging conditions at our North American resorts for a large portion of the season compared to the prior year, as well as broader industry normalization post-COVID following record visitation in North America during the 2022/2023 ski season, and a decrease in non-pass revenue at our Australian resorts as a result of decreased visitation from weather-related challenges that impacted terrain during the 2023 and 2024 Australian ski seasons, compared to record visitation and favorable snow conditions in the 2022 Australian ski season. The decrease in non-pass revenue was partially offset by an increase in non-pass ETP of 11.2%.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Ski school revenue increased $17.3 million, or 6.0%, and dining revenue increased $2.9 million, or 1.3%, both primarily as a result of an increase in guest spending per visit at our North American resorts. Retail/rental revenue decreased $44.3 million, or 12.3%, for which retail sales decreased $29.2 million, or 13.8%, and rental sales decreased $15.2 million, or 10.1%. The decrease in both retail and rental revenue was primarily driven by a decrease in skier visitation of 9.5%, which impacted sales at our on-mountain retail outlets in North America, as well as broader industry-wide customer spending trends and our exit of certain leased store operations which we operated in the prior year, which resulted in a revenue reduction of approximately $18.2 million.</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revenue mainly consists of summer revenues, other mountain activities revenue, employee housing revenue, guest services revenue, commercial leasing revenue, marketing and internet advertising revenue, private club revenue (which includes both club dues and amortization of initiation fees), municipal services revenue and other recreation activity revenue. Other revenue also includes Australian resort lodging and transportation revenue. Other revenue increased $5.7 million, or 2.3%, primarily driven by an increase in guest spending per visit at our North American resorts.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expense increased $24.4 million, or 1.4%, which was primarily attributable to an increase in general and administrative expenses, property tax expense, and repairs and maintenance expense, partially offset by reduced labor hours at our North American Resorts in the current year as a result of challenging weather conditions that existed for a large portion of the season, which impacted our ability to operate at full capacity, as well as disciplined cost management. Operating expense includes $8.0 million and $3.1 million of acquisition and integration related expenses for Fiscal 2024 and Fiscal 2023, respectively.</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Labor and labor-related benefits decreased 1.8%, primarily attributable to reduced labor hours at our North American Resorts in the current year as a result of challenging weather conditions that existed for a large portion of the season, which impacted our ability to operate at full capacity, as well as disciplined cost management. Retail cost of sales decreased 9.8%, compared to a decrease in retail sales of 13.8%, reflecting decreased margins on retail products driven by higher sales of discounted inventory. Resort related fees increased 5.1% primarily as a result of an increase in revenues on which those fees are based. General and administrative expense increased 7.6%, primarily due to an increase in allocated corporate overhead costs across nearly all corporate functions (which includes the incremental impact of our prior year investments in employee wages, which went into effect in October 2022, and the impact of updated allocations of general and administrative expenses between segments which offsets primarily with decreases in the Lodging segment). Other expense increased 4.5%, primarily due to increased property taxes ($5.0 million), acquisition and integration related expenses ($4.9 million), repairs and maintenance expense ($4.6 million), professional services expense ($3.3 million) and utilities expense ($2.5 million), including the impact of inflation, partially offset by decreased dining cost of sales ($3.8 million) and fuel expenses ($3.4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Fiscal 2024, Fiscal 2023 and Fiscal 2022 are presented by category as follows (in thousands, except average daily rate (“ADR”) and revenue per available room (“RevPAR”)):</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tcPr>
          <w:p>
            <w:pPr>
              <w:spacing w:after="0"/>
              <w:rPr>
                <w:sz w:val="16"/>
                <w:szCs w:val="16"/>
                <w:color w:val="auto"/>
              </w:rPr>
            </w:pPr>
          </w:p>
        </w:tc>
      </w:tr>
      <w:tr>
        <w:trPr>
          <w:trHeight w:val="203"/>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2"/>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3"/>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9"/>
        </w:trPr>
        <w:tc>
          <w:tcPr>
            <w:tcW w:w="3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7"/>
                <w:szCs w:val="17"/>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00" w:type="dxa"/>
            <w:vAlign w:val="bottom"/>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114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2023/2022</w:t>
            </w:r>
          </w:p>
        </w:tc>
      </w:tr>
      <w:tr>
        <w:trPr>
          <w:trHeight w:val="23"/>
        </w:trPr>
        <w:tc>
          <w:tcPr>
            <w:tcW w:w="3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net revenue: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Owned hotel rooms</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83,977</w:t>
            </w:r>
          </w:p>
        </w:tc>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80,117</w:t>
            </w:r>
          </w:p>
        </w:tc>
        <w:tc>
          <w:tcPr>
            <w:tcW w:w="4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80,579</w:t>
            </w:r>
          </w:p>
        </w:tc>
        <w:tc>
          <w:tcPr>
            <w:tcW w:w="100" w:type="dxa"/>
            <w:vAlign w:val="bottom"/>
          </w:tcPr>
          <w:p>
            <w:pPr>
              <w:spacing w:after="0"/>
              <w:rPr>
                <w:sz w:val="19"/>
                <w:szCs w:val="19"/>
                <w:color w:val="auto"/>
              </w:rPr>
            </w:pP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4.8 %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86,199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96,785</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97,704</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(10.9)%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Dining</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63,255</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62,445</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48,569</w:t>
            </w:r>
          </w:p>
        </w:tc>
        <w:tc>
          <w:tcPr>
            <w:tcW w:w="100" w:type="dxa"/>
            <w:vAlign w:val="bottom"/>
          </w:tcPr>
          <w:p>
            <w:pPr>
              <w:spacing w:after="0"/>
              <w:rPr>
                <w:sz w:val="19"/>
                <w:szCs w:val="19"/>
                <w:color w:val="auto"/>
              </w:rPr>
            </w:pP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1.3 %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28.6 %</w:t>
            </w:r>
          </w:p>
        </w:tc>
      </w:tr>
      <w:tr>
        <w:trPr>
          <w:trHeight w:val="229"/>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Transportation</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16,021</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7.0 %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Golf</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10,975</w:t>
            </w:r>
          </w:p>
        </w:tc>
        <w:tc>
          <w:tcPr>
            <w:tcW w:w="100" w:type="dxa"/>
            <w:vAlign w:val="bottom"/>
          </w:tcPr>
          <w:p>
            <w:pPr>
              <w:spacing w:after="0"/>
              <w:rPr>
                <w:sz w:val="19"/>
                <w:szCs w:val="19"/>
                <w:color w:val="auto"/>
              </w:rPr>
            </w:pP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7.7 %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29"/>
        </w:trPr>
        <w:tc>
          <w:tcPr>
            <w:tcW w:w="3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56,368</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55,816</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w:t>
            </w:r>
          </w:p>
        </w:tc>
        <w:tc>
          <w:tcPr>
            <w:tcW w:w="1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1.0 %</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r>
      <w:tr>
        <w:trPr>
          <w:trHeight w:val="169"/>
        </w:trPr>
        <w:tc>
          <w:tcPr>
            <w:tcW w:w="33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Lodging net revenue (excluding payroll cost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reimbursements)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319,830</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323,142</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300,348</w:t>
            </w:r>
          </w:p>
        </w:tc>
        <w:tc>
          <w:tcPr>
            <w:tcW w:w="100" w:type="dxa"/>
            <w:vAlign w:val="bottom"/>
          </w:tcPr>
          <w:p>
            <w:pPr>
              <w:spacing w:after="0"/>
              <w:rPr>
                <w:sz w:val="21"/>
                <w:szCs w:val="21"/>
                <w:color w:val="auto"/>
              </w:rPr>
            </w:pP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9"/>
        </w:trPr>
        <w:tc>
          <w:tcPr>
            <w:tcW w:w="3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r>
      <w:tr>
        <w:trPr>
          <w:trHeight w:val="223"/>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Lodging net revenue</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336,117</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340,393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312,090</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r>
      <w:tr>
        <w:trPr>
          <w:trHeight w:val="22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operating expense: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139,840</w:t>
            </w: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148,915</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128,884</w:t>
            </w:r>
          </w:p>
        </w:tc>
        <w:tc>
          <w:tcPr>
            <w:tcW w:w="100" w:type="dxa"/>
            <w:vAlign w:val="bottom"/>
          </w:tcPr>
          <w:p>
            <w:pPr>
              <w:spacing w:after="0"/>
              <w:rPr>
                <w:sz w:val="19"/>
                <w:szCs w:val="19"/>
                <w:color w:val="auto"/>
              </w:rPr>
            </w:pP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r>
      <w:tr>
        <w:trPr>
          <w:trHeight w:val="23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55,081</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(6.8)%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29"/>
        </w:trPr>
        <w:tc>
          <w:tcPr>
            <w:tcW w:w="3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97,733</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98,398</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90,636</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169"/>
        </w:trPr>
        <w:tc>
          <w:tcPr>
            <w:tcW w:w="338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Lodging operating expense (excluding</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43"/>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reimbursed payroll costs)</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296,812</w:t>
            </w: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310,875</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274,601</w:t>
            </w:r>
          </w:p>
        </w:tc>
        <w:tc>
          <w:tcPr>
            <w:tcW w:w="10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(4.5)%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29"/>
        </w:trPr>
        <w:tc>
          <w:tcPr>
            <w:tcW w:w="33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Reimbursed payroll costs</w:t>
            </w:r>
          </w:p>
        </w:tc>
        <w:tc>
          <w:tcPr>
            <w:tcW w:w="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16,287</w:t>
            </w: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w:t>
            </w: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46.9 %</w:t>
            </w:r>
          </w:p>
        </w:tc>
      </w:tr>
      <w:tr>
        <w:trPr>
          <w:trHeight w:val="223"/>
        </w:trPr>
        <w:tc>
          <w:tcPr>
            <w:tcW w:w="3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2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313,099</w:t>
            </w: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328,126</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286,343</w:t>
            </w:r>
          </w:p>
        </w:tc>
        <w:tc>
          <w:tcPr>
            <w:tcW w:w="1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(4.6)%</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14.6 %</w:t>
            </w:r>
          </w:p>
        </w:tc>
      </w:tr>
      <w:tr>
        <w:trPr>
          <w:trHeight w:val="230"/>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Lodging Reported EBITDA</w:t>
            </w:r>
          </w:p>
        </w:tc>
        <w:tc>
          <w:tcPr>
            <w:tcW w:w="5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4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4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25,747</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color w:val="auto"/>
              </w:rPr>
              <w:t>87.6 %</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3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Owned hotel statistics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317.65</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312.15</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309.78</w:t>
            </w:r>
          </w:p>
        </w:tc>
        <w:tc>
          <w:tcPr>
            <w:tcW w:w="100" w:type="dxa"/>
            <w:vAlign w:val="bottom"/>
          </w:tcPr>
          <w:p>
            <w:pPr>
              <w:spacing w:after="0"/>
              <w:rPr>
                <w:sz w:val="19"/>
                <w:szCs w:val="19"/>
                <w:color w:val="auto"/>
              </w:rPr>
            </w:pP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1.8 %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161.82</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160.75</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0.7 %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3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5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424.13</w:t>
            </w:r>
          </w:p>
        </w:tc>
        <w:tc>
          <w:tcPr>
            <w:tcW w:w="4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416.77</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410.13</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1.8 %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118.91</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124.41</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00" w:type="dxa"/>
            <w:vAlign w:val="bottom"/>
          </w:tcPr>
          <w:p>
            <w:pPr>
              <w:spacing w:after="0"/>
              <w:rPr>
                <w:sz w:val="19"/>
                <w:szCs w:val="19"/>
                <w:color w:val="auto"/>
              </w:rPr>
            </w:pP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184"/>
        </w:trPr>
        <w:tc>
          <w:tcPr>
            <w:tcW w:w="33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Owned hotel and managed condominium</w:t>
            </w: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statistics (combined):</w:t>
            </w: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30"/>
        </w:trPr>
        <w:tc>
          <w:tcPr>
            <w:tcW w:w="3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ADR</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381.60</w:t>
            </w:r>
          </w:p>
        </w:tc>
        <w:tc>
          <w:tcPr>
            <w:tcW w:w="44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378.62</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100" w:type="dxa"/>
            <w:vAlign w:val="bottom"/>
          </w:tcPr>
          <w:p>
            <w:pPr>
              <w:spacing w:after="0"/>
              <w:rPr>
                <w:sz w:val="19"/>
                <w:szCs w:val="19"/>
                <w:color w:val="auto"/>
              </w:rPr>
            </w:pPr>
          </w:p>
        </w:tc>
        <w:tc>
          <w:tcPr>
            <w:tcW w:w="20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0.8 %</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0"/>
        </w:trPr>
        <w:tc>
          <w:tcPr>
            <w:tcW w:w="33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RevPar</w:t>
            </w:r>
          </w:p>
        </w:tc>
        <w:tc>
          <w:tcPr>
            <w:tcW w:w="560" w:type="dxa"/>
            <w:vAlign w:val="bottom"/>
            <w:tcBorders>
              <w:bottom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130.41</w:t>
            </w:r>
          </w:p>
        </w:tc>
        <w:tc>
          <w:tcPr>
            <w:tcW w:w="44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133.48</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133.53</w:t>
            </w:r>
          </w:p>
        </w:tc>
        <w:tc>
          <w:tcPr>
            <w:tcW w:w="10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Lodging Reported EBITDA includes $3.3 million, $4.0 million and $3.7 million of stock-based compensation expense for Fiscal 2024, Fiscal 2023 and Fiscal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Lodging Reported EBITDA increased $10.8 million, or 87.6%, driven by a decrease in labor and labor-related benefits primarily associated with strong cost management and lower staffing required to support a reduced inventory of managed condominium rooms, as well as a decrease in general and administrative expense, partially offset by a decrease in revenues primarily due to a reduction in our inventory of available managed condominium rooms proximate to our mountain resorts.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Revenue from owned hotel rooms increased $3.9 million, or 4.8%, primarily due to an increase in revenue at GTLC as a result of improved visitation which was assisted by favorable weather conditions, and which enabled increased room pricing for owned hotel rooms and resulted in higher ADR. Revenue from managed condominium rooms decreased $10.6 million, or 10.9% primarily due to a reduction in our inventory of available managed condominium rooms proximate to our mountain resorts, as well as decreased demand, including the impact of decreased skier visitation driven by challenging weather conditions at our North American resorts for a large portion of the season compared to the prior year.</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 (excluding reimbursed payroll costs) decreased 4.5%. Labor and labor-related benefits decreased 6.1%, primarily associated with strong cost management and lower staffing required to support a reduced inventory of managed condominium rooms. General and administrative expense decreased 6.8% compared to the prior year, primarily due to a decrease in allocated corporate overhead costs, including the impact of updated allocations of general and administrative expenses between segments which offsets primarily with increases in the Mountain segment.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Fiscal 2024, Fiscal 2023 and Fiscal 2022 are presented by category as follows (in thousands):</w:t>
      </w:r>
    </w:p>
    <w:p>
      <w:pPr>
        <w:spacing w:after="0" w:line="138"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60" w:type="dxa"/>
            <w:vAlign w:val="bottom"/>
          </w:tcPr>
          <w:p>
            <w:pPr>
              <w:spacing w:after="0"/>
              <w:rPr>
                <w:sz w:val="16"/>
                <w:szCs w:val="16"/>
                <w:color w:val="auto"/>
              </w:rPr>
            </w:pPr>
          </w:p>
        </w:tc>
      </w:tr>
      <w:tr>
        <w:trPr>
          <w:trHeight w:val="203"/>
        </w:trPr>
        <w:tc>
          <w:tcPr>
            <w:tcW w:w="35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8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2"/>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Increase/(Decrease)</w:t>
            </w:r>
          </w:p>
        </w:tc>
      </w:tr>
      <w:tr>
        <w:trPr>
          <w:trHeight w:val="23"/>
        </w:trPr>
        <w:tc>
          <w:tcPr>
            <w:tcW w:w="35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9"/>
        </w:trPr>
        <w:tc>
          <w:tcPr>
            <w:tcW w:w="35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1980" w:type="dxa"/>
            <w:vAlign w:val="bottom"/>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11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2023/2022</w:t>
            </w:r>
          </w:p>
        </w:tc>
      </w:tr>
      <w:tr>
        <w:trPr>
          <w:trHeight w:val="23"/>
        </w:trPr>
        <w:tc>
          <w:tcPr>
            <w:tcW w:w="3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4,704</w:t>
            </w:r>
          </w:p>
        </w:tc>
        <w:tc>
          <w:tcPr>
            <w:tcW w:w="4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8,065</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(41.7)%</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1,039.1 %</w:t>
            </w:r>
          </w:p>
        </w:tc>
      </w:tr>
      <w:tr>
        <w:trPr>
          <w:trHeight w:val="22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3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sales (including sales commissions)</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3,607</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5,146</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(29.9)%</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1,950.2 %</w:t>
            </w:r>
          </w:p>
        </w:tc>
      </w:tr>
      <w:tr>
        <w:trPr>
          <w:trHeight w:val="230"/>
        </w:trPr>
        <w:tc>
          <w:tcPr>
            <w:tcW w:w="3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5,907</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5,489</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7.6 %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8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9,514</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10,635</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79.9 %</w:t>
            </w:r>
          </w:p>
        </w:tc>
      </w:tr>
      <w:tr>
        <w:trPr>
          <w:trHeight w:val="230"/>
        </w:trPr>
        <w:tc>
          <w:tcPr>
            <w:tcW w:w="35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8"/>
              </w:rPr>
              <w:t>6,285</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842</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rPr>
              <w:t>646.4 %</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30"/>
        </w:trPr>
        <w:tc>
          <w:tcPr>
            <w:tcW w:w="3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1,475</w:t>
            </w:r>
          </w:p>
        </w:tc>
        <w:tc>
          <w:tcPr>
            <w:tcW w:w="4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c>
          <w:tcPr>
            <w:tcW w:w="10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185.4 %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2024, we closed on the sale of a land parcel in Keystone, CO for $4.2 million, which was recorded within Real Estate net revenue, with a corresponding cost of sale of $3.6 million. Additionally, we recorded a gain on sale of real property for $6.3 million related to a land parcel sale in Beaver Creek, CO, which closed for proceeds of $6.5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of $5.9 million was primarily comprised of general and administrative costs, such as labor and labor-related benefits, professional services and allocated corporate overhead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2023</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Fiscal 2023, we closed on the sale of a land parcel in Keystone for $7.5 million, which was recorded within Real Estate net revenue, with a corresponding cost of sale (including sales commission) of $5.1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operating expense of $5.5 million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items contributed to our overall financial position and results of operations (in thousands).</w:t>
      </w:r>
    </w:p>
    <w:p>
      <w:pPr>
        <w:spacing w:after="0" w:line="138"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2"/>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Percentage Increase/(Decrease)</w:t>
            </w:r>
          </w:p>
        </w:tc>
      </w:tr>
      <w:tr>
        <w:trPr>
          <w:trHeight w:val="23"/>
        </w:trPr>
        <w:tc>
          <w:tcPr>
            <w:tcW w:w="4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2024/2023</w:t>
            </w:r>
          </w:p>
        </w:tc>
        <w:tc>
          <w:tcPr>
            <w:tcW w:w="11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2023/2022</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(276,493)</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(268,501)</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(252,391)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3.0 %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(161,839)</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(153,022)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(148,183)</w:t>
            </w:r>
          </w:p>
        </w:tc>
        <w:tc>
          <w:tcPr>
            <w:tcW w:w="100" w:type="dxa"/>
            <w:vAlign w:val="bottom"/>
          </w:tcPr>
          <w:p>
            <w:pPr>
              <w:spacing w:after="0"/>
              <w:rPr>
                <w:sz w:val="19"/>
                <w:szCs w:val="19"/>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5.8 %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18,592</w:t>
            </w:r>
          </w:p>
        </w:tc>
        <w:tc>
          <w:tcPr>
            <w:tcW w:w="3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23,744</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(21.7)%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538.6 %</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(98,816)</w:t>
            </w:r>
          </w:p>
        </w:tc>
        <w:tc>
          <w:tcPr>
            <w:tcW w:w="3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(88,414)</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(88,824)</w:t>
            </w:r>
          </w:p>
        </w:tc>
        <w:tc>
          <w:tcPr>
            <w:tcW w:w="100" w:type="dxa"/>
            <w:vAlign w:val="bottom"/>
          </w:tcPr>
          <w:p>
            <w:pPr>
              <w:spacing w:after="0"/>
              <w:rPr>
                <w:sz w:val="19"/>
                <w:szCs w:val="19"/>
                <w:color w:val="auto"/>
              </w:rPr>
            </w:pPr>
          </w:p>
        </w:tc>
        <w:tc>
          <w:tcPr>
            <w:tcW w:w="150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11.8 %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4.9 pts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pts</w:t>
            </w: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Fiscal 2024 increased $8.0 million compared to the prior year,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expense recorded for capital projects recently completed at our Resorts and assets acquired in the acquisition of Crans-Montana ($3.4 million).</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Interest expense, net for Fiscal 2024 increased $8.8 million compared to the prior year, primarily due to an increase in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associated with the unhedged portion of our term loan borrowings under the Vail Holdings Credit Agreement.</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Investment income and other, net. </w:t>
      </w:r>
      <w:r>
        <w:rPr>
          <w:rFonts w:ascii="Times New Roman" w:cs="Times New Roman" w:eastAsia="Times New Roman" w:hAnsi="Times New Roman"/>
          <w:sz w:val="18"/>
          <w:szCs w:val="18"/>
          <w:color w:val="auto"/>
        </w:rPr>
        <w:t>Investment income and other, net for Fiscal 2024 decreased $5.2 million compared to Fiscal 2023, primarily as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average balances of interest-earning investments, as excess cash balances were utilized during Fiscal 2024 for share repurchases and the cash purchase price for the acquisition of Crans-Montana.</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taxes. </w:t>
      </w:r>
      <w:r>
        <w:rPr>
          <w:rFonts w:ascii="Times New Roman" w:cs="Times New Roman" w:eastAsia="Times New Roman" w:hAnsi="Times New Roman"/>
          <w:sz w:val="18"/>
          <w:szCs w:val="18"/>
          <w:color w:val="auto"/>
        </w:rPr>
        <w:t>The effective tax rate for Fiscal 2024 was 28.6%, compared to 23.7% for Fiscal 2023. The increase in the effective tax rate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an increase in net unfavorable discrete items impacting the tax provision in the current period, including a decrease in the impact of the lapse of the statute of limitations for an uncertain tax position ($5.9 million) and a nonrecurring foreign partnership basis adjustment ($4.7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Non-GAAP Measures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attributable to Vail Resorts, Inc. to Total Reported EBITDA for Fiscal 2024, Fiscal 2023 and Fiscal 2022 (in thousands):</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9"/>
        </w:trPr>
        <w:tc>
          <w:tcPr>
            <w:tcW w:w="60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98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230,405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268,148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347,923</w:t>
            </w:r>
          </w:p>
        </w:tc>
      </w:tr>
      <w:tr>
        <w:trPr>
          <w:trHeight w:val="229"/>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15,874</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16,955</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20,414</w:t>
            </w:r>
          </w:p>
        </w:tc>
      </w:tr>
      <w:tr>
        <w:trPr>
          <w:trHeight w:val="223"/>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246,279</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285,103</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368,337</w:t>
            </w:r>
          </w:p>
        </w:tc>
      </w:tr>
      <w:tr>
        <w:trPr>
          <w:trHeight w:val="229"/>
        </w:trPr>
        <w:tc>
          <w:tcPr>
            <w:tcW w:w="6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98,816</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88,414</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88,824</w:t>
            </w:r>
          </w:p>
        </w:tc>
      </w:tr>
      <w:tr>
        <w:trPr>
          <w:trHeight w:val="223"/>
        </w:trPr>
        <w:tc>
          <w:tcPr>
            <w:tcW w:w="6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345,095</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373,517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457,161</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276,493</w:t>
            </w:r>
          </w:p>
        </w:tc>
        <w:tc>
          <w:tcPr>
            <w:tcW w:w="2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268,501</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252,391</w:t>
            </w:r>
          </w:p>
        </w:tc>
      </w:tr>
      <w:tr>
        <w:trPr>
          <w:trHeight w:val="23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9,633</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9,070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(43,992)</w:t>
            </w: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9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47,957</w:t>
            </w:r>
          </w:p>
        </w:tc>
        <w:tc>
          <w:tcPr>
            <w:tcW w:w="2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49,836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20,280</w:t>
            </w: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9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3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9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4,140</w:t>
            </w:r>
          </w:p>
        </w:tc>
        <w:tc>
          <w:tcPr>
            <w:tcW w:w="2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2,907</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29"/>
        </w:trPr>
        <w:tc>
          <w:tcPr>
            <w:tcW w:w="6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161,839</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153,022</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148,183</w:t>
            </w:r>
          </w:p>
        </w:tc>
      </w:tr>
      <w:tr>
        <w:trPr>
          <w:trHeight w:val="230"/>
        </w:trPr>
        <w:tc>
          <w:tcPr>
            <w:tcW w:w="6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Reported EBITDA</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826,565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833,109</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832,987</w:t>
            </w:r>
          </w:p>
        </w:tc>
      </w:tr>
      <w:tr>
        <w:trPr>
          <w:trHeight w:val="243"/>
        </w:trPr>
        <w:tc>
          <w:tcPr>
            <w:tcW w:w="60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9"/>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Mountain Reported EBITDA</w:t>
            </w:r>
          </w:p>
        </w:tc>
        <w:tc>
          <w:tcPr>
            <w:tcW w:w="98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802,072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822,570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811,167</w:t>
            </w:r>
          </w:p>
        </w:tc>
      </w:tr>
      <w:tr>
        <w:trPr>
          <w:trHeight w:val="229"/>
        </w:trPr>
        <w:tc>
          <w:tcPr>
            <w:tcW w:w="6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Lodging Reported EBITDA</w:t>
            </w:r>
          </w:p>
        </w:tc>
        <w:tc>
          <w:tcPr>
            <w:tcW w:w="9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23,018</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12,267</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25,747</w:t>
            </w:r>
          </w:p>
        </w:tc>
      </w:tr>
      <w:tr>
        <w:trPr>
          <w:trHeight w:val="223"/>
        </w:trPr>
        <w:tc>
          <w:tcPr>
            <w:tcW w:w="6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Resort Reported EBITDA</w:t>
            </w:r>
          </w:p>
        </w:tc>
        <w:tc>
          <w:tcPr>
            <w:tcW w:w="98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825,090</w:t>
            </w:r>
          </w:p>
        </w:tc>
        <w:tc>
          <w:tcPr>
            <w:tcW w:w="220" w:type="dxa"/>
            <w:vAlign w:val="bottom"/>
          </w:tcPr>
          <w:p>
            <w:pPr>
              <w:spacing w:after="0"/>
              <w:rPr>
                <w:sz w:val="19"/>
                <w:szCs w:val="19"/>
                <w:color w:val="auto"/>
              </w:rPr>
            </w:pPr>
          </w:p>
        </w:tc>
        <w:tc>
          <w:tcPr>
            <w:tcW w:w="15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834,837</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836,914</w:t>
            </w:r>
          </w:p>
        </w:tc>
      </w:tr>
      <w:tr>
        <w:trPr>
          <w:trHeight w:val="229"/>
        </w:trPr>
        <w:tc>
          <w:tcPr>
            <w:tcW w:w="60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9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30"/>
        </w:trPr>
        <w:tc>
          <w:tcPr>
            <w:tcW w:w="6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 Reported EBITDA</w:t>
            </w:r>
          </w:p>
        </w:tc>
        <w:tc>
          <w:tcPr>
            <w:tcW w:w="98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826,565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833,109</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832,987</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long-term debt, net to Net Debt (defined as long-term debt, net plus long-term debt due within one year less cash and cash equivalents) (in thousands):</w:t>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10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0"/>
        </w:trPr>
        <w:tc>
          <w:tcPr>
            <w:tcW w:w="7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7"/>
                <w:szCs w:val="17"/>
                <w:color w:val="auto"/>
              </w:rPr>
            </w:pPr>
          </w:p>
        </w:tc>
        <w:tc>
          <w:tcPr>
            <w:tcW w:w="11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2,721,597</w:t>
            </w:r>
          </w:p>
        </w:tc>
        <w:tc>
          <w:tcPr>
            <w:tcW w:w="72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2,750,675</w:t>
            </w:r>
          </w:p>
        </w:tc>
      </w:tr>
      <w:tr>
        <w:trPr>
          <w:trHeight w:val="2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57,153</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69,160</w:t>
            </w:r>
          </w:p>
        </w:tc>
      </w:tr>
      <w:tr>
        <w:trPr>
          <w:trHeight w:val="223"/>
        </w:trPr>
        <w:tc>
          <w:tcPr>
            <w:tcW w:w="7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2,778,750</w:t>
            </w:r>
          </w:p>
        </w:tc>
        <w:tc>
          <w:tcPr>
            <w:tcW w:w="7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2,819,835</w:t>
            </w:r>
          </w:p>
        </w:tc>
      </w:tr>
      <w:tr>
        <w:trPr>
          <w:trHeight w:val="2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322,827</w:t>
            </w:r>
          </w:p>
        </w:tc>
        <w:tc>
          <w:tcPr>
            <w:tcW w:w="7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562,975</w:t>
            </w:r>
          </w:p>
        </w:tc>
      </w:tr>
      <w:tr>
        <w:trPr>
          <w:trHeight w:val="230"/>
        </w:trPr>
        <w:tc>
          <w:tcPr>
            <w:tcW w:w="75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2,455,923</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2,256,860</w:t>
            </w: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and uses of cash for Fiscal 2024, Fiscal 2023 and Fiscal 2022 are presented by categories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586,774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center"/>
              <w:ind w:left="757"/>
              <w:spacing w:after="0"/>
              <w:rPr>
                <w:sz w:val="20"/>
                <w:szCs w:val="20"/>
                <w:color w:val="auto"/>
              </w:rPr>
            </w:pPr>
            <w:r>
              <w:rPr>
                <w:rFonts w:ascii="Times New Roman" w:cs="Times New Roman" w:eastAsia="Times New Roman" w:hAnsi="Times New Roman"/>
                <w:sz w:val="18"/>
                <w:szCs w:val="18"/>
                <w:color w:val="auto"/>
                <w:w w:val="99"/>
              </w:rPr>
              <w:t>639,563</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color w:val="auto"/>
                <w:w w:val="99"/>
              </w:rPr>
              <w:t>710,499</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center"/>
              <w:ind w:left="475"/>
              <w:spacing w:after="0"/>
              <w:rPr>
                <w:sz w:val="20"/>
                <w:szCs w:val="20"/>
                <w:color w:val="auto"/>
              </w:rPr>
            </w:pPr>
            <w:r>
              <w:rPr>
                <w:rFonts w:ascii="Times New Roman" w:cs="Times New Roman" w:eastAsia="Times New Roman" w:hAnsi="Times New Roman"/>
                <w:sz w:val="18"/>
                <w:szCs w:val="18"/>
                <w:color w:val="auto"/>
                <w:w w:val="99"/>
              </w:rPr>
              <w:t>(241,069)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center"/>
              <w:ind w:left="717"/>
              <w:spacing w:after="0"/>
              <w:rPr>
                <w:sz w:val="20"/>
                <w:szCs w:val="20"/>
                <w:color w:val="auto"/>
              </w:rPr>
            </w:pPr>
            <w:r>
              <w:rPr>
                <w:rFonts w:ascii="Times New Roman" w:cs="Times New Roman" w:eastAsia="Times New Roman" w:hAnsi="Times New Roman"/>
                <w:sz w:val="18"/>
                <w:szCs w:val="18"/>
                <w:color w:val="auto"/>
                <w:w w:val="99"/>
              </w:rPr>
              <w:t>(273,167)</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495"/>
              <w:spacing w:after="0"/>
              <w:rPr>
                <w:sz w:val="20"/>
                <w:szCs w:val="20"/>
                <w:color w:val="auto"/>
              </w:rPr>
            </w:pPr>
            <w:r>
              <w:rPr>
                <w:rFonts w:ascii="Times New Roman" w:cs="Times New Roman" w:eastAsia="Times New Roman" w:hAnsi="Times New Roman"/>
                <w:sz w:val="18"/>
                <w:szCs w:val="18"/>
                <w:color w:val="auto"/>
              </w:rPr>
              <w:t>(347,917)</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475"/>
              <w:spacing w:after="0"/>
              <w:rPr>
                <w:sz w:val="20"/>
                <w:szCs w:val="20"/>
                <w:color w:val="auto"/>
              </w:rPr>
            </w:pPr>
            <w:r>
              <w:rPr>
                <w:rFonts w:ascii="Times New Roman" w:cs="Times New Roman" w:eastAsia="Times New Roman" w:hAnsi="Times New Roman"/>
                <w:sz w:val="18"/>
                <w:szCs w:val="18"/>
                <w:color w:val="auto"/>
                <w:w w:val="99"/>
              </w:rPr>
              <w:t>(574,788)</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center"/>
              <w:ind w:left="717"/>
              <w:spacing w:after="0"/>
              <w:rPr>
                <w:sz w:val="20"/>
                <w:szCs w:val="20"/>
                <w:color w:val="auto"/>
              </w:rPr>
            </w:pPr>
            <w:r>
              <w:rPr>
                <w:rFonts w:ascii="Times New Roman" w:cs="Times New Roman" w:eastAsia="Times New Roman" w:hAnsi="Times New Roman"/>
                <w:sz w:val="18"/>
                <w:szCs w:val="18"/>
                <w:color w:val="auto"/>
                <w:w w:val="99"/>
              </w:rPr>
              <w:t>(915,708)</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(493,136)</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Historically, we have lower cash available at the end of each first and fourth fiscal quarter-ends as compared to our second and third fiscal quarter-ends, primarily due to the seasonality of our Mountain segment operations.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2024 compared to Fiscal 2023</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generated $586.8 million of cash from operating activities during Fiscal 2024, a decrease of $52.8 million compared to $639.6 million generated during Fiscal 2023. The decrease in operating cash flows was primarily a result of (i) an increase in income tax payments of approximately $35.0 million, driven by overpayments, net operating loss carryforwards and other deductions in the prior year which offset our estimated payments during Fiscal 2023; (ii) an increase in cash interest payments ($6.1 million); and (iii) a decrease in investment income collected ($5.2 million).</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Cash used in investing activities for Fiscal 2024 decreased by $32.1 million, primarily due to (i) a decrease in capital expenditures of approximately $103.7 million as compared to the prior year, driven by our significant investments in lift upgrades impacting Fiscal 2023; (ii) prior year short-term bank deposit investments of $86.8 million, which were invested in deposits with maturity dates of more than three months at the date of purchase and were therefore not reflected as cash equivalents as of July 31, 2023, of which $57.6 million and $38.0 million matured during the Fiscal 2024 and Fiscal 2023, respectively; and (iii) $38.6 million of cash paid to Andermatt Swiss Alps AG upon closing the acquisition of Andermatt-Sedrun, net of cash acquired, on August 3, 2022. These decreases in cash used in investing activities were partially offset by the prior year return of a cash deposit of approximately $114.5 million (CHF 110.0 million) originally made in July 2022 in conjunction with the acquisition of Andermatt-Sedrun, which closed on August 3, 2022. The cash deposit was invested into Andermatt-Sedrun, which is included in our consolidated financial statements subsequent to the acquisition being completed. Additionally, the decreases were also partially offset by the cash purchase price of $94.4 million, net of cash acquired of $12.4 million, related to the acquisition of Crans-Montana on May 2, 2024.</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decreased by $340.9 million during Fiscal 2024 compared to Fiscal 2023, primarily due to a decrease in repurchases of common stock of $350.0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$322.8 million of cash and cash equivalents as of July 31, 2024, compared to $563.0 million as of July 31, 2023, and the decrease was primarily attributable to the cash purchase price associated with the acquisition of Crans-Montana, net of cash acquired, and share repurchases completed during Fiscal 2024. We currently anticipate that our Mountain and Lodging segment operating results will continue to provide a significant source of future operating cash flows (primarily generated in our second and third fiscal quarters).</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$322.8 million of cash and cash equivalents at July 31, 2024, we had $407.9 million available under the revolver component of our Vail Holdings Credit Agreement as of July 31, 2024 (which represents the total commitment of $500.0 million less outstanding letters of credit of $92.1 million). Additionally, we had C$296.6 million ($214.8 million) available under the revolver component of our Whistler Credit Agreement (which represents the total commitment of C$300.0 million ($217.3 million) less certain outstanding letters of credit of C$3.4 million ($2.5 million)). We expect that our liquidity needs in the near term will be met by continued use of our existing cash and cash equivalents, operating cash flows and borrowings under both the Vail Holdings Credit Agreement and Whistler Credit Agreement, if needed. Under the Vail Holdings Credit Agreement and the Whistler Credit Agreement, any new borrowings would be priced at the Secured Overnight Financing Rate plus 1.60% and Canadian Overnight Repo Rate Average plus 1.75%,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discretionary capital improvements based on an expected level of return on investment.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7" w:name="page58"/>
    <w:bookmarkEnd w:id="57"/>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anticipate that we will spend approximately $189 million to $194 million on resort capital expenditures during calendar year 2024, excluding $13 million of incremental capital investments in premium fleet and fulfillment infrastructure to support the official launch of My Epic Gear for the 2024/2025 winter season at 12 destination mountain resorts and regional ski areas across North America, $8 million of growth capital investments at Andermatt-Sedrun, $1 million of reimbursable capital, and investments at Crans-Montana, which we expect will include $3 million of maintenance capital expenditures and $2 million associated with integration activities at Crans-Montana. Including My Epic Gear premium fleet, fulfillment infrastructure capital, one-time investments, and investments at Crans-Montana, our total capital plan for calendar year 2024 is expected to be approximately $216 million to $221 million. Included in these estimated capital expenditures are approximately $117 million to $122 million of maintenance capital expenditures (excluding Crans-Montana), which are necessary to maintain appearance and level of service appropriate to our resorts. We currently plan to utilize cash on hand, borrowings available under our credit agreements and/or cash flow generated from future operations to provide the cash necessary to complete our capital plans.</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$81 million was spent for capital expenditures in calendar year 2024 as of July 31, 2024, leaving approximately $135 million to $140 million to spend in the remainder of calendar year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 of Crans-Montana</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 2024, we acquired Crans-Montana for a purchase price of CHF 97.2 million ($106.8 million), after adjustments for certain agreed-upon items, which was funded with cash on hand.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2024, principal payments on $2.0 billion of our $2.8 billion in long-term debt outstanding as of July 31, 2024 are not due until fiscal year 2029 and beyond. As of both July 31, 2024 and 2023, total long-term debt, net (including long-term debt due within one year) was $2.8 billion. Net Debt (defined as long-term debt, net plus long-term debt due within one year less cash and cash equivalents) was $2.5 billion and $2.3 billion as of July 31, 2024 and 2023,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2024, the Vail Holdings Credit Agreement provides for (i) a revolving loan facility in an aggregate principal amount of $500.0 million and</w:t>
      </w:r>
    </w:p>
    <w:p>
      <w:pPr>
        <w:spacing w:after="0" w:line="27" w:lineRule="exact"/>
        <w:rPr>
          <w:sz w:val="20"/>
          <w:szCs w:val="20"/>
          <w:color w:val="auto"/>
        </w:rPr>
      </w:pPr>
    </w:p>
    <w:p>
      <w:pPr>
        <w:jc w:val="both"/>
        <w:ind w:right="20" w:firstLine="8"/>
        <w:spacing w:after="0" w:line="255" w:lineRule="auto"/>
        <w:tabs>
          <w:tab w:leader="none" w:pos="28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loan facility of $959.8 million, and the Whistler Credit Agreement provides for a revolving loan facility in an aggregate principal amount of C$300.0 million. We expect that our liquidity needs in the near term will be met by continued use of our existing cash and cash equivalents, operating cash flows and borrowings under the Vail Holdings Credit Agreement and the Whistler Credit Agreement, if needed.</w:t>
      </w:r>
    </w:p>
    <w:p>
      <w:pPr>
        <w:spacing w:after="0" w:line="1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$0.6 billion of net variable-rate debt outstanding as of July 31, 2024 (net of $400.0 million of interest rate swap agreements which hedged the variable interest rate component of the Vail Holdings Credit Agreement, and which expired on September 23, 2024). A 100-basis point change in our borrowing rates would cause our annual interest payments on our net variable-rate debt to change by approximately $6.1 million based on the rates in effect as of July 31, 2024, which does not include the impact of the expiration of the interest rate swaps.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8, 2024, we completed our offering of $600 million aggregate principal amount of 6.50% senior notes due 2032 at par (the “Notes”). The Notes are unsecured senior obligations of the Company and will be guaranteed by certain of our domestic subsidiaries (other than certain excluded subsidiaries). The net proceeds, together with cash on hand, funded the redemption of all $600 million of our outstanding 6.25% Senior Notes due 2025 at a redemption price equal to 100% of their principal amount and all related fees and expenses. We will pay interest on the Notes on May 15 and November 15 of each year commencing on November 15, 2024. The Notes will mature on May 15, 2032. The Notes are redeemable, in whole or in part, at any time on or after May 15, 2027 at the redemption prices specified in a 2024 Indenture dated as of May 8, 2024 (the “2024 Indenture”) plus accrued and unpaid interest. Prior to May 15, 2027, we may redeem some or all of the Notes at a redemption price of 100% of the principal amount, plus accrued and unpaid interest, plus a “make-whole” premium as specified in the 2024 Indenture. In addition, prior to May 15, 2027, we may redeem up to 40% of the aggregate principal amount of the Notes with an amount not to exceed the net cash proceeds from certain equity offerings at the redemption price of 106.50% of the principal amount of the notes to be redeemed, plus accrued and unpaid interest. The Notes are senior unsecured obligations of the Company and rank equally in right of payment with existing and future senior indebtedness of the Company and the guarantors (as defined in the 2024 Indenture).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58" w:name="page59"/>
    <w:bookmarkEnd w:id="58"/>
    <w:p>
      <w:pPr>
        <w:jc w:val="both"/>
        <w:spacing w:after="0" w:line="255" w:lineRule="auto"/>
        <w:rPr>
          <w:sz w:val="20"/>
          <w:szCs w:val="20"/>
          <w:color w:val="auto"/>
        </w:rPr>
      </w:pPr>
      <w:r>
        <w:rPr>
          <w:rFonts w:ascii="Times New Roman" w:cs="Times New Roman" w:eastAsia="Times New Roman" w:hAnsi="Times New Roman"/>
          <w:sz w:val="18"/>
          <w:szCs w:val="18"/>
          <w:color w:val="auto"/>
        </w:rPr>
        <w:t>The 2024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2024 Indenture). The 2024 Indenture does not contain any financial maintenance covenants. Certain of the covenants will not apply to the Notes so long as the Notes have investment grade ratings from two specified rating agencies and no event of default has occurred and is continuing under the 2024 Indenture. The 2024 Indenture includes customary events of default, including failure to make payment, failure to comply with the obligations set forth in the 2024 Indenture, certain defaults on certain other indebtedness, certain events of bankruptcy, insolvency or reorganization, and invalidity of the guarantees of the Notes issued pursuant to the 2024 Indenture.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Material Cash Requirements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ongoing operations, we enter into arrangements that obligate us to make future payments under contracts such as debt agreements and construction agreements in conjunction with our resort capital expenditures. Debt obligations, which totaled $2.8 billion as of July 31, 2024, are recognized as liabilities in our Consolidated Balance Sheet. Obligations under construction contracts and other purchase commitments are not recognized as liabilities in our Consolidated Balance Sheet until services and/or goods are received. A summary of our material cash obligations as of July 31, 2024 (excluding obligations presented elsewhere, including Notes to Consolidated Financial Statements) is presented below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4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440" w:type="dxa"/>
            <w:vAlign w:val="bottom"/>
          </w:tcPr>
          <w:p>
            <w:pPr>
              <w:spacing w:after="0"/>
              <w:rPr>
                <w:sz w:val="15"/>
                <w:szCs w:val="15"/>
                <w:color w:val="auto"/>
              </w:rPr>
            </w:pPr>
          </w:p>
        </w:tc>
        <w:tc>
          <w:tcPr>
            <w:tcW w:w="114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2-3</w:t>
            </w:r>
          </w:p>
        </w:tc>
        <w:tc>
          <w:tcPr>
            <w:tcW w:w="300" w:type="dxa"/>
            <w:vAlign w:val="bottom"/>
          </w:tcPr>
          <w:p>
            <w:pPr>
              <w:spacing w:after="0"/>
              <w:rPr>
                <w:sz w:val="15"/>
                <w:szCs w:val="15"/>
                <w:color w:val="auto"/>
              </w:rPr>
            </w:pPr>
          </w:p>
        </w:tc>
        <w:tc>
          <w:tcPr>
            <w:tcW w:w="10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4-5</w:t>
            </w:r>
          </w:p>
        </w:tc>
        <w:tc>
          <w:tcPr>
            <w:tcW w:w="300" w:type="dxa"/>
            <w:vAlign w:val="bottom"/>
          </w:tcPr>
          <w:p>
            <w:pPr>
              <w:spacing w:after="0"/>
              <w:rPr>
                <w:sz w:val="15"/>
                <w:szCs w:val="15"/>
                <w:color w:val="auto"/>
              </w:rPr>
            </w:pP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More than</w:t>
            </w:r>
          </w:p>
        </w:tc>
      </w:tr>
      <w:tr>
        <w:trPr>
          <w:trHeight w:val="232"/>
        </w:trPr>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20"/>
                <w:szCs w:val="20"/>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20"/>
                <w:szCs w:val="20"/>
                <w:color w:val="auto"/>
              </w:rPr>
            </w:pPr>
          </w:p>
        </w:tc>
        <w:tc>
          <w:tcPr>
            <w:tcW w:w="1140" w:type="dxa"/>
            <w:vAlign w:val="bottom"/>
          </w:tcPr>
          <w:p>
            <w:pPr>
              <w:jc w:val="center"/>
              <w:ind w:right="3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20"/>
                <w:szCs w:val="20"/>
                <w:color w:val="auto"/>
              </w:rPr>
            </w:pPr>
          </w:p>
        </w:tc>
        <w:tc>
          <w:tcPr>
            <w:tcW w:w="10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years</w:t>
            </w:r>
          </w:p>
        </w:tc>
        <w:tc>
          <w:tcPr>
            <w:tcW w:w="300" w:type="dxa"/>
            <w:vAlign w:val="bottom"/>
          </w:tcPr>
          <w:p>
            <w:pPr>
              <w:spacing w:after="0"/>
              <w:rPr>
                <w:sz w:val="20"/>
                <w:szCs w:val="20"/>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5 years</w:t>
            </w:r>
          </w:p>
        </w:tc>
      </w:tr>
      <w:tr>
        <w:trPr>
          <w:trHeight w:val="23"/>
        </w:trPr>
        <w:tc>
          <w:tcPr>
            <w:tcW w:w="41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41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3,481,028</w:t>
            </w: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171,107</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912,578</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1,007,745</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1,389,598</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contracts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45,577</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33,480</w:t>
            </w:r>
          </w:p>
        </w:tc>
        <w:tc>
          <w:tcPr>
            <w:tcW w:w="440" w:type="dxa"/>
            <w:vAlign w:val="bottom"/>
          </w:tcPr>
          <w:p>
            <w:pPr>
              <w:spacing w:after="0"/>
              <w:rPr>
                <w:sz w:val="19"/>
                <w:szCs w:val="19"/>
                <w:color w:val="auto"/>
              </w:rPr>
            </w:pPr>
          </w:p>
        </w:tc>
        <w:tc>
          <w:tcPr>
            <w:tcW w:w="11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11,317</w:t>
            </w:r>
          </w:p>
        </w:tc>
        <w:tc>
          <w:tcPr>
            <w:tcW w:w="300" w:type="dxa"/>
            <w:vAlign w:val="bottom"/>
          </w:tcPr>
          <w:p>
            <w:pPr>
              <w:spacing w:after="0"/>
              <w:rPr>
                <w:sz w:val="19"/>
                <w:szCs w:val="19"/>
                <w:color w:val="auto"/>
              </w:rPr>
            </w:pPr>
          </w:p>
        </w:tc>
        <w:tc>
          <w:tcPr>
            <w:tcW w:w="10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780</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6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Purchase obligations and other </w:t>
            </w:r>
            <w:r>
              <w:rPr>
                <w:rFonts w:ascii="Times New Roman" w:cs="Times New Roman" w:eastAsia="Times New Roman" w:hAnsi="Times New Roman"/>
                <w:sz w:val="23"/>
                <w:szCs w:val="23"/>
                <w:color w:val="auto"/>
                <w:vertAlign w:val="superscript"/>
              </w:rPr>
              <w:t>(2)</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591,423</w:t>
            </w:r>
          </w:p>
        </w:tc>
        <w:tc>
          <w:tcPr>
            <w:tcW w:w="3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409,398</w:t>
            </w:r>
          </w:p>
        </w:tc>
        <w:tc>
          <w:tcPr>
            <w:tcW w:w="4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93,811</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3,119</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85,095</w:t>
            </w:r>
          </w:p>
        </w:tc>
      </w:tr>
      <w:tr>
        <w:trPr>
          <w:trHeight w:val="230"/>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4,118,028</w:t>
            </w:r>
          </w:p>
        </w:tc>
        <w:tc>
          <w:tcPr>
            <w:tcW w:w="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613,985</w:t>
            </w:r>
          </w:p>
        </w:tc>
        <w:tc>
          <w:tcPr>
            <w:tcW w:w="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1,017,706</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1,011,644</w:t>
            </w: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1,474,693</w:t>
            </w:r>
          </w:p>
        </w:tc>
      </w:tr>
    </w:tbl>
    <w:p>
      <w:pPr>
        <w:spacing w:after="0" w:line="292" w:lineRule="exact"/>
        <w:rPr>
          <w:sz w:val="20"/>
          <w:szCs w:val="20"/>
          <w:color w:val="auto"/>
        </w:rPr>
      </w:pPr>
    </w:p>
    <w:p>
      <w:pPr>
        <w:jc w:val="both"/>
        <w:ind w:left="260" w:hanging="9"/>
        <w:spacing w:after="0" w:line="239" w:lineRule="auto"/>
        <w:tabs>
          <w:tab w:leader="none" w:pos="452" w:val="left"/>
        </w:tabs>
        <w:numPr>
          <w:ilvl w:val="0"/>
          <w:numId w:val="3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Long-term debt includes principal payments, fixed-rate interest payments (including payments that are required under interest rate swaps) and estimated variable interest payments utilizing interest rates in effect at July 31, 2024, and assumes all debt outstanding as of July 31, 2024 will be held to maturity. The future annual interest obligations noted herein are estimated only in relation to debt outstanding as of July 31, 2024, and do not reflect interest obligations on potential future debt or refinancing.</w:t>
      </w:r>
    </w:p>
    <w:p>
      <w:pPr>
        <w:spacing w:after="0" w:line="90" w:lineRule="exact"/>
        <w:rPr>
          <w:sz w:val="20"/>
          <w:szCs w:val="20"/>
          <w:color w:val="auto"/>
        </w:rPr>
      </w:pPr>
    </w:p>
    <w:p>
      <w:pPr>
        <w:jc w:val="both"/>
        <w:ind w:left="260"/>
        <w:spacing w:after="0" w:line="266" w:lineRule="auto"/>
        <w:rPr>
          <w:sz w:val="20"/>
          <w:szCs w:val="20"/>
          <w:color w:val="auto"/>
        </w:rPr>
      </w:pPr>
      <w:r>
        <w:rPr>
          <w:rFonts w:ascii="Times New Roman" w:cs="Times New Roman" w:eastAsia="Times New Roman" w:hAnsi="Times New Roman"/>
          <w:sz w:val="18"/>
          <w:szCs w:val="18"/>
          <w:color w:val="auto"/>
        </w:rPr>
        <w:t>Long-term debt also includes $12.8 million of proceeds resulting from real estate transactions accounted for as financing arrangements, which are expected to be recognized on the Company’s Statements of Operations in future years as a result of the anticipated resolution of continuing involvement, with no associated cash outflow.</w:t>
      </w:r>
    </w:p>
    <w:p>
      <w:pPr>
        <w:spacing w:after="0" w:line="68" w:lineRule="exact"/>
        <w:rPr>
          <w:sz w:val="20"/>
          <w:szCs w:val="20"/>
          <w:color w:val="auto"/>
        </w:rPr>
      </w:pPr>
    </w:p>
    <w:p>
      <w:pPr>
        <w:jc w:val="both"/>
        <w:ind w:left="260" w:hanging="9"/>
        <w:spacing w:after="0" w:line="241" w:lineRule="auto"/>
        <w:tabs>
          <w:tab w:leader="none" w:pos="439"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Purchase obligations and other primarily includes amounts which are classified as trade payables ($141.2 million), accrued payroll and benefits ($104.2 million), accrued fees and assessments ($33.9 million), contingent consideration liability ($104.2 million) and accrued taxes (including taxes for uncertain tax positions) ($112.5 million) on our Consolidated Balance Sheet as of July 31, 2024. These amounts also include other commitments for goods and services not yet received, including construction contracts and minimum commitments under season pass alliance agreements, which are not included on our Consolidated Balance Sheet as of July 31, 2024 in accordance with GAAP.</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On March 9, 2006, our Board of Directors initially authorized the repurchase of up to 3,000,000 shares of Vail Shares and later authorized additional repurchases of up to 3,000,000 additional Vail Shares (July 16, 2008), 1,500,000 Vail Shares (December 4, 2015), and 2,500,000 Vail Shares (March 7, 2023), for a total authorization to repurchase shares of up to 10,000,000 Vail Shares. During Fiscal 2024, we repurchased 721,378 shares (at an average price of $207.93) for a total cost of approximately $150.0 million, excluding accrued excise tax. Since the inception of this stock repurchase program through July 31, 2024, we have repurchased 9,369,680 Vail Shares at a cost of approximately $1,129.4 million. As of July 31, 2024, 630,320 Vail Shares remained available to repurchase under the existing repurchase authorization. On September 25, 2024, the Company’s Board of Directors approved an increase in the number of shares authorized to be repurchased under the share repurchase program by an additional 1,100,000 Vail Shares. As a result, 1,730,320 Vail Shares are available to repurchase under the share repurchase program.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2024, we paid cash dividends of $8.56 per share ($323.7 million). During Fiscal 2023, we paid cash dividends of $7.94 per share ($314.4 million, including cash dividends paid to Exchangeco shareholders). On September 25, 2024, our Board of Directors approved a cash dividend of $2.22 per share payable on October 24, 2024 to stockholders of record as of October 8, 2024. We expect to fund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operating performance, as defined in the Vail Holdings Credit Agreement. Our borrowing availability under the Whistler Credit Agreement is primarily determined by the Consolidated Total Leverage Ratio, which is based on the operating performance of the loan parties, as defined in the Whistler Credit Agreement.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July 31, 2024. We expect that we will continue to meet all applicable financial maintenance covenants in effect in our credit agreements throughout the year ending July 31, 2025; however, there can be no assurance that we will continue to meet such financial covenants. If such covenants are not met, we would be required to seek a waiver or amendment from the banks participating in our credit agreements. There can be no assurance that such waiver or amendment would be granted, which could have a material adverse impact on our liquidity.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us to select accounting policies and to make judgments and estimates affecting the application of those accounting policies. In applying our accounting policies, different business conditions or the use of different assumptions may result in materially different amounts reported in the Consolidated Financial Statements.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identified the most critical accounting policies which were determined by considering accounting policies that involve the most complex or subjective decisions or assessments. We also have other policies considered key accounting policies; however, these policies do not meet the definition of critical accounting policies because they do not generally require us to make estimates or judgments that are complex or subjective. We have reviewed these critical accounting policies and related disclosures with our Audit Committee of the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value of goodwill and indefinite-lived intangible assets are evaluated for possible impairment on an annual basis or between annual tests if an event occurs or circumstances change that would more likely than not reduce the estimated fair value of a reporting unit or indefinite-lived intangible asset below its carrying value. Definite-lived intangible assets are evaluated for impairment only when there is evidence that events or changes in circumstances indicate that the carrying amount of these assets may not be recoverable.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Application of the goodwill and indefinite-lived intangible asset impairment test requires judgment, including the identification of reporting units, determination of the type of impairment test that should be performed, assignment of assets and liabilities to reporting units, assignment of goodwill to reporting units and determination of the estimated fair value of reporting units and indefinite-lived intangible assets. We have the option to first perform a qualitative analysis to determine whether it is more likely than not that the fair value of a reporting unit or indefinite-lived intangible asset exceeds the carrying amount. If it is determined, based on qualitative factors, that the fair value of the reporting unit or indefinite-lived intangible asset is more likely than not less than its carrying amount, or if significant changes to macro-economic factors related to the reporting unit or intangible asset have occurred that could materially impact the estimated fair value since the previous quantitative analysis was performed, a quantitative impairment test may be required. The quantitative test includes determination of the estimated fair value of our reporting units using a discounted cash flow analysis and determination of the estimated fair value of indefinite-lived intangible assets primarily using the income approach based upon estimated future revenue streams. These analyses require significant judgments, including estimation of future cash flows, which is dependent on internal forecasts, available industry/market data (to the extent available), estimation of the long-term rate of growth for our business including expectations and assumptions regarding the impact of general economic conditions on our business, estimation of terminal value, determination of the respective weighted average cost of capital and market participant assumptions. Changes in these estimates and assumptions could materially affect the determination of estimated fair value and the amount of any potential impairment for each reporting unit or indefinite-lived intangible asset.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at least annually as of May 1. If the net carrying value of the reporting units or assets exceed their estimated fair value, an impairment will be recognized in an amount equal to that excess; otherwise, no impairment loss is recognized. During Fiscal 2024, we performed qualitative analyses of our reporting units and indefinite-lived intangible assets and determined that the estimated fair value of all material reporting units and indefinite-lived intangible assets exceeded their respective carrying values.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Fair value determinations require considerable judgment and are sensitive to changes in underlying assumptions and factors. As a result, there can be no assurance that the estimates and assumptions made for purposes of the annual goodwill or indefinite-lived asset impairment tests are accurate. Examples of events or circumstances that could reasonably be expected to negatively affect the underlying key assumptions and ultimately impact the estimated fair value of our reporting units may include such items as: (1) prolonged adverse weather conditions resulting in a sustained decline in guest visitation; (2) a prolonged weakness in the general economic conditions in which guest visitation and spending is adversely impacted; and (3) volatility in the equity and debt markets which could result in a higher discount rate.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While we believe that our estimates and judgments are reasonable and while historical quantitative tests concluded that the estimated fair values of our reporting units and indefinite-lived assets that are in excess of carrying values, if our assumptions are not realized, it is possible that an impairment charge may need to be recorded in the future. However, it is not possible at this time to determine if an impairment charge would result or if such a charge would be material. As of July 31, 2024, we had $1,678.0 million of goodwill and $252.2 million of indefinite-lived intangible assets recorded on our Consolidated Balance Sheet. There can be no assurance that the estimates and assumptions made for purposes of the annual goodwill and indefinite-lived intangible asset impairment tests will prove to be an accurate prediction of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make certain estimates and judgments in determining income tax expense for financial statement purposes. These estimates and judgments occur in the calculation of tax credits and deductions and in the calculation of certain tax assets and liabilities, which arise from differences in the timing of recognition of revenue and expense for tax and financial statement purposes, as well as the interest and penalties relating to uncertain tax positions. The calculation of our tax liabilities involves dealing with uncertainties in the application of complex tax regulations.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largest tax benefit that is cumulatively greater than 50% likely of being reversed upon ultimate settlement. It is inherently difficult and subjective to estimate such amounts, as this requires us to determine the probability of various possible outcomes. This evaluation is based on factors including, but not limited to, changes in facts or circumstances, changes in tax law, interpretation of tax law, effectively settled issues under audit and new audit activity. A significant amount of time may pass before a particular matter, for which we may have established a reserve, is audited and fully resolved.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estimates of our tax contingencies reserve contain uncertainty because management must use judgment to estimate the potential exposure associated with our various filing positions.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the estimates and judgments we have made related to tax contingencies are reasonable and we have adequate reserves for uncertain tax positions. Our reserves for uncertain tax positions, including any income tax related interest and penalties, are $57.1 million as of July 31, 2024. This reserve solely relates to the treatment of the Canyons lease payments obligation as payments of debt obligations and that the tax basis in Canyons goodwill is deductible. Actual results could differ and we may be exposed to increases or decreases in those reserves and tax provisions that could be material.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unfavorable tax settlement could require the use of cash and could possibly result in increased tax expense and effective tax rate and/or adjustments to our deferred tax assets and deferred tax liabilities in the year of resolution. A favorable tax settlement could possibly result in a reduction in our tax expense, effective tax rate, income taxes payable, other long-term liabilities and/or adjustments to our deferred tax assets and deferred tax liabilities in the year of settlement or in future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Depreciable Lives of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Mountain and lodging operational assets, furniture and fixtures, computer equipment, software, vehicles and leasehold improvements are primarily depreciated using the straight-line method over the estimated useful life of the asset. Assets may become obsolete or require replacement before the end of their useful life in which the remaining book value would be written-off or we could incur costs to remove or dispose of assets no longer in use.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estimates of our useful lives of the assets contain uncertainty because management must use judgment to estimate the useful life of the asset.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believe the estimates and judgments discussed herein are reasonable, actual results could differ, and we may be exposed to increased expense related to depreciable assets disposed of, removed or taken out of service prior to its originally estimated useful life, which may be material. A 10% decrease in the estimated useful lives of depreciable assets would have increased depreciation expense by approximately $30.3 million for Fiscal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component of our growth strategy has been to acquire and integrate businesses that complement our existing operations. We account for business combinations in accordance with the guidance for business combinations and related literature. Accordingly, we allocate the purchase price of acquired businesses to the identifiable tangible and intangible assets acquired and liabilities assumed based upon their estimated fair values at the date of acquisition. The difference between the purchase price and the estimated fair value of assets acquired and liabilities assumed is recorded as goodwill. In determining the estimated fair values of assets acquired and liabilities assumed in a business combination, we use various recognized valuation methods including present value modeling and referenced market values (where available). Valuations are performed by management or independent valuation specialists under management’s supervision, where appropriate.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Accounting for business combinations requires our management to make significant estimates and assumptions, especially at the acquisition date, including our estimates for intangible assets, contractual obligations assumed and contingent consideration, where applicable. Although we believe the assumptions and estimates we have made in the past have been reasonable and appropriate, they are based in part on historical experience and information obtained from the management of the acquired companies and are inherently uncertain. Examples of critical estimates in valuing certain of the intangible assets we have acquired include, but are not limited to: determination of weighted average cost of capital, market participant assumptions, royalty rates, terminal multiples and estimates of future cash flows to be generated by the acquired assets. In addition to the estimates and assumptions applied to valuing intangible assets acquired, the determination of the estimated fair value of contingent consideration, including estimating the likelihood and timing of achieving the relevant thresholds for contingent consideration payments, requires the use of subjective judgments. We estimate the fair value of the Park City contingent consideration payments using an option pricing valuation model which incorporates, among other factors, projected achievement of specified financial performance measures, discount rates and volatility for the respective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if Actual Results Differ From Assumptions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As a result, during the measurement period, which may be up to one year from the acquisition date, we may record adjustments, which could be significant, to the assets acquired and liabilities assumed with the corresponding offset to goodwill. Upon the conclusion of the measurement period or final determination of the estimated fair values of assets acquired or liabilities assumed, whichever comes first, any subsequent adjustments would be recorded on our Consolidated Statements of Operations.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fair value of contingent consideration, if any, at the date of acquisition as part of the consideration transferred to acquire a business. The liability associated with contingent consideration is remeasured to fair value at each reporting period subsequent to the date of acquisition taking into consideration changes in financial projections and long-term growth rates, among other factors, that may impact the timing and amount of contingent consideration payments until the term of the agreement has expired or the contingency is resolved. Increases in the fair value of contingent consideration are recorded as losses on our Consolidated Statements of Operations, while decreases in fair value are recorded as gains.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the Summary of Significant Accounting Policies within the Notes to Consolidated Financial Statements for a discussion of new accounting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mountain and lodging operations are seasonal in nature, with a typical peak operating season in North America and Europe generally beginning in mid-December and running through mid-April. In particular, revenue and profits for our North American and European mountain and most of our lodging operations are substantially lower and historically result in losses from late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63" w:name="page64"/>
    <w:bookmarkEnd w:id="63"/>
    <w:p>
      <w:pPr>
        <w:jc w:val="both"/>
        <w:spacing w:after="0" w:line="255" w:lineRule="auto"/>
        <w:rPr>
          <w:sz w:val="20"/>
          <w:szCs w:val="20"/>
          <w:color w:val="auto"/>
        </w:rPr>
      </w:pPr>
      <w:r>
        <w:rPr>
          <w:rFonts w:ascii="Times New Roman" w:cs="Times New Roman" w:eastAsia="Times New Roman" w:hAnsi="Times New Roman"/>
          <w:sz w:val="18"/>
          <w:szCs w:val="18"/>
          <w:color w:val="auto"/>
        </w:rPr>
        <w:t>spring to late fall. Conversely, peak operating seasons for our NPS concessioner properties, our mountain resort golf courses and our Australian resorts’ ski season generally occur during the North American summer months, and these operations typically incur operating losses during the North American and European winter months. Revenue and profits generated by NPS concessioner properties’ summer operations, golf operations and Australian resorts’ ski operations are not sufficient to fully offset our off-season losses from our North American and European mountain and other lodging operations. During Fiscal 2024, approximately 82% of total combined Mountain and Lodging segment net revenue (excluding Lodging segment revenue associated with reimbursement of payroll costs) was earned during the second and third fiscal quarters. Therefore, the operating results for any three-month period are not necessarily indicative of the results that may be achieved for any subsequent quarter or for a full year (see Notes to Consolidated Financial Statements).</w:t>
      </w:r>
    </w:p>
    <w:p>
      <w:pPr>
        <w:spacing w:after="0" w:line="29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At July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we had approximately $0.6 billion of net variable rate indebtedness (after taking into consideration $400.0 million in interest rate swaps which converts variable-rate debt to fixed-rate debt, which expired on September 23, 2024), representing approximately 22% of our total debt outstanding, at an average interest rate during Fiscal 2024 of approximately 6.9%. Based on variable-rate borrowings outstanding as of July 31, 2024, a 100-basis point (or 1.0%) change in our borrowing rates would result in our annual interest payments changing by $6.1 million. Our market risk exposure fluctuates based on changes in underlying interest rates, as well as our potential entry into future interest rate hedging instruments or expiration of existing interest rate hedging agreements.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our Swiss resorts are reported in Swiss francs, each of which we then translate to U.S. dollars for inclusion in our Consolidated Financial Statements. We do not currently enter into hedging arrangements to minimize the impact of foreign currency fluctuations on our operations.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losses, and foreign currency loss on intercompany loans recognized in comprehensive income (in thousands):</w:t>
      </w:r>
    </w:p>
    <w:p>
      <w:pPr>
        <w:spacing w:after="0" w:line="236"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5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5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5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(67,384)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(25,439)</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(46,493)</w:t>
            </w:r>
          </w:p>
        </w:tc>
      </w:tr>
      <w:tr>
        <w:trPr>
          <w:trHeight w:val="229"/>
        </w:trPr>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060" w:type="dxa"/>
            <w:vAlign w:val="bottom"/>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SUPPLEMENTARY DATA.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0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Vail Resorts, Inc.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1040" w:type="dxa"/>
            <w:vAlign w:val="bottom"/>
            <w:gridSpan w:val="12"/>
          </w:tcPr>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 for the Years Ended July 31, 2024, 2023 and 2022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2"/>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shd w:val="clear" w:color="auto" w:fill="CCEEFF"/>
          </w:tcPr>
          <w:p>
            <w:pPr>
              <w:spacing w:after="0"/>
              <w:rPr>
                <w:sz w:val="18"/>
                <w:szCs w:val="18"/>
                <w:color w:val="auto"/>
              </w:rPr>
            </w:pPr>
          </w:p>
        </w:tc>
        <w:tc>
          <w:tcPr>
            <w:tcW w:w="110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FF"/>
              </w:rPr>
              <w:t>Management’s Report on Internal Control Over Financial Reporting</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gridSpan w:val="2"/>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560" w:type="dxa"/>
            <w:vAlign w:val="bottom"/>
            <w:tcBorders>
              <w:top w:val="single" w:sz="8" w:color="CCEEFF"/>
            </w:tcBorders>
          </w:tcPr>
          <w:p>
            <w:pPr>
              <w:spacing w:after="0"/>
              <w:rPr>
                <w:sz w:val="23"/>
                <w:szCs w:val="23"/>
                <w:color w:val="auto"/>
              </w:rPr>
            </w:pPr>
          </w:p>
        </w:tc>
        <w:tc>
          <w:tcPr>
            <w:tcW w:w="55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110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i w:val="1"/>
                <w:iCs w:val="1"/>
                <w:color w:val="0000FF"/>
              </w:rPr>
              <w:t>Report of Independent Registered Public Accounting Firm (PCAOB ID 238)</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shd w:val="clear" w:color="auto" w:fill="CCEEFF"/>
          </w:tcPr>
          <w:p>
            <w:pPr>
              <w:spacing w:after="0"/>
              <w:rPr>
                <w:sz w:val="18"/>
                <w:szCs w:val="18"/>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120" w:type="dxa"/>
            <w:vAlign w:val="bottom"/>
            <w:tcBorders>
              <w:top w:val="single" w:sz="8" w:color="0000FF"/>
            </w:tcBorders>
          </w:tcPr>
          <w:p>
            <w:pPr>
              <w:spacing w:after="0"/>
              <w:rPr>
                <w:sz w:val="23"/>
                <w:szCs w:val="23"/>
                <w:color w:val="auto"/>
              </w:rPr>
            </w:pPr>
          </w:p>
        </w:tc>
        <w:tc>
          <w:tcPr>
            <w:tcW w:w="2100" w:type="dxa"/>
            <w:vAlign w:val="bottom"/>
            <w:tcBorders>
              <w:top w:val="single" w:sz="8" w:color="0000FF"/>
            </w:tcBorders>
            <w:gridSpan w:val="2"/>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400" w:type="dxa"/>
            <w:vAlign w:val="bottom"/>
            <w:tcBorders>
              <w:top w:val="single" w:sz="8" w:color="0000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1080" w:type="dxa"/>
            <w:vAlign w:val="bottom"/>
            <w:tcBorders>
              <w:top w:val="single" w:sz="8" w:color="0000FF"/>
            </w:tcBorders>
          </w:tcPr>
          <w:p>
            <w:pPr>
              <w:spacing w:after="0"/>
              <w:rPr>
                <w:sz w:val="23"/>
                <w:szCs w:val="23"/>
                <w:color w:val="auto"/>
              </w:rPr>
            </w:pPr>
          </w:p>
        </w:tc>
        <w:tc>
          <w:tcPr>
            <w:tcW w:w="560" w:type="dxa"/>
            <w:vAlign w:val="bottom"/>
            <w:tcBorders>
              <w:top w:val="single" w:sz="8" w:color="0000FF"/>
            </w:tcBorders>
          </w:tcPr>
          <w:p>
            <w:pPr>
              <w:spacing w:after="0"/>
              <w:rPr>
                <w:sz w:val="23"/>
                <w:szCs w:val="23"/>
                <w:color w:val="auto"/>
              </w:rPr>
            </w:pPr>
          </w:p>
        </w:tc>
        <w:tc>
          <w:tcPr>
            <w:tcW w:w="5520" w:type="dxa"/>
            <w:vAlign w:val="bottom"/>
            <w:tcBorders>
              <w:top w:val="single" w:sz="8" w:color="CCEEFF"/>
            </w:tcBorders>
          </w:tcPr>
          <w:p>
            <w:pPr>
              <w:spacing w:after="0"/>
              <w:rPr>
                <w:sz w:val="23"/>
                <w:szCs w:val="23"/>
                <w:color w:val="auto"/>
              </w:rPr>
            </w:pPr>
          </w:p>
        </w:tc>
        <w:tc>
          <w:tcPr>
            <w:tcW w:w="18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102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Consolidated Financial Statements</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1020" w:type="dxa"/>
            <w:vAlign w:val="bottom"/>
            <w:gridSpan w:val="11"/>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67</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9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90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69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56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7340" w:type="dxa"/>
            <w:vAlign w:val="bottom"/>
            <w:tcBorders>
              <w:bottom w:val="single" w:sz="8" w:color="CCEEFF"/>
            </w:tcBorders>
            <w:gridSpan w:val="4"/>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1020" w:type="dxa"/>
            <w:vAlign w:val="bottom"/>
            <w:gridSpan w:val="11"/>
          </w:tcPr>
          <w:p>
            <w:pPr>
              <w:ind w:left="120"/>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w:t>
            </w:r>
          </w:p>
        </w:tc>
        <w:tc>
          <w:tcPr>
            <w:tcW w:w="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020" w:type="dxa"/>
            <w:vAlign w:val="bottom"/>
            <w:gridSpan w:val="11"/>
            <w:shd w:val="clear" w:color="auto" w:fill="CCEEFF"/>
          </w:tcPr>
          <w:p>
            <w:pPr>
              <w:ind w:left="120"/>
              <w:spacing w:after="0" w:line="189"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8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Vail Resorts, Inc. (the “Company”) is responsible for establishing and maintaining adequate internal control over financial reporting, as such term is defined in Rules 13a-15(f) and 15d-15(f)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Management, including the Company’s Chief Executive Officer and Chief Financial Officer, assessed the effectiveness of the Company’s internal control over financial reporting as of July 31, 2024. In making this assessment, management used the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Based on this assessment, management concluded that, as of July 31, 2024, the Company’s internal control over financial reporting was effective. Management’s evaluation and conclusion on the effectiveness of internal control over financial reporting as of July 31, 2024 excluded certain elements of internal controls of Crans-Montana Mountain Resort (“Crans-Montana,” acquired May 2, 2024) due to the timing of this acquisition. Those elements of the acquired resort’s internal controls over financial reporting that have been excluded represent approximately 0.4% of total consolidated assets and approximately 0.1% of total consolidated net revenues of the Company as of and for the year ended July 31, 2024.</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PricewaterhouseCoopers LLP, has issued an attestation report on the effectiveness of the Company’s internal control over financial reporting as of July 31, 2024, as stated in the Report of Independent Registered Public Accounting Firm on the following page.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Vail Resorts,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Vail Resorts, Inc. and its subsidiaries (the “Company”) as of July 31, 2024 and 2023, and the related consolidated statements of operations, of comprehensive income, of stockholders’ equity and of cash flows for each of the three years in the period ended July 31, 2024, including the related notes (collectively referred to as the “consolidated financial statements”). We also have audited the Company's internal control over financial reporting as of July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July 31, 2024 and 2023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 results of its operations and its cash flows for each of the three years in the period ended July 31, 2024 in conformity with accounting principles generally accepted in the United States of America. Also in our opinion, the Company maintained, in all material respects, effective internal control over financial reporting as of July 31, 2024,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described in Management’s Report on Internal Control over Financial Reporting, management has excluded Crans-Montana Mountain Resort from its assessment of internal control over financial reporting as of July 31, 2024 because it was acquired by the Company in a purchase business combination during the year ended July 31, 2024. We have also excluded Crans-Montana from our audit of internal control over financial reporting. Crans-Montana is a subsidiary whose total assets and total revenues excluded from management’s assessment and our audit of internal control over financial reporting represent 0.4% and less than 0.1%, respectively, of the related consolidated financial statement amounts as of and for the year ended July 31,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 of the Contingent Consideration</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 9 to the consolidated financial statements, the Company has established a liability of $104.2 million as of July 31, 2024 for additional amounts that management believes are likely to be paid to the previous owner of Park City (the “Contingent Consideration”). The Company remeasures the Contingent Consideration to fair value at each reporting date until the contingency is resolved.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annual growth factor and discounted to net present value. Fair value is estimated using an option pricing valuation model. As described by management, significant assumptions in determining the fair value under this model included future period Park City EBITDA, discount rate and volatility.</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fair value measurement of the Contingent Consideration is a critical audit matter are (i) the significant judgment by management when developing the fair value measurement, which in turn led to a high degree of auditor judgment, subjectivity, and effort in performing procedures and evaluating audit evidence related to management’s significant assumptions for the future period Park City EBITDA, discount rate, and volatility; and (ii) the audit effort involved the use of professionals with specialized skill and knowledge.</w:t>
      </w:r>
    </w:p>
    <w:p>
      <w:pPr>
        <w:spacing w:after="0" w:line="21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fair value measurement of the Contingent Consideration including controls over the Company’s significant assumptions. The procedures also included, among others, testing management’s process for developing the fair value measurement and evaluating the significant assumptions used by management, related to the future period Park City EBITDA, discount rate, and volatility. Evaluating management’s assumptions related to the future period Park City EBITDA, discount rate, and volatility involved evaluating whether the assumptions used by management were reasonable considering (i) the current and past period EBITDA performance of Park City;</w:t>
      </w:r>
    </w:p>
    <w:p>
      <w:pPr>
        <w:spacing w:after="0" w:line="5" w:lineRule="exact"/>
        <w:rPr>
          <w:sz w:val="20"/>
          <w:szCs w:val="20"/>
          <w:color w:val="auto"/>
        </w:rPr>
      </w:pPr>
    </w:p>
    <w:p>
      <w:pPr>
        <w:ind w:firstLine="8"/>
        <w:spacing w:after="0" w:line="260" w:lineRule="auto"/>
        <w:tabs>
          <w:tab w:leader="none" w:pos="2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consistency with external market data; and (iii) whether these assumptions were consistent with evidence obtained in other areas of the audit. Professionals with specialized skill and knowledge were used to assist in the evaluation of the Company’s discount rate and volatility assumptions.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00" w:type="dxa"/>
            <w:vAlign w:val="bottom"/>
          </w:tcPr>
          <w:p>
            <w:pPr>
              <w:spacing w:after="0"/>
              <w:rPr>
                <w:sz w:val="16"/>
                <w:szCs w:val="16"/>
                <w:color w:val="auto"/>
              </w:rPr>
            </w:pPr>
          </w:p>
        </w:tc>
      </w:tr>
      <w:tr>
        <w:trPr>
          <w:trHeight w:val="23"/>
        </w:trPr>
        <w:tc>
          <w:tcPr>
            <w:tcW w:w="7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0"/>
        </w:trPr>
        <w:tc>
          <w:tcPr>
            <w:tcW w:w="7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7"/>
                <w:szCs w:val="17"/>
                <w:color w:val="auto"/>
              </w:rPr>
            </w:pPr>
          </w:p>
        </w:tc>
        <w:tc>
          <w:tcPr>
            <w:tcW w:w="12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322,827</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562,975</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14,236</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receivables, net of allowances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375,752</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381,067</w:t>
            </w:r>
          </w:p>
        </w:tc>
      </w:tr>
      <w:tr>
        <w:trPr>
          <w:trHeight w:val="229"/>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 of reserves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118,988</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132,548</w:t>
            </w:r>
          </w:p>
        </w:tc>
      </w:tr>
      <w:tr>
        <w:trPr>
          <w:trHeight w:val="229"/>
        </w:trPr>
        <w:tc>
          <w:tcPr>
            <w:tcW w:w="76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79,558</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121,403</w:t>
            </w:r>
          </w:p>
        </w:tc>
      </w:tr>
      <w:tr>
        <w:trPr>
          <w:trHeight w:val="223"/>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911,361</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1,208,111</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 (Note 8)</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2,422,635</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2,371,557</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86,548</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90,207</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net (Note 8)</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1,677,975</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1,720,344</w:t>
            </w:r>
          </w:p>
        </w:tc>
      </w:tr>
      <w:tr>
        <w:trPr>
          <w:trHeight w:val="22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(Note 8)</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302,535</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309,345</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 (Note 4)</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256,627</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192,289</w:t>
            </w:r>
          </w:p>
        </w:tc>
      </w:tr>
      <w:tr>
        <w:trPr>
          <w:trHeight w:val="229"/>
        </w:trPr>
        <w:tc>
          <w:tcPr>
            <w:tcW w:w="7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40,756</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55,901</w:t>
            </w:r>
          </w:p>
        </w:tc>
      </w:tr>
      <w:tr>
        <w:trPr>
          <w:trHeight w:val="230"/>
        </w:trPr>
        <w:tc>
          <w:tcPr>
            <w:tcW w:w="76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5,698,437</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5,947,754</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 (Note 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1,000,798</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978,021</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55,358</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83,514</w:t>
            </w:r>
          </w:p>
        </w:tc>
      </w:tr>
      <w:tr>
        <w:trPr>
          <w:trHeight w:val="230"/>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Long-term debt due within one year (Note 6)</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69,160</w:t>
            </w:r>
          </w:p>
        </w:tc>
      </w:tr>
      <w:tr>
        <w:trPr>
          <w:trHeight w:val="22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1,113,309</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1,130,695</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(Note 6)</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2,721,597</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2,750,675</w:t>
            </w:r>
          </w:p>
        </w:tc>
      </w:tr>
      <w:tr>
        <w:trPr>
          <w:trHeight w:val="23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(Note 4)</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233,465</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168,326</w:t>
            </w: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311,768</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286,261</w:t>
            </w:r>
          </w:p>
        </w:tc>
      </w:tr>
      <w:tr>
        <w:trPr>
          <w:trHeight w:val="229"/>
        </w:trPr>
        <w:tc>
          <w:tcPr>
            <w:tcW w:w="76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 (Note 10)</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279,815</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276,137</w:t>
            </w:r>
          </w:p>
        </w:tc>
      </w:tr>
      <w:tr>
        <w:trPr>
          <w:trHeight w:val="223"/>
        </w:trPr>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4,659,954</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4,612,094</w:t>
            </w: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25,000 shares authorized, no shares issued and outstanding</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76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and 46,855 and 46,798 shares issued,</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43"/>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1,145,610</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1,124,433</w:t>
            </w:r>
          </w:p>
        </w:tc>
      </w:tr>
      <w:tr>
        <w:trPr>
          <w:trHeight w:val="230"/>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(67,288)</w:t>
            </w: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(10,358)</w:t>
            </w:r>
          </w:p>
        </w:tc>
      </w:tr>
      <w:tr>
        <w:trPr>
          <w:trHeight w:val="229"/>
        </w:trPr>
        <w:tc>
          <w:tcPr>
            <w:tcW w:w="7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780,431</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873,710</w:t>
            </w:r>
          </w:p>
        </w:tc>
      </w:tr>
      <w:tr>
        <w:trPr>
          <w:trHeight w:val="230"/>
        </w:trPr>
        <w:tc>
          <w:tcPr>
            <w:tcW w:w="76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Treasury stock, at cost; 9,370 and 8,648 shares, respectively (Note 13)</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(1,135,685)</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(984,306)</w:t>
            </w:r>
          </w:p>
        </w:tc>
      </w:tr>
      <w:tr>
        <w:trPr>
          <w:trHeight w:val="223"/>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723,537</w:t>
            </w: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1,003,947</w:t>
            </w:r>
          </w:p>
        </w:tc>
      </w:tr>
      <w:tr>
        <w:trPr>
          <w:trHeight w:val="230"/>
        </w:trPr>
        <w:tc>
          <w:tcPr>
            <w:tcW w:w="7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314,946</w:t>
            </w: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331,713</w:t>
            </w:r>
          </w:p>
        </w:tc>
      </w:tr>
      <w:tr>
        <w:trPr>
          <w:trHeight w:val="223"/>
        </w:trPr>
        <w:tc>
          <w:tcPr>
            <w:tcW w:w="7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1,038,483</w:t>
            </w: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1,335,660</w:t>
            </w:r>
          </w:p>
        </w:tc>
      </w:tr>
      <w:tr>
        <w:trPr>
          <w:trHeight w:val="230"/>
        </w:trPr>
        <w:tc>
          <w:tcPr>
            <w:tcW w:w="7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5,698,437</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5,947,754</w:t>
            </w: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87" w:right="45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5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9"/>
        </w:trPr>
        <w:tc>
          <w:tcPr>
            <w:tcW w:w="5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150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7"/>
                <w:szCs w:val="17"/>
                <w:color w:val="auto"/>
              </w:rPr>
            </w:pPr>
          </w:p>
        </w:tc>
        <w:tc>
          <w:tcPr>
            <w:tcW w:w="124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2,388,227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2,372,175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2,116,547</w:t>
            </w:r>
          </w:p>
        </w:tc>
      </w:tr>
      <w:tr>
        <w:trPr>
          <w:trHeight w:val="230"/>
        </w:trPr>
        <w:tc>
          <w:tcPr>
            <w:tcW w:w="59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492,260</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509,124</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408,657</w:t>
            </w:r>
          </w:p>
        </w:tc>
      </w:tr>
      <w:tr>
        <w:trPr>
          <w:trHeight w:val="223"/>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Resort net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2,880,487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2,881,299</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2,525,204</w:t>
            </w:r>
          </w:p>
        </w:tc>
      </w:tr>
      <w:tr>
        <w:trPr>
          <w:trHeight w:val="230"/>
        </w:trPr>
        <w:tc>
          <w:tcPr>
            <w:tcW w:w="594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23"/>
        </w:trPr>
        <w:tc>
          <w:tcPr>
            <w:tcW w:w="5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2,885,191</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2,889,364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2,525,912</w:t>
            </w:r>
          </w:p>
        </w:tc>
      </w:tr>
      <w:tr>
        <w:trPr>
          <w:trHeight w:val="176"/>
        </w:trPr>
        <w:tc>
          <w:tcPr>
            <w:tcW w:w="5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Operating expense (exclusive of depreciation and amortization shown separately</w:t>
            </w: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below):</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30"/>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1,458,369</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1,454,324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1,180,963</w:t>
            </w:r>
          </w:p>
        </w:tc>
      </w:tr>
      <w:tr>
        <w:trPr>
          <w:trHeight w:val="229"/>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188,054</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203,278</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162,414</w:t>
            </w:r>
          </w:p>
        </w:tc>
      </w:tr>
      <w:tr>
        <w:trPr>
          <w:trHeight w:val="230"/>
        </w:trPr>
        <w:tc>
          <w:tcPr>
            <w:tcW w:w="5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410,027</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389,465</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347,493</w:t>
            </w:r>
          </w:p>
        </w:tc>
      </w:tr>
      <w:tr>
        <w:trPr>
          <w:trHeight w:val="223"/>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Resort operating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2,056,450</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2,047,067</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1,690,870</w:t>
            </w:r>
          </w:p>
        </w:tc>
      </w:tr>
      <w:tr>
        <w:trPr>
          <w:trHeight w:val="229"/>
        </w:trPr>
        <w:tc>
          <w:tcPr>
            <w:tcW w:w="5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Real Estate</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w:t>
            </w:r>
          </w:p>
        </w:tc>
      </w:tr>
      <w:tr>
        <w:trPr>
          <w:trHeight w:val="223"/>
        </w:trPr>
        <w:tc>
          <w:tcPr>
            <w:tcW w:w="5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2,065,964</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2,057,702</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1,696,781</w:t>
            </w: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(268,501)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(252,391)</w:t>
            </w:r>
          </w:p>
        </w:tc>
      </w:tr>
      <w:tr>
        <w:trPr>
          <w:trHeight w:val="229"/>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30"/>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9)</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(49,836)</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(20,280)</w:t>
            </w:r>
          </w:p>
        </w:tc>
      </w:tr>
      <w:tr>
        <w:trPr>
          <w:trHeight w:val="229"/>
        </w:trPr>
        <w:tc>
          <w:tcPr>
            <w:tcW w:w="5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43,992</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491,429</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505,097</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601,728</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(161,839)</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(153,022)</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(148,183)</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30"/>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loss on intercompany loans (Note 6)</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23"/>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345,095</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373,517</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457,161</w:t>
            </w:r>
          </w:p>
        </w:tc>
      </w:tr>
      <w:tr>
        <w:trPr>
          <w:trHeight w:val="230"/>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income taxes (Note 10)</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(98,816)</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(88,414)</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r>
      <w:tr>
        <w:trPr>
          <w:trHeight w:val="223"/>
        </w:trPr>
        <w:tc>
          <w:tcPr>
            <w:tcW w:w="5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246,279</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285,103</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368,337</w:t>
            </w:r>
          </w:p>
        </w:tc>
      </w:tr>
      <w:tr>
        <w:trPr>
          <w:trHeight w:val="230"/>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(20,414)</w:t>
            </w:r>
          </w:p>
        </w:tc>
      </w:tr>
      <w:tr>
        <w:trPr>
          <w:trHeight w:val="230"/>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230,405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268,148</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347,923</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5):</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net income per share attributable to Vail Resorts, Inc.</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30"/>
        </w:trPr>
        <w:tc>
          <w:tcPr>
            <w:tcW w:w="5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 net income per share attributable to Vail Resorts, Inc.</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59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00" w:top="887" w:right="5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6"/>
        </w:trPr>
        <w:tc>
          <w:tcPr>
            <w:tcW w:w="6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6"/>
                <w:szCs w:val="16"/>
                <w:color w:val="auto"/>
              </w:rPr>
            </w:pPr>
          </w:p>
        </w:tc>
        <w:tc>
          <w:tcPr>
            <w:tcW w:w="12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0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246,279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285,103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368,337</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(67,384)</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(25,439)</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(46,493)</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(11,149)</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18,906</w:t>
            </w:r>
          </w:p>
        </w:tc>
      </w:tr>
      <w:tr>
        <w:trPr>
          <w:trHeight w:val="223"/>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167,746</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263,355</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340,750</w:t>
            </w: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 (income) attributable to noncontrolling interests</w:t>
            </w:r>
          </w:p>
        </w:tc>
        <w:tc>
          <w:tcPr>
            <w:tcW w:w="9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(9,703)</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Vail Resorts, Inc.</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173,475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246,867</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331,047</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460" w:top="887" w:right="47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2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Vail Resorts,</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76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 Stockholders’</w:t>
            </w:r>
          </w:p>
        </w:tc>
        <w:tc>
          <w:tcPr>
            <w:tcW w:w="18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Noncontrolling Stockholders’</w:t>
            </w:r>
          </w:p>
        </w:tc>
        <w:tc>
          <w:tcPr>
            <w:tcW w:w="0" w:type="dxa"/>
            <w:vAlign w:val="bottom"/>
          </w:tcPr>
          <w:p>
            <w:pPr>
              <w:spacing w:after="0"/>
              <w:rPr>
                <w:sz w:val="1"/>
                <w:szCs w:val="1"/>
                <w:color w:val="auto"/>
              </w:rPr>
            </w:pPr>
          </w:p>
        </w:tc>
      </w:tr>
      <w:tr>
        <w:trPr>
          <w:trHeight w:val="198"/>
        </w:trPr>
        <w:tc>
          <w:tcPr>
            <w:tcW w:w="2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2440" w:type="dxa"/>
            <w:vAlign w:val="bottom"/>
          </w:tcPr>
          <w:p>
            <w:pPr>
              <w:spacing w:after="0"/>
              <w:rPr>
                <w:sz w:val="18"/>
                <w:szCs w:val="18"/>
                <w:color w:val="auto"/>
              </w:rPr>
            </w:pPr>
          </w:p>
        </w:tc>
        <w:tc>
          <w:tcPr>
            <w:tcW w:w="1760" w:type="dxa"/>
            <w:vAlign w:val="bottom"/>
            <w:gridSpan w:val="2"/>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Vail Resorts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2021</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1,196,993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27,799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773,752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(404,411)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1,594,599</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234,469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1,829,068</w:t>
            </w:r>
          </w:p>
        </w:tc>
        <w:tc>
          <w:tcPr>
            <w:tcW w:w="0" w:type="dxa"/>
            <w:vAlign w:val="bottom"/>
          </w:tcPr>
          <w:p>
            <w:pPr>
              <w:spacing w:after="0"/>
              <w:rPr>
                <w:sz w:val="1"/>
                <w:szCs w:val="1"/>
                <w:color w:val="auto"/>
              </w:rPr>
            </w:pPr>
          </w:p>
        </w:tc>
      </w:tr>
      <w:tr>
        <w:trPr>
          <w:trHeight w:val="188"/>
        </w:trPr>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10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120"/>
          </w:cols>
          <w:pgMar w:left="380" w:top="1197" w:right="399" w:bottom="1440" w:gutter="0" w:footer="0" w:header="0"/>
        </w:sectPr>
      </w:pPr>
    </w:p>
    <w:p>
      <w:pPr>
        <w:ind w:left="220"/>
        <w:spacing w:after="0"/>
        <w:rPr>
          <w:sz w:val="20"/>
          <w:szCs w:val="20"/>
          <w:color w:val="auto"/>
        </w:rPr>
      </w:pPr>
      <w:r>
        <w:rPr>
          <w:rFonts w:ascii="Times New Roman" w:cs="Times New Roman" w:eastAsia="Times New Roman" w:hAnsi="Times New Roman"/>
          <w:sz w:val="14"/>
          <w:szCs w:val="14"/>
          <w:color w:val="auto"/>
        </w:rPr>
        <w:t>Net income</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42" w:lineRule="exact"/>
        <w:rPr>
          <w:sz w:val="20"/>
          <w:szCs w:val="20"/>
          <w:color w:val="auto"/>
        </w:rPr>
      </w:pPr>
    </w:p>
    <w:p>
      <w:pPr>
        <w:ind w:left="220" w:right="640"/>
        <w:spacing w:after="0" w:line="261" w:lineRule="auto"/>
        <w:rPr>
          <w:sz w:val="20"/>
          <w:szCs w:val="20"/>
          <w:color w:val="auto"/>
        </w:rPr>
      </w:pPr>
      <w:r>
        <w:rPr>
          <w:rFonts w:ascii="Times New Roman" w:cs="Times New Roman" w:eastAsia="Times New Roman" w:hAnsi="Times New Roman"/>
          <w:sz w:val="14"/>
          <w:szCs w:val="14"/>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347,923</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347,923</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20,414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368,337</w:t>
            </w: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(35,782)</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(35,782)</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(10,711)</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(46,493)</w:t>
            </w:r>
          </w:p>
        </w:tc>
      </w:tr>
      <w:tr>
        <w:trPr>
          <w:trHeight w:val="270"/>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18,906</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18,906</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-413385</wp:posOffset>
            </wp:positionV>
            <wp:extent cx="7063740"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63740" cy="12890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-156210</wp:posOffset>
            </wp:positionV>
            <wp:extent cx="7063740"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63740" cy="214630"/>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3280" w:space="720"/>
            <w:col w:w="7120"/>
          </w:cols>
          <w:pgMar w:left="380" w:top="1197" w:right="39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34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8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331,047</w:t>
            </w:r>
          </w:p>
        </w:tc>
        <w:tc>
          <w:tcPr>
            <w:tcW w:w="88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9,703</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340,750</w:t>
            </w: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(Note 14)</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24,885</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24,885</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24,885</w:t>
            </w:r>
          </w:p>
        </w:tc>
        <w:tc>
          <w:tcPr>
            <w:tcW w:w="0" w:type="dxa"/>
            <w:vAlign w:val="bottom"/>
          </w:tcPr>
          <w:p>
            <w:pPr>
              <w:spacing w:after="0"/>
              <w:rPr>
                <w:sz w:val="1"/>
                <w:szCs w:val="1"/>
                <w:color w:val="auto"/>
              </w:rPr>
            </w:pPr>
          </w:p>
        </w:tc>
      </w:tr>
      <w:tr>
        <w:trPr>
          <w:trHeight w:val="139"/>
        </w:trPr>
        <w:tc>
          <w:tcPr>
            <w:tcW w:w="346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shares under share award plan, net of</w:t>
            </w:r>
          </w:p>
        </w:tc>
        <w:tc>
          <w:tcPr>
            <w:tcW w:w="8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12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(37,301)</w:t>
            </w: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(37,300)</w:t>
            </w:r>
          </w:p>
        </w:tc>
        <w:tc>
          <w:tcPr>
            <w:tcW w:w="8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(37,300)</w:t>
            </w:r>
          </w:p>
        </w:tc>
        <w:tc>
          <w:tcPr>
            <w:tcW w:w="0" w:type="dxa"/>
            <w:vAlign w:val="bottom"/>
          </w:tcPr>
          <w:p>
            <w:pPr>
              <w:spacing w:after="0"/>
              <w:rPr>
                <w:sz w:val="1"/>
                <w:szCs w:val="1"/>
                <w:color w:val="auto"/>
              </w:rPr>
            </w:pPr>
          </w:p>
        </w:tc>
      </w:tr>
      <w:tr>
        <w:trPr>
          <w:trHeight w:val="107"/>
        </w:trPr>
        <w:tc>
          <w:tcPr>
            <w:tcW w:w="34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shares withheld for employee taxes (Note 14)</w:t>
            </w:r>
          </w:p>
        </w:tc>
        <w:tc>
          <w:tcPr>
            <w:tcW w:w="84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346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 (Note 13)</w:t>
            </w:r>
          </w:p>
        </w:tc>
        <w:tc>
          <w:tcPr>
            <w:tcW w:w="8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(75,006)</w:t>
            </w:r>
          </w:p>
        </w:tc>
        <w:tc>
          <w:tcPr>
            <w:tcW w:w="14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(75,006)</w:t>
            </w:r>
          </w:p>
        </w:tc>
        <w:tc>
          <w:tcPr>
            <w:tcW w:w="8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(75,006)</w:t>
            </w:r>
          </w:p>
        </w:tc>
        <w:tc>
          <w:tcPr>
            <w:tcW w:w="0" w:type="dxa"/>
            <w:vAlign w:val="bottom"/>
          </w:tcPr>
          <w:p>
            <w:pPr>
              <w:spacing w:after="0"/>
              <w:rPr>
                <w:sz w:val="1"/>
                <w:szCs w:val="1"/>
                <w:color w:val="auto"/>
              </w:rPr>
            </w:pPr>
          </w:p>
        </w:tc>
      </w:tr>
      <w:tr>
        <w:trPr>
          <w:trHeight w:val="195"/>
        </w:trPr>
        <w:tc>
          <w:tcPr>
            <w:tcW w:w="3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(Note 5)</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(225,786)</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(225,786)</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(225,786)</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(9,127)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(9,127)</w:t>
            </w:r>
          </w:p>
        </w:tc>
        <w:tc>
          <w:tcPr>
            <w:tcW w:w="0" w:type="dxa"/>
            <w:vAlign w:val="bottom"/>
          </w:tcPr>
          <w:p>
            <w:pPr>
              <w:spacing w:after="0"/>
              <w:rPr>
                <w:sz w:val="1"/>
                <w:szCs w:val="1"/>
                <w:color w:val="auto"/>
              </w:rPr>
            </w:pPr>
          </w:p>
        </w:tc>
      </w:tr>
      <w:tr>
        <w:trPr>
          <w:trHeight w:val="195"/>
        </w:trPr>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July 31, 2022</w:t>
            </w:r>
          </w:p>
        </w:tc>
        <w:tc>
          <w:tcPr>
            <w:tcW w:w="8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467</w:t>
            </w:r>
          </w:p>
        </w:tc>
        <w:tc>
          <w:tcPr>
            <w:tcW w:w="11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1,184,577</w:t>
            </w: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10,923</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895,889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(479,417)</w:t>
            </w:r>
          </w:p>
        </w:tc>
        <w:tc>
          <w:tcPr>
            <w:tcW w:w="144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1,612,439</w:t>
            </w:r>
          </w:p>
        </w:tc>
        <w:tc>
          <w:tcPr>
            <w:tcW w:w="8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235,045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1,847,484</w:t>
            </w: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Comprehensive income:</w:t>
            </w:r>
          </w:p>
        </w:tc>
        <w:tc>
          <w:tcPr>
            <w:tcW w:w="8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20"/>
          </w:cols>
          <w:pgMar w:left="380" w:top="1197" w:right="39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4"/>
          <w:szCs w:val="14"/>
          <w:color w:val="auto"/>
        </w:rPr>
        <w:t>Net income</w:t>
      </w:r>
    </w:p>
    <w:p>
      <w:pPr>
        <w:spacing w:after="0" w:line="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42" w:lineRule="exact"/>
        <w:rPr>
          <w:sz w:val="20"/>
          <w:szCs w:val="20"/>
          <w:color w:val="auto"/>
        </w:rPr>
      </w:pPr>
    </w:p>
    <w:p>
      <w:pPr>
        <w:ind w:left="220" w:right="640"/>
        <w:spacing w:after="0" w:line="251" w:lineRule="auto"/>
        <w:rPr>
          <w:sz w:val="20"/>
          <w:szCs w:val="20"/>
          <w:color w:val="auto"/>
        </w:rPr>
      </w:pPr>
      <w:r>
        <w:rPr>
          <w:rFonts w:ascii="Times New Roman" w:cs="Times New Roman" w:eastAsia="Times New Roman" w:hAnsi="Times New Roman"/>
          <w:sz w:val="14"/>
          <w:szCs w:val="14"/>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268,148</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268,148</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16,955</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285,103</w:t>
            </w:r>
          </w:p>
        </w:tc>
      </w:tr>
      <w:tr>
        <w:trPr>
          <w:trHeight w:val="19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(24,972)</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(24,972)</w:t>
            </w:r>
          </w:p>
        </w:tc>
        <w:tc>
          <w:tcPr>
            <w:tcW w:w="9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(467)</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(25,439)</w:t>
            </w:r>
          </w:p>
        </w:tc>
      </w:tr>
      <w:tr>
        <w:trPr>
          <w:trHeight w:val="270"/>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3,691</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3,691</w:t>
            </w:r>
          </w:p>
        </w:tc>
        <w:tc>
          <w:tcPr>
            <w:tcW w:w="9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-284480</wp:posOffset>
            </wp:positionV>
            <wp:extent cx="706374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63740" cy="12890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280" w:space="720"/>
            <w:col w:w="7120"/>
          </w:cols>
          <w:pgMar w:left="380" w:top="1197" w:right="3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4"/>
          <w:szCs w:val="14"/>
          <w:color w:val="auto"/>
        </w:rPr>
        <w:t>Total comprehensive income</w:t>
      </w:r>
    </w:p>
    <w:p>
      <w:pPr>
        <w:spacing w:after="0" w:line="55" w:lineRule="exact"/>
        <w:rPr>
          <w:sz w:val="20"/>
          <w:szCs w:val="20"/>
          <w:color w:val="auto"/>
        </w:rPr>
      </w:pPr>
    </w:p>
    <w:p>
      <w:pPr>
        <w:ind w:left="140" w:right="60"/>
        <w:spacing w:after="0" w:line="251" w:lineRule="auto"/>
        <w:rPr>
          <w:sz w:val="20"/>
          <w:szCs w:val="20"/>
          <w:color w:val="auto"/>
        </w:rPr>
      </w:pPr>
      <w:r>
        <w:rPr>
          <w:rFonts w:ascii="Times New Roman" w:cs="Times New Roman" w:eastAsia="Times New Roman" w:hAnsi="Times New Roman"/>
          <w:sz w:val="14"/>
          <w:szCs w:val="14"/>
          <w:color w:val="auto"/>
        </w:rPr>
        <w:t>Cumulative effect of adoption of ASU 2020-06 (Note 6)</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Stock-based compensation expense (Note 14)</w:t>
      </w:r>
    </w:p>
    <w:p>
      <w:pPr>
        <w:spacing w:after="0" w:line="42" w:lineRule="exact"/>
        <w:rPr>
          <w:sz w:val="20"/>
          <w:szCs w:val="20"/>
          <w:color w:val="auto"/>
        </w:rPr>
      </w:pPr>
    </w:p>
    <w:p>
      <w:pPr>
        <w:ind w:left="140" w:right="320"/>
        <w:spacing w:after="0" w:line="251" w:lineRule="auto"/>
        <w:rPr>
          <w:sz w:val="20"/>
          <w:szCs w:val="20"/>
          <w:color w:val="auto"/>
        </w:rPr>
      </w:pPr>
      <w:r>
        <w:rPr>
          <w:rFonts w:ascii="Times New Roman" w:cs="Times New Roman" w:eastAsia="Times New Roman" w:hAnsi="Times New Roman"/>
          <w:sz w:val="14"/>
          <w:szCs w:val="14"/>
          <w:color w:val="auto"/>
        </w:rPr>
        <w:t>Issuance of shares under share award plan, net of shares withheld for employee taxes (Note 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9"/>
        </w:trPr>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246,867</w:t>
            </w:r>
          </w:p>
        </w:tc>
        <w:tc>
          <w:tcPr>
            <w:tcW w:w="88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16,488</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263,355</w:t>
            </w:r>
          </w:p>
        </w:tc>
        <w:tc>
          <w:tcPr>
            <w:tcW w:w="0" w:type="dxa"/>
            <w:vAlign w:val="bottom"/>
          </w:tcPr>
          <w:p>
            <w:pPr>
              <w:spacing w:after="0"/>
              <w:rPr>
                <w:sz w:val="1"/>
                <w:szCs w:val="1"/>
                <w:color w:val="auto"/>
              </w:rPr>
            </w:pPr>
          </w:p>
        </w:tc>
      </w:tr>
      <w:tr>
        <w:trPr>
          <w:trHeight w:val="233"/>
        </w:trPr>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color w:val="auto"/>
              </w:rPr>
              <w:t>(80,066)</w:t>
            </w:r>
          </w:p>
        </w:tc>
        <w:tc>
          <w:tcPr>
            <w:tcW w:w="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24,023</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(56,043)</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(56,043)</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99"/>
              </w:rPr>
              <w:t>—</w:t>
            </w:r>
          </w:p>
        </w:tc>
        <w:tc>
          <w:tcPr>
            <w:tcW w:w="1200" w:type="dxa"/>
            <w:vAlign w:val="bottom"/>
          </w:tcPr>
          <w:p>
            <w:pPr>
              <w:jc w:val="right"/>
              <w:ind w:right="448"/>
              <w:spacing w:after="0"/>
              <w:rPr>
                <w:sz w:val="20"/>
                <w:szCs w:val="20"/>
                <w:color w:val="auto"/>
              </w:rPr>
            </w:pPr>
            <w:r>
              <w:rPr>
                <w:rFonts w:ascii="Times New Roman" w:cs="Times New Roman" w:eastAsia="Times New Roman" w:hAnsi="Times New Roman"/>
                <w:sz w:val="14"/>
                <w:szCs w:val="14"/>
                <w:color w:val="auto"/>
              </w:rPr>
              <w:t>25,409</w:t>
            </w:r>
          </w:p>
        </w:tc>
        <w:tc>
          <w:tcPr>
            <w:tcW w:w="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25,409</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25,409</w:t>
            </w:r>
          </w:p>
        </w:tc>
        <w:tc>
          <w:tcPr>
            <w:tcW w:w="0" w:type="dxa"/>
            <w:vAlign w:val="bottom"/>
          </w:tcPr>
          <w:p>
            <w:pPr>
              <w:spacing w:after="0"/>
              <w:rPr>
                <w:sz w:val="1"/>
                <w:szCs w:val="1"/>
                <w:color w:val="auto"/>
              </w:rPr>
            </w:pPr>
          </w:p>
        </w:tc>
      </w:tr>
      <w:tr>
        <w:trPr>
          <w:trHeight w:val="270"/>
        </w:trPr>
        <w:tc>
          <w:tcPr>
            <w:tcW w:w="36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120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rPr>
              <w:t>(5,487)</w:t>
            </w:r>
          </w:p>
        </w:tc>
        <w:tc>
          <w:tcPr>
            <w:tcW w:w="8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(5,486)</w:t>
            </w: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-636270</wp:posOffset>
            </wp:positionV>
            <wp:extent cx="706374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-284480</wp:posOffset>
            </wp:positionV>
            <wp:extent cx="7063740"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63740" cy="128905"/>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280" w:space="720"/>
            <w:col w:w="7120"/>
          </w:cols>
          <w:pgMar w:left="380" w:top="1197" w:right="39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4"/>
          <w:szCs w:val="14"/>
          <w:color w:val="auto"/>
        </w:rPr>
        <w:t>Repurchases of common stock (Note 13)</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Dividends (Note 5)</w:t>
      </w:r>
    </w:p>
    <w:p>
      <w:pPr>
        <w:spacing w:after="0" w:line="42" w:lineRule="exact"/>
        <w:rPr>
          <w:sz w:val="20"/>
          <w:szCs w:val="20"/>
          <w:color w:val="auto"/>
        </w:rPr>
      </w:pPr>
    </w:p>
    <w:p>
      <w:pPr>
        <w:ind w:left="140"/>
        <w:spacing w:after="0" w:line="251" w:lineRule="auto"/>
        <w:rPr>
          <w:sz w:val="20"/>
          <w:szCs w:val="20"/>
          <w:color w:val="auto"/>
        </w:rPr>
      </w:pPr>
      <w:r>
        <w:rPr>
          <w:rFonts w:ascii="Times New Roman" w:cs="Times New Roman" w:eastAsia="Times New Roman" w:hAnsi="Times New Roman"/>
          <w:sz w:val="14"/>
          <w:szCs w:val="14"/>
          <w:color w:val="auto"/>
        </w:rPr>
        <w:t>Estimated acquisition date fair value of noncontrolling interests (Note 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(504,889)</w:t>
            </w: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(504,889)</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(504,889)</w:t>
            </w: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(314,350)</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(314,350)</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(314,350)</w:t>
            </w:r>
          </w:p>
        </w:tc>
      </w:tr>
      <w:tr>
        <w:trPr>
          <w:trHeight w:val="270"/>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91,524</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-413385</wp:posOffset>
            </wp:positionV>
            <wp:extent cx="706374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63740" cy="12890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-156210</wp:posOffset>
            </wp:positionV>
            <wp:extent cx="7063740" cy="214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63740" cy="2146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280" w:space="720"/>
            <w:col w:w="7120"/>
          </w:cols>
          <w:pgMar w:left="380" w:top="1197" w:right="39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(11,344)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(11,344)</w:t>
            </w:r>
          </w:p>
        </w:tc>
      </w:tr>
      <w:tr>
        <w:trPr>
          <w:trHeight w:val="23"/>
        </w:trPr>
        <w:tc>
          <w:tcPr>
            <w:tcW w:w="3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2023</w:t>
            </w:r>
          </w:p>
        </w:tc>
        <w:tc>
          <w:tcPr>
            <w:tcW w:w="9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468</w:t>
            </w:r>
          </w:p>
        </w:tc>
        <w:tc>
          <w:tcPr>
            <w:tcW w:w="108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1,124,433</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(10,358)</w:t>
            </w:r>
          </w:p>
        </w:tc>
        <w:tc>
          <w:tcPr>
            <w:tcW w:w="8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873,710</w:t>
            </w:r>
          </w:p>
        </w:tc>
        <w:tc>
          <w:tcPr>
            <w:tcW w:w="10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(984,306)</w:t>
            </w:r>
          </w:p>
        </w:tc>
        <w:tc>
          <w:tcPr>
            <w:tcW w:w="11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1,003,947</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331,713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1,335,660</w:t>
            </w:r>
          </w:p>
        </w:tc>
      </w:tr>
      <w:tr>
        <w:trPr>
          <w:trHeight w:val="188"/>
        </w:trPr>
        <w:tc>
          <w:tcPr>
            <w:tcW w:w="3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Comprehensive income (loss):</w:t>
            </w: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5" w:lineRule="exact"/>
        <w:rPr>
          <w:sz w:val="20"/>
          <w:szCs w:val="20"/>
          <w:color w:val="auto"/>
        </w:rPr>
      </w:pPr>
    </w:p>
    <w:p>
      <w:pPr>
        <w:sectPr>
          <w:pgSz w:w="11900" w:h="16838" w:orient="portrait"/>
          <w:cols w:equalWidth="0" w:num="1">
            <w:col w:w="11120"/>
          </w:cols>
          <w:pgMar w:left="380" w:top="1197" w:right="39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4"/>
          <w:szCs w:val="14"/>
          <w:color w:val="auto"/>
        </w:rPr>
        <w:t>Net income</w:t>
      </w:r>
    </w:p>
    <w:p>
      <w:pPr>
        <w:spacing w:after="0" w:line="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adjustments</w:t>
      </w:r>
    </w:p>
    <w:p>
      <w:pPr>
        <w:spacing w:after="0" w:line="42" w:lineRule="exact"/>
        <w:rPr>
          <w:sz w:val="20"/>
          <w:szCs w:val="20"/>
          <w:color w:val="auto"/>
        </w:rPr>
      </w:pPr>
    </w:p>
    <w:p>
      <w:pPr>
        <w:ind w:left="220" w:right="640"/>
        <w:spacing w:after="0" w:line="261" w:lineRule="auto"/>
        <w:rPr>
          <w:sz w:val="20"/>
          <w:szCs w:val="20"/>
          <w:color w:val="auto"/>
        </w:rPr>
      </w:pPr>
      <w:r>
        <w:rPr>
          <w:rFonts w:ascii="Times New Roman" w:cs="Times New Roman" w:eastAsia="Times New Roman" w:hAnsi="Times New Roman"/>
          <w:sz w:val="14"/>
          <w:szCs w:val="14"/>
          <w:color w:val="auto"/>
        </w:rPr>
        <w:t>Change in estimated fair value of hedging instruments,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230,405</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230,405</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15,874</w:t>
            </w:r>
          </w:p>
        </w:tc>
        <w:tc>
          <w:tcPr>
            <w:tcW w:w="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246,279</w:t>
            </w: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(45,781)</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(45,781)</w:t>
            </w:r>
          </w:p>
        </w:tc>
        <w:tc>
          <w:tcPr>
            <w:tcW w:w="9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(21,603)</w:t>
            </w:r>
          </w:p>
        </w:tc>
        <w:tc>
          <w:tcPr>
            <w:tcW w:w="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(67,384)</w:t>
            </w:r>
          </w:p>
        </w:tc>
      </w:tr>
      <w:tr>
        <w:trPr>
          <w:trHeight w:val="270"/>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(11,149)</w:t>
            </w:r>
          </w:p>
        </w:tc>
        <w:tc>
          <w:tcPr>
            <w:tcW w:w="10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(11,149)</w:t>
            </w: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ind w:left="220"/>
              <w:spacing w:after="0"/>
              <w:rPr>
                <w:sz w:val="20"/>
                <w:szCs w:val="20"/>
                <w:color w:val="auto"/>
              </w:rPr>
            </w:pPr>
            <w:r>
              <w:rPr>
                <w:rFonts w:ascii="Times New Roman" w:cs="Times New Roman" w:eastAsia="Times New Roman" w:hAnsi="Times New Roman"/>
                <w:sz w:val="14"/>
                <w:szCs w:val="14"/>
                <w:color w:val="auto"/>
                <w:w w:val="96"/>
              </w:rPr>
              <w:t>(11,149)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-413385</wp:posOffset>
            </wp:positionV>
            <wp:extent cx="7063740" cy="128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63740" cy="12890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-156210</wp:posOffset>
            </wp:positionV>
            <wp:extent cx="7063740" cy="2139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63740" cy="213995"/>
                    </a:xfrm>
                    <a:prstGeom prst="rect">
                      <a:avLst/>
                    </a:prstGeom>
                    <a:noFill/>
                  </pic:spPr>
                </pic:pic>
              </a:graphicData>
            </a:graphic>
          </wp:anchor>
        </w:drawing>
      </w:r>
    </w:p>
    <w:p>
      <w:pPr>
        <w:spacing w:after="0" w:line="95" w:lineRule="exact"/>
        <w:rPr>
          <w:sz w:val="20"/>
          <w:szCs w:val="20"/>
          <w:color w:val="auto"/>
        </w:rPr>
      </w:pPr>
    </w:p>
    <w:p>
      <w:pPr>
        <w:sectPr>
          <w:pgSz w:w="11900" w:h="16838" w:orient="portrait"/>
          <w:cols w:equalWidth="0" w:num="2">
            <w:col w:w="3280" w:space="720"/>
            <w:col w:w="7120"/>
          </w:cols>
          <w:pgMar w:left="380" w:top="1197" w:right="39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34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9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173,475</w:t>
            </w:r>
          </w:p>
        </w:tc>
        <w:tc>
          <w:tcPr>
            <w:tcW w:w="9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(5,729)</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167,746</w:t>
            </w:r>
          </w:p>
        </w:tc>
        <w:tc>
          <w:tcPr>
            <w:tcW w:w="0" w:type="dxa"/>
            <w:vAlign w:val="bottom"/>
          </w:tcPr>
          <w:p>
            <w:pPr>
              <w:spacing w:after="0"/>
              <w:rPr>
                <w:sz w:val="1"/>
                <w:szCs w:val="1"/>
                <w:color w:val="auto"/>
              </w:rPr>
            </w:pPr>
          </w:p>
        </w:tc>
      </w:tr>
      <w:tr>
        <w:trPr>
          <w:trHeight w:val="196"/>
        </w:trPr>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 (Note 14)</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26,803</w:t>
            </w:r>
          </w:p>
        </w:tc>
        <w:tc>
          <w:tcPr>
            <w:tcW w:w="9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26,803</w:t>
            </w:r>
          </w:p>
        </w:tc>
        <w:tc>
          <w:tcPr>
            <w:tcW w:w="9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26,803</w:t>
            </w:r>
          </w:p>
        </w:tc>
        <w:tc>
          <w:tcPr>
            <w:tcW w:w="0" w:type="dxa"/>
            <w:vAlign w:val="bottom"/>
          </w:tcPr>
          <w:p>
            <w:pPr>
              <w:spacing w:after="0"/>
              <w:rPr>
                <w:sz w:val="1"/>
                <w:szCs w:val="1"/>
                <w:color w:val="auto"/>
              </w:rPr>
            </w:pPr>
          </w:p>
        </w:tc>
      </w:tr>
      <w:tr>
        <w:trPr>
          <w:trHeight w:val="139"/>
        </w:trPr>
        <w:tc>
          <w:tcPr>
            <w:tcW w:w="34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shares under share award plan, net of</w:t>
            </w: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w:t>
            </w: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color w:val="auto"/>
              </w:rPr>
              <w:t>(5,626)</w:t>
            </w:r>
          </w:p>
        </w:tc>
        <w:tc>
          <w:tcPr>
            <w:tcW w:w="9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(5,625)</w:t>
            </w:r>
          </w:p>
        </w:tc>
        <w:tc>
          <w:tcPr>
            <w:tcW w:w="9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0" w:type="dxa"/>
            <w:vAlign w:val="bottom"/>
          </w:tcPr>
          <w:p>
            <w:pPr>
              <w:spacing w:after="0"/>
              <w:rPr>
                <w:sz w:val="1"/>
                <w:szCs w:val="1"/>
                <w:color w:val="auto"/>
              </w:rPr>
            </w:pPr>
          </w:p>
        </w:tc>
      </w:tr>
      <w:tr>
        <w:trPr>
          <w:trHeight w:val="107"/>
        </w:trPr>
        <w:tc>
          <w:tcPr>
            <w:tcW w:w="34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shares withheld for employee taxes (Note 14)</w:t>
            </w:r>
          </w:p>
        </w:tc>
        <w:tc>
          <w:tcPr>
            <w:tcW w:w="92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48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20"/>
          </w:cols>
          <w:pgMar w:left="380" w:top="1197" w:right="399" w:bottom="1440" w:gutter="0" w:footer="0" w:header="0"/>
          <w:type w:val="continuous"/>
        </w:sectPr>
      </w:pPr>
    </w:p>
    <w:p>
      <w:pPr>
        <w:ind w:left="140"/>
        <w:spacing w:after="0"/>
        <w:rPr>
          <w:sz w:val="20"/>
          <w:szCs w:val="20"/>
          <w:color w:val="auto"/>
        </w:rPr>
      </w:pPr>
      <w:r>
        <w:rPr>
          <w:rFonts w:ascii="Times New Roman" w:cs="Times New Roman" w:eastAsia="Times New Roman" w:hAnsi="Times New Roman"/>
          <w:sz w:val="14"/>
          <w:szCs w:val="14"/>
          <w:color w:val="auto"/>
        </w:rPr>
        <w:t>Repurchases of common stock (Note 13)</w:t>
      </w:r>
    </w:p>
    <w:p>
      <w:pPr>
        <w:spacing w:after="0" w:line="4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Dividends (Note 5)</w:t>
      </w:r>
    </w:p>
    <w:p>
      <w:pPr>
        <w:spacing w:after="0" w:line="42" w:lineRule="exact"/>
        <w:rPr>
          <w:sz w:val="20"/>
          <w:szCs w:val="20"/>
          <w:color w:val="auto"/>
        </w:rPr>
      </w:pPr>
    </w:p>
    <w:p>
      <w:pPr>
        <w:ind w:left="140"/>
        <w:spacing w:after="0" w:line="251" w:lineRule="auto"/>
        <w:rPr>
          <w:sz w:val="20"/>
          <w:szCs w:val="20"/>
          <w:color w:val="auto"/>
        </w:rPr>
      </w:pPr>
      <w:r>
        <w:rPr>
          <w:rFonts w:ascii="Times New Roman" w:cs="Times New Roman" w:eastAsia="Times New Roman" w:hAnsi="Times New Roman"/>
          <w:sz w:val="14"/>
          <w:szCs w:val="14"/>
          <w:color w:val="auto"/>
        </w:rPr>
        <w:t>Estimated acquisition date fair value of noncontrolling interests (Note 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(151,379)</w:t>
            </w: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(151,379)</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(151,379)</w:t>
            </w:r>
          </w:p>
        </w:tc>
      </w:tr>
      <w:tr>
        <w:trPr>
          <w:trHeight w:val="203"/>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(323,684)</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(323,684)</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(323,684)</w:t>
            </w:r>
          </w:p>
        </w:tc>
      </w:tr>
      <w:tr>
        <w:trPr>
          <w:trHeight w:val="270"/>
        </w:trPr>
        <w:tc>
          <w:tcPr>
            <w:tcW w:w="5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14,084</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-2538095</wp:posOffset>
            </wp:positionH>
            <wp:positionV relativeFrom="paragraph">
              <wp:posOffset>-413385</wp:posOffset>
            </wp:positionV>
            <wp:extent cx="706374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63740" cy="12890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-156210</wp:posOffset>
            </wp:positionV>
            <wp:extent cx="7063740" cy="214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63740" cy="214630"/>
                    </a:xfrm>
                    <a:prstGeom prst="rect">
                      <a:avLst/>
                    </a:prstGeom>
                    <a:noFill/>
                  </pic:spPr>
                </pic:pic>
              </a:graphicData>
            </a:graphic>
          </wp:anchor>
        </w:drawing>
      </w:r>
    </w:p>
    <w:p>
      <w:pPr>
        <w:spacing w:after="0" w:line="82" w:lineRule="exact"/>
        <w:rPr>
          <w:sz w:val="20"/>
          <w:szCs w:val="20"/>
          <w:color w:val="auto"/>
        </w:rPr>
      </w:pPr>
    </w:p>
    <w:p>
      <w:pPr>
        <w:sectPr>
          <w:pgSz w:w="11900" w:h="16838" w:orient="portrait"/>
          <w:cols w:equalWidth="0" w:num="2">
            <w:col w:w="3280" w:space="720"/>
            <w:col w:w="7120"/>
          </w:cols>
          <w:pgMar w:left="380" w:top="1197" w:right="39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30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 net</w:t>
            </w:r>
          </w:p>
        </w:tc>
        <w:tc>
          <w:tcPr>
            <w:tcW w:w="6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(25,122)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(25,122)</w:t>
            </w:r>
          </w:p>
        </w:tc>
      </w:tr>
      <w:tr>
        <w:trPr>
          <w:trHeight w:val="23"/>
        </w:trPr>
        <w:tc>
          <w:tcPr>
            <w:tcW w:w="3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3"/>
        </w:trPr>
        <w:tc>
          <w:tcPr>
            <w:tcW w:w="3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July 31, 2024</w:t>
            </w:r>
          </w:p>
        </w:tc>
        <w:tc>
          <w:tcPr>
            <w:tcW w:w="6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1,145,610</w:t>
            </w:r>
          </w:p>
        </w:tc>
        <w:tc>
          <w:tcPr>
            <w:tcW w:w="38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(67,288)</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780,431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(1,135,685)</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723,537</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314,946</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1,038,483</w:t>
            </w: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part70of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97" w:right="399" w:bottom="1440" w:gutter="0" w:footer="0" w:header="0"/>
          <w:type w:val="continuous"/>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9"/>
              </w:rPr>
              <w:t>Year Ended July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1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246,279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285,103</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368,337</w:t>
            </w:r>
          </w:p>
        </w:tc>
      </w:tr>
      <w:tr>
        <w:trPr>
          <w:trHeight w:val="165"/>
        </w:trPr>
        <w:tc>
          <w:tcPr>
            <w:tcW w:w="51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Adjustments to reconcile net income to net cash provided by operating</w:t>
            </w: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16"/>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3"/>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276,493</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268,501</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252,391</w:t>
            </w:r>
          </w:p>
        </w:tc>
      </w:tr>
      <w:tr>
        <w:trPr>
          <w:trHeight w:val="21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25,409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24,885</w:t>
            </w:r>
          </w:p>
        </w:tc>
      </w:tr>
      <w:tr>
        <w:trPr>
          <w:trHeight w:val="213"/>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12,095</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24,065</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(9,390)</w:t>
            </w:r>
          </w:p>
        </w:tc>
      </w:tr>
      <w:tr>
        <w:trPr>
          <w:trHeight w:val="21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disposal of fixed assets and other,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(43,992)</w:t>
            </w:r>
          </w:p>
        </w:tc>
      </w:tr>
      <w:tr>
        <w:trPr>
          <w:trHeight w:val="213"/>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estimated fair value of contingent consideration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49,836</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20,280</w:t>
            </w:r>
          </w:p>
        </w:tc>
      </w:tr>
      <w:tr>
        <w:trPr>
          <w:trHeight w:val="21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non-cash (income) expense,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Changes in assets and liabilities, net of effects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Trade receivables,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(39,010)</w:t>
            </w:r>
          </w:p>
        </w:tc>
      </w:tr>
      <w:tr>
        <w:trPr>
          <w:trHeight w:val="213"/>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Inventories,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(23,418)</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(28,048)</w:t>
            </w:r>
          </w:p>
        </w:tc>
      </w:tr>
      <w:tr>
        <w:trPr>
          <w:trHeight w:val="21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41,078</w:t>
            </w:r>
          </w:p>
        </w:tc>
      </w:tr>
      <w:tr>
        <w:trPr>
          <w:trHeight w:val="213"/>
        </w:trPr>
        <w:tc>
          <w:tcPr>
            <w:tcW w:w="51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60,268</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48,973</w:t>
            </w:r>
          </w:p>
        </w:tc>
      </w:tr>
      <w:tr>
        <w:trPr>
          <w:trHeight w:val="219"/>
        </w:trPr>
        <w:tc>
          <w:tcPr>
            <w:tcW w:w="5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taxes payable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(32,270)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81,307</w:t>
            </w:r>
          </w:p>
        </w:tc>
      </w:tr>
      <w:tr>
        <w:trPr>
          <w:trHeight w:val="213"/>
        </w:trPr>
        <w:tc>
          <w:tcPr>
            <w:tcW w:w="51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(20,031)</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(9,822)</w:t>
            </w:r>
          </w:p>
        </w:tc>
      </w:tr>
      <w:tr>
        <w:trPr>
          <w:trHeight w:val="212"/>
        </w:trPr>
        <w:tc>
          <w:tcPr>
            <w:tcW w:w="5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586,774</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639,563</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710,499</w:t>
            </w:r>
          </w:p>
        </w:tc>
      </w:t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(211,197)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(314,912)</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(192,817)</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businesses, net of cash acquired</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(94,356)</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(116,337)</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 returned (paid) for acquisition of business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114,506</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(114,414)</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Investments in short-term deposits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(86,756)</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Maturity of short-term deposits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37,978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received from disposal of fixed assets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5,674</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66,264</w:t>
            </w:r>
          </w:p>
        </w:tc>
      </w:tr>
      <w:tr>
        <w:trPr>
          <w:trHeight w:val="216"/>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8,910</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9,387</w:t>
            </w:r>
          </w:p>
        </w:tc>
      </w:tr>
      <w:tr>
        <w:trPr>
          <w:trHeight w:val="209"/>
        </w:trPr>
        <w:tc>
          <w:tcPr>
            <w:tcW w:w="51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(241,069)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(273,167)</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(347,917)</w:t>
            </w:r>
          </w:p>
        </w:tc>
      </w:tr>
      <w:tr>
        <w:trPr>
          <w:trHeight w:val="21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borrowings under 6.50% Notes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(62,500)</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borrowings under 6.25% Notes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of borrowings under Whistler Credit Agreement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(11,389)</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(32,633)</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EB-5 Development Notes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(51,500)</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(5,486)</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(37,300)</w:t>
            </w:r>
          </w:p>
        </w:tc>
      </w:tr>
      <w:tr>
        <w:trPr>
          <w:trHeight w:val="21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(75,006)</w:t>
            </w:r>
          </w:p>
        </w:tc>
      </w:tr>
      <w:tr>
        <w:trPr>
          <w:trHeight w:val="219"/>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paid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(323,684)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(314,350)</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(225,786)</w:t>
            </w:r>
          </w:p>
        </w:tc>
      </w:tr>
      <w:tr>
        <w:trPr>
          <w:trHeight w:val="213"/>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(39,620)</w:t>
            </w: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(21,983)</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(8,411)</w:t>
            </w:r>
          </w:p>
        </w:tc>
      </w:tr>
      <w:tr>
        <w:trPr>
          <w:trHeight w:val="210"/>
        </w:trPr>
        <w:tc>
          <w:tcPr>
            <w:tcW w:w="51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(574,788)</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(915,708)</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(493,136)</w:t>
            </w:r>
          </w:p>
        </w:tc>
      </w:tr>
      <w:tr>
        <w:trPr>
          <w:trHeight w:val="210"/>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(6,947)</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(3,702)</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w:t>
            </w:r>
          </w:p>
        </w:tc>
      </w:tr>
      <w:tr>
        <w:trPr>
          <w:trHeight w:val="219"/>
        </w:trPr>
        <w:tc>
          <w:tcPr>
            <w:tcW w:w="5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(236,030)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(553,014)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(132,467)</w:t>
            </w:r>
          </w:p>
        </w:tc>
      </w:tr>
      <w:tr>
        <w:trPr>
          <w:trHeight w:val="21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573,093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1,126,107</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1,258,574</w:t>
            </w:r>
          </w:p>
        </w:tc>
      </w:tr>
      <w:tr>
        <w:trPr>
          <w:trHeight w:val="219"/>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337,063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573,093</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1,126,107</w:t>
            </w:r>
          </w:p>
        </w:tc>
      </w:tr>
      <w:tr>
        <w:trPr>
          <w:trHeight w:val="216"/>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140,599</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114,074</w:t>
            </w:r>
          </w:p>
        </w:tc>
      </w:tr>
      <w:tr>
        <w:trPr>
          <w:trHeight w:val="213"/>
        </w:trPr>
        <w:tc>
          <w:tcPr>
            <w:tcW w:w="5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Taxes paid, net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129,350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94,342</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19,692</w:t>
            </w:r>
          </w:p>
        </w:tc>
      </w:tr>
      <w:tr>
        <w:trPr>
          <w:trHeight w:val="219"/>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3"/>
        </w:trPr>
        <w:tc>
          <w:tcPr>
            <w:tcW w:w="51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24,872</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23,210</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30,556</w:t>
            </w:r>
          </w:p>
        </w:tc>
      </w:tr>
    </w:tbl>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9540"/>
          </w:cols>
          <w:pgMar w:left="1180" w:top="1089" w:right="11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40"/>
          </w:cols>
          <w:pgMar w:left="1180" w:top="1089" w:right="1179" w:bottom="1440" w:gutter="0" w:footer="0" w:header="0"/>
          <w:type w:val="continuous"/>
        </w:sectPr>
      </w:pPr>
    </w:p>
    <w:bookmarkStart w:id="73" w:name="page74"/>
    <w:bookmarkEnd w:id="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reportable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42 destination mountain resorts and regional ski areas, (collectively, “Resorts”):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863590" cy="258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6359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 Several of the resorts located in the United States (“U.S.”) operate primarily on federal land under the terms of Special Use Permits granted by the U.S. Department of Agriculture Forest Service. The operations of Whistler Blackcomb are conducted on land owned by the government of the Province of British Columbia, Canada within the traditional territory of the Squamish and Lil’wat Nations. The operations of the Company’s Australian ski areas are conducted pursuant to long-term leases and licenses on land owned by the governments of New South Wales and Victoria, Australia. A portion of the operations of Andermatt-Sedrun are conducted on land owned by the Swiss Confederation, for which operations are conducted under leasehold agreements and pursuant to a personal easement on land owned by the municipality of Tujetsch. Portions of the Crans-Montana resort operations are conducted on land owned third parties, including local municipalities, via numerous registered easements, building rights (which may be subject to federal concessions), or other agreements. Okemo, Mount Sunapee and Stowe operate on land leased from the respective states in which the resorts are located and on land owned by the Company.</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Real Estate segment primarily owns, develops and sells real estate in and around the Company’s resort communities.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and typically experience their peak operating seasons primarily from mid-December through mid-April in North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4" w:name="page75"/>
    <w:bookmarkEnd w:id="74"/>
    <w:p>
      <w:pPr>
        <w:spacing w:after="0" w:line="282" w:lineRule="auto"/>
        <w:rPr>
          <w:sz w:val="20"/>
          <w:szCs w:val="20"/>
          <w:color w:val="auto"/>
        </w:rPr>
      </w:pPr>
      <w:r>
        <w:rPr>
          <w:rFonts w:ascii="Times New Roman" w:cs="Times New Roman" w:eastAsia="Times New Roman" w:hAnsi="Times New Roman"/>
          <w:sz w:val="18"/>
          <w:szCs w:val="18"/>
          <w:color w:val="auto"/>
        </w:rPr>
        <w:t>America and Europe. The peak operating season at the Company’s Australian resorts, NPS concessioner properties and golf courses generally occurs from June to early October.</w:t>
      </w:r>
    </w:p>
    <w:p>
      <w:pPr>
        <w:spacing w:after="0" w:line="158"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 </w:t>
      </w:r>
      <w:r>
        <w:rPr>
          <w:rFonts w:ascii="Times New Roman" w:cs="Times New Roman" w:eastAsia="Times New Roman" w:hAnsi="Times New Roman"/>
          <w:sz w:val="18"/>
          <w:szCs w:val="18"/>
          <w:color w:val="auto"/>
        </w:rPr>
        <w:t>The accompanying Consolidated Financial Statements include the accounts of the Company and its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for which the Company has a controlling financial interest. Investments in which the Company does not have a controlling financial interest, but has significant influence, are accounted for under the equity method. All significant intercompany transactions have been eliminated in consolidation.</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 </w:t>
      </w:r>
      <w:r>
        <w:rPr>
          <w:rFonts w:ascii="Times New Roman" w:cs="Times New Roman" w:eastAsia="Times New Roman" w:hAnsi="Times New Roman"/>
          <w:sz w:val="18"/>
          <w:szCs w:val="18"/>
          <w:color w:val="auto"/>
        </w:rPr>
        <w:t>The Company considers all highly liquid investments with maturities of three months or less at the date of purchase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Accounts Receivable — </w:t>
      </w:r>
      <w:r>
        <w:rPr>
          <w:rFonts w:ascii="Times New Roman" w:cs="Times New Roman" w:eastAsia="Times New Roman" w:hAnsi="Times New Roman"/>
          <w:sz w:val="18"/>
          <w:szCs w:val="18"/>
          <w:color w:val="auto"/>
        </w:rPr>
        <w:t>The Company records trade accounts receivable in the normal course of business related to the sale of products or services.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allowance for doubtful accounts is based on a specific reserve analysis and on a percentage of accounts receivable and takes into consideration such factors as historical write-offs, the economic climate and other factors that could affect collectability. Write-offs are evaluated on a case by case basis.</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Inventories — </w:t>
      </w:r>
      <w:r>
        <w:rPr>
          <w:rFonts w:ascii="Times New Roman" w:cs="Times New Roman" w:eastAsia="Times New Roman" w:hAnsi="Times New Roman"/>
          <w:sz w:val="18"/>
          <w:szCs w:val="18"/>
          <w:color w:val="auto"/>
        </w:rPr>
        <w:t>The Company’s inventories consist primarily of purchased retail goods, food and beverage items and spare parts. Inventories are stated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lower of cost or net realizable value, determined using primarily an average weighted cost method. The Company records a reserve for estimated shrinkage and obsolete or unusable inventory.</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Property, Plant and Equipment — </w:t>
      </w:r>
      <w:r>
        <w:rPr>
          <w:rFonts w:ascii="Times New Roman" w:cs="Times New Roman" w:eastAsia="Times New Roman" w:hAnsi="Times New Roman"/>
          <w:sz w:val="18"/>
          <w:szCs w:val="18"/>
          <w:color w:val="auto"/>
        </w:rPr>
        <w:t>Property, plant and equipment is carried at cost net of accumulated depreciation. Costs of repairs and maintenance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expensed as incurred. Expenditures that improve the functionality of the related asset or extend the useful life are capitalized. When property, plant and equipment is retired or otherwise disposed of, the related gain or loss is included in income from operations. Leasehold improvements are amortized on the straight-line method over the shorter of the remaining lease term or estimated useful life of the asset. Depreciation is calculated on the straight-line method, including property, plant and equipment under finance leases, generally based on the following useful lives:</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5080" w:type="dxa"/>
            <w:vAlign w:val="bottom"/>
          </w:tcPr>
          <w:p>
            <w:pPr>
              <w:jc w:val="center"/>
              <w:ind w:left="2495"/>
              <w:spacing w:after="0"/>
              <w:rPr>
                <w:sz w:val="20"/>
                <w:szCs w:val="20"/>
                <w:color w:val="auto"/>
              </w:rPr>
            </w:pPr>
            <w:r>
              <w:rPr>
                <w:rFonts w:ascii="Times New Roman" w:cs="Times New Roman" w:eastAsia="Times New Roman" w:hAnsi="Times New Roman"/>
                <w:sz w:val="14"/>
                <w:szCs w:val="14"/>
                <w:b w:val="1"/>
                <w:bCs w:val="1"/>
                <w:color w:val="auto"/>
              </w:rPr>
              <w:t>Estimated Life</w:t>
            </w:r>
          </w:p>
        </w:tc>
      </w:tr>
      <w:tr>
        <w:trPr>
          <w:trHeight w:val="196"/>
        </w:trPr>
        <w:tc>
          <w:tcPr>
            <w:tcW w:w="610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jc w:val="center"/>
              <w:ind w:left="2495"/>
              <w:spacing w:after="0"/>
              <w:rPr>
                <w:sz w:val="20"/>
                <w:szCs w:val="20"/>
                <w:color w:val="auto"/>
              </w:rPr>
            </w:pPr>
            <w:r>
              <w:rPr>
                <w:rFonts w:ascii="Times New Roman" w:cs="Times New Roman" w:eastAsia="Times New Roman" w:hAnsi="Times New Roman"/>
                <w:sz w:val="14"/>
                <w:szCs w:val="14"/>
                <w:b w:val="1"/>
                <w:bCs w:val="1"/>
                <w:color w:val="auto"/>
                <w:w w:val="99"/>
              </w:rPr>
              <w:t>in Years</w:t>
            </w:r>
          </w:p>
        </w:tc>
      </w:tr>
      <w:tr>
        <w:trPr>
          <w:trHeight w:val="22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5080" w:type="dxa"/>
            <w:vAlign w:val="bottom"/>
            <w:shd w:val="clear" w:color="auto" w:fill="CCEEFF"/>
          </w:tcPr>
          <w:p>
            <w:pPr>
              <w:jc w:val="center"/>
              <w:ind w:left="2495"/>
              <w:spacing w:after="0"/>
              <w:rPr>
                <w:sz w:val="20"/>
                <w:szCs w:val="20"/>
                <w:color w:val="auto"/>
              </w:rPr>
            </w:pPr>
            <w:r>
              <w:rPr>
                <w:rFonts w:ascii="Times New Roman" w:cs="Times New Roman" w:eastAsia="Times New Roman" w:hAnsi="Times New Roman"/>
                <w:sz w:val="18"/>
                <w:szCs w:val="18"/>
                <w:color w:val="auto"/>
                <w:w w:val="99"/>
              </w:rPr>
              <w:t>10-35</w:t>
            </w: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5080" w:type="dxa"/>
            <w:vAlign w:val="bottom"/>
          </w:tcPr>
          <w:p>
            <w:pPr>
              <w:jc w:val="center"/>
              <w:ind w:left="2475"/>
              <w:spacing w:after="0"/>
              <w:rPr>
                <w:sz w:val="20"/>
                <w:szCs w:val="20"/>
                <w:color w:val="auto"/>
              </w:rPr>
            </w:pPr>
            <w:r>
              <w:rPr>
                <w:rFonts w:ascii="Times New Roman" w:cs="Times New Roman" w:eastAsia="Times New Roman" w:hAnsi="Times New Roman"/>
                <w:sz w:val="18"/>
                <w:szCs w:val="18"/>
                <w:color w:val="auto"/>
                <w:w w:val="96"/>
              </w:rPr>
              <w:t>7-30</w:t>
            </w:r>
          </w:p>
        </w:tc>
      </w:tr>
      <w:tr>
        <w:trPr>
          <w:trHeight w:val="22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080" w:type="dxa"/>
            <w:vAlign w:val="bottom"/>
            <w:shd w:val="clear" w:color="auto" w:fill="CCEEFF"/>
          </w:tcPr>
          <w:p>
            <w:pPr>
              <w:jc w:val="center"/>
              <w:ind w:left="2475"/>
              <w:spacing w:after="0"/>
              <w:rPr>
                <w:sz w:val="20"/>
                <w:szCs w:val="20"/>
                <w:color w:val="auto"/>
              </w:rPr>
            </w:pPr>
            <w:r>
              <w:rPr>
                <w:rFonts w:ascii="Times New Roman" w:cs="Times New Roman" w:eastAsia="Times New Roman" w:hAnsi="Times New Roman"/>
                <w:sz w:val="18"/>
                <w:szCs w:val="18"/>
                <w:color w:val="auto"/>
                <w:w w:val="96"/>
              </w:rPr>
              <w:t>2-30</w:t>
            </w: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5080" w:type="dxa"/>
            <w:vAlign w:val="bottom"/>
          </w:tcPr>
          <w:p>
            <w:pPr>
              <w:jc w:val="center"/>
              <w:ind w:left="2475"/>
              <w:spacing w:after="0"/>
              <w:rPr>
                <w:sz w:val="20"/>
                <w:szCs w:val="20"/>
                <w:color w:val="auto"/>
              </w:rPr>
            </w:pPr>
            <w:r>
              <w:rPr>
                <w:rFonts w:ascii="Times New Roman" w:cs="Times New Roman" w:eastAsia="Times New Roman" w:hAnsi="Times New Roman"/>
                <w:sz w:val="18"/>
                <w:szCs w:val="18"/>
                <w:color w:val="auto"/>
                <w:w w:val="96"/>
              </w:rPr>
              <w:t>3-10</w:t>
            </w:r>
          </w:p>
        </w:tc>
      </w:tr>
      <w:tr>
        <w:trPr>
          <w:trHeight w:val="230"/>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5080" w:type="dxa"/>
            <w:vAlign w:val="bottom"/>
            <w:shd w:val="clear" w:color="auto" w:fill="CCEEFF"/>
          </w:tcPr>
          <w:p>
            <w:pPr>
              <w:jc w:val="center"/>
              <w:ind w:left="2475"/>
              <w:spacing w:after="0"/>
              <w:rPr>
                <w:sz w:val="20"/>
                <w:szCs w:val="20"/>
                <w:color w:val="auto"/>
              </w:rPr>
            </w:pPr>
            <w:r>
              <w:rPr>
                <w:rFonts w:ascii="Times New Roman" w:cs="Times New Roman" w:eastAsia="Times New Roman" w:hAnsi="Times New Roman"/>
                <w:sz w:val="18"/>
                <w:szCs w:val="18"/>
                <w:color w:val="auto"/>
                <w:w w:val="88"/>
              </w:rPr>
              <w:t>3</w:t>
            </w:r>
          </w:p>
        </w:tc>
      </w:tr>
      <w:tr>
        <w:trPr>
          <w:trHeight w:val="230"/>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5080" w:type="dxa"/>
            <w:vAlign w:val="bottom"/>
            <w:tcBorders>
              <w:bottom w:val="single" w:sz="8" w:color="auto"/>
            </w:tcBorders>
          </w:tcPr>
          <w:p>
            <w:pPr>
              <w:jc w:val="center"/>
              <w:ind w:left="2475"/>
              <w:spacing w:after="0"/>
              <w:rPr>
                <w:sz w:val="20"/>
                <w:szCs w:val="20"/>
                <w:color w:val="auto"/>
              </w:rPr>
            </w:pPr>
            <w:r>
              <w:rPr>
                <w:rFonts w:ascii="Times New Roman" w:cs="Times New Roman" w:eastAsia="Times New Roman" w:hAnsi="Times New Roman"/>
                <w:sz w:val="18"/>
                <w:szCs w:val="18"/>
                <w:color w:val="auto"/>
                <w:w w:val="96"/>
              </w:rPr>
              <w:t>3-10</w:t>
            </w:r>
          </w:p>
        </w:tc>
      </w:tr>
    </w:tbl>
    <w:p>
      <w:pPr>
        <w:spacing w:after="0" w:line="27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Real Estate Held for Sale or Investment — </w:t>
      </w:r>
      <w:r>
        <w:rPr>
          <w:rFonts w:ascii="Times New Roman" w:cs="Times New Roman" w:eastAsia="Times New Roman" w:hAnsi="Times New Roman"/>
          <w:sz w:val="18"/>
          <w:szCs w:val="18"/>
          <w:color w:val="auto"/>
        </w:rPr>
        <w:t>The Company capitalizes as real estate held for sale or investment the original land acquisition cost,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and development costs, property taxes, interest paid and other related costs related to real estate under development. Sales and marketing expenses are charged against income in the period incurred.</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Deferred Financing Costs — </w:t>
      </w:r>
      <w:r>
        <w:rPr>
          <w:rFonts w:ascii="Times New Roman" w:cs="Times New Roman" w:eastAsia="Times New Roman" w:hAnsi="Times New Roman"/>
          <w:sz w:val="18"/>
          <w:szCs w:val="18"/>
          <w:color w:val="auto"/>
        </w:rPr>
        <w:t>Certain costs incurred with the issuance of debt and debt securities are capitalized and included as a reduction in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 When debt is extinguished prior to its maturity date, the amortization of the remaining unamortized deferred financing costs, or pro-rata portion thereof, is charged to loss on extinguishment of debt.</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Goodwill and Intangible Assets — </w:t>
      </w:r>
      <w:r>
        <w:rPr>
          <w:rFonts w:ascii="Times New Roman" w:cs="Times New Roman" w:eastAsia="Times New Roman" w:hAnsi="Times New Roman"/>
          <w:sz w:val="18"/>
          <w:szCs w:val="18"/>
          <w:color w:val="auto"/>
        </w:rPr>
        <w:t>The Company has classified as goodwill the cost in excess of estimated fair value of the net assets of businesses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 purchase transactions. The Company’s major intangible asset classes are trademarks, water rights, customer lists, property management contracts and Forest Service permits. Goodwill and various indefinite-lived intangible assets, including certain trademarks, water rights and certain property management contracts, are not amortized but are subject to at least annual impairment testing. The Company tests these non-amortizing assets annually (or more often, if necessary) for impairment as of May 1. Definite-lived intangible assets are amortized over the shorter of their contractual terms or estimated useful lives.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18"/>
          <w:szCs w:val="18"/>
          <w:color w:val="auto"/>
        </w:rPr>
        <w:t>For the testing of goodwill and other indefinite-lived intangible assets for impairment, the Company may perform a qualitative analysis to determine whether it is more likely than not that the fair value of a reporting unit or indefinite-lived intangible asset exceeds the carrying amount, which includes an evaluation as to whether there have been significant changes to macro-economic factors related to the reporting unit or intangible asset that could materially impact fair value. If it is determined, based on qualitative factors, that the fair value of the reporting unit or indefinite-lived intangible asset is more likely than not less than carrying amount, or if significant changes to macro-economic factors related to the reporting unit or intangible asset have occurred that could materially impact estimated fair values since the previous quantitative analysis was performed, a quantitative impairment test would be required, in which the Company would determine the estimated fair value of its reporting units using discounted cash flow analyses and determine the estimated fair value of its indefinite-lived intangible assets using an income approach. The quantitative test for impairment consists of a comparison of the estimated fair value of the assets with their respective net carrying values. If the net carrying amount of the assets exceed their respective estimated fair values, an impairment loss would be recognized for indefinite-lived intangibles, including goodwill, in an amount equal to that excess. If the net carrying amount of the assets does not exceed their respective estimated fair values, no impairment loss is recognized. The Company determined that there were no impairments of goodwill or definite and indefinite-lived assets for the years ended July 31, 2024, 2023 and 2022.</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Long-Lived Assets — </w:t>
      </w:r>
      <w:r>
        <w:rPr>
          <w:rFonts w:ascii="Times New Roman" w:cs="Times New Roman" w:eastAsia="Times New Roman" w:hAnsi="Times New Roman"/>
          <w:sz w:val="18"/>
          <w:szCs w:val="18"/>
          <w:color w:val="auto"/>
        </w:rPr>
        <w:t>The Company evaluates potential impairment of long-lived assets and long-lived assets to be disposed of whenever events or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circumstances indicate that the net carrying amount of an asset group may not be fully recoverable. If the sum of the expected cash flows, on an undiscounted basis, is less than the net carrying amount of the asset group, an impairment loss is recognized in the amount by which the net carrying amount of the asset group exceeds its estimated fair value. The Company determined that there were no impairments of long-lived assets for the years ended July 31, 2024, 2023 and 2022.</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Revenue Recognition — </w:t>
      </w:r>
      <w:r>
        <w:rPr>
          <w:rFonts w:ascii="Times New Roman" w:cs="Times New Roman" w:eastAsia="Times New Roman" w:hAnsi="Times New Roman"/>
          <w:sz w:val="18"/>
          <w:szCs w:val="18"/>
          <w:color w:val="auto"/>
        </w:rPr>
        <w:t>The Company’s significant accounting policies with regard to revenue recognition are discussed in Note 3, Revenues.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Real Estate Cost of Sales — </w:t>
      </w:r>
      <w:r>
        <w:rPr>
          <w:rFonts w:ascii="Times New Roman" w:cs="Times New Roman" w:eastAsia="Times New Roman" w:hAnsi="Times New Roman"/>
          <w:sz w:val="18"/>
          <w:szCs w:val="18"/>
          <w:color w:val="auto"/>
        </w:rPr>
        <w:t>Costs of real estate transactions include direct project costs, common cost allocations (primarily determined on relative sales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and sales commission expense. The Company utilizes the relative sales value method to determine cost of sales for condominium units sold within a project when specific identification of costs cannot be reasonably determined.</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Foreign Currency Translation — </w:t>
      </w:r>
      <w:r>
        <w:rPr>
          <w:rFonts w:ascii="Times New Roman" w:cs="Times New Roman" w:eastAsia="Times New Roman" w:hAnsi="Times New Roman"/>
          <w:sz w:val="18"/>
          <w:szCs w:val="18"/>
          <w:color w:val="auto"/>
        </w:rPr>
        <w:t>The functional currency of the Company’s entities operating outside of the United States is the principal currency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environment in which the entity primarily generates and expends cash, which is generally the local currency. The assets and liabilities of these foreign operations are translated at the exchange rate in effect as of the balance sheet dates. Income and expense items are translated using the average exchange rate for the period. Translation adjustments from currency exchange, including intercompany transactions of a long-term nature, are recorded in accumulated other comprehensive (loss) income as a separate component of stockholders’ equity. Intercompany transactions that are not of a long-term nature are reported as gains and losses within “segment operating expense” and for intercompany loans within “foreign currency loss on intercompany loans” on the Company’s Consolidated Statements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Reserve Estimates — </w:t>
      </w:r>
      <w:r>
        <w:rPr>
          <w:rFonts w:ascii="Times New Roman" w:cs="Times New Roman" w:eastAsia="Times New Roman" w:hAnsi="Times New Roman"/>
          <w:sz w:val="18"/>
          <w:szCs w:val="18"/>
          <w:color w:val="auto"/>
        </w:rPr>
        <w:t>The Company uses estimates to record reserves for certain liabilities, including medical claims, workers’ compensation claims, third-party loss contingencies and property taxes, among other items. The Company estimates the probable costs related to these liabilities that will be incurred and records that amount as a liability in its Consolidated Financial Statements. Additionally, the Company records, as applicable, receivables related to insurance recoveries for loss contingencies if deemed probable of recovery. These estimates are reviewed and adjusted as the facts and circumstances change. The Company records legal costs related to defending claims as they are incurred.</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Advertising Costs — </w:t>
      </w:r>
      <w:r>
        <w:rPr>
          <w:rFonts w:ascii="Times New Roman" w:cs="Times New Roman" w:eastAsia="Times New Roman" w:hAnsi="Times New Roman"/>
          <w:sz w:val="18"/>
          <w:szCs w:val="18"/>
          <w:color w:val="auto"/>
        </w:rPr>
        <w:t>Advertising costs are expensed at the time such advertising commences. Advertising expense for the years ended July 31, 2024,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2022 was $49.8 million, $47.2 million and $47.7 million, respectively, and was recorded within Mountain and Lodging operating expense on the Company’s Consolidated Statement of Operations.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Income Taxes — </w:t>
      </w:r>
      <w:r>
        <w:rPr>
          <w:rFonts w:ascii="Times New Roman" w:cs="Times New Roman" w:eastAsia="Times New Roman" w:hAnsi="Times New Roman"/>
          <w:sz w:val="18"/>
          <w:szCs w:val="18"/>
          <w:color w:val="auto"/>
        </w:rPr>
        <w:t>Income tax expense includes U.S. (federal and state) and foreign income taxes. The Company’s provision for income taxes is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pre-tax income, changes in deferred tax assets and liabilities and changes in estimates with regard to uncertain tax positions. Deferred tax assets and liabilities are recorded for the estimated future tax effects of temporary differences between the tax bases of assets and liabilities and amounts reported in the accompanying Consolidated Balance Sheets and for operating loss and tax credit carrybacks or carryforwards. The change in deferred tax assets and liabilities for the period measures the deferred tax provision or benefit for the period. Effects of changes in enacted tax laws on deferred tax assets and liabilities are reflected as adjustments to the tax provision or benefit in the period of enactment. The Company’s deferred tax assets have been reduced by a valuation allowance to the extent it is deemed to be more likely than not that some or</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18"/>
          <w:szCs w:val="18"/>
          <w:color w:val="auto"/>
        </w:rPr>
        <w:t>all of the deferred tax assets will not be realized. The Company recognizes liabilities for uncertain tax positions based on a two-step process. The first step is to evaluate the tax position for recognition by determining if the weight of available evidence indicates that it is “more-likely-than-not” to be sustained, on audit, including resolution of related appeals or litigation processes, if any. The second step requires the Company to estimate and measure the largest tax benefit that is cumulatively greater than 50% likely of being realized upon ultimate settlement. Interest and penalties accrued in connection with uncertain tax positions are recognized as a component of income tax expense. See Note 10, Income Taxes, for more information.</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estimated fair values of the 6.50% Notes and the 0.0% Convertible Notes (each as defined in Note 6, Long-Term Debt) are based on quoted market prices (a Level 2 input). The estimated fair value of the EPR Secured Notes and the NRP Loan (both as defined in Note 6, Long-Term Debt) have been estimated using analyses based on current borrowing rates for comparable debt instruments with similar maturity dates (a Level 2 input). The carrying values, including any unamortized premium or discount, and estimated fair values of the 6.50% Notes, 0.0% Convertible Notes, EPR Secured Notes and NRP Loan as of July 31, 2024 are presented below (in thousands):</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7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67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4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6.50% Notes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614,982</w:t>
            </w: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 Convertible Notes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530,311</w:t>
            </w: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130,899</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182,926</w:t>
            </w:r>
          </w:p>
        </w:tc>
      </w:tr>
      <w:tr>
        <w:trPr>
          <w:trHeight w:val="229"/>
        </w:trPr>
        <w:tc>
          <w:tcPr>
            <w:tcW w:w="6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NRP Loan</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37,305</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31,809</w:t>
            </w: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for all other material financial instruments not included in the above table approximate their respective fair value due to their short-term nature or the variable nature of their associated interest rates.</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 </w:t>
      </w:r>
      <w:r>
        <w:rPr>
          <w:rFonts w:ascii="Times New Roman" w:cs="Times New Roman" w:eastAsia="Times New Roman" w:hAnsi="Times New Roman"/>
          <w:sz w:val="18"/>
          <w:szCs w:val="18"/>
          <w:color w:val="auto"/>
        </w:rPr>
        <w:t>Stock-based compensation expense is measured at the grant date based upon the estimated fair value of the award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as expense over the applicable vesting period of the award generally using the straight-line method (see Note 14, Stock Compensation Plan, for more information). Forfeitures are recorded as they occur. The following table shows total net stock-based compensation expense for the years ended July 31, 2024, 2023 and 2022 included on the accompanying Consolidated Statements of Operations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0"/>
        </w:trPr>
        <w:tc>
          <w:tcPr>
            <w:tcW w:w="59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7"/>
                <w:szCs w:val="17"/>
                <w:color w:val="auto"/>
              </w:rPr>
            </w:pPr>
          </w:p>
        </w:tc>
        <w:tc>
          <w:tcPr>
            <w:tcW w:w="1340" w:type="dxa"/>
            <w:vAlign w:val="bottom"/>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stock-based compensation expense</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21,242</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20,892</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stock-based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stock-based compensation expense</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23"/>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Pre-tax stock-based compensation expense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26,803</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w:t>
            </w:r>
          </w:p>
        </w:tc>
        <w:tc>
          <w:tcPr>
            <w:tcW w:w="4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24,885</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benefit from income taxes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4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6,189</w:t>
            </w:r>
          </w:p>
        </w:tc>
      </w:tr>
      <w:tr>
        <w:trPr>
          <w:trHeight w:val="230"/>
        </w:trPr>
        <w:tc>
          <w:tcPr>
            <w:tcW w:w="5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stock-based compensation expense</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18,696</w:t>
            </w:r>
          </w:p>
        </w:tc>
      </w:tr>
    </w:tbl>
    <w:p>
      <w:pPr>
        <w:spacing w:after="0" w:line="2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Concentration of Credit Risk — </w:t>
      </w:r>
      <w:r>
        <w:rPr>
          <w:rFonts w:ascii="Times New Roman" w:cs="Times New Roman" w:eastAsia="Times New Roman" w:hAnsi="Times New Roman"/>
          <w:sz w:val="18"/>
          <w:szCs w:val="18"/>
          <w:color w:val="auto"/>
        </w:rPr>
        <w:t>The Company’s financial instruments that are exposed to concentrations of credit risk consist primarily of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and restricted cash. The Company places its cash and cash investments in accounts with high-quality credit institutions. The Company does not enter into financial instruments for trading or speculative purposes. Concentration of credit risk with respect to accounts and notes receivables is limited due to the wide variety of customers and markets in which the Company conducts business, as well as their dispersion across many geographical areas. The Company performs ongoing credit evaluations of its customers and generally does not require collateral, but does require advance deposits on certain transactions.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Accounting for Hedging Instruments — </w:t>
      </w:r>
      <w:r>
        <w:rPr>
          <w:rFonts w:ascii="Times New Roman" w:cs="Times New Roman" w:eastAsia="Times New Roman" w:hAnsi="Times New Roman"/>
          <w:sz w:val="18"/>
          <w:szCs w:val="18"/>
          <w:color w:val="auto"/>
        </w:rPr>
        <w:t>From time to time, the Company enters into interest rate swaps to hedge the variability in cash flows associated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variable-rate borrowings by converting the floating interest rate to a fixed interest rate (the “Interest Rate Swaps”). As of July 31, 2024, the Company hedged the future cash flows associated with $400.0 million of the principal amount outstanding of its Vail Holdings Credit Agreement (as defined in Note 6, Long-Term Debt), which were designated as cash flow hedges. These interest rate swaps expired on September 23, 2024.The accounting for changes in fair value of hedging instruments depends on the effectiveness of the hedge. In order to qualify for hedge accounting, the underlying hedged item must expose the Company to risks associated with market fluctuations and the financial instrument used must reduce the Company’s exposure to market fluctuation throughout the hedge period. Changes in estimated fair value of the Interest Rate Swaps are recorded within change in estimated fair value of hedging instruments, net of tax, on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Company’s Consolidated Statements of Comprehensive Income, and such change was recorded as a (loss) gain of $(11.1) million, $3.7 million and $18.9 million during the years ended July 31, 2024, 2023 and 2022, respectively. Amounts are reclassified into interest expense, net from other comprehensive income during the period in which the hedged item affects earnings. During the years ended July 31, 2024, 2023 and 2022, gains (losses) of $16.1 million, $11.0 million and $(4.3) million, respectively, were reclassified into interest expense, net from other comprehensive income. See Note 9, Fair Value Measurements, for more information.</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Leases — </w:t>
      </w:r>
      <w:r>
        <w:rPr>
          <w:rFonts w:ascii="Times New Roman" w:cs="Times New Roman" w:eastAsia="Times New Roman" w:hAnsi="Times New Roman"/>
          <w:sz w:val="18"/>
          <w:szCs w:val="18"/>
          <w:color w:val="auto"/>
        </w:rPr>
        <w:t>The Company determines if an arrangement is or contains a lease at inception or modification of the arrangement. An arrangement is or contains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lease if there is one or more assets identified and the right to control the use of any identified asset is conveyed to the Company for a period of time in exchange for consideration. Control over the use of an identified asset means the lessee has both the right to obtain substantially all of the economic benefits from the use of the asset and the right to direct the use of the asset. Generally, the Company classifies a lease as a finance lease if the terms of the agreement effectively transfer control of the underlying asset; otherwise, it is classified as an operating lease. For contracts that contain lease and non-lease components, the Company accounts for these components separately. For leases with terms greater than twelve months, the associated lease right-of-use (“ROU”) assets and lease liabilities are recognized at the estimated present value of future lease payments over the lease term at commencement date. The Company’s leases do not provide a readily determinable implicit rate; therefore, the Company uses an estimated incremental borrowing rate to discount the future minimum lease payments. For leases containing fixed rental escalation clauses, the escalators are factored into the determination of future minimum lease payments. The Company includes options to extend a lease when it is reasonably certain that such options will be exercised. Lease expense for minimum lease payments is recognized on a straight-line basis over the lease term. See Note 4, Leases, for more information.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Use of Estimates —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(“GAAP”) requires management to make estimates and assumptions that affect the reported amounts of assets and liabilities, the disclosure of contingent assets and liabilities at the balance sheet date and the reported amounts of revenue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Being Evaluated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2023, the Financial Accounting Standards Board (the “FASB”) issued Accounting Standards Update (“ASU”) 2023-07, “Segment Reporting (Topic 280): Improvements to Reportable Segment Disclosures,” which is intended to improve reportable segment disclosures, primarily through incorporating enhanced segment disclosure requirements set forth by the Securities and Exchange Commission into U.S. GAAP. The enhanced disclosures will primarily require public entities to include specific disclosures regarding “significant expenses” that are regularly provided to or easily computed from information provided to the chief operating decision maker (“CODM”) and included within segment profit and loss. This ASU also requires that a public entity disclose the title and position of the CODM and an explanation of how the CODM uses the reported measure(s) of segment profit or loss. ASU 2023-07 is effective for fiscal years beginning after December 15, 2023 (the Company’s fiscal year ending July 31, 2025), and interim periods within fiscal years beginning after December 15, 2024 (the Company’s fiscal quarter ending October 31, 2025), with early adoption permitted. The Company will adopt the standard during the fourth quarter of its fiscal year ending July 31, 2025 and is in the process of evaluating the effect that the adoption of this standard will have on its Consolidated Financial Statements.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includes amendments that further enhance the transparency and decision usefulness of income tax disclosures, primarily through standardization and disaggregation of rate reconciliation categories and income taxes paid by jurisdiction. This update is effective for annual periods beginning after December 15, 2024 (the Company’s fiscal year ending July 31, 2026), though early adoption is permitted. The Company is in the process of evaluating the effect that the adoption of this standard will have on its Consolidated Financial Statements, including determining the timing of adoption.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8" w:name="page79"/>
    <w:bookmarkEnd w:id="78"/>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provides information about the Company’s composition of revenue recognized from contracts with customers and other revenues, the performance obligations under those contracts, and the significant judgments made in accounting for those contracts:</w:t>
      </w:r>
    </w:p>
    <w:p>
      <w:pPr>
        <w:spacing w:after="0" w:line="54" w:lineRule="exact"/>
        <w:rPr>
          <w:sz w:val="20"/>
          <w:szCs w:val="20"/>
          <w:color w:val="auto"/>
        </w:rPr>
      </w:pPr>
    </w:p>
    <w:p>
      <w:pPr>
        <w:jc w:val="both"/>
        <w:ind w:left="660" w:hanging="328"/>
        <w:spacing w:after="0" w:line="25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Mountain revenue is derived from a wide variety of sources, including, among other things: lift revenue, which includes sales of lift tickets and pass products; ski school revenue, which includes the revenue derived from ski school operations; dining revenue, which includes both casual and fine dining on-mountain operations; retail sales and equipment rentals; and other on-mountain revenue, which includes private ski club revenue (which includes both club dues and amortization of initiation fees), marketing revenue, municipal services and lodging and transportation operations at the Company’s Australian ski areas. The Company also includes other sources of revenue, primarily related to commercial leasing and employee housing leasing arrangements, within other mountain revenue. Revenue is recognized over time as performance obligations are satisfied as control of the good or service (e.g. access to ski areas, provision of ski school services, etc.) is transferred to the customer, except for the Company’s retail sales and dining operations revenues which are recognized at a point in time when performance obligations are satisfied by transferring control of the underlying goods to the customer. The Company records deferred revenue primarily related to the sale of pass products. Deferred revenue is generally recognized throughout the ski season as the Company’s performance obligations are satisfied as control of the service (e.g. access to ski areas throughout the ski season) is transferred to the customer. The Company estimates progress towards satisfaction of its performance obligations using an output method that best depicts the transfer of control of the service to its customers, which is based on the number of skiable days in the ski season relative to the estimated total skiable days in the ski season, and which effectively results in revenue being recorded on a straight-line basis throughout the ski season. Total estimated skiable days is based on actual resort opening and estimated closing dates. The Company believes this method best estimates the value transferred to the customer relative to the remaining services promised under the contract.</w:t>
      </w:r>
    </w:p>
    <w:p>
      <w:pPr>
        <w:spacing w:after="0" w:line="86"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Epic Coverage is included with the purchase of all pass products for no additional charge, and offers refunds if certain personal or resort closure events occur before or during the ski season. The estimated amount of refunds reduce the amount of pass product revenue recognized by the Company, and is remeasured at each reporting date.</w:t>
      </w:r>
    </w:p>
    <w:p>
      <w:pPr>
        <w:spacing w:after="0" w:line="67"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Epic Mountain Rewards provides pass product holders a discount on ancillary purchases at the Company’s North American owned and operated Resorts. Epic Mountain Rewards constitutes an option to purchase additional products and services at a discount, and as a result, the Company allocates a portion of the pass product transaction price to these other lines of business which is recorded as revenue as discounts occur.</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Lodging revenue is derived from a wide variety of sources, including, among other things: revenue from owned hotel rooms and managed hotel rooms; revenue from hotel dining operations; transportation revenue which relates to the Company’s Colorado resort ground transportation operations; and other lodging revenue which includes property management services, managed properties other costs reimbursements, private golf club revenue (which includes both club dues and amortization of initiation fees) and golf course fees. Lodging revenue also includes managed hotel property payroll cost reimbursements related to payroll costs at managed properties where the Company is the employer, which are reimbursed by the owner with no added margin. Therefore, these revenues and corresponding expenses have no net effect on the Company’s operating income or net income. Other than revenue from dining operations, lodging revenue is mostly recognized over time as performance obligations are satisfied as control of the service (e.g. nightly hotel room access) is transferred to the customer.</w:t>
      </w:r>
    </w:p>
    <w:p>
      <w:pPr>
        <w:spacing w:after="0" w:line="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revenue primarily relates to the sale of development land parcels. Real estate revenue is generally recognized at a point in time when performance obligations have been satisfied, which is usually upon closing of the sales transaction and in an amount that reflects the consideration to which the Company expects to be entitled.</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contracts that have an original term length of one year or less, the Company uses the practical expedient applicable to such contracts and does not consider the time value of money. For contracts with an expected term in excess of one year, the Company has considered whether such contracts may contain a financing component. Taxes collected from customers and remitted to governmental authorities are generally excluded from revenue on the accompanying Consolidated Statements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years ended July 31, 2024, 2023 and 2022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6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38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1,442,784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1,420,900</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1,310,213</w:t>
            </w: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304,548</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287,275</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223,645</w:t>
            </w:r>
          </w:p>
        </w:tc>
      </w:tr>
      <w:tr>
        <w:trPr>
          <w:trHeight w:val="230"/>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227,572</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224,642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163,705</w:t>
            </w: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317,196</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361,484</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311,768</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252,270</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246,605</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203,783</w:t>
            </w:r>
          </w:p>
        </w:tc>
      </w:tr>
      <w:tr>
        <w:trPr>
          <w:trHeight w:val="223"/>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2,544,370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2,540,906</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2,213,114</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83,977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80,117</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80,579</w:t>
            </w:r>
          </w:p>
        </w:tc>
      </w:tr>
      <w:tr>
        <w:trPr>
          <w:trHeight w:val="229"/>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86,199</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96,785</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97,704</w:t>
            </w:r>
          </w:p>
        </w:tc>
      </w:tr>
      <w:tr>
        <w:trPr>
          <w:trHeight w:val="230"/>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63,255</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62,445</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48,569</w:t>
            </w:r>
          </w:p>
        </w:tc>
      </w:tr>
      <w:tr>
        <w:trPr>
          <w:trHeight w:val="229"/>
        </w:trPr>
        <w:tc>
          <w:tcPr>
            <w:tcW w:w="6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Transportation</w:t>
            </w:r>
          </w:p>
        </w:tc>
        <w:tc>
          <w:tcPr>
            <w:tcW w:w="360" w:type="dxa"/>
            <w:vAlign w:val="bottom"/>
          </w:tcPr>
          <w:p>
            <w:pPr>
              <w:spacing w:after="0"/>
              <w:rPr>
                <w:sz w:val="19"/>
                <w:szCs w:val="19"/>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16,309</w:t>
            </w:r>
          </w:p>
        </w:tc>
        <w:tc>
          <w:tcPr>
            <w:tcW w:w="200" w:type="dxa"/>
            <w:vAlign w:val="bottom"/>
          </w:tcPr>
          <w:p>
            <w:pPr>
              <w:spacing w:after="0"/>
              <w:rPr>
                <w:sz w:val="19"/>
                <w:szCs w:val="19"/>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15,242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16,021</w:t>
            </w:r>
          </w:p>
        </w:tc>
      </w:tr>
      <w:tr>
        <w:trPr>
          <w:trHeight w:val="230"/>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13,722</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12,737</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10,975</w:t>
            </w:r>
          </w:p>
        </w:tc>
      </w:tr>
      <w:tr>
        <w:trPr>
          <w:trHeight w:val="229"/>
        </w:trPr>
        <w:tc>
          <w:tcPr>
            <w:tcW w:w="6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56,368</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55,816</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46,500</w:t>
            </w:r>
          </w:p>
        </w:tc>
      </w:tr>
      <w:tr>
        <w:trPr>
          <w:trHeight w:val="223"/>
        </w:trPr>
        <w:tc>
          <w:tcPr>
            <w:tcW w:w="65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319,830</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323,142</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300,348</w:t>
            </w:r>
          </w:p>
        </w:tc>
      </w:tr>
      <w:tr>
        <w:trPr>
          <w:trHeight w:val="229"/>
        </w:trPr>
        <w:tc>
          <w:tcPr>
            <w:tcW w:w="6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16,287</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17,251</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11,742</w:t>
            </w:r>
          </w:p>
        </w:tc>
      </w:tr>
      <w:tr>
        <w:trPr>
          <w:trHeight w:val="223"/>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336,117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340,393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312,090</w:t>
            </w:r>
          </w:p>
        </w:tc>
      </w:tr>
      <w:tr>
        <w:trPr>
          <w:trHeight w:val="223"/>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2,880,487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2,881,299</w:t>
            </w:r>
          </w:p>
        </w:tc>
        <w:tc>
          <w:tcPr>
            <w:tcW w:w="4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2,525,204</w:t>
            </w:r>
          </w:p>
        </w:tc>
      </w:tr>
      <w:tr>
        <w:trPr>
          <w:trHeight w:val="230"/>
        </w:trPr>
        <w:tc>
          <w:tcPr>
            <w:tcW w:w="6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4,704</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8,065</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6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2,885,191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2,889,364</w:t>
            </w:r>
          </w:p>
        </w:tc>
        <w:tc>
          <w:tcPr>
            <w:tcW w:w="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2,525,912</w:t>
            </w: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the Company’s contracts with customers include multiple performance obligations, primarily related to bundled services such as ski school packages, lodging packages and events (e.g. weddings and conferences). For such contracts, revenue is allocated to each distinct and separate performance obligation based on its relative standalone selling price. The standalone selling prices are generally based on observable prices charged to customers or estimated based on historical experience and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Contract liabilities are recorded primarily as deferred revenues when payments are received or due in advance of the Company’s performance, including amounts which may be refundable. The deferred revenue balance is primarily related to accounts receivable or cash payments recorded in advance of satisfying the Company’s performance obligations related to sales of pass products prior to the start of the ski season, private club initiation fees and other related advance purchase products, including advance purchase lift tickets, multiple-day lift tickets, ski school lessons, equipment rentals and lodging advance deposits. Due to the seasonality of the Company’s operations, its largest deferred revenue balances occur during the North American pass product selling window, which generally begins in the third quarter of its fiscal year. Deferred revenue balances of a short-term nature were $575.8 million and $572.6 million as of July 31, 2024 and 2023, respectively. For the year ended July 31, 2024, the Company recognized approximately $547.0 million of net revenue that was included in the deferred revenue balance as of July 31, 2023. Deferred revenue balances of a long-term nature, comprised primarily of long-term private club initiation fee revenue, were $104.9 million and $109.7 million as of July 31, 2024 and 2023, respectively. As of July 31, 2024, the weighted average remaining period over which revenue for unsatisfied performance obligations on long-term private club contracts will be recognized was approximately 15 years.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are recorded as trade receivables when the right to consideration is unconditional. Payments from customers are based on billing terms established in the contracts with customers, which vary by the type of customer, the location and the products or services offered. The term between invoicing and when payment is due is not significant. For certain products or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services and customer types, contracts require payment before the products are delivered or services are provided to the customer. Impairment losses related to contract assets are recognized through the Company’s allowance for doubtful accounts analysis. Contract asset write-offs are evaluated on an individual basis.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that credit card fees and sales commissions paid in order to obtain season ski pass products contracts are recoverable. Accordingly, the Company records these amounts as assets when they are paid prior to the start of the ski season.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2024, $5.2 million of costs to obtain contracts with customers were recorded within other current assets on the Company’s Consolidated Balance Sheet. Deferred credit card fees and sales commissions are amortized commensurate with the recognition of pass product revenue. The Company recorded amortization of $28.6 million, $25.2 million and $22.1 million for these costs during the years ended July 31, 2024, 2023 and 2022, respectively, which were recorded within Mountain and Lodging operating expense on the accompanying Consolidated Statement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elected to expense credit card fees and sales commissions related to non-pass products and services as incurred, as the amortization period is generally one year or less for the time between customer purchase and utilization. These fees are recorded within Mountain and Lodging operating expense on the Company’s Consolidated Statements of Operations.</w:t>
      </w:r>
    </w:p>
    <w:p>
      <w:pPr>
        <w:spacing w:after="0" w:line="17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operating leases consist primarily of resort land and land improvements, commercial and retail space, office space, employee residential units, vehicles and other equipment. The Company determines if an arrangement is or contains a lease at contract inception or modification. The Company’s lease contracts generally range from 1 year to approximately 70 years, with some lease contracts containing one or more lease extension options, exercisable at the Company’s discretion. The Company generally does not include these lease extension options in the initial lease term as it is not reasonably certain that it will exercise such options at contract inception. In addition, certain lease arrangements contain fixed and variable lease payments. The variable lease payments are primarily contingent rental payments based on: (i) a percentage of revenue related to the leased property; (ii) payments based on a percentage of sales over contractual levels; or (iii) lease payments adjusted for changes in an index or market value. These variable lease payments are typically recognized when the underlying event occurs and are included in operating expenses on the Company’s Consolidated Statements of Operations in the same line item as the expense arising from the respective fixed lease payments. The Company’s lease agreements may also include non-lease components, such as common area maintenance and insurance, which are accounted for separately. Future lease payments that are contingent or represent non-lease components are not included in the measurement of the operating lease liability. The Company’s lease agreements do not contain any material residual value guarantees or restrictive covenants. Lease expense related to lease payments is recognized on a straight-line basis over the term of the lease.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leases do not provide a readily determinable implicit rate. As a result, the Company measures the lease liability using an estimated incremental borrowing rate which is intended to reflect the rate of interest the Company would pay on a collateralized basis to borrow an amount equal to the lease payments under similar terms. The Company applies the estimated incremental borrowing rates at a portfolio level based on the economic environment associated with the lease.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uses the long-lived assets impairment guidance to determine recognition and measurement of an ROU asset impairment, if any. The Company monitors for events or changes in circumstances that require a reassessment.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July 31, 2024, 2023 and 2022 were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56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3"/>
        </w:trPr>
        <w:tc>
          <w:tcPr>
            <w:tcW w:w="5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5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the finance ROU assets</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11,811</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11,701</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41,258</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40,098</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35,881</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expense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45,385</w:t>
            </w:r>
          </w:p>
        </w:tc>
        <w:tc>
          <w:tcPr>
            <w:tcW w:w="5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43,295</w:t>
            </w:r>
          </w:p>
        </w:tc>
      </w:tr>
      <w:tr>
        <w:trPr>
          <w:trHeight w:val="229"/>
        </w:trPr>
        <w:tc>
          <w:tcPr>
            <w:tcW w:w="51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Short-term lease expense </w:t>
            </w:r>
            <w:r>
              <w:rPr>
                <w:rFonts w:ascii="Times New Roman" w:cs="Times New Roman" w:eastAsia="Times New Roman" w:hAnsi="Times New Roman"/>
                <w:sz w:val="23"/>
                <w:szCs w:val="23"/>
                <w:color w:val="auto"/>
                <w:vertAlign w:val="superscript"/>
              </w:rPr>
              <w:t>(1)</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22,434</w:t>
            </w:r>
          </w:p>
        </w:tc>
        <w:tc>
          <w:tcPr>
            <w:tcW w:w="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22,759</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15,614</w:t>
            </w:r>
          </w:p>
        </w:tc>
      </w:tr>
      <w:tr>
        <w:trPr>
          <w:trHeight w:val="230"/>
        </w:trPr>
        <w:tc>
          <w:tcPr>
            <w:tcW w:w="51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Variable lease expense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3,204</w:t>
            </w:r>
          </w:p>
        </w:tc>
        <w:tc>
          <w:tcPr>
            <w:tcW w:w="5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w:t>
            </w:r>
          </w:p>
        </w:tc>
      </w:tr>
    </w:tbl>
    <w:p>
      <w:pPr>
        <w:spacing w:after="0" w:line="117" w:lineRule="exact"/>
        <w:rPr>
          <w:sz w:val="20"/>
          <w:szCs w:val="20"/>
          <w:color w:val="auto"/>
        </w:rPr>
      </w:pPr>
    </w:p>
    <w:p>
      <w:pPr>
        <w:ind w:left="340" w:right="20" w:hanging="8"/>
        <w:spacing w:after="0" w:line="229" w:lineRule="auto"/>
        <w:tabs>
          <w:tab w:leader="none" w:pos="540"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Short-term lease expense is attributable to leases with terms of 12 months or less and no ROU assets or lease liabilities are included within the Company’s Consolidated Balance Sheets.</w:t>
      </w:r>
    </w:p>
    <w:p>
      <w:pPr>
        <w:spacing w:after="0" w:line="1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supplemental cash flow information associated with the Company’s leasing activities for the years ended July 31, 2024, 2023 and 2022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supplemental information:</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outflows for operating and short-term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64,724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65,216</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59,818</w:t>
            </w: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Operating cash outflows for lease- and non-lease components of</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54,469</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54,788</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37,573</w:t>
            </w:r>
          </w:p>
        </w:tc>
      </w:tr>
      <w:tr>
        <w:trPr>
          <w:trHeight w:val="229"/>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supplemental information:</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Operating ROU assets obtained in exchange for operating lease</w:t>
            </w: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106,501</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30,342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23,190</w:t>
            </w:r>
          </w:p>
        </w:tc>
      </w:tr>
      <w:tr>
        <w:trPr>
          <w:trHeight w:val="175"/>
        </w:trPr>
        <w:tc>
          <w:tcPr>
            <w:tcW w:w="5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Finance ROU assets obtained in exchange for finance lease</w:t>
            </w: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243"/>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obligations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14,093</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39,114</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07"/>
        </w:trPr>
        <w:tc>
          <w:tcPr>
            <w:tcW w:w="7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Weighted-average remaining lease terms and discount rates as of July 31, 2024 and 2023 are as follows:</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5"/>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400" w:type="dxa"/>
            <w:vAlign w:val="bottom"/>
          </w:tcPr>
          <w:p>
            <w:pPr>
              <w:spacing w:after="0"/>
              <w:rPr>
                <w:sz w:val="24"/>
                <w:szCs w:val="24"/>
                <w:color w:val="auto"/>
              </w:rPr>
            </w:pPr>
          </w:p>
        </w:tc>
        <w:tc>
          <w:tcPr>
            <w:tcW w:w="16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July 31, 2023</w:t>
            </w:r>
          </w:p>
        </w:tc>
      </w:tr>
      <w:tr>
        <w:trPr>
          <w:trHeight w:val="23"/>
        </w:trPr>
        <w:tc>
          <w:tcPr>
            <w:tcW w:w="5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11.0</w:t>
            </w:r>
          </w:p>
        </w:tc>
        <w:tc>
          <w:tcPr>
            <w:tcW w:w="4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9"/>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36.0</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5.8 %</w:t>
            </w:r>
          </w:p>
        </w:tc>
        <w:tc>
          <w:tcPr>
            <w:tcW w:w="4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r>
      <w:tr>
        <w:trPr>
          <w:trHeight w:val="230"/>
        </w:trPr>
        <w:tc>
          <w:tcPr>
            <w:tcW w:w="5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9.9 %</w:t>
            </w:r>
          </w:p>
        </w:tc>
        <w:tc>
          <w:tcPr>
            <w:tcW w:w="4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858"/>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1373"/>
              <w:spacing w:after="0"/>
              <w:rPr>
                <w:sz w:val="20"/>
                <w:szCs w:val="20"/>
                <w:color w:val="auto"/>
              </w:rPr>
            </w:pPr>
            <w:r>
              <w:rPr>
                <w:rFonts w:ascii="Times New Roman" w:cs="Times New Roman" w:eastAsia="Times New Roman" w:hAnsi="Times New Roman"/>
                <w:sz w:val="18"/>
                <w:szCs w:val="18"/>
                <w:color w:val="auto"/>
              </w:rPr>
              <w:t>80</w:t>
            </w: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2" w:name="page83"/>
    <w:bookmarkEnd w:id="82"/>
    <w:p>
      <w:pPr>
        <w:jc w:val="both"/>
        <w:spacing w:after="0" w:line="282" w:lineRule="auto"/>
        <w:rPr>
          <w:sz w:val="20"/>
          <w:szCs w:val="20"/>
          <w:color w:val="auto"/>
        </w:rPr>
      </w:pPr>
      <w:r>
        <w:rPr>
          <w:rFonts w:ascii="Times New Roman" w:cs="Times New Roman" w:eastAsia="Times New Roman" w:hAnsi="Times New Roman"/>
          <w:sz w:val="18"/>
          <w:szCs w:val="18"/>
          <w:color w:val="auto"/>
        </w:rPr>
        <w:t>Future fixed lease payments for operating and finance leases as of July 31, 2024 reflected by fiscal year (August 1 through July 31)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7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60" w:type="dxa"/>
            <w:vAlign w:val="bottom"/>
          </w:tcPr>
          <w:p>
            <w:pPr>
              <w:spacing w:after="0"/>
              <w:rPr>
                <w:sz w:val="16"/>
                <w:szCs w:val="16"/>
                <w:color w:val="auto"/>
              </w:rPr>
            </w:pPr>
          </w:p>
        </w:tc>
        <w:tc>
          <w:tcPr>
            <w:tcW w:w="16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50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50,284</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37,253</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20" w:type="dxa"/>
            <w:vAlign w:val="bottom"/>
          </w:tcPr>
          <w:p>
            <w:pPr>
              <w:spacing w:after="0"/>
              <w:rPr>
                <w:sz w:val="19"/>
                <w:szCs w:val="19"/>
                <w:color w:val="auto"/>
              </w:rPr>
            </w:pPr>
          </w:p>
        </w:tc>
        <w:tc>
          <w:tcPr>
            <w:tcW w:w="1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46,337</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37,447</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41,961</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37,647</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20" w:type="dxa"/>
            <w:vAlign w:val="bottom"/>
          </w:tcPr>
          <w:p>
            <w:pPr>
              <w:spacing w:after="0"/>
              <w:rPr>
                <w:sz w:val="19"/>
                <w:szCs w:val="19"/>
                <w:color w:val="auto"/>
              </w:rPr>
            </w:pPr>
          </w:p>
        </w:tc>
        <w:tc>
          <w:tcPr>
            <w:tcW w:w="17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36,095</w:t>
            </w:r>
          </w:p>
        </w:tc>
        <w:tc>
          <w:tcPr>
            <w:tcW w:w="3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37,644</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30,038</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38,900</w:t>
            </w:r>
          </w:p>
        </w:tc>
      </w:tr>
      <w:tr>
        <w:trPr>
          <w:trHeight w:val="23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166,347</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1,696,212</w:t>
            </w:r>
          </w:p>
        </w:tc>
      </w:tr>
      <w:tr>
        <w:trPr>
          <w:trHeight w:val="223"/>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371,062</w:t>
            </w:r>
          </w:p>
        </w:tc>
        <w:tc>
          <w:tcPr>
            <w:tcW w:w="3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1,885,103</w:t>
            </w:r>
          </w:p>
        </w:tc>
      </w:tr>
      <w:tr>
        <w:trPr>
          <w:trHeight w:val="229"/>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2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(104,986)</w:t>
            </w:r>
          </w:p>
        </w:tc>
        <w:tc>
          <w:tcPr>
            <w:tcW w:w="3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(1,467,013)</w:t>
            </w:r>
          </w:p>
        </w:tc>
      </w:tr>
      <w:tr>
        <w:trPr>
          <w:trHeight w:val="230"/>
        </w:trPr>
        <w:tc>
          <w:tcPr>
            <w:tcW w:w="50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266,076</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418,090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current portion of operating lease liabilities of approximately $32.6 million and $36.9 million as of July 31, 2024 and 2023, respectively, is recorded within accounts payables and accrued liabilities in the accompanying Consolidated Balance Sheets. Finance lease liabilities are recorded within long-term debt, net in the accompanying Consolidated Balance Sheets.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Canyons finance lease obligation was $369.1 million and $363.4 million as of July 31, 2024 and 2023, respectively, which represents the estimated annual fixed lease payments for the remaining period of the initial 50 year term of the lease assuming annual increases at the floor of 2% and discounted using an interest rate of 10%. As of July 31, 2024 and 2023, respectively, the Company has recorded $81.9 million and $90.2 million of net finance lease ROU assets in connection with the Canyons lease, net of $101.7 million and $93.4 million of accumulated amortization, which is included within property, plant and equipment, net in the Company’s Consolidated Balance Sheets.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Whistler Blackcomb employee housing finance lease obligation was $27.9 million and $29.5 million as of July 31, 2024 and 2023, respectively, which represents the minimum lease payments for the remaining period of the initial 20 year term of the lease, net of amounts representing interest, discounted using an interest rate of 6.95%. As of July 31, 2024 and 2023, respectively, the Company has recorded $25.7 million and $27.5 million of net finance lease ROU assets in connection with these leases, net of $2.5 million and $1.1 million of accumulated amortization, which is included within property, plant and equipment, net in the Company’s Consolidated Balance Sheet.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year ended July 31, 2024, the Company reassessed its lease agreements for the operations of Northstar Resort (“Northstar”), for which the initial lease terms expire in January 2027 and the agreements provide for three 10-year optional lease extensions. Prior to the year ended July 31, 2024, the Company had not determined that it was reasonably certain to exercise any of the optional lease extensions for Northstar and, accordingly, only the initial lease terms were considered in the measurement of the ROU assets and lease liabilities. During the year ended July 31, 2024, due to near-term operating decisions which would be influenced by the decision to extend the lease, the Company reassessed the lease extensions and determined that it was reasonably certain that it will exercise the first of its 10-year optional lease extensions at Northstar, and as a result, the Company recorded incremental operating ROU assets and operating lease liabilities of $75.7 million each. Additionally, the Company recorded finance lease ROU assets of $13.1 million and finance lease obligations of $12.8 million as of July 31, 2024, which represent the minimum lease payments for the remaining 13 year reassessed term of the lease, net of amounts representing interest, related to assets for which the Company determined that the remaining reassessed lease term represented a major part of the remaining economic life of such assets. As of the remeasurement date for the Northstar leases, the ROU assets and liabilities were discounted using an interest rate of 6.6%.</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Company’s acquisition of Whistler Blackcomb in October 2016, the Company issued consideration in the form of shares of Vail Resorts common stock (the “Vail Shares”), redeemable preferred shares of the Company’s wholly-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owned Canadian subsidiary Whistler Blackcomb Holdings Inc. (“Exchangeco Shares”) or cash (or a combination thereof). Effective September 26, 2022, all Exchangeco Shares had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as of July 31, 2023 included the Exchangeco Shares for the period they were outstanding during the fiscal year, but there were no Exchangeco Shares that remained outstanding as of July 31,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years ended July 31, 2024, 2023 and 2022 (in thousands, except per share amounts):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gridSpan w:val="3"/>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3"/>
        </w:trPr>
        <w:tc>
          <w:tcPr>
            <w:tcW w:w="4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0"/>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820" w:type="dxa"/>
            <w:vAlign w:val="bottom"/>
          </w:tcPr>
          <w:p>
            <w:pPr>
              <w:spacing w:after="0"/>
              <w:rPr>
                <w:sz w:val="17"/>
                <w:szCs w:val="17"/>
                <w:color w:val="auto"/>
              </w:rPr>
            </w:pPr>
          </w:p>
        </w:tc>
      </w:tr>
      <w:tr>
        <w:trPr>
          <w:trHeight w:val="23"/>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4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40" w:type="dxa"/>
            <w:vAlign w:val="bottom"/>
          </w:tcPr>
          <w:p>
            <w:pPr>
              <w:spacing w:after="0"/>
              <w:rPr>
                <w:sz w:val="18"/>
                <w:szCs w:val="18"/>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60" w:type="dxa"/>
            <w:vAlign w:val="bottom"/>
          </w:tcPr>
          <w:p>
            <w:pPr>
              <w:spacing w:after="0"/>
              <w:rPr>
                <w:sz w:val="18"/>
                <w:szCs w:val="18"/>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4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260" w:type="dxa"/>
            <w:vAlign w:val="bottom"/>
          </w:tcPr>
          <w:p>
            <w:pPr>
              <w:spacing w:after="0"/>
              <w:rPr>
                <w:sz w:val="18"/>
                <w:szCs w:val="18"/>
                <w:color w:val="auto"/>
              </w:rPr>
            </w:pPr>
          </w:p>
        </w:tc>
        <w:tc>
          <w:tcPr>
            <w:tcW w:w="7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260" w:type="dxa"/>
            <w:vAlign w:val="bottom"/>
          </w:tcPr>
          <w:p>
            <w:pPr>
              <w:spacing w:after="0"/>
              <w:rPr>
                <w:sz w:val="18"/>
                <w:szCs w:val="18"/>
                <w:color w:val="auto"/>
              </w:rPr>
            </w:pPr>
          </w:p>
        </w:tc>
        <w:tc>
          <w:tcPr>
            <w:tcW w:w="8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3"/>
        </w:trPr>
        <w:tc>
          <w:tcPr>
            <w:tcW w:w="4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230,405</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230,405</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268,148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268,148</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347,923</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347,923</w:t>
            </w: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Vail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40,433</w:t>
            </w:r>
          </w:p>
        </w:tc>
      </w:tr>
      <w:tr>
        <w:trPr>
          <w:trHeight w:val="22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Exchangeco shares outstanding</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Weighted-average shares outstanding</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40,465</w:t>
            </w:r>
          </w:p>
        </w:tc>
      </w:tr>
      <w:tr>
        <w:trPr>
          <w:trHeight w:val="229"/>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3"/>
        </w:trPr>
        <w:tc>
          <w:tcPr>
            <w:tcW w:w="4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37,868</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2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39,760</w:t>
            </w: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40,465</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40,687</w:t>
            </w:r>
          </w:p>
        </w:tc>
      </w:tr>
      <w:tr>
        <w:trPr>
          <w:trHeight w:val="223"/>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 attributable to Vail Resorts, Inc.</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that were excluded from the calculation of diluted EPS because the effect of their inclusion would have been anti-dilutive totaled approximately 12,000, 22,000 and 6,000 for the years ended July 31, 2024, 2023 and 2022, respectively.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2020, the Company completed an offering of $575.0 million in aggregate principal amount of 0.0% Convertible Notes (as defined in Note 6,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years ended July 31, 2024, 2023 and 2022, the price of Vail Shares did not exceed the conversion price and therefore there was no impact to diluted EPS during those periods.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July 31, 2024, 2023, and 2022 the Company paid cash dividends of $8.56 per share, $7.94 per share, and $5.58 per share, respectively ($323.7 million, $314.4 million, and $225.8 million respectively, including cash dividends paid to Exchangeco shareholders). On September 25, 2024, the Company’s Board of Directors approved a cash dividend of $2.22 per share payable on October 24, 2024 to stockholders of record as of October 8, 2024.</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4" w:name="page85"/>
    <w:bookmarkEnd w:id="84"/>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as of July 31, 2024 and 2023 is summarized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840" w:type="dxa"/>
            <w:vAlign w:val="bottom"/>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600" w:type="dxa"/>
            <w:vAlign w:val="bottom"/>
          </w:tcPr>
          <w:p>
            <w:pPr>
              <w:spacing w:after="0"/>
              <w:rPr>
                <w:sz w:val="13"/>
                <w:szCs w:val="13"/>
                <w:color w:val="auto"/>
              </w:rPr>
            </w:pP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400" w:type="dxa"/>
            <w:vAlign w:val="bottom"/>
          </w:tcPr>
          <w:p>
            <w:pPr>
              <w:spacing w:after="0"/>
              <w:rPr>
                <w:sz w:val="13"/>
                <w:szCs w:val="13"/>
                <w:color w:val="auto"/>
              </w:rPr>
            </w:pPr>
          </w:p>
        </w:tc>
        <w:tc>
          <w:tcPr>
            <w:tcW w:w="14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3"/>
                <w:szCs w:val="23"/>
                <w:color w:val="auto"/>
                <w:vertAlign w:val="superscript"/>
              </w:rPr>
              <w:t>(a)</w:t>
            </w:r>
          </w:p>
        </w:tc>
        <w:tc>
          <w:tcPr>
            <w:tcW w:w="18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2029</w:t>
            </w:r>
          </w:p>
        </w:tc>
        <w:tc>
          <w:tcPr>
            <w:tcW w:w="6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3"/>
                <w:szCs w:val="23"/>
                <w:color w:val="auto"/>
                <w:vertAlign w:val="superscript"/>
              </w:rPr>
              <w:t>(a)</w:t>
            </w:r>
          </w:p>
        </w:tc>
        <w:tc>
          <w:tcPr>
            <w:tcW w:w="18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2029</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959,766</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1,015,625</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6.50% Notes </w:t>
            </w:r>
            <w:r>
              <w:rPr>
                <w:rFonts w:ascii="Times New Roman" w:cs="Times New Roman" w:eastAsia="Times New Roman" w:hAnsi="Times New Roman"/>
                <w:sz w:val="23"/>
                <w:szCs w:val="23"/>
                <w:color w:val="auto"/>
                <w:vertAlign w:val="superscript"/>
              </w:rPr>
              <w:t>(b)</w:t>
            </w:r>
          </w:p>
        </w:tc>
        <w:tc>
          <w:tcPr>
            <w:tcW w:w="18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2032</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6.25% Notes </w:t>
            </w:r>
            <w:r>
              <w:rPr>
                <w:rFonts w:ascii="Times New Roman" w:cs="Times New Roman" w:eastAsia="Times New Roman" w:hAnsi="Times New Roman"/>
                <w:sz w:val="23"/>
                <w:szCs w:val="23"/>
                <w:color w:val="auto"/>
                <w:vertAlign w:val="superscript"/>
              </w:rPr>
              <w:t>(b)</w:t>
            </w:r>
          </w:p>
        </w:tc>
        <w:tc>
          <w:tcPr>
            <w:tcW w:w="18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2025</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3"/>
                <w:szCs w:val="23"/>
                <w:color w:val="auto"/>
                <w:vertAlign w:val="superscript"/>
              </w:rPr>
              <w:t>(c)</w:t>
            </w:r>
          </w:p>
        </w:tc>
        <w:tc>
          <w:tcPr>
            <w:tcW w:w="18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2026</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575,000</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3"/>
                <w:szCs w:val="23"/>
                <w:color w:val="auto"/>
                <w:vertAlign w:val="superscript"/>
              </w:rPr>
              <w:t>(d)</w:t>
            </w:r>
          </w:p>
        </w:tc>
        <w:tc>
          <w:tcPr>
            <w:tcW w:w="18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2028</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3"/>
                <w:szCs w:val="23"/>
                <w:color w:val="auto"/>
                <w:vertAlign w:val="superscript"/>
              </w:rPr>
              <w:t>(e)</w:t>
            </w:r>
          </w:p>
        </w:tc>
        <w:tc>
          <w:tcPr>
            <w:tcW w:w="1840" w:type="dxa"/>
            <w:vAlign w:val="bottom"/>
            <w:shd w:val="clear" w:color="auto" w:fill="CCEEFF"/>
          </w:tcPr>
          <w:p>
            <w:pPr>
              <w:jc w:val="center"/>
              <w:ind w:left="451"/>
              <w:spacing w:after="0"/>
              <w:rPr>
                <w:sz w:val="20"/>
                <w:szCs w:val="20"/>
                <w:color w:val="auto"/>
              </w:rPr>
            </w:pPr>
            <w:r>
              <w:rPr>
                <w:rFonts w:ascii="Times New Roman" w:cs="Times New Roman" w:eastAsia="Times New Roman" w:hAnsi="Times New Roman"/>
                <w:sz w:val="18"/>
                <w:szCs w:val="18"/>
                <w:color w:val="auto"/>
                <w:w w:val="99"/>
              </w:rPr>
              <w:t>2034-2036</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114,162</w:t>
            </w:r>
          </w:p>
        </w:tc>
        <w:tc>
          <w:tcPr>
            <w:tcW w:w="0" w:type="dxa"/>
            <w:vAlign w:val="bottom"/>
          </w:tcPr>
          <w:p>
            <w:pPr>
              <w:spacing w:after="0"/>
              <w:rPr>
                <w:sz w:val="1"/>
                <w:szCs w:val="1"/>
                <w:color w:val="auto"/>
              </w:rPr>
            </w:pPr>
          </w:p>
        </w:tc>
      </w:tr>
      <w:tr>
        <w:trPr>
          <w:trHeight w:val="230"/>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Employee housing bonds </w:t>
            </w:r>
            <w:r>
              <w:rPr>
                <w:rFonts w:ascii="Times New Roman" w:cs="Times New Roman" w:eastAsia="Times New Roman" w:hAnsi="Times New Roman"/>
                <w:sz w:val="23"/>
                <w:szCs w:val="23"/>
                <w:color w:val="auto"/>
                <w:vertAlign w:val="superscript"/>
              </w:rPr>
              <w:t>(f)</w:t>
            </w:r>
          </w:p>
        </w:tc>
        <w:tc>
          <w:tcPr>
            <w:tcW w:w="1840" w:type="dxa"/>
            <w:vAlign w:val="bottom"/>
          </w:tcPr>
          <w:p>
            <w:pPr>
              <w:jc w:val="center"/>
              <w:ind w:left="451"/>
              <w:spacing w:after="0"/>
              <w:rPr>
                <w:sz w:val="20"/>
                <w:szCs w:val="20"/>
                <w:color w:val="auto"/>
              </w:rPr>
            </w:pPr>
            <w:r>
              <w:rPr>
                <w:rFonts w:ascii="Times New Roman" w:cs="Times New Roman" w:eastAsia="Times New Roman" w:hAnsi="Times New Roman"/>
                <w:sz w:val="18"/>
                <w:szCs w:val="18"/>
                <w:color w:val="auto"/>
                <w:w w:val="99"/>
              </w:rPr>
              <w:t>2027-2039</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52,575</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52,575</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Canyons obligation </w:t>
            </w:r>
            <w:r>
              <w:rPr>
                <w:rFonts w:ascii="Times New Roman" w:cs="Times New Roman" w:eastAsia="Times New Roman" w:hAnsi="Times New Roman"/>
                <w:sz w:val="23"/>
                <w:szCs w:val="23"/>
                <w:color w:val="auto"/>
                <w:vertAlign w:val="superscript"/>
              </w:rPr>
              <w:t>(g)</w:t>
            </w:r>
          </w:p>
        </w:tc>
        <w:tc>
          <w:tcPr>
            <w:tcW w:w="18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2063</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369,143</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363,386</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NRP Loan </w:t>
            </w:r>
            <w:r>
              <w:rPr>
                <w:rFonts w:ascii="Times New Roman" w:cs="Times New Roman" w:eastAsia="Times New Roman" w:hAnsi="Times New Roman"/>
                <w:sz w:val="23"/>
                <w:szCs w:val="23"/>
                <w:color w:val="auto"/>
                <w:vertAlign w:val="superscript"/>
              </w:rPr>
              <w:t>(h)</w:t>
            </w:r>
          </w:p>
        </w:tc>
        <w:tc>
          <w:tcPr>
            <w:tcW w:w="1840" w:type="dxa"/>
            <w:vAlign w:val="bottom"/>
          </w:tcPr>
          <w:p>
            <w:pPr>
              <w:jc w:val="center"/>
              <w:ind w:left="471"/>
              <w:spacing w:after="0"/>
              <w:rPr>
                <w:sz w:val="20"/>
                <w:szCs w:val="20"/>
                <w:color w:val="auto"/>
              </w:rPr>
            </w:pPr>
            <w:r>
              <w:rPr>
                <w:rFonts w:ascii="Times New Roman" w:cs="Times New Roman" w:eastAsia="Times New Roman" w:hAnsi="Times New Roman"/>
                <w:sz w:val="18"/>
                <w:szCs w:val="18"/>
                <w:color w:val="auto"/>
                <w:w w:val="99"/>
              </w:rPr>
              <w:t>2036</w:t>
            </w: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37,088</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40,399</w:t>
            </w: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Whistler Blackcomb employee housing leases </w:t>
            </w:r>
            <w:r>
              <w:rPr>
                <w:rFonts w:ascii="Times New Roman" w:cs="Times New Roman" w:eastAsia="Times New Roman" w:hAnsi="Times New Roman"/>
                <w:sz w:val="23"/>
                <w:szCs w:val="23"/>
                <w:color w:val="auto"/>
                <w:vertAlign w:val="superscript"/>
              </w:rPr>
              <w:t>(i)</w:t>
            </w:r>
          </w:p>
        </w:tc>
        <w:tc>
          <w:tcPr>
            <w:tcW w:w="1840" w:type="dxa"/>
            <w:vAlign w:val="bottom"/>
            <w:shd w:val="clear" w:color="auto" w:fill="CCEEFF"/>
          </w:tcPr>
          <w:p>
            <w:pPr>
              <w:jc w:val="center"/>
              <w:ind w:left="471"/>
              <w:spacing w:after="0"/>
              <w:rPr>
                <w:sz w:val="20"/>
                <w:szCs w:val="20"/>
                <w:color w:val="auto"/>
              </w:rPr>
            </w:pPr>
            <w:r>
              <w:rPr>
                <w:rFonts w:ascii="Times New Roman" w:cs="Times New Roman" w:eastAsia="Times New Roman" w:hAnsi="Times New Roman"/>
                <w:sz w:val="18"/>
                <w:szCs w:val="18"/>
                <w:color w:val="auto"/>
                <w:w w:val="99"/>
              </w:rPr>
              <w:t>2042</w:t>
            </w: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27,887</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29,491</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(j)</w:t>
            </w:r>
          </w:p>
        </w:tc>
        <w:tc>
          <w:tcPr>
            <w:tcW w:w="1840" w:type="dxa"/>
            <w:vAlign w:val="bottom"/>
            <w:tcBorders>
              <w:bottom w:val="single" w:sz="8" w:color="auto"/>
            </w:tcBorders>
          </w:tcPr>
          <w:p>
            <w:pPr>
              <w:jc w:val="center"/>
              <w:ind w:left="451"/>
              <w:spacing w:after="0"/>
              <w:rPr>
                <w:sz w:val="20"/>
                <w:szCs w:val="20"/>
                <w:color w:val="auto"/>
              </w:rPr>
            </w:pPr>
            <w:r>
              <w:rPr>
                <w:rFonts w:ascii="Times New Roman" w:cs="Times New Roman" w:eastAsia="Times New Roman" w:hAnsi="Times New Roman"/>
                <w:sz w:val="18"/>
                <w:szCs w:val="18"/>
                <w:color w:val="auto"/>
                <w:w w:val="99"/>
              </w:rPr>
              <w:t>2024-2037</w:t>
            </w: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52,017</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35,011</w:t>
            </w:r>
          </w:p>
        </w:tc>
        <w:tc>
          <w:tcPr>
            <w:tcW w:w="0" w:type="dxa"/>
            <w:vAlign w:val="bottom"/>
          </w:tcPr>
          <w:p>
            <w:pPr>
              <w:spacing w:after="0"/>
              <w:rPr>
                <w:sz w:val="1"/>
                <w:szCs w:val="1"/>
                <w:color w:val="auto"/>
              </w:rPr>
            </w:pPr>
          </w:p>
        </w:tc>
      </w:tr>
      <w:tr>
        <w:trPr>
          <w:trHeight w:val="223"/>
        </w:trPr>
        <w:tc>
          <w:tcPr>
            <w:tcW w:w="5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8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2,787,638</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2,825,649</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premiums, discounts and debt issuance costs </w:t>
            </w:r>
            <w:r>
              <w:rPr>
                <w:rFonts w:ascii="Times New Roman" w:cs="Times New Roman" w:eastAsia="Times New Roman" w:hAnsi="Times New Roman"/>
                <w:sz w:val="23"/>
                <w:szCs w:val="23"/>
                <w:color w:val="auto"/>
                <w:vertAlign w:val="superscript"/>
              </w:rPr>
              <w:t>(k)</w:t>
            </w:r>
          </w:p>
        </w:tc>
        <w:tc>
          <w:tcPr>
            <w:tcW w:w="1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5,814</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auto"/>
            </w:tcBorders>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3"/>
                <w:szCs w:val="23"/>
                <w:color w:val="auto"/>
                <w:vertAlign w:val="superscript"/>
              </w:rPr>
              <w:t>(l)</w:t>
            </w:r>
          </w:p>
        </w:tc>
        <w:tc>
          <w:tcPr>
            <w:tcW w:w="18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69,160</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8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2,721,597</w:t>
            </w:r>
          </w:p>
        </w:tc>
        <w:tc>
          <w:tcPr>
            <w:tcW w:w="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2,750,675</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340" w:hanging="8"/>
        <w:spacing w:after="0" w:line="252" w:lineRule="auto"/>
        <w:tabs>
          <w:tab w:leader="none" w:pos="6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24, 2024, Vail Holdings, Inc. (“VHI”), which is a wholly-owned subsidiary of the Company, Bank of America, N.A., as administrative agent, and certain lenders entered into the Ninth Amended and Restated Credit Agreement (the “Vail Holdings Credit Agreement”). The Vail Holdings Credit Agreement matures on April 24, 2029 and consists of a $500.0 million revolving credit facility and a term loan facility, which had an outstanding balance of $959.8 million as of July 31, 2024. The term loan facility is subject to quarterly amortization of principal of approximately $12.3 million and the final payment of all amounts outstanding, plus accrued and unpaid interest due in upon maturity in April 2029. VHI’s obligations under the Vail Holdings Credit Agreement are guaranteed by the Company and certain of its subsidiaries and are collateralized by a pledge of all the capital stock of VHI and substantially all of its subsidiaries (with certain additional exceptions for the pledge of the capital stock of foreign subsidiaries). In addition, pursuant to the terms of the Vail Holdings Credit Agreement, VHI has the ability to increase availability (under the revolver or in the form of term loans) to an aggregate principal amount not to exceed the greater of (i) $2.75 billion and (ii) the product of 3.5 and the trailing twelve-month Adjusted EBITDA, as defined in the Vail Holdings Credit Agreement.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the Secured Overnight Financing Rate (“SOFR”) plus a spread of 1.60% as of July 31, 2024 (6.94% as of July 31, 2024). Interest rate margins may fluctuate based upon the ratio of the Company’s Net Funded Debt to Adjusted EBITDA on a trailing four-quarter basis. The Vail Holdings Credit Agreement provides for affirmative and negative covenants that restrict, among other things, the Company’s ability to incur indebtedness, dispose of assets, make distributions and make investments.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(0.30% as of July 31, 2024). The Company was party to various interest rate swap agreements as of July 31, 2024 which hedged the cash flows associated with the SOFR-based variable interest rate component of $400.0 million in principal amount of its Vail Holdings Credit Agreement at an effective rate of 1.38%. These interest rate swaps expired on September 23, 2024.</w:t>
      </w:r>
    </w:p>
    <w:p>
      <w:pPr>
        <w:spacing w:after="0" w:line="187"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5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8, 2024, the Company completed an offering of $600.0 million aggregate principal amount of 6.50% senior notes due 2032 at par, and the net proceeds were used to fund the redemption of all $600.0 million of the outstanding 6.25% Notes due 2025 at par. The 6.50% Notes are unsecured senior obligations of the Company and are guaranteed by certain of the Company’s domestic subsidiaries.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5" w:name="page86"/>
    <w:bookmarkEnd w:id="85"/>
    <w:p>
      <w:pPr>
        <w:jc w:val="both"/>
        <w:ind w:left="8"/>
        <w:spacing w:after="0" w:line="254" w:lineRule="auto"/>
        <w:rPr>
          <w:sz w:val="20"/>
          <w:szCs w:val="20"/>
          <w:color w:val="auto"/>
        </w:rPr>
      </w:pPr>
      <w:r>
        <w:rPr>
          <w:rFonts w:ascii="Times New Roman" w:cs="Times New Roman" w:eastAsia="Times New Roman" w:hAnsi="Times New Roman"/>
          <w:sz w:val="18"/>
          <w:szCs w:val="18"/>
          <w:color w:val="auto"/>
        </w:rPr>
        <w:t>The Company will pay interest on the 6.50% Notes on May 15 and November 15 of each year commencing on November 15, 2024, and the 6.50% Notes will mature on May 15, 2032. The 6.50% Notes are redeemable, in whole or in part, at any time on or after May 15, 2027 at the redemption prices specified in a 2024 Indenture dated as of May 8, 2024 (the “2024 Indenture”) plus accrued and unpaid interest. Prior to May 15, 2027, the Company may redeem some or all of the 6.50% Notes at a redemption price of 100% of the principal amount, plus accrued and unpaid interest, plus a “make-whole” premium as specified in the 2024 Indenture. In addition, prior to May 15, 2027, the Company may redeem up to 40% of the aggregate principal amount of the 6.50% Notes with an amount not to exceed the net cash proceeds from certain equity offerings at the redemption price of 106.50% of the principal amount of the notes to be redeemed, plus accrued and unpaid interest, if any, to, but excluding, the redemption date. The 6.50% Notes are senior unsecured obligations of the Company and rank equally in right of payment with existing and future senior indebtedness of the Company and the guarantors (as defined in the 2024 Indenture).</w:t>
      </w:r>
    </w:p>
    <w:p>
      <w:pPr>
        <w:spacing w:after="0" w:line="188"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The 2024 Indenture requires that, upon the occurrence of a Change of Control Repurchase Event (as defined in the 2024 Indenture), the Company shall offer to purchase all of the outstanding Notes at a purchase price in cash equal to 101% of the outstanding principal amount of the 6.50% Notes, plus accrued and unpaid interest. If the Company or certain of its subsidiaries dispose of assets, under certain circumstances, the Company will be required to either invest the net cash proceeds from such assets sales in its business within a specified period of time, repay certain senior secured debt or debt of its non-guarantor subsidiaries, or make an offer to purchase a principal amount of the 6.50% Notes equal to the excess net cash proceeds at a purchase price of 100% of their principal amount, plus accrued and unpaid interest.</w:t>
      </w:r>
    </w:p>
    <w:p>
      <w:pPr>
        <w:spacing w:after="0" w:line="187"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8"/>
          <w:szCs w:val="18"/>
          <w:color w:val="auto"/>
        </w:rPr>
        <w:t>The 2024 Indenture contains covenants that, among other things, restrict the ability of the Company and the guarantors to incur liens on assets; merge or consolidate with another company or sell, assign, transfer, lease, convey or otherwise dispose of all or substantially all of the Company’s assets or engage in Sale and Leaseback Transactions (as defined in the 2024 Indenture). The 2024 Indenture does not contain any financial maintenance covenants. Certain of the covenants will not apply to the 6.50% Notes so long as the 6.50% Notes have investment grade ratings from two specified rating agencies and no event of default has occurred and is continuing under the 2024 Indenture. The 2024 Indenture includes customary events of default, including failure to make payment, failure to comply with the obligations set forth in the 2024 Indenture, certain defaults on certain other indebtedness, certain events of bankruptcy, insolvency or reorganization, and invalidity of the guarantees of the 6.50% Notes issued pursuant to the 2024 Indenture.</w:t>
      </w:r>
    </w:p>
    <w:p>
      <w:pPr>
        <w:spacing w:after="0" w:line="192" w:lineRule="exact"/>
        <w:rPr>
          <w:sz w:val="20"/>
          <w:szCs w:val="20"/>
          <w:color w:val="auto"/>
        </w:rPr>
      </w:pPr>
    </w:p>
    <w:p>
      <w:pPr>
        <w:jc w:val="both"/>
        <w:ind w:left="8" w:hanging="8"/>
        <w:spacing w:after="0" w:line="258" w:lineRule="auto"/>
        <w:tabs>
          <w:tab w:leader="none" w:pos="3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2020, the Company completed an offering of $575.0 million in aggregate principal amount of 0.0% Convertible Notes due 2026 in a private placement conducted pursuant to Rule 144A of the Securities Act of 1933, as amended (the “0.0% Convertible Notes”). The 0.0% Convertible Notes were issued under an indenture dated December 18, 2020 (the “Convertible Indenture”) between the Company and U.S. Bank National Association, as Trustee. The 0.0% Convertible Notes do not bear regular interest and the principal amount does not accrete. The 0.0% Convertible Notes mature on January 1, 2026, unless earlier repurchased, redeemed or converted.</w:t>
      </w:r>
    </w:p>
    <w:p>
      <w:pPr>
        <w:spacing w:after="0" w:line="75"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The 0.0% Convertible Notes are general senior unsecured obligations of the Company. The 0.0% Convertible Notes rank senior in right of payment to any future debt that is expressly subordinated, equal in right of payment with the Company’s existing and future liabilities that are not so subordinated, and are subordinated to all of the Company’s existing and future secured debt to the extent of the value of the assets securing such debt. The 0.0% Convertible Notes will also be structurally subordinated to all of the existing and future liabilities and obligations of the Company’s subsidiaries, including such subsidiaries’ guarantees of the 6.50% Notes.</w:t>
      </w:r>
    </w:p>
    <w:p>
      <w:pPr>
        <w:spacing w:after="0" w:line="75"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The initial conversion rate was 2.4560 shares per $1,000 principal amount of notes, which represents an initial conversion price of approximately $407.17 per share, and is subject to adjustment upon the occurrence of certain specified events as described in the Convertible Indenture, including the payment of cash dividends. As of July 31, 2024, the conversion rate of the 0.0% Convertible Notes, adjusted for cash dividends paid since the issuance date, was 2.7075 shares per $1,000 principal amount of notes (the “Conversion Rate”), which represents a conversion price of $369.35 per share (the “Conversion Price”). The principal amount of the 0.0% Convertible Notes is required to be settled in cash. The Company will settle the in the money component of conversions by paying cash, delivering shares of its common stock, or a combination of the two, at its option.</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Holders may convert their notes, at their option, only under the following circumstances:</w:t>
      </w:r>
    </w:p>
    <w:p>
      <w:pPr>
        <w:spacing w:after="0" w:line="117" w:lineRule="exact"/>
        <w:rPr>
          <w:sz w:val="20"/>
          <w:szCs w:val="20"/>
          <w:color w:val="auto"/>
        </w:rPr>
      </w:pPr>
    </w:p>
    <w:p>
      <w:pPr>
        <w:jc w:val="both"/>
        <w:ind w:left="648" w:hanging="243"/>
        <w:spacing w:after="0" w:line="266" w:lineRule="auto"/>
        <w:tabs>
          <w:tab w:leader="none" w:pos="64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2021 if the last reported sale price per share of our common stock exceeds 130% of the Conversion Price for each of at least 20 trading days (whether or not consecutive) during the 30 consecutive trading days ending on, and including, the last trading day of the immediately preceding calendar quarter;</w:t>
      </w:r>
    </w:p>
    <w:p>
      <w:pPr>
        <w:spacing w:after="0" w:line="200" w:lineRule="exact"/>
        <w:rPr>
          <w:sz w:val="20"/>
          <w:szCs w:val="20"/>
          <w:color w:val="auto"/>
        </w:rPr>
      </w:pPr>
    </w:p>
    <w:p>
      <w:pPr>
        <w:spacing w:after="0" w:line="31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07" w:right="339" w:bottom="1440" w:gutter="0" w:footer="0" w:header="0"/>
        </w:sectPr>
      </w:pPr>
    </w:p>
    <w:bookmarkStart w:id="86" w:name="page87"/>
    <w:bookmarkEnd w:id="86"/>
    <w:p>
      <w:pPr>
        <w:jc w:val="both"/>
        <w:ind w:left="648" w:hanging="243"/>
        <w:spacing w:after="0" w:line="261" w:lineRule="auto"/>
        <w:tabs>
          <w:tab w:leader="none" w:pos="643"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consecutive business days immediately after any 10 consecutive trading day period (such 10 consecutive trading day period, the “Measurement Period”) in which the trading price per $1,000 principal amount of notes for each trading day of the Measurement Period was less than 98% of the product of the last reported sale price per share of our common stock on such trading day and the Conversion Rate on such trading day;</w:t>
      </w:r>
    </w:p>
    <w:p>
      <w:pPr>
        <w:spacing w:after="0" w:line="71" w:lineRule="exact"/>
        <w:rPr>
          <w:rFonts w:ascii="Times New Roman" w:cs="Times New Roman" w:eastAsia="Times New Roman" w:hAnsi="Times New Roman"/>
          <w:sz w:val="18"/>
          <w:szCs w:val="18"/>
          <w:color w:val="auto"/>
        </w:rPr>
      </w:pPr>
    </w:p>
    <w:p>
      <w:pPr>
        <w:ind w:left="648" w:hanging="243"/>
        <w:spacing w:after="0"/>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corporate events or distributions on our common stock, as described in the Convertible Indenture;</w:t>
      </w:r>
    </w:p>
    <w:p>
      <w:pPr>
        <w:spacing w:after="0" w:line="117" w:lineRule="exact"/>
        <w:rPr>
          <w:rFonts w:ascii="Times New Roman" w:cs="Times New Roman" w:eastAsia="Times New Roman" w:hAnsi="Times New Roman"/>
          <w:sz w:val="18"/>
          <w:szCs w:val="18"/>
          <w:color w:val="auto"/>
        </w:rPr>
      </w:pPr>
    </w:p>
    <w:p>
      <w:pPr>
        <w:ind w:left="648" w:hanging="243"/>
        <w:spacing w:after="0"/>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the 0.0% Convertible Notes for redemption; or</w:t>
      </w:r>
    </w:p>
    <w:p>
      <w:pPr>
        <w:spacing w:after="0" w:line="117" w:lineRule="exact"/>
        <w:rPr>
          <w:rFonts w:ascii="Times New Roman" w:cs="Times New Roman" w:eastAsia="Times New Roman" w:hAnsi="Times New Roman"/>
          <w:sz w:val="18"/>
          <w:szCs w:val="18"/>
          <w:color w:val="auto"/>
        </w:rPr>
      </w:pPr>
    </w:p>
    <w:p>
      <w:pPr>
        <w:ind w:left="648" w:hanging="243"/>
        <w:spacing w:after="0"/>
        <w:tabs>
          <w:tab w:leader="none" w:pos="64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from, and including, July 1, 2025 until the close of business on the scheduled trading day immediately before the maturity date.</w:t>
      </w:r>
    </w:p>
    <w:p>
      <w:pPr>
        <w:spacing w:after="0" w:line="117"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8"/>
          <w:szCs w:val="18"/>
          <w:color w:val="auto"/>
        </w:rPr>
        <w:t>The 0.0% Convertible Notes will be redeemable, in whole or in part, at the Company’s option at any time, and from time to time, on or after January 1, 2024 and on or before the 25th scheduled trading day immediately before the maturity date, at a cash redemption price equal to the principal amount of the notes to be redeemed, plus accrued and unpaid special and additional interest, if any, to, but excluding, the redemption date, but only if the last reported sale price per share of the Company’s common stock exceeds 130% of the Conversion Price for a specified period of time. If the Company elects to redeem less than all of the 0.0% Convertible Notes, at least $50.0 million aggregate principal amount of notes must be outstanding and not subject to redemption as of the relevant redemption notice date. Calling any 0.0% Convertible Notes for redemption will constitute a make-whole fundamental change with respect to such notes, in which case the Conversion Rate applicable to the conversion of such notes will be increased in certain circumstances if such notes are converted after they are called for redemption.</w:t>
      </w:r>
    </w:p>
    <w:p>
      <w:pPr>
        <w:spacing w:after="0" w:line="84"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In addition, upon the occurrence of a fundamental change (as defined in the Convertible Indenture), holders of the 0.0% Convertible Notes may require the Company to repurchase all or a portion of their notes at a cash repurchase price equal to the principal amount of the notes to be repurchased, plus any accrued and unpaid special and additional interest, if any, to, but excluding, the applicable repurchase date. If certain fundamental changes referred to as make-whole fundamental changes (as defined in the Convertible Indenture) occur, the Conversion Rate for the 0.0% Convertible Notes may be increased for a specified period of time.</w:t>
      </w:r>
    </w:p>
    <w:p>
      <w:pPr>
        <w:spacing w:after="0" w:line="75"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rPr>
        <w:t>The Convertible Indenture includes customary events of default, including failure to make payment, failure to comply with the obligations set forth in the Convertible Indenture, certain defaults on certain other indebtedness, and certain events of bankruptcy, insolvency or reorganization. The Company may elect, at its option, that the sole remedy for an event of default relating to certain failures by the Company to comply with certain reporting covenants in the Convertible Indenture will consist exclusively of the right of the holders of the 0.0% Convertible Notes to receive additional interest on the notes for up to 360 days following such failure.</w:t>
      </w:r>
    </w:p>
    <w:p>
      <w:pPr>
        <w:spacing w:after="0" w:line="75"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8"/>
          <w:szCs w:val="18"/>
          <w:color w:val="auto"/>
        </w:rPr>
        <w:t>Prior to the adoption of ASU 2020-06 on August 1, 2022, the Company separately accounted for the liability and equity components of the 0.0% Convertible Notes. The liability component at issuance was recognized at estimated fair value based on the fair value of a similar debt instrument that does not have an embedded convertible feature, and was determined to be $465.3 million and was recorded within long-term debt, net on the</w:t>
      </w:r>
    </w:p>
    <w:p>
      <w:pPr>
        <w:jc w:val="both"/>
        <w:ind w:left="8"/>
        <w:spacing w:after="0" w:line="253" w:lineRule="auto"/>
        <w:rPr>
          <w:sz w:val="20"/>
          <w:szCs w:val="20"/>
          <w:color w:val="auto"/>
        </w:rPr>
      </w:pPr>
      <w:r>
        <w:rPr>
          <w:rFonts w:ascii="Times New Roman" w:cs="Times New Roman" w:eastAsia="Times New Roman" w:hAnsi="Times New Roman"/>
          <w:sz w:val="18"/>
          <w:szCs w:val="18"/>
          <w:color w:val="auto"/>
        </w:rPr>
        <w:t>Company’s Consolidated Balance Sheet. The excess of the principal amount of the 0.0% Convertible Notes over the initial fair value of the liability component represented a debt discount of $109.7 million and was being amortized to interest expense, net over the term through July 31, 2022 (prior to the adoption of ASU 2020-06). The balance of the unamortized debt discount was $76.7 million as of July 31, 2022. The carrying amount of the equity component representing the conversion option was approximately $109.7 million and was determined by deducting the initial fair value of the liability component from the total proceeds of the 0.0% Convertible Notes of $575.0 million. Additionally, the Company recorded deferred tax liabilities of approximately $27.5 million related to the equity component of the 0.0% Convertible Notes on the date of issuance, which decreased the recorded value of the equity component. As of July 31, 2022, the equity component was recorded within additional paid-in-capital on the Company’s Consolidated Balance Sheet. The Company adopted ASU 2020-06 on August 1, 2022 using the modified retrospective method, and as a result, the Company reclassified the equity component of its 0.0% Convertible Notes to long-term debt, net, and no longer records non-cash interest expense related to the amortization of the debt discount effective as of the adoption date.</w:t>
      </w:r>
    </w:p>
    <w:p>
      <w:pPr>
        <w:spacing w:after="0" w:line="194" w:lineRule="exact"/>
        <w:rPr>
          <w:sz w:val="20"/>
          <w:szCs w:val="20"/>
          <w:color w:val="auto"/>
        </w:rPr>
      </w:pPr>
    </w:p>
    <w:p>
      <w:pPr>
        <w:jc w:val="both"/>
        <w:ind w:left="8" w:hanging="8"/>
        <w:spacing w:after="0" w:line="256" w:lineRule="auto"/>
        <w:tabs>
          <w:tab w:leader="none" w:pos="32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and together with Whistler LP, the “WB Partnerships”) are party to a credit agreement consisting of a C$300.0 million credit facility which was originally dated as of November 12, 2013, by and among Whistler LP, Blackcomb LP, certain subsidiaries of Whistler LP and Blackcomb LP party thereto as guarantors, the financial institutions party thereto as lenders and The Toronto-Dominion Bank (“TD”), as administrative agent. On April 14, 2023, the WB Partnerships along with other parties to the original agreement entered into the Second Amended and Restated Credit Agreement (as amended, the “Whistler Credit Agreement”). The amended Whistler Credit Agreement (i) extended the</w:t>
      </w:r>
    </w:p>
    <w:p>
      <w:pPr>
        <w:spacing w:after="0" w:line="200" w:lineRule="exact"/>
        <w:rPr>
          <w:sz w:val="20"/>
          <w:szCs w:val="20"/>
          <w:color w:val="auto"/>
        </w:rPr>
      </w:pPr>
    </w:p>
    <w:p>
      <w:pPr>
        <w:spacing w:after="0" w:line="32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99" w:right="339" w:bottom="1440" w:gutter="0" w:footer="0" w:header="0"/>
        </w:sectPr>
      </w:pPr>
    </w:p>
    <w:bookmarkStart w:id="87" w:name="page88"/>
    <w:bookmarkEnd w:id="87"/>
    <w:p>
      <w:pPr>
        <w:jc w:val="both"/>
        <w:ind w:left="8"/>
        <w:spacing w:after="0" w:line="252" w:lineRule="auto"/>
        <w:rPr>
          <w:sz w:val="20"/>
          <w:szCs w:val="20"/>
          <w:color w:val="auto"/>
        </w:rPr>
      </w:pPr>
      <w:r>
        <w:rPr>
          <w:rFonts w:ascii="Times New Roman" w:cs="Times New Roman" w:eastAsia="Times New Roman" w:hAnsi="Times New Roman"/>
          <w:sz w:val="18"/>
          <w:szCs w:val="18"/>
          <w:color w:val="auto"/>
        </w:rPr>
        <w:t>maturity date of the revolving credit facility to April 14, 2028; (ii) contained customary LIBOR replacement language for the use of rates based on SOFR with regard to borrowings under the facility made in U.S. dollars; and (iii) contained customary forward-looking transition language for the Canadian Dollar Offered Rate (“CDOR”) with regard to borrowings under the facility made in Canadian dollars, including, but not limited to, the use of rates based on the Canadian Overnight Repo Rate Average (“CORRA”), which is a measure of the cost of overnight general collateral funding using Government of Canada treasury bills and bonds as collateral for repurchase transactions, and for which such transition occurred in June 2024. On June 27, 2024, TD issued a notice of benchmark replacement and the implementation of benchmark replacement confirming changes. This notice established the CDOR replacement as the Adjusted Term CORRA, which is the sum of (i) Term CORRA and (ii) 0.29547% for an available tenor of one-month’s duration, and 0.32138% for an available tenor of three months’ duration, provided that, if the Adjusted Term CORRA as so determined shall ever be less than a floor of 0.00%, then the Adjusted Term CORRA shall be deemed to be 0.00%. No other significant terms of the agreement were amended. As of July 31, 2024, there were no borrowings under the Whistler Credit Agreement. The Whistler Credit Agreement also includes a quarterly unused commitment fee based on the Consolidated Total Leverage Ratio, which as of July 31, 2024 is equal to 0.39% per annum. The Whistler Credit Agreement provides for affirmative and negative covenants that restrict, among other things, the WB Partnerships’ ability to incur indebtedness and liens, dispose of assets, make capital expenditures, make distributions and make investments. In addition, the Whistler Credit Agreement includes the restrictive financial covenants (leverage ratios and interest coverage ratios) customary for facilities of this type.</w:t>
      </w:r>
    </w:p>
    <w:p>
      <w:pPr>
        <w:spacing w:after="0" w:line="197" w:lineRule="exact"/>
        <w:rPr>
          <w:sz w:val="20"/>
          <w:szCs w:val="20"/>
          <w:color w:val="auto"/>
        </w:rPr>
      </w:pPr>
    </w:p>
    <w:p>
      <w:pPr>
        <w:jc w:val="both"/>
        <w:ind w:left="8" w:hanging="8"/>
        <w:spacing w:after="0" w:line="266" w:lineRule="auto"/>
        <w:tabs>
          <w:tab w:leader="none" w:pos="32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5" w:lineRule="exact"/>
        <w:rPr>
          <w:rFonts w:ascii="Times New Roman" w:cs="Times New Roman" w:eastAsia="Times New Roman" w:hAnsi="Times New Roman"/>
          <w:sz w:val="18"/>
          <w:szCs w:val="18"/>
          <w:color w:val="auto"/>
        </w:rPr>
      </w:pPr>
    </w:p>
    <w:p>
      <w:pPr>
        <w:ind w:left="888" w:hanging="416"/>
        <w:spacing w:after="0" w:line="284" w:lineRule="auto"/>
        <w:tabs>
          <w:tab w:leader="none" w:pos="88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July 31, 2024, interest on this note accrued at a rate of 11.90%.</w:t>
      </w:r>
    </w:p>
    <w:p>
      <w:pPr>
        <w:spacing w:after="0" w:line="50" w:lineRule="exact"/>
        <w:rPr>
          <w:rFonts w:ascii="Times New Roman" w:cs="Times New Roman" w:eastAsia="Times New Roman" w:hAnsi="Times New Roman"/>
          <w:sz w:val="18"/>
          <w:szCs w:val="18"/>
          <w:color w:val="auto"/>
        </w:rPr>
      </w:pPr>
    </w:p>
    <w:p>
      <w:pPr>
        <w:ind w:left="888" w:hanging="466"/>
        <w:spacing w:after="0" w:line="284" w:lineRule="auto"/>
        <w:tabs>
          <w:tab w:leader="none" w:pos="88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July 31, 2024, interest on this note accrued at a rate of 11.41%.</w:t>
      </w:r>
    </w:p>
    <w:p>
      <w:pPr>
        <w:spacing w:after="0" w:line="50" w:lineRule="exact"/>
        <w:rPr>
          <w:rFonts w:ascii="Times New Roman" w:cs="Times New Roman" w:eastAsia="Times New Roman" w:hAnsi="Times New Roman"/>
          <w:sz w:val="18"/>
          <w:szCs w:val="18"/>
          <w:color w:val="auto"/>
        </w:rPr>
      </w:pPr>
    </w:p>
    <w:p>
      <w:pPr>
        <w:ind w:left="888" w:right="20" w:hanging="515"/>
        <w:spacing w:after="0" w:line="284" w:lineRule="auto"/>
        <w:tabs>
          <w:tab w:leader="none" w:pos="888"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July 31, 2024, interest on this note accrued at a rate of 11.41%.</w:t>
      </w:r>
    </w:p>
    <w:p>
      <w:pPr>
        <w:spacing w:after="0" w:line="50" w:lineRule="exact"/>
        <w:rPr>
          <w:rFonts w:ascii="Times New Roman" w:cs="Times New Roman" w:eastAsia="Times New Roman" w:hAnsi="Times New Roman"/>
          <w:sz w:val="18"/>
          <w:szCs w:val="18"/>
          <w:color w:val="auto"/>
        </w:rPr>
      </w:pPr>
    </w:p>
    <w:p>
      <w:pPr>
        <w:ind w:left="888" w:hanging="506"/>
        <w:spacing w:after="0" w:line="284" w:lineRule="auto"/>
        <w:tabs>
          <w:tab w:leader="none" w:pos="8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July 31, 2024, interest on this note accrued at a rate of 12.50%.</w:t>
      </w:r>
    </w:p>
    <w:p>
      <w:pPr>
        <w:spacing w:after="0" w:line="50" w:lineRule="exact"/>
        <w:rPr>
          <w:rFonts w:ascii="Times New Roman" w:cs="Times New Roman" w:eastAsia="Times New Roman" w:hAnsi="Times New Roman"/>
          <w:sz w:val="18"/>
          <w:szCs w:val="18"/>
          <w:color w:val="auto"/>
        </w:rPr>
      </w:pPr>
    </w:p>
    <w:p>
      <w:pPr>
        <w:ind w:left="888" w:hanging="456"/>
        <w:spacing w:after="0" w:line="284" w:lineRule="auto"/>
        <w:tabs>
          <w:tab w:leader="none" w:pos="87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July 31, 2024, interest on this note accrued at a rate of 9.19%.</w:t>
      </w:r>
    </w:p>
    <w:p>
      <w:pPr>
        <w:spacing w:after="0" w:line="52" w:lineRule="exact"/>
        <w:rPr>
          <w:sz w:val="20"/>
          <w:szCs w:val="20"/>
          <w:color w:val="auto"/>
        </w:rPr>
      </w:pPr>
    </w:p>
    <w:p>
      <w:pPr>
        <w:jc w:val="both"/>
        <w:ind w:left="8"/>
        <w:spacing w:after="0" w:line="252" w:lineRule="auto"/>
        <w:rPr>
          <w:sz w:val="20"/>
          <w:szCs w:val="20"/>
          <w:color w:val="auto"/>
        </w:rPr>
      </w:pPr>
      <w:r>
        <w:rPr>
          <w:rFonts w:ascii="Times New Roman" w:cs="Times New Roman" w:eastAsia="Times New Roman" w:hAnsi="Times New Roman"/>
          <w:sz w:val="18"/>
          <w:szCs w:val="18"/>
          <w:color w:val="auto"/>
        </w:rPr>
        <w:t>The EPR Secured Notes are secured by all or substantially all of the assets of Peak Resorts and its subsidiaries, including mortgages on the Alpine Valley, Boston Mills, Brandywine, Jack Frost, Big Boulder, Mount Snow and Hunter Mountain ski resorts. The EPR Secured Notes bear interest at specified interest rates, as discussed above, which are subject to increase each year by the lesser of (i) three times the percentage increase in the Consumer Price Index (“CPI”) or (ii) a capped index (the “Capped CPI Index”), which is 1.75% for the Hunter Mountain Secured Note and 1.50% for all other notes. The EPR Agreements provide for affirmative and negative covenants that restrict, among other things, the ability of Peak Resorts and its subsidiaries to incur indebtedness, dispose of assets, make distributions and make investments. In addition, the EPR Agreements include restrictive covenants, including maximum leverage ratio and consolidated fixed charge ratio. An additional contingent interest payment would be due to EPR if, on a calendar year basis, the gross receipts from the properties securing any of the individual EPR Secured Notes (the “Gross Receipts”) are more than the result (the “Interest Quotient”) of dividing the total interest charges for the EPR Secured Notes by a specified percentage rate (the “Additional Interest Rate”). In such a case, the additional interest payment would equal the difference between the Gross Receipts and the Interest Quotient multiplied by the Additional Interest Rate. This calculation is made on an aggregated basis for the notes secured by the Jack Frost, Big Boulder, Boston Mills, Brandywine and Alpine Valley ski resorts, where the Additional Interest Rate is 10.0%; on a standalone basis for the note secured by the Company’s Mount Snow ski resort, where the Additional Interest Rate is 12.0%; and on a standalone basis for the note secured by the Company’s Hunter Mountain ski resort, where the Additional Interest Rate is 8.0%. Peak Resorts does not have the right to prepay the EPR Secured Notes. The EPR Secured Notes were recorded at their estimated fair value in conjunction with the acquisition of Peak Resorts on September 24, 2019. The EPR Agreements grant EPR certain other rights including the option to purchase</w:t>
      </w:r>
    </w:p>
    <w:p>
      <w:pPr>
        <w:spacing w:after="0" w:line="200" w:lineRule="exact"/>
        <w:rPr>
          <w:sz w:val="20"/>
          <w:szCs w:val="20"/>
          <w:color w:val="auto"/>
        </w:rPr>
      </w:pPr>
    </w:p>
    <w:p>
      <w:pPr>
        <w:spacing w:after="0" w:line="33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107" w:right="339" w:bottom="1440" w:gutter="0" w:footer="0" w:header="0"/>
        </w:sectPr>
      </w:pPr>
    </w:p>
    <w:bookmarkStart w:id="88" w:name="page89"/>
    <w:bookmarkEnd w:id="88"/>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the Boston Mills, Brandywine, Jack Frost, Big Boulder or Alpine Valley resorts, which is exercisable no sooner than two years and no later than one year prior to the maturity dates of the applicable EPR Secured Note for such properties, with any closings to be held on the applicable maturity dates; and, if EPR exercises the purchase option, EPR will enter into an agreement with the Company for the lease of each acquired property for an initial term of 20 years, plus options to extend the lease for two additional periods of ten years each.</w:t>
      </w:r>
    </w:p>
    <w:p>
      <w:pPr>
        <w:spacing w:after="0" w:line="180" w:lineRule="exact"/>
        <w:rPr>
          <w:sz w:val="20"/>
          <w:szCs w:val="20"/>
          <w:color w:val="auto"/>
        </w:rPr>
      </w:pPr>
    </w:p>
    <w:p>
      <w:pPr>
        <w:jc w:val="both"/>
        <w:ind w:left="8" w:hanging="8"/>
        <w:spacing w:after="0" w:line="261" w:lineRule="auto"/>
        <w:tabs>
          <w:tab w:leader="none" w:pos="32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recorded the outstanding debt of four Employee Housing Entities (each an “Employee Housing Entity” and collectively the “Employee Housing Entities”): Breckenridge Terrace, Tarnes, BC Housing and Tenderfoot. The proceeds of the Employee Housing Bonds were used to develop apartment complexes designated primarily for use by the Company’s seasonal employees at its Colorado mountain resorts. The Employee Housing Bonds are variable rate, interest-only instruments with interest rates tied to SOFR plus 0% to 0.20% (5.53% to 5.73% as of July 31, 2024).</w:t>
      </w:r>
    </w:p>
    <w:p>
      <w:pPr>
        <w:spacing w:after="0" w:line="72"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Interest on the Employee Housing Bonds is paid monthly in arrears and the interest rate is adjusted weekly. No principal payments are due on the Employee Housing Bonds until maturity. Each Employee Housing Entity’s bonds were issued in two series. The bonds for each Employee Housing Entity are backed by letters of credit issued under the Vail Holdings Credit Agreement. The table below presents the principal amounts outstanding for the Employee Housing Bonds as of July 31, 2024 (in thousands):</w:t>
      </w:r>
    </w:p>
    <w:p>
      <w:pPr>
        <w:spacing w:after="0" w:line="148"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2920" w:type="dxa"/>
            <w:vAlign w:val="bottom"/>
          </w:tcPr>
          <w:p>
            <w:pPr>
              <w:spacing w:after="0"/>
              <w:rPr>
                <w:sz w:val="16"/>
                <w:szCs w:val="16"/>
                <w:color w:val="auto"/>
              </w:rPr>
            </w:pPr>
          </w:p>
        </w:tc>
        <w:tc>
          <w:tcPr>
            <w:tcW w:w="2160" w:type="dxa"/>
            <w:vAlign w:val="bottom"/>
          </w:tcPr>
          <w:p>
            <w:pPr>
              <w:jc w:val="center"/>
              <w:ind w:left="934"/>
              <w:spacing w:after="0"/>
              <w:rPr>
                <w:sz w:val="20"/>
                <w:szCs w:val="20"/>
                <w:color w:val="auto"/>
              </w:rPr>
            </w:pPr>
            <w:r>
              <w:rPr>
                <w:rFonts w:ascii="Times New Roman" w:cs="Times New Roman" w:eastAsia="Times New Roman" w:hAnsi="Times New Roman"/>
                <w:sz w:val="14"/>
                <w:szCs w:val="14"/>
                <w:color w:val="auto"/>
              </w:rPr>
              <w:t>Maturity</w:t>
            </w:r>
          </w:p>
        </w:tc>
        <w:tc>
          <w:tcPr>
            <w:tcW w:w="620" w:type="dxa"/>
            <w:vAlign w:val="bottom"/>
          </w:tcPr>
          <w:p>
            <w:pPr>
              <w:spacing w:after="0"/>
              <w:rPr>
                <w:sz w:val="16"/>
                <w:szCs w:val="16"/>
                <w:color w:val="auto"/>
              </w:rPr>
            </w:pPr>
          </w:p>
        </w:tc>
        <w:tc>
          <w:tcPr>
            <w:tcW w:w="1360" w:type="dxa"/>
            <w:vAlign w:val="bottom"/>
          </w:tcPr>
          <w:p>
            <w:pPr>
              <w:jc w:val="right"/>
              <w:ind w:right="453"/>
              <w:spacing w:after="0"/>
              <w:rPr>
                <w:sz w:val="20"/>
                <w:szCs w:val="20"/>
                <w:color w:val="auto"/>
              </w:rPr>
            </w:pPr>
            <w:r>
              <w:rPr>
                <w:rFonts w:ascii="Times New Roman" w:cs="Times New Roman" w:eastAsia="Times New Roman" w:hAnsi="Times New Roman"/>
                <w:sz w:val="14"/>
                <w:szCs w:val="14"/>
                <w:color w:val="auto"/>
              </w:rPr>
              <w:t>Tranche A</w:t>
            </w:r>
          </w:p>
        </w:tc>
        <w:tc>
          <w:tcPr>
            <w:tcW w:w="360" w:type="dxa"/>
            <w:vAlign w:val="bottom"/>
          </w:tcPr>
          <w:p>
            <w:pPr>
              <w:spacing w:after="0"/>
              <w:rPr>
                <w:sz w:val="16"/>
                <w:szCs w:val="16"/>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4"/>
                <w:szCs w:val="14"/>
                <w:color w:val="auto"/>
              </w:rPr>
              <w:t>Tranche B</w:t>
            </w:r>
          </w:p>
        </w:tc>
        <w:tc>
          <w:tcPr>
            <w:tcW w:w="440" w:type="dxa"/>
            <w:vAlign w:val="bottom"/>
          </w:tcPr>
          <w:p>
            <w:pPr>
              <w:spacing w:after="0"/>
              <w:rPr>
                <w:sz w:val="16"/>
                <w:szCs w:val="16"/>
                <w:color w:val="auto"/>
              </w:rPr>
            </w:pPr>
          </w:p>
        </w:tc>
        <w:tc>
          <w:tcPr>
            <w:tcW w:w="1300" w:type="dxa"/>
            <w:vAlign w:val="bottom"/>
          </w:tcPr>
          <w:p>
            <w:pPr>
              <w:jc w:val="right"/>
              <w:ind w:right="613"/>
              <w:spacing w:after="0"/>
              <w:rPr>
                <w:sz w:val="20"/>
                <w:szCs w:val="20"/>
                <w:color w:val="auto"/>
              </w:rPr>
            </w:pPr>
            <w:r>
              <w:rPr>
                <w:rFonts w:ascii="Times New Roman" w:cs="Times New Roman" w:eastAsia="Times New Roman" w:hAnsi="Times New Roman"/>
                <w:sz w:val="14"/>
                <w:szCs w:val="14"/>
                <w:color w:val="auto"/>
              </w:rPr>
              <w:t>Total</w:t>
            </w:r>
          </w:p>
        </w:tc>
      </w:tr>
      <w:tr>
        <w:trPr>
          <w:trHeight w:val="23"/>
        </w:trPr>
        <w:tc>
          <w:tcPr>
            <w:tcW w:w="29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Breckenridge Terrace</w:t>
            </w:r>
          </w:p>
        </w:tc>
        <w:tc>
          <w:tcPr>
            <w:tcW w:w="2160" w:type="dxa"/>
            <w:vAlign w:val="bottom"/>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9"/>
              </w:rPr>
              <w:t>2039</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19,980</w:t>
            </w: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Tarnes</w:t>
            </w:r>
          </w:p>
        </w:tc>
        <w:tc>
          <w:tcPr>
            <w:tcW w:w="2160" w:type="dxa"/>
            <w:vAlign w:val="bottom"/>
          </w:tcPr>
          <w:p>
            <w:pPr>
              <w:jc w:val="center"/>
              <w:ind w:left="954"/>
              <w:spacing w:after="0"/>
              <w:rPr>
                <w:sz w:val="20"/>
                <w:szCs w:val="20"/>
                <w:color w:val="auto"/>
              </w:rPr>
            </w:pPr>
            <w:r>
              <w:rPr>
                <w:rFonts w:ascii="Times New Roman" w:cs="Times New Roman" w:eastAsia="Times New Roman" w:hAnsi="Times New Roman"/>
                <w:sz w:val="18"/>
                <w:szCs w:val="18"/>
                <w:color w:val="auto"/>
                <w:w w:val="99"/>
              </w:rPr>
              <w:t>2039</w:t>
            </w:r>
          </w:p>
        </w:tc>
        <w:tc>
          <w:tcPr>
            <w:tcW w:w="6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3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BC Housing</w:t>
            </w:r>
          </w:p>
        </w:tc>
        <w:tc>
          <w:tcPr>
            <w:tcW w:w="2160" w:type="dxa"/>
            <w:vAlign w:val="bottom"/>
            <w:shd w:val="clear" w:color="auto" w:fill="CCEEFF"/>
          </w:tcPr>
          <w:p>
            <w:pPr>
              <w:jc w:val="center"/>
              <w:ind w:left="954"/>
              <w:spacing w:after="0"/>
              <w:rPr>
                <w:sz w:val="20"/>
                <w:szCs w:val="20"/>
                <w:color w:val="auto"/>
              </w:rPr>
            </w:pPr>
            <w:r>
              <w:rPr>
                <w:rFonts w:ascii="Times New Roman" w:cs="Times New Roman" w:eastAsia="Times New Roman" w:hAnsi="Times New Roman"/>
                <w:sz w:val="18"/>
                <w:szCs w:val="18"/>
                <w:color w:val="auto"/>
                <w:w w:val="99"/>
              </w:rPr>
              <w:t>2027</w:t>
            </w:r>
          </w:p>
        </w:tc>
        <w:tc>
          <w:tcPr>
            <w:tcW w:w="6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3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4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r>
      <w:tr>
        <w:trPr>
          <w:trHeight w:val="229"/>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Tenderfoot</w:t>
            </w:r>
          </w:p>
        </w:tc>
        <w:tc>
          <w:tcPr>
            <w:tcW w:w="2160" w:type="dxa"/>
            <w:vAlign w:val="bottom"/>
            <w:tcBorders>
              <w:bottom w:val="single" w:sz="8" w:color="auto"/>
            </w:tcBorders>
          </w:tcPr>
          <w:p>
            <w:pPr>
              <w:jc w:val="center"/>
              <w:ind w:left="954"/>
              <w:spacing w:after="0"/>
              <w:rPr>
                <w:sz w:val="20"/>
                <w:szCs w:val="20"/>
                <w:color w:val="auto"/>
              </w:rPr>
            </w:pPr>
            <w:r>
              <w:rPr>
                <w:rFonts w:ascii="Times New Roman" w:cs="Times New Roman" w:eastAsia="Times New Roman" w:hAnsi="Times New Roman"/>
                <w:sz w:val="18"/>
                <w:szCs w:val="18"/>
                <w:color w:val="auto"/>
                <w:w w:val="99"/>
              </w:rPr>
              <w:t>2035</w:t>
            </w:r>
          </w:p>
        </w:tc>
        <w:tc>
          <w:tcPr>
            <w:tcW w:w="6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11,585</w:t>
            </w:r>
          </w:p>
        </w:tc>
      </w:tr>
      <w:tr>
        <w:trPr>
          <w:trHeight w:val="230"/>
        </w:trPr>
        <w:tc>
          <w:tcPr>
            <w:tcW w:w="2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bl>
    <w:p>
      <w:pPr>
        <w:spacing w:after="0" w:line="211" w:lineRule="exact"/>
        <w:rPr>
          <w:sz w:val="20"/>
          <w:szCs w:val="20"/>
          <w:color w:val="auto"/>
        </w:rPr>
      </w:pPr>
    </w:p>
    <w:p>
      <w:pPr>
        <w:jc w:val="both"/>
        <w:ind w:left="8" w:hanging="8"/>
        <w:spacing w:after="0" w:line="254" w:lineRule="auto"/>
        <w:tabs>
          <w:tab w:leader="none" w:pos="3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24, 2013, VR CPC Holdings, Inc. (“VR CPC”), a wholly-owned subsidiary of the Company, entered into a transaction agreement with affiliate companies of Talisker Corporation (“Talisker”) pursuant to which the parties entered into a master lease agreement (the “Park City Lease”) and certain ancillary transaction documents on May 29, 2013 related to the former stand-alone Canyons Resort (“Canyons”), pursuant to which the Company assumed the resort operations of the Canyons. The Park City Lease between VR CPC and Talisker has an initial term of 50 years with six 50-year renewal options. The Park City Lease provides for $25 million in annual payments, which increase each year by an inflation-linked index of CPI less 1% per annum, with a floor of 2%. Vail Resorts has guaranteed the payments under the Park City Lease. The obligation at July 31, 2024 represents future lease payments for the remaining initial lease term of 50 years (including annual increases at the floor of 2%) discounted using an interest rate of 10%, and includes accumulated accreted interest expense of approximately $63.8 million.</w:t>
      </w:r>
    </w:p>
    <w:p>
      <w:pPr>
        <w:spacing w:after="0" w:line="191" w:lineRule="exact"/>
        <w:rPr>
          <w:rFonts w:ascii="Times New Roman" w:cs="Times New Roman" w:eastAsia="Times New Roman" w:hAnsi="Times New Roman"/>
          <w:sz w:val="18"/>
          <w:szCs w:val="18"/>
          <w:color w:val="auto"/>
        </w:rPr>
      </w:pPr>
    </w:p>
    <w:p>
      <w:pPr>
        <w:jc w:val="both"/>
        <w:ind w:left="8" w:hanging="8"/>
        <w:spacing w:after="0" w:line="258" w:lineRule="auto"/>
        <w:tabs>
          <w:tab w:leader="none" w:pos="3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 2022 in conjunction with the acquisition of Andermatt-Sedrun (see Note 7, Acquisitions), the Company assumed the New Regional Policy loan between Andermatt-Sedrun and the Canton of Uri and Canton of Graubünden dated June 24, 2016 (the “NRP Loan”), with an initial principal balance of CHF 40.0 million. Amounts outstanding under the NRP Loan bear interest at 0.63% per annum until the maturity date, which is September 30, 2036, with semi-annual required payments of principal amortization and accrued interest. In addition, the NRP Loan agreement includes restrictive covenants requiring certain minimum financial results (as defined in the agreement).</w:t>
      </w:r>
    </w:p>
    <w:p>
      <w:pPr>
        <w:spacing w:after="0" w:line="183" w:lineRule="exact"/>
        <w:rPr>
          <w:rFonts w:ascii="Times New Roman" w:cs="Times New Roman" w:eastAsia="Times New Roman" w:hAnsi="Times New Roman"/>
          <w:sz w:val="18"/>
          <w:szCs w:val="18"/>
          <w:color w:val="auto"/>
        </w:rPr>
      </w:pPr>
    </w:p>
    <w:p>
      <w:pPr>
        <w:jc w:val="both"/>
        <w:ind w:left="8" w:right="20" w:hanging="8"/>
        <w:spacing w:after="0" w:line="266" w:lineRule="auto"/>
        <w:tabs>
          <w:tab w:leader="none" w:pos="3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July 31, 2023, the Company entered into new finance lease agreements for employee housing units at Whistler Blackcomb. The leases have a term of 20 years with no renewal options. The obligation at July 31, 2024 represents future lease payments for the remaining period of the initial 20 year term of the lease (including annual increases at the floor of 3%) discounted using an interest rate of 6.95%.</w:t>
      </w:r>
    </w:p>
    <w:p>
      <w:pPr>
        <w:spacing w:after="0" w:line="175"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3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July 31, 2019, the Company completed two real estate sales transactions that were accounted for as financing arrangements as a result of the Company’s continuing involvement with the underlying assets that were sold, including but not limited to, the obligation to repurchase finished commercial space from the development projects upon completion. The Company received approximately $12.8 million of proceeds for these sales transactions through the year ended July 31, 2024, which are reflected within long-term debt, net.</w:t>
      </w:r>
    </w:p>
    <w:p>
      <w:pPr>
        <w:spacing w:after="0" w:line="179"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3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various business combinations, the Company estimated the acquisition date fair values of certain debt instruments assumed, and recorded any difference between such estimated fair values and the par value of debt instruments as unamortized premiums and discounts, as appropriate, which are amortized and recorded to interest expense, net on the Company’s Consolidated Statements of Operations over the respective term of the applicable debt instruments.</w:t>
      </w:r>
    </w:p>
    <w:p>
      <w:pPr>
        <w:spacing w:after="0" w:line="200" w:lineRule="exact"/>
        <w:rPr>
          <w:sz w:val="20"/>
          <w:szCs w:val="20"/>
          <w:color w:val="auto"/>
        </w:rPr>
      </w:pPr>
    </w:p>
    <w:p>
      <w:pPr>
        <w:spacing w:after="0" w:line="3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99" w:right="339" w:bottom="1440" w:gutter="0" w:footer="0" w:header="0"/>
        </w:sectPr>
      </w:pPr>
    </w:p>
    <w:bookmarkStart w:id="89" w:name="page90"/>
    <w:bookmarkEnd w:id="89"/>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Additionally, certain costs incurred with regard to the issuance of debt instruments are capitalized and included as a reduction in the net carrying value of long-term debt, net of accumulated amortization, with the exception of costs incurred related to line-of-credit arrangements, which are included in deferred charges and other assets, net of accumulated amortization. Amortization of such deferred financing costs are recorded to interest expense, net on the Company’s Consolidated Statements of Operations over the respective term of the applicable debt instruments.</w:t>
      </w:r>
    </w:p>
    <w:p>
      <w:pPr>
        <w:spacing w:after="0" w:line="180"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(l)</w:t>
      </w:r>
      <w:r>
        <w:rPr>
          <w:sz w:val="20"/>
          <w:szCs w:val="20"/>
          <w:color w:val="auto"/>
        </w:rPr>
        <w:tab/>
      </w:r>
      <w:r>
        <w:rPr>
          <w:rFonts w:ascii="Times New Roman" w:cs="Times New Roman" w:eastAsia="Times New Roman" w:hAnsi="Times New Roman"/>
          <w:sz w:val="17"/>
          <w:szCs w:val="17"/>
          <w:color w:val="auto"/>
        </w:rPr>
        <w:t>Current maturities represent principal payments due in the next 12 months.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maturities for debt outstanding, including finance lease obligations, as of July 31, 2024 reflected by fiscal year are as follows (in thousands):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180" w:type="dxa"/>
            <w:vAlign w:val="bottom"/>
            <w:tcBorders>
              <w:bottom w:val="single" w:sz="8" w:color="auto"/>
            </w:tcBorders>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64,586</w:t>
            </w: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632,202</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74,719</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55,772</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770,033</w:t>
            </w:r>
          </w:p>
        </w:tc>
      </w:tr>
      <w:tr>
        <w:trPr>
          <w:trHeight w:val="229"/>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1,190,326</w:t>
            </w:r>
          </w:p>
        </w:tc>
      </w:tr>
      <w:tr>
        <w:trPr>
          <w:trHeight w:val="230"/>
        </w:trPr>
        <w:tc>
          <w:tcPr>
            <w:tcW w:w="51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46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2,787,638</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of $161.8 million, $153.0 million and $148.2 million for the years ended July 31, 2024, 2023 and 2022, respectively, of which $6.3 million, $6.7 million and $5.9 million, respectively, was amortization of deferred financing costs. The Company was in compliance with all of its financial and operating covenants required to be maintained under its debt instruments for all periods presented.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$4.1 million, $2.9 million and $2.7 million of non-cash foreign currency loss on the intercompany loan to Whistler Blackcomb during the years ended July 31, 2024, 2023 and 2022, respectively, on its Consolidated Statements of Operations. During the year ended July 31, 2024, Whistler Blackcomb repaid $65.0 million of the outstanding principal on the intercompany loan and as of July 31, 2024, the remaining balance of the intercompany loan was $32.1 million.</w:t>
      </w:r>
    </w:p>
    <w:p>
      <w:pPr>
        <w:spacing w:after="0" w:line="185" w:lineRule="exact"/>
        <w:rPr>
          <w:sz w:val="20"/>
          <w:szCs w:val="20"/>
          <w:color w:val="auto"/>
        </w:rPr>
      </w:pPr>
    </w:p>
    <w:p>
      <w:pPr>
        <w:ind w:left="360" w:hanging="352"/>
        <w:spacing w:after="0"/>
        <w:tabs>
          <w:tab w:leader="none" w:pos="3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Crans-Montana Mountain Resort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 2024, the Company acquired Crans-Montana in Switzerland from CPI Property Group (“CPIPG”). The Company acquired (i) an approximate 84% ownership stake in Romontées Mécaniques Crans Montana Aminona SA (“CMA”), which controls and operates all of the lifts and supporting mountain operations, including four retail and rental locations; (ii) 100% ownership of SportLife AG, which operates one of the ski schools located at the resort; and (iii) 100% ownership of 11 restaurants located on and around the mountain. The acquisition was funded with cash on hand. As of May 2, 2024 the total fair value of the consideration paid was $106.8 million (CHF 97.2 million).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Portions of the Crans-Montana resort operations are conducted on land owned by third parties via numerous registered easements, building rights (which may be subject to federal concessions), or other agreements. The municipality of Crans-Montana, the municipality of Lens and CPIPG collectively retained in total an approximate 16% ownership stake in CMA. The Company entered into a shareholders’ agreement with the municipalities of Crans-Montana and Lens (the “Crans Agreement”) for an initial fixed term until December 31, 2035. Thereafter, the Crans Agreement shall continue to be in effect for successive renewal periods of ten years unless terminated by either the Company or the municipalities acting jointly. The Crans Agreement provides for various terms and conditions in relation to the election and governance of the board of directors, company policies, dividends, financial aspects and related matters. The noncontrolling shares may be traded without restriction.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0" w:name="page91"/>
    <w:bookmarkEnd w:id="90"/>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6"/>
        </w:trPr>
        <w:tc>
          <w:tcPr>
            <w:tcW w:w="67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by Vail Resorts, Inc.</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106,809</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fair value of noncontrolling interests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w:t>
            </w:r>
          </w:p>
        </w:tc>
      </w:tr>
      <w:tr>
        <w:trPr>
          <w:trHeight w:val="248"/>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120,893</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total estimated purchase consideration:</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114,232</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8,262</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(25,604)</w:t>
            </w:r>
          </w:p>
        </w:tc>
      </w:tr>
      <w:tr>
        <w:trPr>
          <w:trHeight w:val="248"/>
        </w:trPr>
        <w:tc>
          <w:tcPr>
            <w:tcW w:w="67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120,893</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Crans-Montana are reported within the Mountain segment prospectively from the date of acquisition. The Company recognized $6.9 million of acquisition related expenses associated with the transaction within Mountain operating expense on its Consolidated Statement of Operations for the year ended July 31, 2024. The operating results of the acquired resort is reported within the Mountain segment prospectively from the date of acquisition.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in the acquisition of Crans-Montana are preliminary and are based on the information that was available as of the acquisition date. The Company believes that this information provides a reasonable basis for estimating the fair values of assets acquired and liabilities assumed; however, the Company may obtain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Andermatt-Sedrun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 2022, through a wholly-owned subsidiary, the Company acquired a 55% controlling interest in Andermatt-Sedrun from Andermatt Swiss Alps AG (“ASA”). The consideration paid consisted of an investment of $114.4 million (CHF 110.0 million) into Andermatt-Sedrun for use in capital investments to enhance the guest experience on mountain (which was prepaid to fund the acquisition and was recorded in other current assets on the Company’s Consolidated Balance Sheet as of July 31, 2022) and $41.3 million (CHF 39.3 million) paid to ASA (which was paid on August 3, 2022, commensurate with closing). As of August 3, 2022 the total fair value of the consideration paid was $155.4 million (CHF 149.3 million).</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 In addition, the distribution rights are non-transferable and transfer of the noncontrolling interests are limited.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1" w:name="page92"/>
    <w:bookmarkEnd w:id="91"/>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6"/>
        </w:trPr>
        <w:tc>
          <w:tcPr>
            <w:tcW w:w="67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by Vail Resorts, Inc.</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155,365</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fair value of noncontrolling interests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91,524</w:t>
            </w:r>
          </w:p>
        </w:tc>
      </w:tr>
      <w:tr>
        <w:trPr>
          <w:trHeight w:val="248"/>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246,889</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total estimated purchase consideration:</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long-term debt</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(44,130)</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9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(16,497)</w:t>
            </w:r>
          </w:p>
        </w:tc>
      </w:tr>
      <w:tr>
        <w:trPr>
          <w:trHeight w:val="223"/>
        </w:trPr>
        <w:tc>
          <w:tcPr>
            <w:tcW w:w="6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246,889</w:t>
            </w:r>
          </w:p>
        </w:tc>
      </w:tr>
      <w:tr>
        <w:trPr>
          <w:trHeight w:val="21"/>
        </w:trPr>
        <w:tc>
          <w:tcPr>
            <w:tcW w:w="67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Andermatt-Sedrun are reported within the Mountain segment prospectively from the date of acquisition.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Seven Springs Mountain Resort, Hidden Valley Resort &amp; Laurel Mountain Ski Area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Company, through a wholly-owned subsidiary, acquired Seven Springs Mountain Resort, Hidden Valley Resort and Laurel Mountain Ski Area in Pennsylvania (collectively, the “Seven Springs Resorts”) from Seven Springs Mountain Resort, Inc. and its affiliates for a cash purchase price of approximately $116.5 million, after adjustments for certain agreed-upon terms, which the Company funded with cash on hand. The acquisition included the mountain operations of the resorts, including base area skier services (food and beverage, retail and rental, lift ticket offices and ski and snowboard school facilities), as well as a hotel, conference center and other related operations.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6"/>
        </w:trPr>
        <w:tc>
          <w:tcPr>
            <w:tcW w:w="64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118,415</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(15,222)</w:t>
            </w:r>
          </w:p>
        </w:tc>
      </w:tr>
      <w:tr>
        <w:trPr>
          <w:trHeight w:val="223"/>
        </w:trPr>
        <w:tc>
          <w:tcPr>
            <w:tcW w:w="6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116,501</w:t>
            </w: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92" w:name="page93"/>
    <w:bookmarkEnd w:id="92"/>
    <w:p>
      <w:pPr>
        <w:jc w:val="both"/>
        <w:spacing w:after="0" w:line="255"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advanced lodging bookings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recognized $2.8 million of acquisition related expenses associated with the transaction within Mountain and Lodging operating expense on its Consolidated Statement of Operations for the year ended July 31, 2022. The operating results of the acquired resorts are reported within the Mountain and Lodging segments prospectively from the date of acquisition.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other current assets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26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2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51,519</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43,218</w:t>
            </w:r>
          </w:p>
        </w:tc>
      </w:tr>
      <w:tr>
        <w:trPr>
          <w:trHeight w:val="230"/>
        </w:trPr>
        <w:tc>
          <w:tcPr>
            <w:tcW w:w="20" w:type="dxa"/>
            <w:vAlign w:val="bottom"/>
          </w:tcPr>
          <w:p>
            <w:pPr>
              <w:spacing w:after="0"/>
              <w:rPr>
                <w:sz w:val="19"/>
                <w:szCs w:val="19"/>
                <w:color w:val="auto"/>
              </w:rPr>
            </w:pPr>
          </w:p>
        </w:tc>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28,039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78,185</w:t>
            </w: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121,403</w:t>
            </w:r>
          </w:p>
        </w:tc>
      </w:tr>
      <w:tr>
        <w:trPr>
          <w:trHeight w:val="51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including finance lease assets, follows (in thousands):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5"/>
        </w:trPr>
        <w:tc>
          <w:tcPr>
            <w:tcW w:w="2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Pr>
          <w:p>
            <w:pPr>
              <w:spacing w:after="0"/>
              <w:rPr>
                <w:sz w:val="24"/>
                <w:szCs w:val="24"/>
                <w:color w:val="auto"/>
              </w:rPr>
            </w:pPr>
          </w:p>
        </w:tc>
      </w:tr>
      <w:tr>
        <w:trPr>
          <w:trHeight w:val="23"/>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9"/>
        </w:trPr>
        <w:tc>
          <w:tcPr>
            <w:tcW w:w="20" w:type="dxa"/>
            <w:vAlign w:val="bottom"/>
          </w:tcPr>
          <w:p>
            <w:pPr>
              <w:spacing w:after="0"/>
              <w:rPr>
                <w:sz w:val="17"/>
                <w:szCs w:val="17"/>
                <w:color w:val="auto"/>
              </w:rPr>
            </w:pPr>
          </w:p>
        </w:tc>
        <w:tc>
          <w:tcPr>
            <w:tcW w:w="7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26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2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804,287</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796,730</w:t>
            </w:r>
          </w:p>
        </w:tc>
      </w:tr>
      <w:tr>
        <w:trPr>
          <w:trHeight w:val="229"/>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1,682,734</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1,643,517</w:t>
            </w: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1,984,549</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1,792,378</w:t>
            </w:r>
          </w:p>
        </w:tc>
      </w:tr>
      <w:tr>
        <w:trPr>
          <w:trHeight w:val="230"/>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316,510</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298,725</w:t>
            </w:r>
          </w:p>
        </w:tc>
      </w:tr>
      <w:tr>
        <w:trPr>
          <w:trHeight w:val="230"/>
        </w:trPr>
        <w:tc>
          <w:tcPr>
            <w:tcW w:w="20" w:type="dxa"/>
            <w:vAlign w:val="bottom"/>
          </w:tcPr>
          <w:p>
            <w:pPr>
              <w:spacing w:after="0"/>
              <w:rPr>
                <w:sz w:val="19"/>
                <w:szCs w:val="19"/>
                <w:color w:val="auto"/>
              </w:rPr>
            </w:pPr>
          </w:p>
        </w:tc>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161,502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152,033</w:t>
            </w:r>
          </w:p>
        </w:tc>
      </w:tr>
      <w:tr>
        <w:trPr>
          <w:trHeight w:val="229"/>
        </w:trPr>
        <w:tc>
          <w:tcPr>
            <w:tcW w:w="20" w:type="dxa"/>
            <w:vAlign w:val="bottom"/>
          </w:tcPr>
          <w:p>
            <w:pPr>
              <w:spacing w:after="0"/>
              <w:rPr>
                <w:sz w:val="19"/>
                <w:szCs w:val="19"/>
                <w:color w:val="auto"/>
              </w:rPr>
            </w:pPr>
          </w:p>
        </w:tc>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91,951</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87,298</w:t>
            </w:r>
          </w:p>
        </w:tc>
      </w:tr>
      <w:tr>
        <w:trPr>
          <w:trHeight w:val="230"/>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116,872</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134,113</w:t>
            </w:r>
          </w:p>
        </w:tc>
      </w:tr>
      <w:tr>
        <w:trPr>
          <w:trHeight w:val="223"/>
        </w:trPr>
        <w:tc>
          <w:tcPr>
            <w:tcW w:w="20" w:type="dxa"/>
            <w:vAlign w:val="bottom"/>
          </w:tcPr>
          <w:p>
            <w:pPr>
              <w:spacing w:after="0"/>
              <w:rPr>
                <w:sz w:val="19"/>
                <w:szCs w:val="19"/>
                <w:color w:val="auto"/>
              </w:rPr>
            </w:pP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5,158,405</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4,904,794</w:t>
            </w:r>
          </w:p>
        </w:tc>
      </w:tr>
      <w:tr>
        <w:trPr>
          <w:trHeight w:val="230"/>
        </w:trPr>
        <w:tc>
          <w:tcPr>
            <w:tcW w:w="20" w:type="dxa"/>
            <w:vAlign w:val="bottom"/>
          </w:tcPr>
          <w:p>
            <w:pPr>
              <w:spacing w:after="0"/>
              <w:rPr>
                <w:sz w:val="19"/>
                <w:szCs w:val="19"/>
                <w:color w:val="auto"/>
              </w:rPr>
            </w:pPr>
          </w:p>
        </w:tc>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(2,735,770)</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(2,533,237)</w:t>
            </w:r>
          </w:p>
        </w:tc>
      </w:tr>
      <w:tr>
        <w:trPr>
          <w:trHeight w:val="230"/>
        </w:trPr>
        <w:tc>
          <w:tcPr>
            <w:tcW w:w="20" w:type="dxa"/>
            <w:vAlign w:val="bottom"/>
          </w:tcPr>
          <w:p>
            <w:pPr>
              <w:spacing w:after="0"/>
              <w:rPr>
                <w:sz w:val="20"/>
                <w:szCs w:val="20"/>
                <w:color w:val="auto"/>
              </w:rPr>
            </w:pPr>
          </w:p>
        </w:tc>
        <w:tc>
          <w:tcPr>
            <w:tcW w:w="7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2,422,635</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2,371,557</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which included depreciation of assets recorded under finance leases, for the years ended July 31, 2024, 2023 and 2022 totaled $271.8 million, $263.4 million and $247.2 million, respectively.</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composition of property, plant and equipment recorded under finance leases as of July 31, 2024 and 2023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456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41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560" w:type="dxa"/>
            <w:vAlign w:val="bottom"/>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31,818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3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49,228</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3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70,917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85,416</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236,772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223,490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(107,740)</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(96,257)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560" w:type="dxa"/>
            <w:vAlign w:val="bottom"/>
            <w:tcBorders>
              <w:bottom w:val="single" w:sz="8" w:color="auto"/>
            </w:tcBorders>
            <w:gridSpan w:val="2"/>
            <w:shd w:val="clear" w:color="auto" w:fill="CCEEFF"/>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129,032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127,233</w:t>
            </w:r>
          </w:p>
        </w:tc>
        <w:tc>
          <w:tcPr>
            <w:tcW w:w="2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540" w:type="dxa"/>
            <w:vAlign w:val="bottom"/>
          </w:tcPr>
          <w:p>
            <w:pPr>
              <w:jc w:val="right"/>
              <w:ind w:right="1910"/>
              <w:spacing w:after="0"/>
              <w:rPr>
                <w:sz w:val="20"/>
                <w:szCs w:val="20"/>
                <w:color w:val="auto"/>
              </w:rPr>
            </w:pPr>
            <w:r>
              <w:rPr>
                <w:rFonts w:ascii="Times New Roman" w:cs="Times New Roman" w:eastAsia="Times New Roman" w:hAnsi="Times New Roman"/>
                <w:sz w:val="18"/>
                <w:szCs w:val="18"/>
                <w:color w:val="auto"/>
              </w:rPr>
              <w:t>91</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The composition of goodwill and intangible assets follows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7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7"/>
                <w:szCs w:val="17"/>
                <w:color w:val="auto"/>
              </w:rPr>
            </w:pPr>
          </w:p>
        </w:tc>
        <w:tc>
          <w:tcPr>
            <w:tcW w:w="126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1,721,017</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1,763,386</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impairments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(25,688)</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(25,688)</w:t>
            </w:r>
          </w:p>
        </w:tc>
      </w:tr>
      <w:tr>
        <w:trPr>
          <w:trHeight w:val="230"/>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(17,354)</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(17,354)</w:t>
            </w:r>
          </w:p>
        </w:tc>
      </w:tr>
      <w:tr>
        <w:trPr>
          <w:trHeight w:val="230"/>
        </w:trPr>
        <w:tc>
          <w:tcPr>
            <w:tcW w:w="7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1,677,975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1,720,344</w:t>
            </w:r>
          </w:p>
        </w:tc>
      </w:tr>
      <w:tr>
        <w:trPr>
          <w:trHeight w:val="48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235,858</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237,921</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41,081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41,224</w:t>
            </w:r>
          </w:p>
        </w:tc>
      </w:tr>
      <w:tr>
        <w:trPr>
          <w:trHeight w:val="223"/>
        </w:trPr>
        <w:tc>
          <w:tcPr>
            <w:tcW w:w="7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gross indefinite-lived intangible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276,939</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279,145</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(24,751)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(24,713)</w:t>
            </w:r>
          </w:p>
        </w:tc>
      </w:tr>
      <w:tr>
        <w:trPr>
          <w:trHeight w:val="230"/>
        </w:trPr>
        <w:tc>
          <w:tcPr>
            <w:tcW w:w="7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Indefinite-lived intangible assets, net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252,188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254,432</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Amortizable intangible assets</w:t>
            </w: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38,008</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71,198</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71,570</w:t>
            </w:r>
          </w:p>
        </w:tc>
      </w:tr>
      <w:tr>
        <w:trPr>
          <w:trHeight w:val="223"/>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amortizable intangible assets</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109,206</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109,578</w:t>
            </w:r>
          </w:p>
        </w:tc>
      </w:tr>
      <w:tr>
        <w:trPr>
          <w:trHeight w:val="229"/>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(58,859)</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(54,665)</w:t>
            </w:r>
          </w:p>
        </w:tc>
      </w:tr>
      <w:tr>
        <w:trPr>
          <w:trHeight w:val="230"/>
        </w:trPr>
        <w:tc>
          <w:tcPr>
            <w:tcW w:w="77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4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50,347</w:t>
            </w:r>
          </w:p>
        </w:tc>
        <w:tc>
          <w:tcPr>
            <w:tcW w:w="5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54,913</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intangible assets</w:t>
            </w: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386,145</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388,723</w:t>
            </w:r>
          </w:p>
        </w:tc>
      </w:tr>
      <w:tr>
        <w:trPr>
          <w:trHeight w:val="229"/>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(83,610)</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(79,378)</w:t>
            </w:r>
          </w:p>
        </w:tc>
      </w:tr>
      <w:tr>
        <w:trPr>
          <w:trHeight w:val="230"/>
        </w:trPr>
        <w:tc>
          <w:tcPr>
            <w:tcW w:w="7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302,535</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309,345</w:t>
            </w: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for the years ended July 31, 2024, 2023 and 2022 totaled $4.7 million, $5.1 million and $5.2 million, respectively, and is estimated to be approximately $2.6 million annually, on average, for the next five fiscal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net carrying amount of goodwill allocated between the Company’s segments for the years ended July 31, 2024 and 2023 are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360" w:type="dxa"/>
            <w:vAlign w:val="bottom"/>
          </w:tcPr>
          <w:p>
            <w:pPr>
              <w:spacing w:after="0"/>
              <w:rPr>
                <w:sz w:val="16"/>
                <w:szCs w:val="16"/>
                <w:color w:val="auto"/>
              </w:rPr>
            </w:pPr>
          </w:p>
        </w:tc>
        <w:tc>
          <w:tcPr>
            <w:tcW w:w="13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20" w:type="dxa"/>
            <w:vAlign w:val="bottom"/>
          </w:tcPr>
          <w:p>
            <w:pPr>
              <w:spacing w:after="0"/>
              <w:rPr>
                <w:sz w:val="16"/>
                <w:szCs w:val="16"/>
                <w:color w:val="auto"/>
              </w:rPr>
            </w:pPr>
          </w:p>
        </w:tc>
        <w:tc>
          <w:tcPr>
            <w:tcW w:w="14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Goodwill, net</w:t>
            </w:r>
          </w:p>
        </w:tc>
        <w:tc>
          <w:tcPr>
            <w:tcW w:w="0" w:type="dxa"/>
            <w:vAlign w:val="bottom"/>
          </w:tcPr>
          <w:p>
            <w:pPr>
              <w:spacing w:after="0"/>
              <w:rPr>
                <w:sz w:val="1"/>
                <w:szCs w:val="1"/>
                <w:color w:val="auto"/>
              </w:rPr>
            </w:pPr>
          </w:p>
        </w:tc>
      </w:tr>
      <w:tr>
        <w:trPr>
          <w:trHeight w:val="23"/>
        </w:trPr>
        <w:tc>
          <w:tcPr>
            <w:tcW w:w="5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2022</w:t>
            </w:r>
          </w:p>
        </w:tc>
        <w:tc>
          <w:tcPr>
            <w:tcW w:w="11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1,709,922</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1,754,928</w:t>
            </w:r>
          </w:p>
        </w:tc>
        <w:tc>
          <w:tcPr>
            <w:tcW w:w="0" w:type="dxa"/>
            <w:vAlign w:val="bottom"/>
          </w:tcPr>
          <w:p>
            <w:pPr>
              <w:spacing w:after="0"/>
              <w:rPr>
                <w:sz w:val="1"/>
                <w:szCs w:val="1"/>
                <w:color w:val="auto"/>
              </w:rPr>
            </w:pPr>
          </w:p>
        </w:tc>
      </w:tr>
      <w:tr>
        <w:trPr>
          <w:trHeight w:val="230"/>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(including measurement period adjustments)</w:t>
            </w:r>
          </w:p>
        </w:tc>
        <w:tc>
          <w:tcPr>
            <w:tcW w:w="1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0" w:type="dxa"/>
            <w:vAlign w:val="bottom"/>
          </w:tcPr>
          <w:p>
            <w:pPr>
              <w:spacing w:after="0"/>
              <w:rPr>
                <w:sz w:val="1"/>
                <w:szCs w:val="1"/>
                <w:color w:val="auto"/>
              </w:rPr>
            </w:pPr>
          </w:p>
        </w:tc>
      </w:tr>
      <w:tr>
        <w:trPr>
          <w:trHeight w:val="398"/>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Disposal of retail and rental stores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36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0" w:type="dxa"/>
            <w:vAlign w:val="bottom"/>
          </w:tcPr>
          <w:p>
            <w:pPr>
              <w:spacing w:after="0"/>
              <w:rPr>
                <w:sz w:val="1"/>
                <w:szCs w:val="1"/>
                <w:color w:val="auto"/>
              </w:rPr>
            </w:pPr>
          </w:p>
        </w:tc>
      </w:tr>
      <w:tr>
        <w:trPr>
          <w:trHeight w:val="32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180" w:type="dxa"/>
            <w:vAlign w:val="bottom"/>
          </w:tcPr>
          <w:p>
            <w:pPr>
              <w:spacing w:after="0"/>
              <w:rPr>
                <w:sz w:val="24"/>
                <w:szCs w:val="2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(31,977)</w:t>
            </w:r>
          </w:p>
        </w:tc>
        <w:tc>
          <w:tcPr>
            <w:tcW w:w="36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(31,977)</w:t>
            </w:r>
          </w:p>
        </w:tc>
        <w:tc>
          <w:tcPr>
            <w:tcW w:w="0" w:type="dxa"/>
            <w:vAlign w:val="bottom"/>
          </w:tcPr>
          <w:p>
            <w:pPr>
              <w:spacing w:after="0"/>
              <w:rPr>
                <w:sz w:val="1"/>
                <w:szCs w:val="1"/>
                <w:color w:val="auto"/>
              </w:rPr>
            </w:pPr>
          </w:p>
        </w:tc>
      </w:tr>
      <w:tr>
        <w:trPr>
          <w:trHeight w:val="95"/>
        </w:trPr>
        <w:tc>
          <w:tcPr>
            <w:tcW w:w="5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vMerge w:val="continue"/>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vMerge w:val="continue"/>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2023</w:t>
            </w: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1,675,338</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1,720,344</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w:t>
            </w:r>
          </w:p>
        </w:tc>
        <w:tc>
          <w:tcPr>
            <w:tcW w:w="1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324"/>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18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(45,165)</w:t>
            </w:r>
          </w:p>
        </w:tc>
        <w:tc>
          <w:tcPr>
            <w:tcW w:w="36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(45,165)</w:t>
            </w:r>
          </w:p>
        </w:tc>
        <w:tc>
          <w:tcPr>
            <w:tcW w:w="0" w:type="dxa"/>
            <w:vAlign w:val="bottom"/>
          </w:tcPr>
          <w:p>
            <w:pPr>
              <w:spacing w:after="0"/>
              <w:rPr>
                <w:sz w:val="1"/>
                <w:szCs w:val="1"/>
                <w:color w:val="auto"/>
              </w:rPr>
            </w:pPr>
          </w:p>
        </w:tc>
      </w:tr>
      <w:tr>
        <w:trPr>
          <w:trHeight w:val="95"/>
        </w:trPr>
        <w:tc>
          <w:tcPr>
            <w:tcW w:w="512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1420" w:type="dxa"/>
            <w:vAlign w:val="bottom"/>
            <w:tcBorders>
              <w:bottom w:val="single" w:sz="8" w:color="auto"/>
            </w:tcBorders>
            <w:vMerge w:val="continue"/>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1360" w:type="dxa"/>
            <w:vAlign w:val="bottom"/>
            <w:tcBorders>
              <w:bottom w:val="single" w:sz="8" w:color="auto"/>
            </w:tcBorders>
            <w:vMerge w:val="continue"/>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at July 31, 2024</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1,632,969</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1,677,975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40" w:right="20" w:hanging="8"/>
        <w:spacing w:after="0" w:line="229" w:lineRule="auto"/>
        <w:tabs>
          <w:tab w:leader="none" w:pos="529" w:val="left"/>
        </w:tabs>
        <w:numPr>
          <w:ilvl w:val="0"/>
          <w:numId w:val="5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year ended July 31, 2023, the Company completed a sale of five retail and rental stores in Telluride, Colorado to an unrelated party for cash, which the Company determined constituted the sale of a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9"/>
        </w:trPr>
        <w:tc>
          <w:tcPr>
            <w:tcW w:w="7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7"/>
                <w:szCs w:val="17"/>
                <w:color w:val="auto"/>
              </w:rPr>
            </w:pPr>
          </w:p>
        </w:tc>
        <w:tc>
          <w:tcPr>
            <w:tcW w:w="126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141,246</w:t>
            </w:r>
          </w:p>
        </w:tc>
        <w:tc>
          <w:tcPr>
            <w:tcW w:w="5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148,521</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575,766</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572,602</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43,269</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38,908</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60,940</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60,466</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44,500</w:t>
            </w:r>
          </w:p>
        </w:tc>
        <w:tc>
          <w:tcPr>
            <w:tcW w:w="5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37,798</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32,611</w:t>
            </w:r>
          </w:p>
        </w:tc>
        <w:tc>
          <w:tcPr>
            <w:tcW w:w="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36,904</w:t>
            </w:r>
          </w:p>
        </w:tc>
      </w:tr>
      <w:tr>
        <w:trPr>
          <w:trHeight w:val="229"/>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accruals</w:t>
            </w: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102,467</w:t>
            </w:r>
          </w:p>
        </w:tc>
        <w:tc>
          <w:tcPr>
            <w:tcW w:w="5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82,822</w:t>
            </w:r>
          </w:p>
        </w:tc>
      </w:tr>
      <w:tr>
        <w:trPr>
          <w:trHeight w:val="230"/>
        </w:trPr>
        <w:tc>
          <w:tcPr>
            <w:tcW w:w="77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1,000,798</w:t>
            </w:r>
          </w:p>
        </w:tc>
        <w:tc>
          <w:tcPr>
            <w:tcW w:w="5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978,021</w:t>
            </w:r>
          </w:p>
        </w:tc>
      </w:tr>
    </w:tbl>
    <w:p>
      <w:pPr>
        <w:spacing w:after="0" w:line="27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other current assets, Interest Rate Swaps and Contingent Consideration (defined below) measured at estimated fair value (all other assets and liabilities measured at fair value are immaterial)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2024</w:t>
            </w:r>
          </w:p>
        </w:tc>
        <w:tc>
          <w:tcPr>
            <w:tcW w:w="4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Description</w:t>
            </w: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896 $</w:t>
            </w:r>
          </w:p>
        </w:tc>
        <w:tc>
          <w:tcPr>
            <w:tcW w:w="1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101,989</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101,989</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104,200</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104,200</w:t>
            </w:r>
          </w:p>
        </w:tc>
        <w:tc>
          <w:tcPr>
            <w:tcW w:w="0" w:type="dxa"/>
            <w:vAlign w:val="bottom"/>
          </w:tcPr>
          <w:p>
            <w:pPr>
              <w:spacing w:after="0"/>
              <w:rPr>
                <w:sz w:val="1"/>
                <w:szCs w:val="1"/>
                <w:color w:val="auto"/>
              </w:rPr>
            </w:pPr>
          </w:p>
        </w:tc>
      </w:tr>
      <w:tr>
        <w:trPr>
          <w:trHeight w:val="429"/>
        </w:trPr>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2023</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Description</w:t>
            </w: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w:t>
            </w: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170,872</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170,872 $</w:t>
            </w:r>
          </w:p>
        </w:tc>
        <w:tc>
          <w:tcPr>
            <w:tcW w:w="17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Paper</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144,365</w:t>
            </w: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144,365</w:t>
            </w:r>
          </w:p>
        </w:tc>
        <w:tc>
          <w:tcPr>
            <w:tcW w:w="4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Rate Swaps</w:t>
            </w:r>
          </w:p>
        </w:tc>
        <w:tc>
          <w:tcPr>
            <w:tcW w:w="108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17,229</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Liabilities:</w:t>
            </w:r>
          </w:p>
        </w:tc>
        <w:tc>
          <w:tcPr>
            <w:tcW w:w="10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8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73,300</w:t>
            </w:r>
          </w:p>
        </w:tc>
        <w:tc>
          <w:tcPr>
            <w:tcW w:w="0" w:type="dxa"/>
            <w:vAlign w:val="bottom"/>
          </w:tcPr>
          <w:p>
            <w:pPr>
              <w:spacing w:after="0"/>
              <w:rPr>
                <w:sz w:val="1"/>
                <w:szCs w:val="1"/>
                <w:color w:val="auto"/>
              </w:rPr>
            </w:pPr>
          </w:p>
        </w:tc>
      </w:tr>
      <w:tr>
        <w:trPr>
          <w:trHeight w:val="857"/>
        </w:trPr>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5" w:name="page96"/>
    <w:bookmarkEnd w:id="95"/>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The Company is party to various interest rate swap agreements which hedge the cash flows associated with the SOFR-based variable interest rate component of $400.0 million in principal amount of its Vail Holdings Credit Agreement. Changes in the estimated fair value are recognized in change in estimated fair value of hedging instruments on the Company’s Consolidated Statements of Comprehensive Income. The estimated fair value of the Interest Rate Swaps was included as an asset within other current assets and deferred charges and other assets as of July 31, 2024 and 2023, respectively, in the Company’s Consolidated Balance Sheets.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years ended July 31, 2024 and 2023 were as follows (in thousands):</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920" w:type="dxa"/>
            <w:vAlign w:val="bottom"/>
          </w:tcPr>
          <w:p>
            <w:pPr>
              <w:spacing w:after="0"/>
              <w:rPr>
                <w:sz w:val="16"/>
                <w:szCs w:val="16"/>
                <w:color w:val="auto"/>
              </w:rPr>
            </w:pPr>
          </w:p>
        </w:tc>
        <w:tc>
          <w:tcPr>
            <w:tcW w:w="5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3"/>
        </w:trPr>
        <w:tc>
          <w:tcPr>
            <w:tcW w:w="592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2022</w:t>
            </w:r>
          </w:p>
        </w:tc>
        <w:tc>
          <w:tcPr>
            <w:tcW w:w="414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r>
      <w:tr>
        <w:trPr>
          <w:trHeight w:val="230"/>
        </w:trPr>
        <w:tc>
          <w:tcPr>
            <w:tcW w:w="5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4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(18,936)</w:t>
            </w:r>
          </w:p>
        </w:tc>
      </w:tr>
      <w:tr>
        <w:trPr>
          <w:trHeight w:val="229"/>
        </w:trPr>
        <w:tc>
          <w:tcPr>
            <w:tcW w:w="59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49,836</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July 31,2023</w:t>
            </w:r>
          </w:p>
        </w:tc>
        <w:tc>
          <w:tcPr>
            <w:tcW w:w="4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73,300</w:t>
            </w:r>
          </w:p>
        </w:tc>
      </w:tr>
      <w:tr>
        <w:trPr>
          <w:trHeight w:val="230"/>
        </w:trPr>
        <w:tc>
          <w:tcPr>
            <w:tcW w:w="5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w:t>
            </w:r>
          </w:p>
        </w:tc>
        <w:tc>
          <w:tcPr>
            <w:tcW w:w="4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(17,057)</w:t>
            </w:r>
          </w:p>
        </w:tc>
      </w:tr>
      <w:tr>
        <w:trPr>
          <w:trHeight w:val="229"/>
        </w:trPr>
        <w:tc>
          <w:tcPr>
            <w:tcW w:w="5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4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47,957</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2024</w:t>
            </w:r>
          </w:p>
        </w:tc>
        <w:tc>
          <w:tcPr>
            <w:tcW w:w="4140" w:type="dxa"/>
            <w:vAlign w:val="bottom"/>
            <w:tcBorders>
              <w:bottom w:val="single" w:sz="8" w:color="auto"/>
            </w:tcBorders>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104,200</w:t>
            </w:r>
          </w:p>
        </w:tc>
      </w:tr>
    </w:tbl>
    <w:p>
      <w:pPr>
        <w:spacing w:after="0" w:line="2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Park City Lease provides for participating contingent payments (the “Contingent Consideration”) to the landlord of 42% of the amount by which EBITDA for the Park City resort operations, as calculated under the Park City Lease, exceeds approximately $35 million, as established upon the Company’s acquisition of the resort, with such threshold amount subsequently increased annually by an inflation linked index and a 10% adjustment for any capital improvements or investments made under the Park City Lease by the Company. Contingent Consideration is classified as a liability, which is remeasured to fair value at each reporting date until the contingency is resolved. 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and discounted to net present value. Other significant assumptions included a discount rate of 11.1%, and volatility of 14.5%, which together with future period Park City EBITDA, are all unobservable inputs and thus are considered Level 3 inputs. During the year ended July 31, 2024, the Company made a payment to the landlord for Contingent Consideration of approximately $17.1 million.</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July 31, 2024, the Company observed a continued trend of improved performance at the resort relative to expectations, which were based on an average of historical results that the Company calculated in the prior year. Accordingly, the Company performed a reassessment of its long-term EBITDA assumptions used to estimate the fair value of the liability by updating the average of historical results used to estimate future year EBITDA performance. As a result, the Company recorded an increase in the liability of approximately $48.0 million which was primarily related to an increase in expected long-term EBITDA performance for Park City as well as the expected payment to be made in October 2024 for the resort’s performance for the year ending July 31, 2024. Future period EBITDA performance for Park City may differ significantly from these estimates, which could have a material impact on the estimated fair value of the Contingent Consideration liability.</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 of the Contingent Consideration is approximately $104.2 million, which is reflected in accounts payable and other long-term liabilities in the Company’s Consolidated Balance Sheet as of July 31, 2024.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$14.6 million to $20.1 million.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6" w:name="page97"/>
    <w:bookmarkEnd w:id="96"/>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taxation in U.S. federal, state and local jurisdictions and various non-U.S. jurisdictions, including Australia, Canada, the Netherlands and Switzerland. The Company’s effective tax rate is impacted by the tax laws, regulations, practices and interpretations in the jurisdictions in which it operates and may fluctuate significantly from period to period depending on, among other things, the geographic mix of the Company’s profits and losses, changes in tax laws and regulations or their application and interpretation, the outcome of tax audits and changes in valuation allowances associated with the Company’s deferred tax assets.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foreign components of income before provision for income taxes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9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217,971</w:t>
            </w:r>
          </w:p>
        </w:tc>
        <w:tc>
          <w:tcPr>
            <w:tcW w:w="4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387,729</w:t>
            </w:r>
          </w:p>
        </w:tc>
      </w:tr>
      <w:tr>
        <w:trPr>
          <w:trHeight w:val="23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119,687</w:t>
            </w: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155,546</w:t>
            </w:r>
          </w:p>
        </w:tc>
        <w:tc>
          <w:tcPr>
            <w:tcW w:w="4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69,432</w:t>
            </w:r>
          </w:p>
        </w:tc>
      </w:tr>
      <w:tr>
        <w:trPr>
          <w:trHeight w:val="230"/>
        </w:trPr>
        <w:tc>
          <w:tcPr>
            <w:tcW w:w="5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345,095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373,517</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457,161</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income tax purposes. Significant components of the Company’s deferred tax liabilities and assets are as follows (in thousands):</w:t>
      </w:r>
    </w:p>
    <w:p>
      <w:pPr>
        <w:spacing w:after="0" w:line="12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260" w:type="dxa"/>
            <w:vAlign w:val="bottom"/>
          </w:tcPr>
          <w:p>
            <w:pPr>
              <w:spacing w:after="0"/>
              <w:rPr>
                <w:sz w:val="16"/>
                <w:szCs w:val="16"/>
                <w:color w:val="auto"/>
              </w:rPr>
            </w:pPr>
          </w:p>
        </w:tc>
      </w:tr>
      <w:tr>
        <w:trPr>
          <w:trHeight w:val="23"/>
        </w:trPr>
        <w:tc>
          <w:tcPr>
            <w:tcW w:w="77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0"/>
        </w:trPr>
        <w:tc>
          <w:tcPr>
            <w:tcW w:w="77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7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w:t>
            </w:r>
          </w:p>
        </w:tc>
        <w:tc>
          <w:tcPr>
            <w:tcW w:w="106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200,197</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211,995</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143,402</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61,730</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45,913</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18,774</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w:t>
            </w:r>
          </w:p>
        </w:tc>
      </w:tr>
      <w:tr>
        <w:trPr>
          <w:trHeight w:val="223"/>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440,703</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423,425</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18,813</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18,631</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Partnerships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10,430</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and other accrued benefits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11,339</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11,099</w:t>
            </w: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25,251</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w:t>
            </w: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carryforwards and other tax credits</w:t>
            </w:r>
          </w:p>
        </w:tc>
        <w:tc>
          <w:tcPr>
            <w:tcW w:w="10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20,082</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64,550</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48,953</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25,892</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28,988</w:t>
            </w:r>
          </w:p>
        </w:tc>
      </w:tr>
      <w:tr>
        <w:trPr>
          <w:trHeight w:val="223"/>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180,134</w:t>
            </w:r>
          </w:p>
        </w:tc>
        <w:tc>
          <w:tcPr>
            <w:tcW w:w="5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160,758</w:t>
            </w:r>
          </w:p>
        </w:tc>
      </w:tr>
      <w:tr>
        <w:trPr>
          <w:trHeight w:val="230"/>
        </w:trPr>
        <w:tc>
          <w:tcPr>
            <w:tcW w:w="7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 for deferred income taxes</w:t>
            </w: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5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w:t>
            </w:r>
          </w:p>
        </w:tc>
      </w:tr>
      <w:tr>
        <w:trPr>
          <w:trHeight w:val="223"/>
        </w:trPr>
        <w:tc>
          <w:tcPr>
            <w:tcW w:w="77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1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164,581</w:t>
            </w:r>
          </w:p>
        </w:tc>
        <w:tc>
          <w:tcPr>
            <w:tcW w:w="5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151,155</w:t>
            </w:r>
          </w:p>
        </w:tc>
      </w:tr>
      <w:tr>
        <w:trPr>
          <w:trHeight w:val="230"/>
        </w:trPr>
        <w:tc>
          <w:tcPr>
            <w:tcW w:w="77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276,122</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272,270</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deferred income taxes recognized in the accompanying Consolidated Balance Sheets are as follows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4020" w:type="dxa"/>
            <w:vAlign w:val="bottom"/>
          </w:tcPr>
          <w:p>
            <w:pPr>
              <w:spacing w:after="0"/>
              <w:rPr>
                <w:sz w:val="2"/>
                <w:szCs w:val="2"/>
                <w:color w:val="auto"/>
              </w:rPr>
            </w:pPr>
          </w:p>
        </w:tc>
        <w:tc>
          <w:tcPr>
            <w:tcW w:w="41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40" w:type="dxa"/>
            <w:vAlign w:val="bottom"/>
          </w:tcPr>
          <w:p>
            <w:pPr>
              <w:spacing w:after="0"/>
              <w:rPr>
                <w:sz w:val="16"/>
                <w:szCs w:val="16"/>
                <w:color w:val="auto"/>
              </w:rPr>
            </w:pPr>
          </w:p>
        </w:tc>
        <w:tc>
          <w:tcPr>
            <w:tcW w:w="40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29"/>
        </w:trPr>
        <w:tc>
          <w:tcPr>
            <w:tcW w:w="40" w:type="dxa"/>
            <w:vAlign w:val="bottom"/>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w:t>
            </w:r>
          </w:p>
        </w:tc>
        <w:tc>
          <w:tcPr>
            <w:tcW w:w="4160" w:type="dxa"/>
            <w:vAlign w:val="bottom"/>
            <w:gridSpan w:val="2"/>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62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28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279,815</w:t>
            </w:r>
          </w:p>
        </w:tc>
        <w:tc>
          <w:tcPr>
            <w:tcW w:w="6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276,137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20"/>
                <w:szCs w:val="20"/>
                <w:color w:val="auto"/>
              </w:rPr>
            </w:pPr>
          </w:p>
        </w:tc>
        <w:tc>
          <w:tcPr>
            <w:tcW w:w="402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deferred income tax liability</w:t>
            </w:r>
          </w:p>
        </w:tc>
        <w:tc>
          <w:tcPr>
            <w:tcW w:w="4160" w:type="dxa"/>
            <w:vAlign w:val="bottom"/>
            <w:tcBorders>
              <w:bottom w:val="single" w:sz="8" w:color="auto"/>
            </w:tcBorders>
            <w:gridSpan w:val="2"/>
            <w:shd w:val="clear" w:color="auto" w:fill="CCEEFF"/>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276,122</w:t>
            </w:r>
          </w:p>
        </w:tc>
        <w:tc>
          <w:tcPr>
            <w:tcW w:w="62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272,270</w:t>
            </w:r>
          </w:p>
        </w:tc>
        <w:tc>
          <w:tcPr>
            <w:tcW w:w="20" w:type="dxa"/>
            <w:vAlign w:val="bottom"/>
          </w:tcPr>
          <w:p>
            <w:pPr>
              <w:spacing w:after="0"/>
              <w:rPr>
                <w:sz w:val="20"/>
                <w:szCs w:val="20"/>
                <w:color w:val="auto"/>
              </w:rPr>
            </w:pPr>
          </w:p>
        </w:tc>
      </w:tr>
      <w:tr>
        <w:trPr>
          <w:trHeight w:val="850"/>
        </w:trPr>
        <w:tc>
          <w:tcPr>
            <w:tcW w:w="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80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95</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color w:val="auto"/>
        </w:rPr>
        <w:t>Significant components of the provision for income taxes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0"/>
        </w:trPr>
        <w:tc>
          <w:tcPr>
            <w:tcW w:w="59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340" w:type="dxa"/>
            <w:vAlign w:val="bottom"/>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9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17,473</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62,974</w:t>
            </w:r>
          </w:p>
        </w:tc>
      </w:tr>
      <w:tr>
        <w:trPr>
          <w:trHeight w:val="22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6,759</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13,938</w:t>
            </w:r>
          </w:p>
        </w:tc>
      </w:tr>
      <w:tr>
        <w:trPr>
          <w:trHeight w:val="229"/>
        </w:trPr>
        <w:tc>
          <w:tcPr>
            <w:tcW w:w="5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31,412</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21,302</w:t>
            </w:r>
          </w:p>
        </w:tc>
      </w:tr>
      <w:tr>
        <w:trPr>
          <w:trHeight w:val="223"/>
        </w:trPr>
        <w:tc>
          <w:tcPr>
            <w:tcW w:w="596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86,721</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64,349</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98,214</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5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r>
      <w:tr>
        <w:trPr>
          <w:trHeight w:val="229"/>
        </w:trPr>
        <w:tc>
          <w:tcPr>
            <w:tcW w:w="5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w:t>
            </w:r>
          </w:p>
        </w:tc>
      </w:tr>
      <w:tr>
        <w:trPr>
          <w:trHeight w:val="230"/>
        </w:trPr>
        <w:tc>
          <w:tcPr>
            <w:tcW w:w="59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w:t>
            </w:r>
          </w:p>
        </w:tc>
      </w:tr>
      <w:tr>
        <w:trPr>
          <w:trHeight w:val="223"/>
        </w:trPr>
        <w:tc>
          <w:tcPr>
            <w:tcW w:w="59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deferred</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12,095</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24,065</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(9,390)</w:t>
            </w:r>
          </w:p>
        </w:tc>
      </w:tr>
      <w:tr>
        <w:trPr>
          <w:trHeight w:val="230"/>
        </w:trPr>
        <w:tc>
          <w:tcPr>
            <w:tcW w:w="59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88,414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88,824</w:t>
            </w: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income tax provision for continuing operations and the amount computed by applying the United States federal statutory income tax rate to income before income taxes is as follows:</w:t>
      </w:r>
    </w:p>
    <w:p>
      <w:pPr>
        <w:spacing w:after="0" w:line="128"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33655</wp:posOffset>
            </wp:positionV>
            <wp:extent cx="3514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ind w:left="6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40" w:type="dxa"/>
            <w:vAlign w:val="bottom"/>
          </w:tcPr>
          <w:p>
            <w:pPr>
              <w:spacing w:after="0"/>
              <w:rPr>
                <w:sz w:val="16"/>
                <w:szCs w:val="16"/>
                <w:color w:val="auto"/>
              </w:rPr>
            </w:pPr>
          </w:p>
        </w:tc>
        <w:tc>
          <w:tcPr>
            <w:tcW w:w="1840" w:type="dxa"/>
            <w:vAlign w:val="bottom"/>
          </w:tcPr>
          <w:p>
            <w:pPr>
              <w:jc w:val="right"/>
              <w:ind w:right="10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8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8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 U.S. federal income tax rate</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21.0 %</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21.0 %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2.9 %</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2.2 %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uncertain tax positions</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0.1 %</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(1.5)%</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0.3 %</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0.7 %</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partnership basis adjustment</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1.4 %</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84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(1.0)%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taxes</w:t>
            </w:r>
          </w:p>
        </w:tc>
        <w:tc>
          <w:tcPr>
            <w:tcW w:w="10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3.6 %</w:t>
            </w:r>
          </w:p>
        </w:tc>
        <w:tc>
          <w:tcPr>
            <w:tcW w:w="184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3.2 %</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30"/>
        </w:trPr>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0.3 %</w:t>
            </w:r>
          </w:p>
        </w:tc>
        <w:tc>
          <w:tcPr>
            <w:tcW w:w="1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(0.9)%</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30"/>
        </w:trPr>
        <w:tc>
          <w:tcPr>
            <w:tcW w:w="68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Effective tax rate</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28.6 %</w:t>
            </w:r>
          </w:p>
        </w:tc>
        <w:tc>
          <w:tcPr>
            <w:tcW w:w="184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rPr>
              <w:t>23.7 %</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associated with uncertain tax positions, excluding associated deferred tax benefits and accrued interest and penalties, if applicable, is as follows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0"/>
        </w:trPr>
        <w:tc>
          <w:tcPr>
            <w:tcW w:w="59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340" w:type="dxa"/>
            <w:vAlign w:val="bottom"/>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9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51,680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center"/>
              <w:ind w:left="856"/>
              <w:spacing w:after="0"/>
              <w:rPr>
                <w:sz w:val="20"/>
                <w:szCs w:val="20"/>
                <w:color w:val="auto"/>
              </w:rPr>
            </w:pPr>
            <w:r>
              <w:rPr>
                <w:rFonts w:ascii="Times New Roman" w:cs="Times New Roman" w:eastAsia="Times New Roman" w:hAnsi="Times New Roman"/>
                <w:sz w:val="18"/>
                <w:szCs w:val="18"/>
                <w:color w:val="auto"/>
              </w:rPr>
              <w:t>62,909</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614"/>
              <w:spacing w:after="0"/>
              <w:rPr>
                <w:sz w:val="20"/>
                <w:szCs w:val="20"/>
                <w:color w:val="auto"/>
              </w:rPr>
            </w:pPr>
            <w:r>
              <w:rPr>
                <w:rFonts w:ascii="Times New Roman" w:cs="Times New Roman" w:eastAsia="Times New Roman" w:hAnsi="Times New Roman"/>
                <w:sz w:val="18"/>
                <w:szCs w:val="18"/>
                <w:color w:val="auto"/>
                <w:w w:val="96"/>
              </w:rPr>
              <w:t>67,857</w:t>
            </w:r>
          </w:p>
        </w:tc>
      </w:tr>
      <w:tr>
        <w:trPr>
          <w:trHeight w:val="230"/>
        </w:trPr>
        <w:tc>
          <w:tcPr>
            <w:tcW w:w="5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10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10,866</w:t>
            </w:r>
          </w:p>
        </w:tc>
        <w:tc>
          <w:tcPr>
            <w:tcW w:w="180" w:type="dxa"/>
            <w:vAlign w:val="bottom"/>
          </w:tcPr>
          <w:p>
            <w:pPr>
              <w:spacing w:after="0"/>
              <w:rPr>
                <w:sz w:val="19"/>
                <w:szCs w:val="19"/>
                <w:color w:val="auto"/>
              </w:rPr>
            </w:pPr>
          </w:p>
        </w:tc>
        <w:tc>
          <w:tcPr>
            <w:tcW w:w="1560" w:type="dxa"/>
            <w:vAlign w:val="bottom"/>
          </w:tcPr>
          <w:p>
            <w:pPr>
              <w:jc w:val="center"/>
              <w:ind w:left="876"/>
              <w:spacing w:after="0"/>
              <w:rPr>
                <w:sz w:val="20"/>
                <w:szCs w:val="20"/>
                <w:color w:val="auto"/>
              </w:rPr>
            </w:pPr>
            <w:r>
              <w:rPr>
                <w:rFonts w:ascii="Times New Roman" w:cs="Times New Roman" w:eastAsia="Times New Roman" w:hAnsi="Times New Roman"/>
                <w:sz w:val="18"/>
                <w:szCs w:val="18"/>
                <w:color w:val="auto"/>
                <w:w w:val="96"/>
              </w:rPr>
              <w:t>11,025</w:t>
            </w:r>
          </w:p>
        </w:tc>
        <w:tc>
          <w:tcPr>
            <w:tcW w:w="440" w:type="dxa"/>
            <w:vAlign w:val="bottom"/>
          </w:tcPr>
          <w:p>
            <w:pPr>
              <w:spacing w:after="0"/>
              <w:rPr>
                <w:sz w:val="19"/>
                <w:szCs w:val="19"/>
                <w:color w:val="auto"/>
              </w:rPr>
            </w:pPr>
          </w:p>
        </w:tc>
        <w:tc>
          <w:tcPr>
            <w:tcW w:w="1340" w:type="dxa"/>
            <w:vAlign w:val="bottom"/>
          </w:tcPr>
          <w:p>
            <w:pPr>
              <w:jc w:val="center"/>
              <w:ind w:left="614"/>
              <w:spacing w:after="0"/>
              <w:rPr>
                <w:sz w:val="20"/>
                <w:szCs w:val="20"/>
                <w:color w:val="auto"/>
              </w:rPr>
            </w:pPr>
            <w:r>
              <w:rPr>
                <w:rFonts w:ascii="Times New Roman" w:cs="Times New Roman" w:eastAsia="Times New Roman" w:hAnsi="Times New Roman"/>
                <w:sz w:val="18"/>
                <w:szCs w:val="18"/>
                <w:color w:val="auto"/>
                <w:w w:val="96"/>
              </w:rPr>
              <w:t>11,179</w:t>
            </w:r>
          </w:p>
        </w:tc>
      </w:tr>
      <w:tr>
        <w:trPr>
          <w:trHeight w:val="230"/>
        </w:trPr>
        <w:tc>
          <w:tcPr>
            <w:tcW w:w="59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(11,558)</w:t>
            </w: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ind w:left="836"/>
              <w:spacing w:after="0"/>
              <w:rPr>
                <w:sz w:val="20"/>
                <w:szCs w:val="20"/>
                <w:color w:val="auto"/>
              </w:rPr>
            </w:pPr>
            <w:r>
              <w:rPr>
                <w:rFonts w:ascii="Times New Roman" w:cs="Times New Roman" w:eastAsia="Times New Roman" w:hAnsi="Times New Roman"/>
                <w:sz w:val="18"/>
                <w:szCs w:val="18"/>
                <w:color w:val="auto"/>
                <w:w w:val="97"/>
              </w:rPr>
              <w:t>(22,254)</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left="594"/>
              <w:spacing w:after="0"/>
              <w:rPr>
                <w:sz w:val="20"/>
                <w:szCs w:val="20"/>
                <w:color w:val="auto"/>
              </w:rPr>
            </w:pPr>
            <w:r>
              <w:rPr>
                <w:rFonts w:ascii="Times New Roman" w:cs="Times New Roman" w:eastAsia="Times New Roman" w:hAnsi="Times New Roman"/>
                <w:sz w:val="18"/>
                <w:szCs w:val="18"/>
                <w:color w:val="auto"/>
              </w:rPr>
              <w:t>(16,127)</w:t>
            </w:r>
          </w:p>
        </w:tc>
      </w:tr>
      <w:tr>
        <w:trPr>
          <w:trHeight w:val="23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end of year</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50,988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center"/>
              <w:ind w:left="856"/>
              <w:spacing w:after="0"/>
              <w:rPr>
                <w:sz w:val="20"/>
                <w:szCs w:val="20"/>
                <w:color w:val="auto"/>
              </w:rPr>
            </w:pPr>
            <w:r>
              <w:rPr>
                <w:rFonts w:ascii="Times New Roman" w:cs="Times New Roman" w:eastAsia="Times New Roman" w:hAnsi="Times New Roman"/>
                <w:sz w:val="18"/>
                <w:szCs w:val="18"/>
                <w:color w:val="auto"/>
              </w:rPr>
              <w:t>51,680</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center"/>
              <w:ind w:left="614"/>
              <w:spacing w:after="0"/>
              <w:rPr>
                <w:sz w:val="20"/>
                <w:szCs w:val="20"/>
                <w:color w:val="auto"/>
              </w:rPr>
            </w:pPr>
            <w:r>
              <w:rPr>
                <w:rFonts w:ascii="Times New Roman" w:cs="Times New Roman" w:eastAsia="Times New Roman" w:hAnsi="Times New Roman"/>
                <w:sz w:val="18"/>
                <w:szCs w:val="18"/>
                <w:color w:val="auto"/>
                <w:w w:val="96"/>
              </w:rPr>
              <w:t>62,909</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2024, the Company’s unrecognized tax benefits associated with uncertain tax positions relate to the treatment of the Talisker lease payments as payments of debt obligations and that the tax basis in Canyons goodwill is deductible, and are included within other long-term liabilities in the accompanying Consolidated Balance Sheets.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July 31, 2024, the Company had recorded $51.0 million of uncertain tax positions as well as $6.1 million of accrued interest and penalties. During the year ended July 31, 2024, the Company experienced a reduction in the uncertain tax positions due to the lapse of the statute of limitations of $11.6 million, which was partially offset with an increase to the uncertain tax position of $10.9 million. The Company also recognized a tax benefit of $1.0 million from a reduction in accrued interest and penalties during the year ended July 31, 2024. The Company is not aware of any tax positions for which it is reasonably possible that the total amounts of unrecognized tax benefits will change materially in the next twelve months. Additionally, the Company expects a reduction to its uncertain tax positions for the fiscal year ending July 31, 2025, due to the lapse of the statute of limitations.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98" w:name="page99"/>
    <w:bookmarkEnd w:id="98"/>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major tax jurisdictions in which it files income tax returns are the U.S. federal jurisdiction, various state jurisdictions, Australia, Canada and Switzerland. The Company’s U.S. federal and state income tax returns are generally subject to tax examinations for the tax years 2020 through the current period. The Company’s Australian and Canadian income tax returns are generally subject to examination for the tax years 2019 through the current period, and Swiss income tax returns are generally subject to examination for the tax years 2018 through the current period. Additionally, to the extent the Company has NOLs that have been carried back or are available for carryforward, the tax years to which the NOL was carried back or in which the NOL was generated may still be adjusted by the taxing authorities to the extent the NOLs are utilized.</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NOL carryforwards totaling $92.6 million, primarily comprised of $5.9 million of federal and state NOLs as a result of the acquisition of Peak Resorts in September 2019 that will expire beginning July 31, 2034 and non-U.S. NOLs of $86.7 million (for which a portion will begin expiring July 31, 2025, and a portion will carry forward indefinitely). In connection with Peak Resorts’ initial public offering in November 2014, as well as the Company’s acquisition of Peak Resorts in September 2019, Peak Resorts had two ownership changes pursuant to the provisions of the Tax Reform Act of 1986. As a result, the Company’s usage of its eligible Federal NOL carryforwards will be limited each year by these ownership changes; however, management believes the full benefit of those carryforwards will be realized prior to their respective expiration dates. As of July 31, 2024, the Company has recorded a valuation allowance of $10.4 million on non-U.S. NOL carryforwards, as the Company has determined that it is more likely than not that the associated NOL carryforwards will not be realized. The Company has also recorded a valuation allowance of $4.2 million on foreign tax credit carryforwards, as the Company has determined that it is more likely than not that these foreign tax credit carryforwards will not be realized. Additionally, the Company has $1.0 million of foreign deferred tax assets, for which a valuation allowance of $1.0 million has been recorded.</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be required to record additional valuation allowances if, among other things, adverse economic conditions negatively impact the Company’s ability to realize its deferred tax assets. Evaluating and estimating the Company’s tax provision, current and deferred tax assets and liabilities and other tax accruals requires significant management judgment. The Company intends to indefinitely reinvest undistributed earnings, if any, in its foreign subsidiaries. It is not practical at this time to determine the income tax liability related to any remaining undistributed earnings.</w:t>
      </w:r>
    </w:p>
    <w:p>
      <w:pPr>
        <w:spacing w:after="0" w:line="176" w:lineRule="exact"/>
        <w:rPr>
          <w:sz w:val="20"/>
          <w:szCs w:val="20"/>
          <w:color w:val="auto"/>
        </w:rPr>
      </w:pPr>
    </w:p>
    <w:p>
      <w:pPr>
        <w:ind w:left="400" w:hanging="392"/>
        <w:spacing w:after="0"/>
        <w:tabs>
          <w:tab w:leader="none" w:pos="4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2024, the Company had various letters of credit outstanding totaling $96.0 million, consisting of $53.4 million to support the Employee Housing Bonds; $6.4 million to support bonds issued by Holland Creek Metropolitan District; and $36.2 million primarily for workers’ compensation, a wind energy purchase agreement and insurance-related deductibles, as well as other standby letters of credit. The Company also had surety bonds of $9.5 million as of July 31, 2024, primarily to provide collateral for its U.S. workers compensation self-insurance programs.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Financial Statements, either because the Company has recorded on its Consolidated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9" w:name="page100"/>
    <w:bookmarkEnd w:id="99"/>
    <w:p>
      <w:pPr>
        <w:jc w:val="both"/>
        <w:spacing w:after="0" w:line="282" w:lineRule="auto"/>
        <w:rPr>
          <w:sz w:val="20"/>
          <w:szCs w:val="20"/>
          <w:color w:val="auto"/>
        </w:rPr>
      </w:pPr>
      <w:r>
        <w:rPr>
          <w:rFonts w:ascii="Times New Roman" w:cs="Times New Roman" w:eastAsia="Times New Roman" w:hAnsi="Times New Roman"/>
          <w:sz w:val="18"/>
          <w:szCs w:val="18"/>
          <w:color w:val="auto"/>
        </w:rPr>
        <w:t>to the unique set of facts and circumstances likely to be involved in each particular claim and indemnification provision. Historically, payments made by the Company under these obligations have not been material.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operations of Northstar are conducted on land and with operating assets owned by affiliates of EPR Properties, a real-estate investment trust, primarily under operating leases which were assumed in the acquisition of Northstar by the Company. In addition, the leases provide for the payment of percentage rent of certain gross revenues generated at the property over a revenue threshold which is incrementally adjusted annually. The initial term of the leases expires in fiscal 2027 and allows for three 10-year extensions at the Company’s option. The operations of Perisher are conducted on land under a license and lease granted by the Office of Environment and Heritage, an agency of the New South Wales government, which initially commenced in 2008, and which the Company assumed in its acquisition of Perisher. The lease and license has a term that expires in fiscal 2048 and allows for an option to renew for an additional 20 years. The lease and license provide for the payment of an initial minimum annual base rent, with annual CPI increases, and percentage rent of certain gross revenue generated at the property. The operations of Falls Creek and Hotham are conducted on land under leases granted by the Governor of the State of Victoria, Australia and its dependencies, which initially commenced in 1991 and 1992, respectively, which the Company assumed in its acquisition of Falls Creek and Hotham in April 2019. The leases have terms that expire in fiscal 2041 for Falls Creek and fiscal 2058 for Hotham, and provide for the payment of rent with both a fixed and variable component. The operations of Mad River Mountain are conducted on land under a lease granted by EPT Mad River, Inc., which initially commenced in 2005, which the Company assumed in its acquisition of Peak Resorts in September 2019. The lease has a term that expires in the year ending July 31, 2035, and provides for the payment of an initial minimum annual base rent, with annual CPI increases, and percentage rent of certain gross revenue generated at the property. The operations of Laurel Mountain are conducted on land under a concessioner lease agreement with the Commonwealth of Pennsylvania, acting through the Department of Conservation and Natural Resources (“Department”), which initially commenced in 2018, which the Company assumed in its acquisition of the Seven Springs Resorts in December 2021. The agreement has a term that expires in the year ending July 31, 2052, and provides for the payment of an initial minimum annual base rent, with bi-annual CPI increases, and additional rent based on skier visits. The operations of Andermatt-Sedrun are conducted on (i) land owned by ASA as freehold or leasehold properties, including land owned by Usern Corporation, for which operations are conducted under a main framework concession agreement that expires in the year ending July 31, 2033 and provides for annual concession and administrative fee payments, and land owned by the Swiss Confederation, for which operations are conducted under leasehold agreements which expire in the years ending July 31, 2067 and 2068; (ii) land owned by the municipality of Tujetsch, for which operations are conducted under various building rights and rights of way which expire in the year ending July 31, 2033 and provide for annual concession fee payments; and (iii) land owned by private property owners. Portions of our operations at Crans-Montana are located on land owned by regional Bourgeoisies, the municipality of Crans-Montana and private property owners, whereby the owners have granted building rights and/or easements for the operations. Such leasehold property rights expire between 2027 and 2094, and we will then be able to negotiate for an extension. These leasehold properties primarily relate to forest and agricultural zones for which usage is needed for the operation of the ski lifts (e.g. passing through of ski lifts or in connection with the arrival or departure stations of the ski lifts) and are spread over the entire ski resort. The transportation and ski infrastructure operations of Andermatt-Sedrun and Crans-Montana also operate under various concessions from the Federal Office of Transport, which have terms expiring in the years ending July 31, 2032 through 2047. Additionally, the Company has entered into strategic long-term season pass alliance agreements with third-party mountain resorts in which the Company has committed to pay minimum revenue guarantees over the remaining terms of these agreements.</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executed or assumed as lessee other operating leases for the rental of office and commercial space, employee residential units and land primarily through fiscal 2095. Certain of these leases have renewal terms at the Company’s option, escalation clauses, rent holidays and leasehold improvement incentives. Rent holidays and rent escalation clauses are recognized on a straight-line basis over the lease term. Leasehold improvement incentives are recorded as leasehold improvements and amortized over the shorter of their economic lives or the term of the lease. For the years ended July 31, 2024, 2023 and 2022, the Company recorded lease expense (including for the lease obligations discussed above), excluding executory costs, related to these agreements of $71.7 million, $71.3 million and $61.2 million, respectively, which is included on the accompanying Consolidated Statements of Operations. See Note 4, Leases, for additional information regarding the Company’s leasing arrangements.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8, Supplementary Balance Sheet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The Company will assess the probability of an unfavorable outcome of any material litigation, claims or assessments to determine whether a liability had been incurred and whether it is probable that one or more future events will occur confirming the fact of the loss. In the event that an unfavorable outcome is determined to be probable and the amount of the loss can be reasonably estimated, the Company will establish an accrual for the litigation, claim or assessment. In addition, in the event an unfavorable outcome is determined to be less than probable, but reasonably possible, the Company will disclose an estimate of the possible loss or range of such loss; however, when a reasonable estimate cannot be made, the Company will provide disclosure to that effect. Litigation is inherently uncertain and may result in adverse rulings or decisions. Additionally, the Company may enter into settlements or be subject to judgments that may, individually or in the aggregate, have a material adverse effect on its results of operations. Accordingly, actual results could differ materially. Management believes the Company has adequate insurance coverage and/or has accrued for all loss contingencies for asserted and unasserted matters deemed to be probable and reasonably estimable losses. As of July 31, 2024 and 2023, the accruals for such loss contingencies were not material individually or in the aggregate.</w:t>
      </w:r>
    </w:p>
    <w:p>
      <w:pPr>
        <w:spacing w:after="0" w:line="19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and Geographic Area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Information</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Financial Statements as indicators of financial performance or liquidity.</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1" w:name="page102"/>
    <w:bookmarkEnd w:id="101"/>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key financial information by reportable segment, which is used by management in evaluating performance and allocating resources (in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9"/>
        </w:trPr>
        <w:tc>
          <w:tcPr>
            <w:tcW w:w="5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154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7"/>
                <w:szCs w:val="17"/>
                <w:color w:val="auto"/>
              </w:rPr>
            </w:pPr>
          </w:p>
        </w:tc>
        <w:tc>
          <w:tcPr>
            <w:tcW w:w="1340" w:type="dxa"/>
            <w:vAlign w:val="bottom"/>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5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Mountain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2,544,370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2,540,906</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2,213,114</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336,117</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340,393</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312,090</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2,880,487</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2,881,299</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2,525,204</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3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2,885,191</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2,889,364</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2,525,912</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Mountain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1,743,351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1,718,941</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1,404,527</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313,099</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328,126</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286,343</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operating expense</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2,056,450</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2,047,067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1,690,870</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9,514</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10,635</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5,911</w:t>
            </w:r>
          </w:p>
        </w:tc>
      </w:tr>
      <w:tr>
        <w:trPr>
          <w:trHeight w:val="23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2,065,964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2,057,702</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1,696,781</w:t>
            </w:r>
          </w:p>
        </w:tc>
      </w:tr>
      <w:tr>
        <w:trPr>
          <w:trHeight w:val="22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Mountain</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802,072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822,570</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811,167</w:t>
            </w:r>
          </w:p>
        </w:tc>
      </w:tr>
      <w:tr>
        <w:trPr>
          <w:trHeight w:val="229"/>
        </w:trPr>
        <w:tc>
          <w:tcPr>
            <w:tcW w:w="5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Lodging</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12,267</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25,747</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825,090</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834,837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836,914</w:t>
            </w:r>
          </w:p>
        </w:tc>
      </w:tr>
      <w:tr>
        <w:trPr>
          <w:trHeight w:val="230"/>
        </w:trPr>
        <w:tc>
          <w:tcPr>
            <w:tcW w:w="59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(3,927)</w:t>
            </w:r>
          </w:p>
        </w:tc>
      </w:tr>
      <w:tr>
        <w:trPr>
          <w:trHeight w:val="23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Reported EBITDA</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826,565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833,109</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832,987</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90,207</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95,983</w:t>
            </w:r>
          </w:p>
        </w:tc>
      </w:tr>
      <w:tr>
        <w:trPr>
          <w:trHeight w:val="175"/>
        </w:trPr>
        <w:tc>
          <w:tcPr>
            <w:tcW w:w="59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Reconciliation of net income attributable to Vail Resorts, Inc. to Total Reported</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3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4"/>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Vail Resorts, Inc.</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230,405</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268,148</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347,923</w:t>
            </w:r>
          </w:p>
        </w:tc>
      </w:tr>
      <w:tr>
        <w:trPr>
          <w:trHeight w:val="22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16,955</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20,414</w:t>
            </w:r>
          </w:p>
        </w:tc>
      </w:tr>
      <w:tr>
        <w:trPr>
          <w:trHeight w:val="223"/>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246,279</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285,103</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368,337</w:t>
            </w:r>
          </w:p>
        </w:tc>
      </w:tr>
      <w:tr>
        <w:trPr>
          <w:trHeight w:val="22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98,816</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88,414</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88,824</w:t>
            </w:r>
          </w:p>
        </w:tc>
      </w:tr>
      <w:tr>
        <w:trPr>
          <w:trHeight w:val="223"/>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345,095</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373,517</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457,161</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276,493</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268,501</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252,391</w:t>
            </w:r>
          </w:p>
        </w:tc>
      </w:tr>
      <w:tr>
        <w:trPr>
          <w:trHeight w:val="230"/>
        </w:trPr>
        <w:tc>
          <w:tcPr>
            <w:tcW w:w="59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Loss (gain) on disposal of fixed assets and other, net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9,070</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(43,992)</w:t>
            </w:r>
          </w:p>
        </w:tc>
      </w:tr>
      <w:tr>
        <w:trPr>
          <w:trHeight w:val="230"/>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47,957</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49,836</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20,280</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(18,592)</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(23,744)</w:t>
            </w: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on intercompany loans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r>
      <w:tr>
        <w:trPr>
          <w:trHeight w:val="230"/>
        </w:trPr>
        <w:tc>
          <w:tcPr>
            <w:tcW w:w="5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161,839</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153,022</w:t>
            </w: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148,183</w:t>
            </w:r>
          </w:p>
        </w:tc>
      </w:tr>
      <w:tr>
        <w:trPr>
          <w:trHeight w:val="230"/>
        </w:trPr>
        <w:tc>
          <w:tcPr>
            <w:tcW w:w="59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Total Reported EBITDA</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826,565</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833,109</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832,987</w:t>
            </w:r>
          </w:p>
        </w:tc>
      </w:tr>
    </w:tbl>
    <w:p>
      <w:pPr>
        <w:spacing w:after="0" w:line="171" w:lineRule="exact"/>
        <w:rPr>
          <w:sz w:val="20"/>
          <w:szCs w:val="20"/>
          <w:color w:val="auto"/>
        </w:rPr>
      </w:pPr>
    </w:p>
    <w:p>
      <w:pPr>
        <w:ind w:left="5480" w:right="1000" w:hanging="5229"/>
        <w:spacing w:after="0" w:line="476" w:lineRule="auto"/>
        <w:tabs>
          <w:tab w:leader="none" w:pos="423"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During the year ended July 31, 2022, the Company recognized a gain of $32.2 million from the sale of a hotel property in Breckenridge.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auto"/>
        </w:rPr>
        <w:t>Geographic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and long-lived assets, excluding financial instruments and deferred tax assets, by geographic region are as follows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2,386,749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2,366,342</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2,228,708</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(1)</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498,442</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523,022</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297,204</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2,885,191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2,889,364</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2,525,912</w:t>
            </w:r>
          </w:p>
        </w:tc>
        <w:tc>
          <w:tcPr>
            <w:tcW w:w="0" w:type="dxa"/>
            <w:vAlign w:val="bottom"/>
          </w:tcPr>
          <w:p>
            <w:pPr>
              <w:spacing w:after="0"/>
              <w:rPr>
                <w:sz w:val="1"/>
                <w:szCs w:val="1"/>
                <w:color w:val="auto"/>
              </w:rPr>
            </w:pPr>
          </w:p>
        </w:tc>
      </w:tr>
      <w:tr>
        <w:trPr>
          <w:trHeight w:val="436"/>
        </w:trPr>
        <w:tc>
          <w:tcPr>
            <w:tcW w:w="5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Long-lived assets</w:t>
            </w: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5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2,858,275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2,853,758</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International </w:t>
            </w:r>
            <w:r>
              <w:rPr>
                <w:rFonts w:ascii="Times New Roman" w:cs="Times New Roman" w:eastAsia="Times New Roman" w:hAnsi="Times New Roman"/>
                <w:sz w:val="23"/>
                <w:szCs w:val="23"/>
                <w:color w:val="auto"/>
                <w:vertAlign w:val="superscript"/>
              </w:rPr>
              <w:t>(2)</w:t>
            </w: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1,925,108</w:t>
            </w:r>
          </w:p>
        </w:tc>
        <w:tc>
          <w:tcPr>
            <w:tcW w:w="5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1,882,018</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long-lived assets</w:t>
            </w:r>
          </w:p>
        </w:tc>
        <w:tc>
          <w:tcPr>
            <w:tcW w:w="4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4,783,383</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4,735,776</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left="340" w:hanging="8"/>
        <w:spacing w:after="0" w:line="235" w:lineRule="auto"/>
        <w:tabs>
          <w:tab w:leader="none" w:pos="519" w:val="left"/>
        </w:tabs>
        <w:numPr>
          <w:ilvl w:val="1"/>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only individual international country (i.e. except the U.S.) to account for more than 10% of the Company’s net revenue was Canada. Canada accounted for $326.2 million and $321.7 million of net revenue for the year ended July 31, 2024 and 2023, respectively. For the year ended July 31, 2022, no individual international country accounted for more than 10% of the Company’s net revenue.</w:t>
      </w:r>
    </w:p>
    <w:p>
      <w:pPr>
        <w:spacing w:after="0" w:line="199" w:lineRule="exact"/>
        <w:rPr>
          <w:rFonts w:ascii="Times New Roman" w:cs="Times New Roman" w:eastAsia="Times New Roman" w:hAnsi="Times New Roman"/>
          <w:sz w:val="23"/>
          <w:szCs w:val="23"/>
          <w:color w:val="auto"/>
          <w:vertAlign w:val="superscript"/>
        </w:rPr>
      </w:pPr>
    </w:p>
    <w:p>
      <w:pPr>
        <w:ind w:left="340" w:right="20" w:hanging="8"/>
        <w:spacing w:after="0" w:line="229" w:lineRule="auto"/>
        <w:tabs>
          <w:tab w:leader="none" w:pos="541" w:val="left"/>
        </w:tabs>
        <w:numPr>
          <w:ilvl w:val="1"/>
          <w:numId w:val="5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only individual international country to account for more than 10% of the Company’s long-lived assets was Canada. Canada accounted for $1,373.8 million and $1,446.0 million of long-lived assets as of July 31, 2024 and 2023, respectively.</w:t>
      </w:r>
    </w:p>
    <w:p>
      <w:pPr>
        <w:spacing w:after="0" w:line="194" w:lineRule="exact"/>
        <w:rPr>
          <w:rFonts w:ascii="Times New Roman" w:cs="Times New Roman" w:eastAsia="Times New Roman" w:hAnsi="Times New Roman"/>
          <w:sz w:val="23"/>
          <w:szCs w:val="23"/>
          <w:color w:val="auto"/>
          <w:vertAlign w:val="superscript"/>
        </w:rPr>
      </w:pPr>
    </w:p>
    <w:p>
      <w:pPr>
        <w:ind w:left="420" w:hanging="412"/>
        <w:spacing w:after="0"/>
        <w:tabs>
          <w:tab w:leader="none" w:pos="4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December 4, 2015 and March 7, 2023, the Company’s Board of Directors increased the authorization by an additional 3,000,000, 1,500,000 and 2,500,000 Vail Shares, respectively, for a total authorization to repurchase up to 10,000,000 Vail Shares. During the years ended July 31, 2024, 2023 and 2022, the Company repurchased 721,378, 2,182,594 and 304,567 Vail Shares, respectively (at a total cost of $150.0 million, $500.0 million and $75.0 million, respectively, excluding accrued excise tax, as discussed further below). Since inception of this stock repurchase program through July 31, 2024, the Company has repurchased 9,369,680 shares at a cost of approximately $1,129.4 million. As of July 31, 2024, 630,320 Vail Shares remained available to repurchase under the existing share repurchase program. On September 25, 2024, the Company’s Board of Directors approved an increase in the number of shares authorized to be repurchased under the share repurchase program by an additional 1,100,000 Vail Shares. As a result, 1,730,320 Vail Shares are available to repurchase under the share repurchase program, which has no expiration date. Vail Shares purchased pursuant to the repurchase program will be held as treasury shares and may be used for issuance under the Company’s employee share award plan.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16, 2022 the U.S. government enacted the Inflation Reduction Act of 2022, which imposed a 1.0% excise tax on share repurchases (net of estimated share issuances) made after December 31, 2022. As a result, the Company accrued approximately $1.4 million and $4.9 million of excise tax in connection with the share repurchases it completed during the years ended July 31, 2024 and 2023, which was recorded as an adjustment to the cost basis of repurchased shares in treasury stock and accounts payable and accrued liabilities on the Company’s Consolidated Balance Sheets as of July 31, 2024 and 2023.</w:t>
      </w:r>
    </w:p>
    <w:p>
      <w:pPr>
        <w:spacing w:after="0" w:line="17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Stock Compensation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 share award plan (the “Plan”) which has been approved by the Company’s stockholders. Under the Plan, up to 4.4 million shares of common stock could be issued in the form of options, stock appreciation rights, restricted shares, restricted share units, performance shares, performance share units, dividend equivalents or other share-based awards to employees, directors or consultants of the Company or its subsidiaries or affiliates. The terms of awards granted under the Plan, including exercise price, vesting period and life, are set by the Compensation Committee of the Board of Directors. All share-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3" w:name="page104"/>
    <w:bookmarkEnd w:id="103"/>
    <w:p>
      <w:pPr>
        <w:jc w:val="both"/>
        <w:spacing w:after="0" w:line="261" w:lineRule="auto"/>
        <w:rPr>
          <w:sz w:val="20"/>
          <w:szCs w:val="20"/>
          <w:color w:val="auto"/>
        </w:rPr>
      </w:pPr>
      <w:r>
        <w:rPr>
          <w:rFonts w:ascii="Times New Roman" w:cs="Times New Roman" w:eastAsia="Times New Roman" w:hAnsi="Times New Roman"/>
          <w:sz w:val="18"/>
          <w:szCs w:val="18"/>
          <w:color w:val="auto"/>
        </w:rPr>
        <w:t>based awards (except for restricted shares and restricted share units) granted under the Plan have a life of ten years. Most awards vest ratably over three years; however, some have been granted with different vesting schedules. Of the awards outstanding, none have been granted to non-employees (except those granted to non-employee members of the Board of Directors of the Company) under the Plan. At July 31, 2024, approximately 1.8 million share-based awards were available to be granted under the Plan.</w:t>
      </w:r>
    </w:p>
    <w:p>
      <w:pPr>
        <w:spacing w:after="0" w:line="1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fair value of stock-settled stock appreciation rights (“SARs”) granted in the years ended July 31, 2024, 2023 and 2022 were estimated on the date of grant using a lattice-based option valuation model that applies the assumptions noted in the table below. A lattice-based model considers factors such as exercise behavior, and assumes employees will exercise equity awards at different times over the contractual life of the equity awards. As a lattice-based model considers these factors, and is more flexible, the Company considers it to be a better method of valuing equity awards than a closed-form Black-Scholes model. Because lattice-based option valuation models incorporate ranges of assumptions for inputs, those ranges are disclosed. Expected volatility is based on historical volatility of the Company’s stock. The Company uses historical data to estimate equity award exercises and employee terminations within the valuation model; separate groups of employees that have similar historical exercise behavior are considered separately for valuation purposes. The expected term of equity awards granted is derived from the output of the option valuation model and represents the period of time that equity awards granted are expected to be outstanding; the range given below results from certain groups of employees exhibiting different behavior. The risk-free rate for periods within the contractual life of the equity award is based on the United States Treasury yield curve in effect at the time of grant.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4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July 31,</w:t>
            </w:r>
          </w:p>
        </w:tc>
        <w:tc>
          <w:tcPr>
            <w:tcW w:w="1620" w:type="dxa"/>
            <w:vAlign w:val="bottom"/>
          </w:tcPr>
          <w:p>
            <w:pPr>
              <w:spacing w:after="0"/>
              <w:rPr>
                <w:sz w:val="16"/>
                <w:szCs w:val="16"/>
                <w:color w:val="auto"/>
              </w:rPr>
            </w:pPr>
          </w:p>
        </w:tc>
      </w:tr>
      <w:tr>
        <w:trPr>
          <w:trHeight w:val="23"/>
        </w:trPr>
        <w:tc>
          <w:tcPr>
            <w:tcW w:w="59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199"/>
        </w:trPr>
        <w:tc>
          <w:tcPr>
            <w:tcW w:w="5960" w:type="dxa"/>
            <w:vAlign w:val="bottom"/>
          </w:tcPr>
          <w:p>
            <w:pPr>
              <w:spacing w:after="0"/>
              <w:rPr>
                <w:sz w:val="17"/>
                <w:szCs w:val="17"/>
                <w:color w:val="auto"/>
              </w:rPr>
            </w:pPr>
          </w:p>
        </w:tc>
        <w:tc>
          <w:tcPr>
            <w:tcW w:w="1620" w:type="dxa"/>
            <w:vAlign w:val="bottom"/>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2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59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62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30.0%</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6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w w:val="98"/>
              </w:rPr>
              <w:t>31.0%</w:t>
            </w:r>
          </w:p>
        </w:tc>
      </w:tr>
      <w:tr>
        <w:trPr>
          <w:trHeight w:val="229"/>
        </w:trPr>
        <w:tc>
          <w:tcPr>
            <w:tcW w:w="5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tcPr>
          <w:p>
            <w:pPr>
              <w:jc w:val="center"/>
              <w:ind w:left="54"/>
              <w:spacing w:after="0"/>
              <w:rPr>
                <w:sz w:val="20"/>
                <w:szCs w:val="20"/>
                <w:color w:val="auto"/>
              </w:rPr>
            </w:pPr>
            <w:r>
              <w:rPr>
                <w:rFonts w:ascii="Times New Roman" w:cs="Times New Roman" w:eastAsia="Times New Roman" w:hAnsi="Times New Roman"/>
                <w:sz w:val="18"/>
                <w:szCs w:val="18"/>
                <w:color w:val="auto"/>
                <w:w w:val="95"/>
              </w:rPr>
              <w:t>3.4%</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6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(average in years)</w:t>
            </w:r>
          </w:p>
        </w:tc>
        <w:tc>
          <w:tcPr>
            <w:tcW w:w="162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6.4-6.7</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6.5-6.8</w:t>
            </w:r>
          </w:p>
        </w:tc>
        <w:tc>
          <w:tcPr>
            <w:tcW w:w="1620" w:type="dxa"/>
            <w:vAlign w:val="bottom"/>
            <w:shd w:val="clear" w:color="auto" w:fill="CCEEFF"/>
          </w:tcPr>
          <w:p>
            <w:pPr>
              <w:jc w:val="center"/>
              <w:ind w:right="54"/>
              <w:spacing w:after="0"/>
              <w:rPr>
                <w:sz w:val="20"/>
                <w:szCs w:val="20"/>
                <w:color w:val="auto"/>
              </w:rPr>
            </w:pPr>
            <w:r>
              <w:rPr>
                <w:rFonts w:ascii="Times New Roman" w:cs="Times New Roman" w:eastAsia="Times New Roman" w:hAnsi="Times New Roman"/>
                <w:sz w:val="18"/>
                <w:szCs w:val="18"/>
                <w:color w:val="auto"/>
              </w:rPr>
              <w:t>6.4-6.8</w:t>
            </w:r>
          </w:p>
        </w:tc>
      </w:tr>
      <w:tr>
        <w:trPr>
          <w:trHeight w:val="229"/>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620" w:type="dxa"/>
            <w:vAlign w:val="bottom"/>
            <w:tcBorders>
              <w:bottom w:val="single" w:sz="8" w:color="auto"/>
            </w:tcBorders>
          </w:tcPr>
          <w:p>
            <w:pPr>
              <w:jc w:val="center"/>
              <w:ind w:left="34"/>
              <w:spacing w:after="0"/>
              <w:rPr>
                <w:sz w:val="20"/>
                <w:szCs w:val="20"/>
                <w:color w:val="auto"/>
              </w:rPr>
            </w:pPr>
            <w:r>
              <w:rPr>
                <w:rFonts w:ascii="Times New Roman" w:cs="Times New Roman" w:eastAsia="Times New Roman" w:hAnsi="Times New Roman"/>
                <w:sz w:val="18"/>
                <w:szCs w:val="18"/>
                <w:color w:val="auto"/>
                <w:w w:val="99"/>
              </w:rPr>
              <w:t>4.0-5.4%</w:t>
            </w: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2.7-3.0%</w:t>
            </w:r>
          </w:p>
        </w:tc>
        <w:tc>
          <w:tcPr>
            <w:tcW w:w="162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8"/>
                <w:szCs w:val="18"/>
                <w:color w:val="auto"/>
                <w:w w:val="99"/>
              </w:rPr>
              <w:t>0.1-1.2%</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actual forfeitures related to unvested awards upon employee terminations.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aggregate SARs award activity under the Plan as of July 31, 2024, 2023 and 2022, and changes during the years then ended is presented below (in thousands, except exercise price and contractual term):</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480" w:type="dxa"/>
            <w:vAlign w:val="bottom"/>
          </w:tcPr>
          <w:p>
            <w:pPr>
              <w:spacing w:after="0"/>
              <w:rPr>
                <w:sz w:val="13"/>
                <w:szCs w:val="13"/>
                <w:color w:val="auto"/>
              </w:rPr>
            </w:pPr>
          </w:p>
        </w:tc>
        <w:tc>
          <w:tcPr>
            <w:tcW w:w="144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320" w:type="dxa"/>
            <w:vAlign w:val="bottom"/>
            <w:vMerge w:val="restart"/>
          </w:tcPr>
          <w:p>
            <w:pPr>
              <w:ind w:left="474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480" w:type="dxa"/>
            <w:vAlign w:val="bottom"/>
          </w:tcPr>
          <w:p>
            <w:pPr>
              <w:spacing w:after="0"/>
              <w:rPr>
                <w:sz w:val="12"/>
                <w:szCs w:val="12"/>
                <w:color w:val="auto"/>
              </w:rPr>
            </w:pPr>
          </w:p>
        </w:tc>
        <w:tc>
          <w:tcPr>
            <w:tcW w:w="1440" w:type="dxa"/>
            <w:vAlign w:val="bottom"/>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4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2021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181.17</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360.69</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93.32</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271.04</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2022</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241.13</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220.73</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222.14</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280.09</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2023</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235.69</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226.71</w:t>
            </w:r>
          </w:p>
        </w:tc>
        <w:tc>
          <w:tcPr>
            <w:tcW w:w="1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197.88</w:t>
            </w:r>
          </w:p>
        </w:tc>
        <w:tc>
          <w:tcPr>
            <w:tcW w:w="1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244.56</w:t>
            </w:r>
          </w:p>
        </w:tc>
        <w:tc>
          <w:tcPr>
            <w:tcW w:w="15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31, 2024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232.81</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 years</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July 31, 2024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232.88</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 years</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at July 31, 2024</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230.76</w:t>
            </w:r>
          </w:p>
        </w:tc>
        <w:tc>
          <w:tcPr>
            <w:tcW w:w="1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 years</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weighted-average grant-date estimated fair value of SARs granted during the years ended July 31, 2024, 2023 and 2022 was $60.03, $55.37 and $96.20, respectively. The total intrinsic value of SARs exercised during the years ended July 31, 2024, 2023 and 2022 was $0.5 million, $3.0 million and $69.1 million, respectively. The Company had 119,000, 120,000 and 160,000 SARs that vested during the years ended July 31, 2024, 2023 and 2022, respectively. These awards had total estimated fair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values of $0.9 million, $0.0 million (due to the exercise prices exceeding the market prices at the date of vesting) and $16.2 million at the date of vesting for the years ended July 31, 2024, 2023 and 2022,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SARs as of July 31, 2024 and changes during the year then ended is presented below (in thousands, except fair value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0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3880" w:type="dxa"/>
            <w:vAlign w:val="bottom"/>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tcPr>
          <w:p>
            <w:pPr>
              <w:spacing w:after="0"/>
              <w:rPr>
                <w:sz w:val="12"/>
                <w:szCs w:val="12"/>
                <w:color w:val="auto"/>
              </w:rPr>
            </w:pPr>
          </w:p>
        </w:tc>
        <w:tc>
          <w:tcPr>
            <w:tcW w:w="17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502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2023</w:t>
            </w:r>
          </w:p>
        </w:tc>
        <w:tc>
          <w:tcPr>
            <w:tcW w:w="3880" w:type="dxa"/>
            <w:vAlign w:val="bottom"/>
            <w:shd w:val="clear" w:color="auto" w:fill="CCEEFF"/>
          </w:tcPr>
          <w:p>
            <w:pPr>
              <w:jc w:val="center"/>
              <w:ind w:left="2553"/>
              <w:spacing w:after="0"/>
              <w:rPr>
                <w:sz w:val="20"/>
                <w:szCs w:val="20"/>
                <w:color w:val="auto"/>
              </w:rPr>
            </w:pPr>
            <w:r>
              <w:rPr>
                <w:rFonts w:ascii="Times New Roman" w:cs="Times New Roman" w:eastAsia="Times New Roman" w:hAnsi="Times New Roman"/>
                <w:sz w:val="18"/>
                <w:szCs w:val="18"/>
                <w:color w:val="auto"/>
              </w:rPr>
              <w:t>251</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62.96</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880" w:type="dxa"/>
            <w:vAlign w:val="bottom"/>
          </w:tcPr>
          <w:p>
            <w:pPr>
              <w:jc w:val="center"/>
              <w:ind w:left="2553"/>
              <w:spacing w:after="0"/>
              <w:rPr>
                <w:sz w:val="20"/>
                <w:szCs w:val="20"/>
                <w:color w:val="auto"/>
              </w:rPr>
            </w:pPr>
            <w:r>
              <w:rPr>
                <w:rFonts w:ascii="Times New Roman" w:cs="Times New Roman" w:eastAsia="Times New Roman" w:hAnsi="Times New Roman"/>
                <w:sz w:val="18"/>
                <w:szCs w:val="18"/>
                <w:color w:val="auto"/>
              </w:rPr>
              <w:t>181</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880" w:type="dxa"/>
            <w:vAlign w:val="bottom"/>
            <w:shd w:val="clear" w:color="auto" w:fill="CCEEFF"/>
          </w:tcPr>
          <w:p>
            <w:pPr>
              <w:jc w:val="center"/>
              <w:ind w:left="2573"/>
              <w:spacing w:after="0"/>
              <w:rPr>
                <w:sz w:val="20"/>
                <w:szCs w:val="20"/>
                <w:color w:val="auto"/>
              </w:rPr>
            </w:pPr>
            <w:r>
              <w:rPr>
                <w:rFonts w:ascii="Times New Roman" w:cs="Times New Roman" w:eastAsia="Times New Roman" w:hAnsi="Times New Roman"/>
                <w:sz w:val="18"/>
                <w:szCs w:val="18"/>
                <w:color w:val="auto"/>
                <w:w w:val="97"/>
              </w:rPr>
              <w:t>(119)</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880" w:type="dxa"/>
            <w:vAlign w:val="bottom"/>
            <w:tcBorders>
              <w:bottom w:val="single" w:sz="8" w:color="auto"/>
            </w:tcBorders>
          </w:tcPr>
          <w:p>
            <w:pPr>
              <w:jc w:val="center"/>
              <w:ind w:left="2573"/>
              <w:spacing w:after="0"/>
              <w:rPr>
                <w:sz w:val="20"/>
                <w:szCs w:val="20"/>
                <w:color w:val="auto"/>
              </w:rPr>
            </w:pPr>
            <w:r>
              <w:rPr>
                <w:rFonts w:ascii="Times New Roman" w:cs="Times New Roman" w:eastAsia="Times New Roman" w:hAnsi="Times New Roman"/>
                <w:sz w:val="18"/>
                <w:szCs w:val="18"/>
                <w:color w:val="auto"/>
                <w:w w:val="99"/>
              </w:rPr>
              <w:t>(60)</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2024</w:t>
            </w:r>
          </w:p>
        </w:tc>
        <w:tc>
          <w:tcPr>
            <w:tcW w:w="3880" w:type="dxa"/>
            <w:vAlign w:val="bottom"/>
            <w:tcBorders>
              <w:bottom w:val="single" w:sz="8" w:color="auto"/>
            </w:tcBorders>
            <w:shd w:val="clear" w:color="auto" w:fill="CCEEFF"/>
          </w:tcPr>
          <w:p>
            <w:pPr>
              <w:jc w:val="center"/>
              <w:ind w:left="2553"/>
              <w:spacing w:after="0"/>
              <w:rPr>
                <w:sz w:val="20"/>
                <w:szCs w:val="20"/>
                <w:color w:val="auto"/>
              </w:rPr>
            </w:pPr>
            <w:r>
              <w:rPr>
                <w:rFonts w:ascii="Times New Roman" w:cs="Times New Roman" w:eastAsia="Times New Roman" w:hAnsi="Times New Roman"/>
                <w:sz w:val="18"/>
                <w:szCs w:val="18"/>
                <w:color w:val="auto"/>
              </w:rPr>
              <w:t>253</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nonvested restricted share units as of July 31, 2024 and changes during the year then ended is presented below (in thousands, except fair value amounts):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700" w:type="dxa"/>
            <w:vAlign w:val="bottom"/>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5000" w:type="dxa"/>
            <w:vAlign w:val="bottom"/>
          </w:tcPr>
          <w:p>
            <w:pPr>
              <w:spacing w:after="0"/>
              <w:rPr>
                <w:sz w:val="12"/>
                <w:szCs w:val="12"/>
                <w:color w:val="auto"/>
              </w:rPr>
            </w:pPr>
          </w:p>
        </w:tc>
        <w:tc>
          <w:tcPr>
            <w:tcW w:w="3860" w:type="dxa"/>
            <w:vAlign w:val="bottom"/>
            <w:vMerge w:val="restart"/>
          </w:tcPr>
          <w:p>
            <w:pPr>
              <w:ind w:left="302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40" w:type="dxa"/>
            <w:vAlign w:val="bottom"/>
          </w:tcPr>
          <w:p>
            <w:pPr>
              <w:spacing w:after="0"/>
              <w:rPr>
                <w:sz w:val="12"/>
                <w:szCs w:val="12"/>
                <w:color w:val="auto"/>
              </w:rPr>
            </w:pPr>
          </w:p>
        </w:tc>
        <w:tc>
          <w:tcPr>
            <w:tcW w:w="1700" w:type="dxa"/>
            <w:vAlign w:val="bottom"/>
          </w:tcPr>
          <w:p>
            <w:pPr>
              <w:jc w:val="center"/>
              <w:ind w:right="17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5"/>
        </w:trPr>
        <w:tc>
          <w:tcPr>
            <w:tcW w:w="50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28"/>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2023</w:t>
            </w:r>
          </w:p>
        </w:tc>
        <w:tc>
          <w:tcPr>
            <w:tcW w:w="3860" w:type="dxa"/>
            <w:vAlign w:val="bottom"/>
            <w:shd w:val="clear" w:color="auto" w:fill="CCEEFF"/>
          </w:tcPr>
          <w:p>
            <w:pPr>
              <w:jc w:val="center"/>
              <w:ind w:left="2553"/>
              <w:spacing w:after="0"/>
              <w:rPr>
                <w:sz w:val="20"/>
                <w:szCs w:val="20"/>
                <w:color w:val="auto"/>
              </w:rPr>
            </w:pPr>
            <w:r>
              <w:rPr>
                <w:rFonts w:ascii="Times New Roman" w:cs="Times New Roman" w:eastAsia="Times New Roman" w:hAnsi="Times New Roman"/>
                <w:sz w:val="18"/>
                <w:szCs w:val="18"/>
                <w:color w:val="auto"/>
                <w:w w:val="96"/>
              </w:rPr>
              <w:t>169</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227.87</w:t>
            </w:r>
          </w:p>
        </w:tc>
        <w:tc>
          <w:tcPr>
            <w:tcW w:w="0" w:type="dxa"/>
            <w:vAlign w:val="bottom"/>
          </w:tcPr>
          <w:p>
            <w:pPr>
              <w:spacing w:after="0"/>
              <w:rPr>
                <w:sz w:val="1"/>
                <w:szCs w:val="1"/>
                <w:color w:val="auto"/>
              </w:rPr>
            </w:pPr>
          </w:p>
        </w:tc>
      </w:tr>
      <w:tr>
        <w:trPr>
          <w:trHeight w:val="229"/>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3860" w:type="dxa"/>
            <w:vAlign w:val="bottom"/>
          </w:tcPr>
          <w:p>
            <w:pPr>
              <w:jc w:val="center"/>
              <w:ind w:left="2553"/>
              <w:spacing w:after="0"/>
              <w:rPr>
                <w:sz w:val="20"/>
                <w:szCs w:val="20"/>
                <w:color w:val="auto"/>
              </w:rPr>
            </w:pPr>
            <w:r>
              <w:rPr>
                <w:rFonts w:ascii="Times New Roman" w:cs="Times New Roman" w:eastAsia="Times New Roman" w:hAnsi="Times New Roman"/>
                <w:sz w:val="18"/>
                <w:szCs w:val="18"/>
                <w:color w:val="auto"/>
                <w:w w:val="96"/>
              </w:rPr>
              <w:t>132</w:t>
            </w:r>
          </w:p>
        </w:tc>
        <w:tc>
          <w:tcPr>
            <w:tcW w:w="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3860" w:type="dxa"/>
            <w:vAlign w:val="bottom"/>
            <w:shd w:val="clear" w:color="auto" w:fill="CCEEFF"/>
          </w:tcPr>
          <w:p>
            <w:pPr>
              <w:jc w:val="center"/>
              <w:ind w:left="2553"/>
              <w:spacing w:after="0"/>
              <w:rPr>
                <w:sz w:val="20"/>
                <w:szCs w:val="20"/>
                <w:color w:val="auto"/>
              </w:rPr>
            </w:pPr>
            <w:r>
              <w:rPr>
                <w:rFonts w:ascii="Times New Roman" w:cs="Times New Roman" w:eastAsia="Times New Roman" w:hAnsi="Times New Roman"/>
                <w:sz w:val="18"/>
                <w:szCs w:val="18"/>
                <w:color w:val="auto"/>
                <w:w w:val="99"/>
              </w:rPr>
              <w:t>(80)</w:t>
            </w:r>
          </w:p>
        </w:tc>
        <w:tc>
          <w:tcPr>
            <w:tcW w:w="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232.56</w:t>
            </w:r>
          </w:p>
        </w:tc>
        <w:tc>
          <w:tcPr>
            <w:tcW w:w="0" w:type="dxa"/>
            <w:vAlign w:val="bottom"/>
          </w:tcPr>
          <w:p>
            <w:pPr>
              <w:spacing w:after="0"/>
              <w:rPr>
                <w:sz w:val="1"/>
                <w:szCs w:val="1"/>
                <w:color w:val="auto"/>
              </w:rPr>
            </w:pPr>
          </w:p>
        </w:tc>
      </w:tr>
      <w:tr>
        <w:trPr>
          <w:trHeight w:val="229"/>
        </w:trPr>
        <w:tc>
          <w:tcPr>
            <w:tcW w:w="5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860" w:type="dxa"/>
            <w:vAlign w:val="bottom"/>
            <w:tcBorders>
              <w:bottom w:val="single" w:sz="8" w:color="auto"/>
            </w:tcBorders>
          </w:tcPr>
          <w:p>
            <w:pPr>
              <w:jc w:val="center"/>
              <w:ind w:left="2553"/>
              <w:spacing w:after="0"/>
              <w:rPr>
                <w:sz w:val="20"/>
                <w:szCs w:val="20"/>
                <w:color w:val="auto"/>
              </w:rPr>
            </w:pPr>
            <w:r>
              <w:rPr>
                <w:rFonts w:ascii="Times New Roman" w:cs="Times New Roman" w:eastAsia="Times New Roman" w:hAnsi="Times New Roman"/>
                <w:sz w:val="18"/>
                <w:szCs w:val="18"/>
                <w:color w:val="auto"/>
                <w:w w:val="99"/>
              </w:rPr>
              <w:t>(27)</w:t>
            </w:r>
          </w:p>
        </w:tc>
        <w:tc>
          <w:tcPr>
            <w:tcW w:w="6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0" w:type="dxa"/>
            <w:vAlign w:val="bottom"/>
          </w:tcPr>
          <w:p>
            <w:pPr>
              <w:spacing w:after="0"/>
              <w:rPr>
                <w:sz w:val="1"/>
                <w:szCs w:val="1"/>
                <w:color w:val="auto"/>
              </w:rPr>
            </w:pPr>
          </w:p>
        </w:tc>
      </w:tr>
      <w:tr>
        <w:trPr>
          <w:trHeight w:val="230"/>
        </w:trPr>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31, 2024</w:t>
            </w:r>
          </w:p>
        </w:tc>
        <w:tc>
          <w:tcPr>
            <w:tcW w:w="3860" w:type="dxa"/>
            <w:vAlign w:val="bottom"/>
            <w:tcBorders>
              <w:bottom w:val="single" w:sz="8" w:color="auto"/>
            </w:tcBorders>
            <w:shd w:val="clear" w:color="auto" w:fill="CCEEFF"/>
          </w:tcPr>
          <w:p>
            <w:pPr>
              <w:jc w:val="center"/>
              <w:ind w:left="2553"/>
              <w:spacing w:after="0"/>
              <w:rPr>
                <w:sz w:val="20"/>
                <w:szCs w:val="20"/>
                <w:color w:val="auto"/>
              </w:rPr>
            </w:pPr>
            <w:r>
              <w:rPr>
                <w:rFonts w:ascii="Times New Roman" w:cs="Times New Roman" w:eastAsia="Times New Roman" w:hAnsi="Times New Roman"/>
                <w:sz w:val="18"/>
                <w:szCs w:val="18"/>
                <w:color w:val="auto"/>
                <w:w w:val="96"/>
              </w:rPr>
              <w:t>194</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212.14</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granted 132,000 restricted share units during the year ended July 31, 2024 with a weighted-average grant-date estimated fair value of $204.68. The Company granted 127,000 restricted share units during the year ended July 31, 2023 with a weighted-average grant-date estimated fair value of $199.14. The Company granted 68,000 restricted share units during the year ended July 31, 2022 with a weighted-average grant-date estimated fair value of $336.57. The Company had 80,000, 63,000 and 68,000 restricted share units that vested during the years ended July 31, 2024, 2023 and 2022, respectively. These units had a total estimated fair value of $18.4 million, $13.3 million and $23.7 million at the date of vesting for the years ended July 31, 2024, 2023 and 2022,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2024, there was $33.9 million of total unrecognized compensation expense related to nonvested share-based compensation arrangements granted under the Plan, of which $20.3 million, $11.8 million and $1.8 million of expense is expected to be recognized in the years ending July 31, 2025, 2026 and 2027, respectively, assuming no share-based awards are granted in the future or forfeited. The tax benefit realized or expected to be realized from SARs exercised and restricted stock units vested was $0.8 million, $2.5 million and $23.0 million for the years ended July 31, 2024, 2023 and 2022, respectively.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policy of using either authorized and unissued shares, including shares acquired by purchase in the open market, to satisfy equity award exercises.</w:t>
      </w:r>
    </w:p>
    <w:p>
      <w:pPr>
        <w:spacing w:after="0" w:line="15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Retirement and Profit Sharing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maintains a defined contribution retirement plan (the “Retirement Plan”), qualified under Section 401(k) of the Internal Revenue Code, for its U.S. employees. Under this Retirement Plan, U.S. employees are eligible to make before-tax contributions on the first day of the calendar month following the later of: (i) their employment commencement date or (ii) the date they turn 21. Participants may contribute up to 100% of their qualifying annual compensation up to the annual maximum specified by the Internal Revenue Code. When the Company participates in 401(k) contribution matching, it matches an amount equal to 50% of each participant’s contribution up to 6% of a participant’s bi-weekly qualifying compensation starting the pay period containing the first day of the month after obtaining the later of: (i) 12 months of employment with at least 1,000 service hours from the commencement date or (ii) if 1,000 hours within the first 12 months was not completed, then after the employee completed a cumulative 1,500 service hours. The Company’s matching contribution is entirely discretionary and may be reduced or eliminated at any time.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05" w:name="page106"/>
    <w:bookmarkEnd w:id="10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Retirement Plan expense recognized by the Company for the years ended July 31, 2024, 2023 and 2022 was $10.8 million, $9.8 million and $8.5 million, respectively.</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Management of the Company, including the Chief Executive Officer (“CEO”) and Chief Financial Officer (“CFO”), have evaluated the effectiveness of the Company’s disclosure controls and procedures as of the end of the period covered by this Form 10-K. The term “disclosure controls and procedures” means controls and other procedures established by the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CEO and CFO, as appropriate, to allow timely decisions regarding required disclosure.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Form 10-K, the disclosure controls are effective to provide reasonable assurance that information required to be disclosed by the Company in the reports that it files or submits under the Exchange Act is accumulated and communicated to management, including the CEO and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report of management required by this item is contained in Item 8. of this Form 10-K under the caption “Management’s Report on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attestation report required by this item is contained in Item 8. of this Form 10-K under the caption “Report of Independent Registered Public Accounting Firm.”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 2024, we completed our acquisition of Crans-Montana. Crans-Montana was not previously subject to the rules and regulations promulgated under Sarbanes-Oxley and accordingly was not required to establish and maintain an internal control infrastructure meeting the standards promulgated under Sarbanes-Oxley. Our assessment of and conclusion on the effectiveness of our internal control over financial reporting as of July 31, 2024 did not include certain elements of the internal controls of Crans-Montana. This exclusion is in accordance with the Securities and Exchange Commission’s general guidance that an assessment of a recently acquired business may be omitted from our scope in the year of acquisition.</w:t>
      </w:r>
    </w:p>
    <w:p>
      <w:pPr>
        <w:spacing w:after="0" w:line="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 2022, we completed our acquisition of Andermatt-Sedrun. Andermatt-Sedrun was not previously subject to the rules and regulations promulgated under Sarbanes-Oxley and accordingly was not required to establish and maintain an internal control infrastructure meeting the standards promulgated under Sarbanes-Oxley. Our assessment of and conclusion on the effectiveness of our internal control over financial reporting as of July 31, 2023 did not include certain elements of the internal controls of Andermatt-Sedrun. However, as of July 31, 2024, Andermatt-Sedrun is now included within our assessment of and conclusion on the effectiveness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6" w:name="page107"/>
    <w:bookmarkEnd w:id="106"/>
    <w:p>
      <w:pPr>
        <w:jc w:val="both"/>
        <w:spacing w:after="0" w:line="282" w:lineRule="auto"/>
        <w:rPr>
          <w:sz w:val="20"/>
          <w:szCs w:val="20"/>
          <w:color w:val="auto"/>
        </w:rPr>
      </w:pPr>
      <w:r>
        <w:rPr>
          <w:rFonts w:ascii="Times New Roman" w:cs="Times New Roman" w:eastAsia="Times New Roman" w:hAnsi="Times New Roman"/>
          <w:sz w:val="18"/>
          <w:szCs w:val="18"/>
          <w:color w:val="auto"/>
        </w:rPr>
        <w:t>Excluding Crans-Montana and Andermatt-Sedrun, there were no changes in the Company’s internal control over financial reporting during the year ended July 31,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Rule 10b5-1 Trading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2024, none of the Company’s directors or “officers” (as defined in Rule 16a-1(f) under the Exchange Act) adopted, modified or terminated “Rule 10b5-1 trading arrangements” or “non-Rule 10b5-1 trading arrangements” (each as defined in Item 408 of Regulation S-K).</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REPORTING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to file with the SEC in October 2024 (and, in any event, not later than 120 days after the close of our last fiscal year), a definitive Proxy Statement, pursuant to SEC Regulation 14A in connection with our Annual Meeting of Shareholders to be held in December 2024.</w:t>
      </w:r>
    </w:p>
    <w:p>
      <w:pPr>
        <w:spacing w:after="0" w:line="200" w:lineRule="exact"/>
        <w:rPr>
          <w:sz w:val="20"/>
          <w:szCs w:val="20"/>
          <w:color w:val="auto"/>
        </w:rPr>
      </w:pP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2024 annual meeting of stockholders under the sections entitled “Information with Respect to Nominees,” “Management” and “Corporate Governance.”</w:t>
      </w:r>
    </w:p>
    <w:p>
      <w:pPr>
        <w:spacing w:after="0" w:line="200" w:lineRule="exact"/>
        <w:rPr>
          <w:sz w:val="20"/>
          <w:szCs w:val="20"/>
          <w:color w:val="auto"/>
        </w:rPr>
      </w:pPr>
    </w:p>
    <w:p>
      <w:pPr>
        <w:spacing w:after="0" w:line="20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2024 annual meeting of stockholders under the section entitled “Executive Compensation.”</w:t>
      </w:r>
    </w:p>
    <w:p>
      <w:pPr>
        <w:spacing w:after="0" w:line="200" w:lineRule="exact"/>
        <w:rPr>
          <w:sz w:val="20"/>
          <w:szCs w:val="20"/>
          <w:color w:val="auto"/>
        </w:rPr>
      </w:pPr>
    </w:p>
    <w:p>
      <w:pPr>
        <w:spacing w:after="0" w:line="201" w:lineRule="exact"/>
        <w:rPr>
          <w:sz w:val="20"/>
          <w:szCs w:val="20"/>
          <w:color w:val="auto"/>
        </w:rPr>
      </w:pPr>
    </w:p>
    <w:p>
      <w:pPr>
        <w:jc w:val="both"/>
        <w:ind w:left="13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8"/>
          <w:szCs w:val="18"/>
          <w:b w:val="1"/>
          <w:bCs w:val="1"/>
          <w:color w:val="auto"/>
        </w:rPr>
        <w:t>SECURITY OWNERSHIP OF CERTAIN BENEFICIAL OWNERS AND MANAGEMENT AND RELATED STOCKHOLDER MATTERS.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2024 annual meeting of stockholders under the sections entitled “Security Ownership of Directors and Executive Officers,” “Information as to Certain Stockholders” and “Executive Compensation - Securities Authorized for Issuance under Equity Compensation Plans.”</w:t>
      </w:r>
    </w:p>
    <w:p>
      <w:pPr>
        <w:spacing w:after="0" w:line="200" w:lineRule="exact"/>
        <w:rPr>
          <w:sz w:val="20"/>
          <w:szCs w:val="20"/>
          <w:color w:val="auto"/>
        </w:rPr>
      </w:pPr>
    </w:p>
    <w:p>
      <w:pPr>
        <w:spacing w:after="0" w:line="215"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2024 annual meeting of stockholders under the sections entitled “Determinations Regarding Independence” and “Transactions with Related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7" w:name="page108"/>
    <w:bookmarkEnd w:id="107"/>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ACCOUNTING FEES AND SERVICES.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from the Company’s definitive Proxy Statement for the 2024 annual meeting of stockholders under the section entitled “Proposal 2. Ratification of the Selection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200" w:lineRule="exact"/>
        <w:rPr>
          <w:sz w:val="20"/>
          <w:szCs w:val="20"/>
          <w:color w:val="auto"/>
        </w:rPr>
      </w:pPr>
    </w:p>
    <w:p>
      <w:pPr>
        <w:spacing w:after="0" w:line="218"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Index to Financial Statements.</w:t>
      </w:r>
    </w:p>
    <w:p>
      <w:pPr>
        <w:spacing w:after="0" w:line="225"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Item 8. “Financial Statements and Supplementary Data” for the index to the Financial Statements.</w:t>
      </w:r>
    </w:p>
    <w:p>
      <w:pPr>
        <w:spacing w:after="0" w:line="117" w:lineRule="exact"/>
        <w:rPr>
          <w:rFonts w:ascii="Times New Roman" w:cs="Times New Roman" w:eastAsia="Times New Roman" w:hAnsi="Times New Roman"/>
          <w:sz w:val="18"/>
          <w:szCs w:val="18"/>
          <w:color w:val="auto"/>
        </w:rPr>
      </w:pPr>
    </w:p>
    <w:p>
      <w:pPr>
        <w:ind w:left="1460" w:hanging="642"/>
        <w:spacing w:after="0" w:line="282"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have been omitted because they are not required or not applicable, or the required information is shown in the financial statements or notes to the financial statements.</w:t>
      </w:r>
    </w:p>
    <w:p>
      <w:pPr>
        <w:spacing w:after="0" w:line="53" w:lineRule="exact"/>
        <w:rPr>
          <w:rFonts w:ascii="Times New Roman" w:cs="Times New Roman" w:eastAsia="Times New Roman" w:hAnsi="Times New Roman"/>
          <w:sz w:val="18"/>
          <w:szCs w:val="18"/>
          <w:color w:val="auto"/>
        </w:rPr>
      </w:pPr>
    </w:p>
    <w:p>
      <w:pPr>
        <w:ind w:left="1460" w:hanging="642"/>
        <w:spacing w:after="0"/>
        <w:tabs>
          <w:tab w:leader="none" w:pos="146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Index to Exhibits below.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(as applicable) or, if so indicated, incorporated by reference to the documents indicated in parentheses, which have previously been filed or furnished (as applicable) with the Securities and Exchange Commission.</w:t>
      </w:r>
    </w:p>
    <w:p>
      <w:pPr>
        <w:spacing w:after="0" w:line="17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Posted</w:t>
      </w:r>
    </w:p>
    <w:p>
      <w:pPr>
        <w:ind w:left="240"/>
        <w:spacing w:after="0" w:line="219" w:lineRule="auto"/>
        <w:tabs>
          <w:tab w:leader="none" w:pos="57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4883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06285" cy="488315"/>
                    </a:xfrm>
                    <a:prstGeom prst="rect">
                      <a:avLst/>
                    </a:prstGeom>
                    <a:noFill/>
                  </pic:spPr>
                </pic:pic>
              </a:graphicData>
            </a:graphic>
          </wp:anchor>
        </w:drawing>
      </w:r>
    </w:p>
    <w:p>
      <w:pPr>
        <w:jc w:val="right"/>
        <w:ind w:left="420" w:right="4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2.1      </w:t>
      </w:r>
      <w:hyperlink r:id="rId149">
        <w:r>
          <w:rPr>
            <w:rFonts w:ascii="Times New Roman" w:cs="Times New Roman" w:eastAsia="Times New Roman" w:hAnsi="Times New Roman"/>
            <w:sz w:val="18"/>
            <w:szCs w:val="18"/>
            <w:u w:val="single" w:color="auto"/>
            <w:color w:val="0000FF"/>
          </w:rPr>
          <w:t>Transaction Agreement, dated as of May 24, 2013, between VR CPC Holdings, Inc. and ASC Utah LLC, Talisker Land Holdings, LLC,</w:t>
        </w:r>
      </w:hyperlink>
      <w:r>
        <w:rPr>
          <w:rFonts w:ascii="Times New Roman" w:cs="Times New Roman" w:eastAsia="Times New Roman" w:hAnsi="Times New Roman"/>
          <w:sz w:val="18"/>
          <w:szCs w:val="18"/>
          <w:color w:val="auto"/>
        </w:rPr>
        <w:t xml:space="preserve"> </w:t>
      </w:r>
      <w:hyperlink r:id="rId149">
        <w:r>
          <w:rPr>
            <w:rFonts w:ascii="Times New Roman" w:cs="Times New Roman" w:eastAsia="Times New Roman" w:hAnsi="Times New Roman"/>
            <w:sz w:val="18"/>
            <w:szCs w:val="18"/>
            <w:u w:val="single" w:color="auto"/>
            <w:color w:val="0000FF"/>
          </w:rPr>
          <w:t>Talisker Canyons Lands LLC, Talisker Canyons Leaseco LLC, American Skiing Company Resort Properties LLC, Talisker Canyons</w:t>
        </w:r>
      </w:hyperlink>
    </w:p>
    <w:p>
      <w:pPr>
        <w:ind w:left="1160" w:right="40"/>
        <w:spacing w:after="0" w:line="226"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Propco LLC and Talisker Canyons Finance Co LLC. (Incorporated by reference to Exhibit 2.1 on Form 8-K of Vail Resorts, Inc. filed on</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May 30, 2013) (File No. 001-09614).</w:t>
        </w:r>
      </w:hyperlink>
    </w:p>
    <w:p>
      <w:pPr>
        <w:jc w:val="right"/>
        <w:ind w:left="420" w:right="4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2.2      </w:t>
      </w:r>
      <w:hyperlink r:id="rId150">
        <w:r>
          <w:rPr>
            <w:rFonts w:ascii="Times New Roman" w:cs="Times New Roman" w:eastAsia="Times New Roman" w:hAnsi="Times New Roman"/>
            <w:sz w:val="18"/>
            <w:szCs w:val="18"/>
            <w:u w:val="single" w:color="auto"/>
            <w:color w:val="0000FF"/>
          </w:rPr>
          <w:t>Purchase and Sale Agreement, dated as of September 11, 2014, between VR CPC Holdings, Inc. and Greater Park City Company, Powdr</w:t>
        </w:r>
      </w:hyperlink>
      <w:r>
        <w:rPr>
          <w:rFonts w:ascii="Times New Roman" w:cs="Times New Roman" w:eastAsia="Times New Roman" w:hAnsi="Times New Roman"/>
          <w:sz w:val="18"/>
          <w:szCs w:val="18"/>
          <w:color w:val="auto"/>
        </w:rPr>
        <w:t xml:space="preserve"> </w:t>
      </w:r>
      <w:hyperlink r:id="rId150">
        <w:r>
          <w:rPr>
            <w:rFonts w:ascii="Times New Roman" w:cs="Times New Roman" w:eastAsia="Times New Roman" w:hAnsi="Times New Roman"/>
            <w:sz w:val="18"/>
            <w:szCs w:val="18"/>
            <w:u w:val="single" w:color="auto"/>
            <w:color w:val="0000FF"/>
          </w:rPr>
          <w:t>Corp., Greater Properties, Inc., Park Properties, Inc. and Powdr Development Company. (Incorporated by reference to Exhibit 2.1 on Form</w:t>
        </w:r>
      </w:hyperlink>
    </w:p>
    <w:p>
      <w:pPr>
        <w:ind w:left="1160"/>
        <w:spacing w:after="0"/>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10-Q of Vail Resorts, Inc. for the quarter ended October 31, 2014)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60" w:right="40" w:hanging="737"/>
        <w:spacing w:after="0" w:line="234"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2.3</w:t>
      </w:r>
      <w:r>
        <w:rPr>
          <w:sz w:val="20"/>
          <w:szCs w:val="20"/>
          <w:color w:val="auto"/>
        </w:rPr>
        <w:tab/>
      </w:r>
      <w:hyperlink r:id="rId152">
        <w:r>
          <w:rPr>
            <w:rFonts w:ascii="Times New Roman" w:cs="Times New Roman" w:eastAsia="Times New Roman" w:hAnsi="Times New Roman"/>
            <w:sz w:val="18"/>
            <w:szCs w:val="18"/>
            <w:u w:val="single" w:color="auto"/>
            <w:color w:val="0000FF"/>
          </w:rPr>
          <w:t>Arrangement Agreement, dated as of August 5, 2016, between Vail Resorts, Inc., 1068877 B.C. Ltd. and Whistler Blackcomb Holdings</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Inc. (Incorporated by reference to Exhibit 2.1 on Form 8-K of Vail Resorts, Inc. filed on August 8, 2016) (File No. 001-09614).</w:t>
        </w:r>
      </w:hyperlink>
    </w:p>
    <w:p>
      <w:pPr>
        <w:spacing w:after="0" w:line="10" w:lineRule="exact"/>
        <w:rPr>
          <w:sz w:val="20"/>
          <w:szCs w:val="20"/>
          <w:color w:val="auto"/>
        </w:rPr>
      </w:pPr>
    </w:p>
    <w:p>
      <w:pPr>
        <w:jc w:val="right"/>
        <w:ind w:left="42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2.4      </w:t>
      </w:r>
      <w:hyperlink r:id="rId153">
        <w:r>
          <w:rPr>
            <w:rFonts w:ascii="Times New Roman" w:cs="Times New Roman" w:eastAsia="Times New Roman" w:hAnsi="Times New Roman"/>
            <w:sz w:val="18"/>
            <w:szCs w:val="18"/>
            <w:u w:val="single" w:color="auto"/>
            <w:color w:val="0000FF"/>
          </w:rPr>
          <w:t>Agreement and Plan of Merger, dated as of July 20, 2019, by and among Vail Holdings, Inc., VRAD Holdings, Inc. and Peak Resorts, Inc.,</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FF"/>
          </w:rPr>
          <w:t>and solely with respect to Section 9.14, Vail Resorts, Inc. (Incorporated by reference to Exhibit 2.1 on Form 8-K of Vail Resorts, Inc. filed</w:t>
        </w:r>
      </w:hyperlink>
    </w:p>
    <w:p>
      <w:pPr>
        <w:spacing w:after="0" w:line="2"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on July 22, 2019)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2660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160" w:right="40" w:hanging="737"/>
        <w:spacing w:after="0" w:line="234"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155">
        <w:r>
          <w:rPr>
            <w:rFonts w:ascii="Times New Roman" w:cs="Times New Roman" w:eastAsia="Times New Roman" w:hAnsi="Times New Roman"/>
            <w:sz w:val="18"/>
            <w:szCs w:val="18"/>
            <w:u w:val="single" w:color="auto"/>
            <w:color w:val="0000FF"/>
          </w:rPr>
          <w:t>Amended and Restated Certificate of Incorporation of Vail Resorts, Inc., dated January 5, 2005. (Incorporated by reference to Exhibit 3.1</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on Form 10-Q of Vail Resorts, Inc. for the quarter ended January 31, 2005)(File No. 001-09614).</w:t>
        </w:r>
      </w:hyperlink>
    </w:p>
    <w:p>
      <w:pPr>
        <w:ind w:left="420"/>
        <w:spacing w:after="0" w:line="238"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156">
        <w:r>
          <w:rPr>
            <w:rFonts w:ascii="Times New Roman" w:cs="Times New Roman" w:eastAsia="Times New Roman" w:hAnsi="Times New Roman"/>
            <w:sz w:val="18"/>
            <w:szCs w:val="18"/>
            <w:u w:val="single" w:color="auto"/>
            <w:color w:val="0000FF"/>
          </w:rPr>
          <w:t>Certificate of Amendment of Amended and Restated Certificate of Incorporation of Vail Resorts, Inc., dated December 7, 2011.</w:t>
        </w:r>
      </w:hyperlink>
    </w:p>
    <w:p>
      <w:pPr>
        <w:ind w:left="1160"/>
        <w:spacing w:after="0"/>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(Incorporated by reference to Exhibit 3.1 on Form 8-K of Vail Resorts, Inc. filed on December 8, 2011) (File No. 001-09614).</w:t>
        </w:r>
      </w:hyperlink>
    </w:p>
    <w:p>
      <w:pPr>
        <w:spacing w:after="0" w:line="16" w:lineRule="exact"/>
        <w:rPr>
          <w:sz w:val="20"/>
          <w:szCs w:val="20"/>
          <w:color w:val="auto"/>
        </w:rPr>
      </w:pPr>
    </w:p>
    <w:p>
      <w:pPr>
        <w:ind w:left="1160" w:right="40" w:hanging="737"/>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3.3</w:t>
      </w:r>
      <w:r>
        <w:rPr>
          <w:sz w:val="20"/>
          <w:szCs w:val="20"/>
          <w:color w:val="auto"/>
        </w:rPr>
        <w:tab/>
      </w:r>
      <w:hyperlink r:id="rId157">
        <w:r>
          <w:rPr>
            <w:rFonts w:ascii="Times New Roman" w:cs="Times New Roman" w:eastAsia="Times New Roman" w:hAnsi="Times New Roman"/>
            <w:sz w:val="18"/>
            <w:szCs w:val="18"/>
            <w:u w:val="single" w:color="auto"/>
            <w:color w:val="0000FF"/>
          </w:rPr>
          <w:t>Certificate of Designations of Special Voting Preferred Stock of Vail Resorts, Inc., dated October 17, 2016. (Incorporated by reference to</w:t>
        </w:r>
      </w:hyperlink>
      <w:r>
        <w:rPr>
          <w:rFonts w:ascii="Times New Roman" w:cs="Times New Roman" w:eastAsia="Times New Roman" w:hAnsi="Times New Roman"/>
          <w:sz w:val="18"/>
          <w:szCs w:val="18"/>
          <w:u w:val="single" w:color="auto"/>
          <w:color w:val="0000FF"/>
        </w:rPr>
        <w:t xml:space="preserve"> </w:t>
      </w:r>
      <w:hyperlink r:id="rId157">
        <w:r>
          <w:rPr>
            <w:rFonts w:ascii="Times New Roman" w:cs="Times New Roman" w:eastAsia="Times New Roman" w:hAnsi="Times New Roman"/>
            <w:sz w:val="18"/>
            <w:szCs w:val="18"/>
            <w:u w:val="single" w:color="auto"/>
            <w:color w:val="0000FF"/>
          </w:rPr>
          <w:t>Exhibit 3.1 on Form 8-K of Vail Resorts, Inc. filed on October 17, 2016)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-255905</wp:posOffset>
            </wp:positionV>
            <wp:extent cx="7106285" cy="2654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60" w:right="40" w:hanging="737"/>
        <w:spacing w:after="0" w:line="237"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3.4</w:t>
      </w:r>
      <w:r>
        <w:rPr>
          <w:sz w:val="20"/>
          <w:szCs w:val="20"/>
          <w:color w:val="auto"/>
        </w:rPr>
        <w:tab/>
      </w:r>
      <w:hyperlink r:id="rId159">
        <w:r>
          <w:rPr>
            <w:rFonts w:ascii="Times New Roman" w:cs="Times New Roman" w:eastAsia="Times New Roman" w:hAnsi="Times New Roman"/>
            <w:sz w:val="18"/>
            <w:szCs w:val="18"/>
            <w:u w:val="single" w:color="auto"/>
            <w:color w:val="0000FF"/>
          </w:rPr>
          <w:t>Second Amended and Restated Bylaws of Vail Resorts, Inc., dated February 2, 2024. (Incorporated by reference to Exhibit 3.1 on Form 8-</w:t>
        </w:r>
      </w:hyperlink>
      <w:hyperlink r:id="rId159">
        <w:r>
          <w:rPr>
            <w:rFonts w:ascii="Times New Roman" w:cs="Times New Roman" w:eastAsia="Times New Roman" w:hAnsi="Times New Roman"/>
            <w:sz w:val="18"/>
            <w:szCs w:val="18"/>
            <w:u w:val="single" w:color="auto"/>
            <w:color w:val="0000FF"/>
          </w:rPr>
          <w:t>K of Vail Resorts, Inc. filed on February 6, 2014) (File No. 001-09614).</w:t>
        </w:r>
      </w:hyperlink>
    </w:p>
    <w:p>
      <w:pPr>
        <w:spacing w:after="0" w:line="10" w:lineRule="exact"/>
        <w:rPr>
          <w:sz w:val="20"/>
          <w:szCs w:val="20"/>
          <w:color w:val="auto"/>
        </w:rPr>
      </w:pPr>
    </w:p>
    <w:p>
      <w:pPr>
        <w:jc w:val="right"/>
        <w:ind w:left="420" w:right="40"/>
        <w:spacing w:after="0" w:line="22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      </w:t>
      </w:r>
      <w:hyperlink r:id="rId160">
        <w:r>
          <w:rPr>
            <w:rFonts w:ascii="Times New Roman" w:cs="Times New Roman" w:eastAsia="Times New Roman" w:hAnsi="Times New Roman"/>
            <w:sz w:val="18"/>
            <w:szCs w:val="18"/>
            <w:u w:val="single" w:color="auto"/>
            <w:color w:val="0000FF"/>
          </w:rPr>
          <w:t>Indenture, dated May 8, 2024, by and among Vail Resorts, Inc., the Guarantors named therein and U.S. Bank Trust Company, National</w:t>
        </w:r>
      </w:hyperlink>
      <w:r>
        <w:rPr>
          <w:rFonts w:ascii="Times New Roman" w:cs="Times New Roman" w:eastAsia="Times New Roman" w:hAnsi="Times New Roman"/>
          <w:sz w:val="18"/>
          <w:szCs w:val="18"/>
          <w:color w:val="auto"/>
        </w:rPr>
        <w:t xml:space="preserve"> </w:t>
      </w:r>
      <w:hyperlink r:id="rId160">
        <w:r>
          <w:rPr>
            <w:rFonts w:ascii="Times New Roman" w:cs="Times New Roman" w:eastAsia="Times New Roman" w:hAnsi="Times New Roman"/>
            <w:sz w:val="18"/>
            <w:szCs w:val="18"/>
            <w:u w:val="single" w:color="auto"/>
            <w:color w:val="0000FF"/>
          </w:rPr>
          <w:t>Association, as Trustee (Incorporated by reference to Exhibit 4.1 of Form 8-K of Vail Resorts, Inc. filed on May 8, 2024) (File No. 001-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-239395</wp:posOffset>
            </wp:positionV>
            <wp:extent cx="7106285" cy="3771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ind w:left="1160"/>
        <w:spacing w:after="0"/>
        <w:rPr>
          <w:rFonts w:ascii="Times New Roman" w:cs="Times New Roman" w:eastAsia="Times New Roman" w:hAnsi="Times New Roman"/>
          <w:sz w:val="18"/>
          <w:szCs w:val="18"/>
          <w:u w:val="single" w:color="auto"/>
          <w:color w:val="0000FF"/>
        </w:rPr>
      </w:pPr>
      <w:hyperlink r:id="rId160">
        <w:r>
          <w:rPr>
            <w:rFonts w:ascii="Times New Roman" w:cs="Times New Roman" w:eastAsia="Times New Roman" w:hAnsi="Times New Roman"/>
            <w:sz w:val="18"/>
            <w:szCs w:val="18"/>
            <w:u w:val="single" w:color="auto"/>
            <w:color w:val="0000FF"/>
          </w:rPr>
          <w:t>09614).</w:t>
        </w:r>
      </w:hyperlink>
    </w:p>
    <w:p>
      <w:pPr>
        <w:spacing w:after="0" w:line="7" w:lineRule="exact"/>
        <w:rPr>
          <w:sz w:val="20"/>
          <w:szCs w:val="20"/>
          <w:color w:val="auto"/>
        </w:rPr>
      </w:pPr>
    </w:p>
    <w:p>
      <w:pPr>
        <w:jc w:val="right"/>
        <w:ind w:left="420" w:right="40"/>
        <w:spacing w:after="0" w:line="220"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162">
        <w:r>
          <w:rPr>
            <w:rFonts w:ascii="Times New Roman" w:cs="Times New Roman" w:eastAsia="Times New Roman" w:hAnsi="Times New Roman"/>
            <w:sz w:val="18"/>
            <w:szCs w:val="18"/>
            <w:u w:val="single" w:color="auto"/>
            <w:color w:val="0000FF"/>
          </w:rPr>
          <w:t>Indenture, dated December 18, 2020, by and between Vail Resorts, Inc. and U.S. Bank National Association, as Trustee (including the form</w:t>
        </w:r>
      </w:hyperlink>
      <w:r>
        <w:rPr>
          <w:rFonts w:ascii="Times New Roman" w:cs="Times New Roman" w:eastAsia="Times New Roman" w:hAnsi="Times New Roman"/>
          <w:sz w:val="18"/>
          <w:szCs w:val="18"/>
          <w:color w:val="auto"/>
        </w:rPr>
        <w:t xml:space="preserve"> </w:t>
      </w:r>
      <w:hyperlink r:id="rId162">
        <w:r>
          <w:rPr>
            <w:rFonts w:ascii="Times New Roman" w:cs="Times New Roman" w:eastAsia="Times New Roman" w:hAnsi="Times New Roman"/>
            <w:sz w:val="18"/>
            <w:szCs w:val="18"/>
            <w:u w:val="single" w:color="auto"/>
            <w:color w:val="0000FF"/>
          </w:rPr>
          <w:t>of 0.00% Convertible Senior Note due 2026). (Incorporated by reference to Exhibit 4.1 on Form 8-K of Vail Resorts, Inc. filed on</w:t>
        </w:r>
      </w:hyperlink>
    </w:p>
    <w:p>
      <w:pPr>
        <w:ind w:left="1160"/>
        <w:spacing w:after="0"/>
        <w:rPr>
          <w:rFonts w:ascii="Times New Roman" w:cs="Times New Roman" w:eastAsia="Times New Roman" w:hAnsi="Times New Roman"/>
          <w:sz w:val="18"/>
          <w:szCs w:val="18"/>
          <w:u w:val="single" w:color="auto"/>
          <w:color w:val="0000FF"/>
        </w:rPr>
      </w:pPr>
      <w:hyperlink r:id="rId162">
        <w:r>
          <w:rPr>
            <w:rFonts w:ascii="Times New Roman" w:cs="Times New Roman" w:eastAsia="Times New Roman" w:hAnsi="Times New Roman"/>
            <w:sz w:val="18"/>
            <w:szCs w:val="18"/>
            <w:u w:val="single" w:color="auto"/>
            <w:color w:val="0000FF"/>
          </w:rPr>
          <w:t>December 18, 2020)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106285" cy="2654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420"/>
        <w:spacing w:after="0" w:line="229" w:lineRule="auto"/>
        <w:tabs>
          <w:tab w:leader="none" w:pos="11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164">
        <w:r>
          <w:rPr>
            <w:rFonts w:ascii="Times New Roman" w:cs="Times New Roman" w:eastAsia="Times New Roman" w:hAnsi="Times New Roman"/>
            <w:sz w:val="18"/>
            <w:szCs w:val="18"/>
            <w:u w:val="single" w:color="auto"/>
            <w:color w:val="0000FF"/>
          </w:rPr>
          <w:t>Description of Securities (Incorporated by reference to Exhibit 4.1 on Form 10-Q of Vail Resorts, Inc. for the quarter ended October 31,</w:t>
        </w:r>
      </w:hyperlink>
    </w:p>
    <w:p>
      <w:pPr>
        <w:spacing w:after="0" w:line="1" w:lineRule="exact"/>
        <w:rPr>
          <w:sz w:val="20"/>
          <w:szCs w:val="20"/>
          <w:color w:val="auto"/>
        </w:rPr>
      </w:pPr>
    </w:p>
    <w:p>
      <w:pPr>
        <w:ind w:left="1160"/>
        <w:spacing w:after="0"/>
        <w:rPr>
          <w:rFonts w:ascii="Times New Roman" w:cs="Times New Roman" w:eastAsia="Times New Roman" w:hAnsi="Times New Roman"/>
          <w:sz w:val="18"/>
          <w:szCs w:val="18"/>
          <w:u w:val="single" w:color="auto"/>
          <w:color w:val="0000FF"/>
        </w:rPr>
      </w:pPr>
      <w:hyperlink r:id="rId164">
        <w:r>
          <w:rPr>
            <w:rFonts w:ascii="Times New Roman" w:cs="Times New Roman" w:eastAsia="Times New Roman" w:hAnsi="Times New Roman"/>
            <w:sz w:val="18"/>
            <w:szCs w:val="18"/>
            <w:u w:val="single" w:color="auto"/>
            <w:color w:val="0000FF"/>
          </w:rPr>
          <w:t>2020 (File No. 001-09614).</w:t>
        </w:r>
      </w:hyperlink>
    </w:p>
    <w:p>
      <w:pPr>
        <w:spacing w:after="0" w:line="16" w:lineRule="exact"/>
        <w:rPr>
          <w:sz w:val="20"/>
          <w:szCs w:val="20"/>
          <w:color w:val="auto"/>
        </w:rPr>
      </w:pPr>
    </w:p>
    <w:p>
      <w:pPr>
        <w:ind w:left="380"/>
        <w:spacing w:after="0"/>
        <w:tabs>
          <w:tab w:leader="none" w:pos="11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165">
        <w:r>
          <w:rPr>
            <w:rFonts w:ascii="Times New Roman" w:cs="Times New Roman" w:eastAsia="Times New Roman" w:hAnsi="Times New Roman"/>
            <w:sz w:val="17"/>
            <w:szCs w:val="17"/>
            <w:u w:val="single" w:color="auto"/>
            <w:color w:val="0000FF"/>
          </w:rPr>
          <w:t>Forest Service Unified Permit for Heavenly ski area, dated April 29, 2002 (File No. 001-09614).</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8" w:name="page109"/>
    <w:bookmarkEnd w:id="108"/>
    <w:p>
      <w:pPr>
        <w:ind w:left="80"/>
        <w:spacing w:after="0"/>
        <w:rPr>
          <w:sz w:val="20"/>
          <w:szCs w:val="20"/>
          <w:color w:val="auto"/>
        </w:rPr>
      </w:pPr>
      <w:r>
        <w:rPr>
          <w:rFonts w:ascii="Times New Roman" w:cs="Times New Roman" w:eastAsia="Times New Roman" w:hAnsi="Times New Roman"/>
          <w:sz w:val="18"/>
          <w:szCs w:val="18"/>
          <w:b w:val="1"/>
          <w:bCs w:val="1"/>
          <w:color w:val="auto"/>
        </w:rPr>
        <w:t>Posted</w:t>
      </w:r>
    </w:p>
    <w:p>
      <w:pPr>
        <w:ind w:left="40"/>
        <w:spacing w:after="0" w:line="203" w:lineRule="auto"/>
        <w:tabs>
          <w:tab w:leader="none" w:pos="55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6" w:lineRule="exact"/>
        <w:rPr>
          <w:sz w:val="20"/>
          <w:szCs w:val="20"/>
          <w:color w:val="auto"/>
        </w:rPr>
      </w:pP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10.2(a)</w:t>
      </w:r>
      <w:r>
        <w:rPr>
          <w:sz w:val="20"/>
          <w:szCs w:val="20"/>
          <w:color w:val="auto"/>
        </w:rPr>
        <w:tab/>
      </w:r>
      <w:hyperlink r:id="rId167">
        <w:r>
          <w:rPr>
            <w:rFonts w:ascii="Times New Roman" w:cs="Times New Roman" w:eastAsia="Times New Roman" w:hAnsi="Times New Roman"/>
            <w:sz w:val="18"/>
            <w:szCs w:val="18"/>
            <w:u w:val="single" w:color="auto"/>
            <w:color w:val="0000FF"/>
          </w:rPr>
          <w:t>Forest Service Unified Permit for Keystone ski area, dated December 30, 1996. (Incorporated by reference to Exhibit 99.2(a) on Form 10-</w:t>
        </w:r>
      </w:hyperlink>
      <w:hyperlink r:id="rId167">
        <w:r>
          <w:rPr>
            <w:rFonts w:ascii="Times New Roman" w:cs="Times New Roman" w:eastAsia="Times New Roman" w:hAnsi="Times New Roman"/>
            <w:sz w:val="18"/>
            <w:szCs w:val="18"/>
            <w:u w:val="single" w:color="auto"/>
            <w:color w:val="0000FF"/>
          </w:rPr>
          <w:t>Q of 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10.2(b)</w:t>
      </w:r>
      <w:r>
        <w:rPr>
          <w:sz w:val="20"/>
          <w:szCs w:val="20"/>
          <w:color w:val="auto"/>
        </w:rPr>
        <w:tab/>
      </w:r>
      <w:hyperlink r:id="rId169">
        <w:r>
          <w:rPr>
            <w:rFonts w:ascii="Times New Roman" w:cs="Times New Roman" w:eastAsia="Times New Roman" w:hAnsi="Times New Roman"/>
            <w:sz w:val="18"/>
            <w:szCs w:val="18"/>
            <w:u w:val="single" w:color="auto"/>
            <w:color w:val="0000FF"/>
          </w:rPr>
          <w:t>Amendment No. 2 to Forest Service Unified Permit for Keystone ski area. (Incorporated by reference to Exhibit 99.2(b) on Form 10-Q of</w:t>
        </w:r>
      </w:hyperlink>
      <w:r>
        <w:rPr>
          <w:rFonts w:ascii="Times New Roman" w:cs="Times New Roman" w:eastAsia="Times New Roman" w:hAnsi="Times New Roman"/>
          <w:sz w:val="18"/>
          <w:szCs w:val="18"/>
          <w:u w:val="single" w:color="auto"/>
          <w:color w:val="0000FF"/>
        </w:rPr>
        <w:t xml:space="preserve"> </w:t>
      </w:r>
      <w:hyperlink r:id="rId169">
        <w:r>
          <w:rPr>
            <w:rFonts w:ascii="Times New Roman" w:cs="Times New Roman" w:eastAsia="Times New Roman" w:hAnsi="Times New Roman"/>
            <w:sz w:val="18"/>
            <w:szCs w:val="18"/>
            <w:u w:val="single" w:color="auto"/>
            <w:color w:val="0000FF"/>
          </w:rPr>
          <w:t>Vail Resorts, Inc. for the quarter ended October 31, 2002) (File No. 001-09614).</w:t>
        </w:r>
      </w:hyperlink>
    </w:p>
    <w:p>
      <w:pPr>
        <w:spacing w:after="0" w:line="10" w:lineRule="exact"/>
        <w:rPr>
          <w:sz w:val="20"/>
          <w:szCs w:val="20"/>
          <w:color w:val="auto"/>
        </w:rPr>
      </w:pP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10.2(c)</w:t>
      </w:r>
      <w:r>
        <w:rPr>
          <w:sz w:val="20"/>
          <w:szCs w:val="20"/>
          <w:color w:val="auto"/>
        </w:rPr>
        <w:tab/>
      </w:r>
      <w:hyperlink r:id="rId170">
        <w:r>
          <w:rPr>
            <w:rFonts w:ascii="Times New Roman" w:cs="Times New Roman" w:eastAsia="Times New Roman" w:hAnsi="Times New Roman"/>
            <w:sz w:val="18"/>
            <w:szCs w:val="18"/>
            <w:u w:val="single" w:color="auto"/>
            <w:color w:val="0000FF"/>
          </w:rPr>
          <w:t>Amendment No. 3 to Forest Service Unified Permit for Keystone ski area. (Incorporated by reference to Exhibit 10.3 (c) on Form 10-K of</w:t>
        </w:r>
      </w:hyperlink>
      <w:r>
        <w:rPr>
          <w:rFonts w:ascii="Times New Roman" w:cs="Times New Roman" w:eastAsia="Times New Roman" w:hAnsi="Times New Roman"/>
          <w:sz w:val="18"/>
          <w:szCs w:val="18"/>
          <w:u w:val="single" w:color="auto"/>
          <w:color w:val="0000FF"/>
        </w:rPr>
        <w:t xml:space="preserve"> </w:t>
      </w:r>
      <w:hyperlink r:id="rId170">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10.2(d)</w:t>
      </w:r>
      <w:r>
        <w:rPr>
          <w:sz w:val="20"/>
          <w:szCs w:val="20"/>
          <w:color w:val="auto"/>
        </w:rPr>
        <w:tab/>
      </w:r>
      <w:hyperlink r:id="rId172">
        <w:r>
          <w:rPr>
            <w:rFonts w:ascii="Times New Roman" w:cs="Times New Roman" w:eastAsia="Times New Roman" w:hAnsi="Times New Roman"/>
            <w:sz w:val="18"/>
            <w:szCs w:val="18"/>
            <w:u w:val="single" w:color="auto"/>
            <w:color w:val="0000FF"/>
          </w:rPr>
          <w:t>Amendment No. 4 to Forest Service Unified Permit for Keystone ski area. (Incorporated by reference to Exhibit 10.3 (d) on Form 10-K of</w:t>
        </w:r>
      </w:hyperlink>
      <w:r>
        <w:rPr>
          <w:rFonts w:ascii="Times New Roman" w:cs="Times New Roman" w:eastAsia="Times New Roman" w:hAnsi="Times New Roman"/>
          <w:sz w:val="18"/>
          <w:szCs w:val="18"/>
          <w:u w:val="single" w:color="auto"/>
          <w:color w:val="0000FF"/>
        </w:rPr>
        <w:t xml:space="preserve"> </w:t>
      </w:r>
      <w:hyperlink r:id="rId172">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10" w:lineRule="exact"/>
        <w:rPr>
          <w:sz w:val="20"/>
          <w:szCs w:val="20"/>
          <w:color w:val="auto"/>
        </w:rPr>
      </w:pP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10.2(e)</w:t>
      </w:r>
      <w:r>
        <w:rPr>
          <w:sz w:val="20"/>
          <w:szCs w:val="20"/>
          <w:color w:val="auto"/>
        </w:rPr>
        <w:tab/>
      </w:r>
      <w:hyperlink r:id="rId173">
        <w:r>
          <w:rPr>
            <w:rFonts w:ascii="Times New Roman" w:cs="Times New Roman" w:eastAsia="Times New Roman" w:hAnsi="Times New Roman"/>
            <w:sz w:val="18"/>
            <w:szCs w:val="18"/>
            <w:u w:val="single" w:color="auto"/>
            <w:color w:val="0000FF"/>
          </w:rPr>
          <w:t>Amendment No. 5 to Forest Service Unified Permit for Keystone ski area. (Incorporated by reference to Exhibit 10.3 (e) on Form 10-K of</w:t>
        </w:r>
      </w:hyperlink>
      <w:r>
        <w:rPr>
          <w:rFonts w:ascii="Times New Roman" w:cs="Times New Roman" w:eastAsia="Times New Roman" w:hAnsi="Times New Roman"/>
          <w:sz w:val="18"/>
          <w:szCs w:val="18"/>
          <w:u w:val="single" w:color="auto"/>
          <w:color w:val="0000FF"/>
        </w:rPr>
        <w:t xml:space="preserve"> </w:t>
      </w:r>
      <w:hyperlink r:id="rId173">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80"/>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10.3(a)</w:t>
      </w:r>
      <w:r>
        <w:rPr>
          <w:sz w:val="20"/>
          <w:szCs w:val="20"/>
          <w:color w:val="auto"/>
        </w:rPr>
        <w:tab/>
      </w:r>
      <w:hyperlink r:id="rId175">
        <w:r>
          <w:rPr>
            <w:rFonts w:ascii="Times New Roman" w:cs="Times New Roman" w:eastAsia="Times New Roman" w:hAnsi="Times New Roman"/>
            <w:sz w:val="18"/>
            <w:szCs w:val="18"/>
            <w:u w:val="single" w:color="auto"/>
            <w:color w:val="0000FF"/>
          </w:rPr>
          <w:t>Forest Service Unified Permit for Breckenridge ski area, dated December 31, 1996. (Incorporated by reference to Exhibit 99.3(a) on Form</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175">
        <w:r>
          <w:rPr>
            <w:rFonts w:ascii="Times New Roman" w:cs="Times New Roman" w:eastAsia="Times New Roman" w:hAnsi="Times New Roman"/>
            <w:sz w:val="18"/>
            <w:szCs w:val="18"/>
            <w:u w:val="single" w:color="auto"/>
            <w:color w:val="0000FF"/>
          </w:rPr>
          <w:t>10-Q of Vail Resorts, Inc. for the quarter ended October 31, 2002) (File No. 001-09614).</w:t>
        </w:r>
      </w:hyperlink>
    </w:p>
    <w:p>
      <w:pPr>
        <w:spacing w:after="0" w:line="16" w:lineRule="exact"/>
        <w:rPr>
          <w:sz w:val="20"/>
          <w:szCs w:val="20"/>
          <w:color w:val="auto"/>
        </w:rPr>
      </w:pPr>
    </w:p>
    <w:p>
      <w:pPr>
        <w:ind w:left="960" w:hanging="88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10.3(b)</w:t>
      </w:r>
      <w:r>
        <w:rPr>
          <w:sz w:val="20"/>
          <w:szCs w:val="20"/>
          <w:color w:val="auto"/>
        </w:rPr>
        <w:tab/>
      </w:r>
      <w:hyperlink r:id="rId176">
        <w:r>
          <w:rPr>
            <w:rFonts w:ascii="Times New Roman" w:cs="Times New Roman" w:eastAsia="Times New Roman" w:hAnsi="Times New Roman"/>
            <w:sz w:val="18"/>
            <w:szCs w:val="18"/>
            <w:u w:val="single" w:color="auto"/>
            <w:color w:val="0000FF"/>
          </w:rPr>
          <w:t>Amendment No. 1 to Forest Service Unified Permit for Breckenridge ski area. (Incorporated by reference to Exhibit 99.3(b) on Form 10-Q</w:t>
        </w:r>
      </w:hyperlink>
      <w:r>
        <w:rPr>
          <w:rFonts w:ascii="Times New Roman" w:cs="Times New Roman" w:eastAsia="Times New Roman" w:hAnsi="Times New Roman"/>
          <w:sz w:val="18"/>
          <w:szCs w:val="18"/>
          <w:u w:val="single" w:color="auto"/>
          <w:color w:val="0000FF"/>
        </w:rPr>
        <w:t xml:space="preserve"> </w:t>
      </w:r>
      <w:hyperlink r:id="rId176">
        <w:r>
          <w:rPr>
            <w:rFonts w:ascii="Times New Roman" w:cs="Times New Roman" w:eastAsia="Times New Roman" w:hAnsi="Times New Roman"/>
            <w:sz w:val="18"/>
            <w:szCs w:val="18"/>
            <w:u w:val="single" w:color="auto"/>
            <w:color w:val="0000FF"/>
          </w:rPr>
          <w:t>of Vail 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10.3(c)</w:t>
      </w:r>
      <w:r>
        <w:rPr>
          <w:sz w:val="20"/>
          <w:szCs w:val="20"/>
          <w:color w:val="auto"/>
        </w:rPr>
        <w:tab/>
      </w:r>
      <w:hyperlink r:id="rId178">
        <w:r>
          <w:rPr>
            <w:rFonts w:ascii="Times New Roman" w:cs="Times New Roman" w:eastAsia="Times New Roman" w:hAnsi="Times New Roman"/>
            <w:sz w:val="18"/>
            <w:szCs w:val="18"/>
            <w:u w:val="single" w:color="auto"/>
            <w:color w:val="0000FF"/>
          </w:rPr>
          <w:t>Amendment No. 2 to Forest Service Unified Permit for Breckenridge ski area. (Incorporated by reference to Exhibit 10.4 (c) on Form 10-K</w:t>
        </w:r>
      </w:hyperlink>
      <w:r>
        <w:rPr>
          <w:rFonts w:ascii="Times New Roman" w:cs="Times New Roman" w:eastAsia="Times New Roman" w:hAnsi="Times New Roman"/>
          <w:sz w:val="18"/>
          <w:szCs w:val="18"/>
          <w:u w:val="single" w:color="auto"/>
          <w:color w:val="0000FF"/>
        </w:rPr>
        <w:t xml:space="preserve"> </w:t>
      </w:r>
      <w:hyperlink r:id="rId178">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10" w:lineRule="exact"/>
        <w:rPr>
          <w:sz w:val="20"/>
          <w:szCs w:val="20"/>
          <w:color w:val="auto"/>
        </w:rPr>
      </w:pPr>
    </w:p>
    <w:p>
      <w:pPr>
        <w:ind w:left="960" w:hanging="88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10.3(d)</w:t>
      </w:r>
      <w:r>
        <w:rPr>
          <w:sz w:val="20"/>
          <w:szCs w:val="20"/>
          <w:color w:val="auto"/>
        </w:rPr>
        <w:tab/>
      </w:r>
      <w:hyperlink r:id="rId179">
        <w:r>
          <w:rPr>
            <w:rFonts w:ascii="Times New Roman" w:cs="Times New Roman" w:eastAsia="Times New Roman" w:hAnsi="Times New Roman"/>
            <w:sz w:val="18"/>
            <w:szCs w:val="18"/>
            <w:u w:val="single" w:color="auto"/>
            <w:color w:val="0000FF"/>
          </w:rPr>
          <w:t>Amendment No. 3 to Forest Service Unified Permit for Breckenridge ski area. (Incorporated by reference to Exhibit 10.4 (d) on Form 10-K</w:t>
        </w:r>
      </w:hyperlink>
      <w:r>
        <w:rPr>
          <w:rFonts w:ascii="Times New Roman" w:cs="Times New Roman" w:eastAsia="Times New Roman" w:hAnsi="Times New Roman"/>
          <w:sz w:val="18"/>
          <w:szCs w:val="18"/>
          <w:u w:val="single" w:color="auto"/>
          <w:color w:val="0000FF"/>
        </w:rPr>
        <w:t xml:space="preserve"> </w:t>
      </w:r>
      <w:hyperlink r:id="rId179">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0">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10.3(e)</w:t>
      </w:r>
      <w:r>
        <w:rPr>
          <w:sz w:val="20"/>
          <w:szCs w:val="20"/>
          <w:color w:val="auto"/>
        </w:rPr>
        <w:tab/>
      </w:r>
      <w:hyperlink r:id="rId181">
        <w:r>
          <w:rPr>
            <w:rFonts w:ascii="Times New Roman" w:cs="Times New Roman" w:eastAsia="Times New Roman" w:hAnsi="Times New Roman"/>
            <w:sz w:val="18"/>
            <w:szCs w:val="18"/>
            <w:u w:val="single" w:color="auto"/>
            <w:color w:val="0000FF"/>
          </w:rPr>
          <w:t>Amendment No. 4 to Forest Service Unified Permit for Breckenridge ski area. (Incorporated by reference to Exhibit 10.4 (e) on Form 10-K</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10" w:lineRule="exact"/>
        <w:rPr>
          <w:sz w:val="20"/>
          <w:szCs w:val="20"/>
          <w:color w:val="auto"/>
        </w:rPr>
      </w:pPr>
    </w:p>
    <w:p>
      <w:pPr>
        <w:ind w:left="960" w:right="20" w:hanging="87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10.3(f)</w:t>
      </w:r>
      <w:r>
        <w:rPr>
          <w:sz w:val="20"/>
          <w:szCs w:val="20"/>
          <w:color w:val="auto"/>
        </w:rPr>
        <w:tab/>
      </w:r>
      <w:hyperlink r:id="rId182">
        <w:r>
          <w:rPr>
            <w:rFonts w:ascii="Times New Roman" w:cs="Times New Roman" w:eastAsia="Times New Roman" w:hAnsi="Times New Roman"/>
            <w:sz w:val="18"/>
            <w:szCs w:val="18"/>
            <w:u w:val="single" w:color="auto"/>
            <w:color w:val="0000FF"/>
          </w:rPr>
          <w:t>Amendment No. 5 to Forest Service Unified Permit for Breckenridge ski area. (Incorporated by reference to Exhibit 10.4(f) on Form 10-Q</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of Vail Resorts, Inc. for the quarter ended January 31, 2006)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3">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80"/>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10.4(a)</w:t>
      </w:r>
      <w:r>
        <w:rPr>
          <w:sz w:val="20"/>
          <w:szCs w:val="20"/>
          <w:color w:val="auto"/>
        </w:rPr>
        <w:tab/>
      </w:r>
      <w:hyperlink r:id="rId184">
        <w:r>
          <w:rPr>
            <w:rFonts w:ascii="Times New Roman" w:cs="Times New Roman" w:eastAsia="Times New Roman" w:hAnsi="Times New Roman"/>
            <w:sz w:val="18"/>
            <w:szCs w:val="18"/>
            <w:u w:val="single" w:color="auto"/>
            <w:color w:val="0000FF"/>
          </w:rPr>
          <w:t>Forest Service Unified Permit for Beaver Creek ski area. (Incorporated by reference to Exhibit 99.4(a) on Form 10-Q of Vail Resorts, Inc.</w:t>
        </w:r>
      </w:hyperlink>
    </w:p>
    <w:p>
      <w:pPr>
        <w:spacing w:after="0" w:line="1" w:lineRule="exact"/>
        <w:rPr>
          <w:sz w:val="20"/>
          <w:szCs w:val="20"/>
          <w:color w:val="auto"/>
        </w:rPr>
      </w:pPr>
    </w:p>
    <w:p>
      <w:pPr>
        <w:ind w:left="960"/>
        <w:spacing w:after="0"/>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for the quarter ended October 31, 2002) (File No. 001-09614).</w:t>
        </w:r>
      </w:hyperlink>
    </w:p>
    <w:p>
      <w:pPr>
        <w:spacing w:after="0" w:line="16" w:lineRule="exact"/>
        <w:rPr>
          <w:sz w:val="20"/>
          <w:szCs w:val="20"/>
          <w:color w:val="auto"/>
        </w:rPr>
      </w:pPr>
    </w:p>
    <w:p>
      <w:pPr>
        <w:ind w:left="960" w:hanging="88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10.4(b)</w:t>
      </w:r>
      <w:r>
        <w:rPr>
          <w:sz w:val="20"/>
          <w:szCs w:val="20"/>
          <w:color w:val="auto"/>
        </w:rPr>
        <w:tab/>
      </w:r>
      <w:hyperlink r:id="rId185">
        <w:r>
          <w:rPr>
            <w:rFonts w:ascii="Times New Roman" w:cs="Times New Roman" w:eastAsia="Times New Roman" w:hAnsi="Times New Roman"/>
            <w:sz w:val="18"/>
            <w:szCs w:val="18"/>
            <w:u w:val="single" w:color="auto"/>
            <w:color w:val="0000FF"/>
          </w:rPr>
          <w:t>Exhibits to Forest Service Unified Permit for Beaver Creek ski area. (Incorporated by reference to Exhibit 99.4(b) on Form 10-Q of Vail</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Resorts, 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10.4(c)</w:t>
      </w:r>
      <w:r>
        <w:rPr>
          <w:sz w:val="20"/>
          <w:szCs w:val="20"/>
          <w:color w:val="auto"/>
        </w:rPr>
        <w:tab/>
      </w:r>
      <w:hyperlink r:id="rId187">
        <w:r>
          <w:rPr>
            <w:rFonts w:ascii="Times New Roman" w:cs="Times New Roman" w:eastAsia="Times New Roman" w:hAnsi="Times New Roman"/>
            <w:sz w:val="18"/>
            <w:szCs w:val="18"/>
            <w:u w:val="single" w:color="auto"/>
            <w:color w:val="0000FF"/>
          </w:rPr>
          <w:t>Amendment No. 1 to Forest Service Unified Permit for Beaver Creek ski area. (Incorporated by reference to Exhibit 10.5(c) on Form 10-K</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10" w:lineRule="exact"/>
        <w:rPr>
          <w:sz w:val="20"/>
          <w:szCs w:val="20"/>
          <w:color w:val="auto"/>
        </w:rPr>
      </w:pPr>
    </w:p>
    <w:p>
      <w:pPr>
        <w:ind w:left="960" w:hanging="88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10.4(d)</w:t>
      </w:r>
      <w:r>
        <w:rPr>
          <w:sz w:val="20"/>
          <w:szCs w:val="20"/>
          <w:color w:val="auto"/>
        </w:rPr>
        <w:tab/>
      </w:r>
      <w:hyperlink r:id="rId188">
        <w:r>
          <w:rPr>
            <w:rFonts w:ascii="Times New Roman" w:cs="Times New Roman" w:eastAsia="Times New Roman" w:hAnsi="Times New Roman"/>
            <w:sz w:val="18"/>
            <w:szCs w:val="18"/>
            <w:u w:val="single" w:color="auto"/>
            <w:color w:val="0000FF"/>
          </w:rPr>
          <w:t>Amendment No. 2 to Forest Service Unified Permit for Beaver Creek ski area. (Incorporated by reference to Exhibit 10.5(d) on Form 10-K</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of Vail 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60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9">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60" w:right="2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10.4(e)</w:t>
      </w:r>
      <w:r>
        <w:rPr>
          <w:sz w:val="20"/>
          <w:szCs w:val="20"/>
          <w:color w:val="auto"/>
        </w:rPr>
        <w:tab/>
      </w:r>
      <w:hyperlink r:id="rId190">
        <w:r>
          <w:rPr>
            <w:rFonts w:ascii="Times New Roman" w:cs="Times New Roman" w:eastAsia="Times New Roman" w:hAnsi="Times New Roman"/>
            <w:sz w:val="18"/>
            <w:szCs w:val="18"/>
            <w:u w:val="single" w:color="auto"/>
            <w:color w:val="0000FF"/>
          </w:rPr>
          <w:t>Amendment to Forest Service Unified Permit for Beaver Creek ski area. (Incorporated by reference to Exhibit 10.5(e) on Form 10-K of</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Vail Resorts, Inc. for the year ended July 31, 2005) (File No. 001-09614).</w:t>
        </w:r>
      </w:hyperlink>
    </w:p>
    <w:p>
      <w:pPr>
        <w:spacing w:after="0" w:line="10" w:lineRule="exact"/>
        <w:rPr>
          <w:sz w:val="20"/>
          <w:szCs w:val="20"/>
          <w:color w:val="auto"/>
        </w:rPr>
      </w:pPr>
    </w:p>
    <w:p>
      <w:pPr>
        <w:ind w:left="960" w:hanging="87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10.4(f)</w:t>
      </w:r>
      <w:r>
        <w:rPr>
          <w:sz w:val="20"/>
          <w:szCs w:val="20"/>
          <w:color w:val="auto"/>
        </w:rPr>
        <w:tab/>
      </w:r>
      <w:hyperlink r:id="rId191">
        <w:r>
          <w:rPr>
            <w:rFonts w:ascii="Times New Roman" w:cs="Times New Roman" w:eastAsia="Times New Roman" w:hAnsi="Times New Roman"/>
            <w:sz w:val="18"/>
            <w:szCs w:val="18"/>
            <w:u w:val="single" w:color="auto"/>
            <w:color w:val="0000FF"/>
          </w:rPr>
          <w:t>Amendment No. 3 to Forest Service Unified Permit for Beaver Creek ski area. (Incorporated by reference to Exhibit 10.4(f) on Form 10-K</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of Vail Resorts, Inc. for the year ended July 31, 2008)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10.5(a)</w:t>
      </w:r>
      <w:r>
        <w:rPr>
          <w:sz w:val="20"/>
          <w:szCs w:val="20"/>
          <w:color w:val="auto"/>
        </w:rPr>
        <w:tab/>
      </w:r>
      <w:hyperlink r:id="rId193">
        <w:r>
          <w:rPr>
            <w:rFonts w:ascii="Times New Roman" w:cs="Times New Roman" w:eastAsia="Times New Roman" w:hAnsi="Times New Roman"/>
            <w:sz w:val="18"/>
            <w:szCs w:val="18"/>
            <w:u w:val="single" w:color="auto"/>
            <w:color w:val="0000FF"/>
          </w:rPr>
          <w:t>Forest Service Unified Permit for Vail ski area, dated November 23, 1993. (Incorporated by reference to Exhibit 99.5(a) on Form 10-Q of</w:t>
        </w:r>
      </w:hyperlink>
      <w:r>
        <w:rPr>
          <w:rFonts w:ascii="Times New Roman" w:cs="Times New Roman" w:eastAsia="Times New Roman" w:hAnsi="Times New Roman"/>
          <w:sz w:val="18"/>
          <w:szCs w:val="18"/>
          <w:u w:val="single" w:color="auto"/>
          <w:color w:val="0000FF"/>
        </w:rPr>
        <w:t xml:space="preserve"> </w:t>
      </w:r>
      <w:hyperlink r:id="rId193">
        <w:r>
          <w:rPr>
            <w:rFonts w:ascii="Times New Roman" w:cs="Times New Roman" w:eastAsia="Times New Roman" w:hAnsi="Times New Roman"/>
            <w:sz w:val="18"/>
            <w:szCs w:val="18"/>
            <w:u w:val="single" w:color="auto"/>
            <w:color w:val="0000FF"/>
          </w:rPr>
          <w:t>Vail Resorts, Inc. for the quarter ended October 31, 2002) (File No. 001-09614).</w:t>
        </w:r>
      </w:hyperlink>
    </w:p>
    <w:p>
      <w:pPr>
        <w:spacing w:after="0" w:line="10" w:lineRule="exact"/>
        <w:rPr>
          <w:sz w:val="20"/>
          <w:szCs w:val="20"/>
          <w:color w:val="auto"/>
        </w:rPr>
      </w:pPr>
    </w:p>
    <w:p>
      <w:pPr>
        <w:ind w:left="960" w:hanging="88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10.5(b)</w:t>
      </w:r>
      <w:r>
        <w:rPr>
          <w:sz w:val="20"/>
          <w:szCs w:val="20"/>
          <w:color w:val="auto"/>
        </w:rPr>
        <w:tab/>
      </w:r>
      <w:hyperlink r:id="rId194">
        <w:r>
          <w:rPr>
            <w:rFonts w:ascii="Times New Roman" w:cs="Times New Roman" w:eastAsia="Times New Roman" w:hAnsi="Times New Roman"/>
            <w:sz w:val="18"/>
            <w:szCs w:val="18"/>
            <w:u w:val="single" w:color="auto"/>
            <w:color w:val="0000FF"/>
          </w:rPr>
          <w:t>Exhibits to Forest Service Unified Permit for Vail ski area. (Incorporated by reference to Exhibit 99.5(b) on Form 10-Q of Vail Resorts,</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Inc. for the quarter ended October 31, 2002)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10.5(c)</w:t>
      </w:r>
      <w:r>
        <w:rPr>
          <w:sz w:val="20"/>
          <w:szCs w:val="20"/>
          <w:color w:val="auto"/>
        </w:rPr>
        <w:tab/>
      </w:r>
      <w:hyperlink r:id="rId196">
        <w:r>
          <w:rPr>
            <w:rFonts w:ascii="Times New Roman" w:cs="Times New Roman" w:eastAsia="Times New Roman" w:hAnsi="Times New Roman"/>
            <w:sz w:val="18"/>
            <w:szCs w:val="18"/>
            <w:u w:val="single" w:color="auto"/>
            <w:color w:val="0000FF"/>
          </w:rPr>
          <w:t>Amendment No. 2 to Forest Service Unified Permit for Vail ski area. (Incorporated by reference to Exhibit 99.5(c) on Form 10-Q of Vail</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Resorts, Inc. for the quarter ended October 31, 2002) (File No. 001-09614).</w:t>
        </w:r>
      </w:hyperlink>
    </w:p>
    <w:p>
      <w:pPr>
        <w:spacing w:after="0" w:line="10" w:lineRule="exact"/>
        <w:rPr>
          <w:sz w:val="20"/>
          <w:szCs w:val="20"/>
          <w:color w:val="auto"/>
        </w:rPr>
      </w:pPr>
    </w:p>
    <w:p>
      <w:pPr>
        <w:ind w:left="960" w:hanging="88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10.5(d)</w:t>
      </w:r>
      <w:r>
        <w:rPr>
          <w:sz w:val="20"/>
          <w:szCs w:val="20"/>
          <w:color w:val="auto"/>
        </w:rPr>
        <w:tab/>
      </w:r>
      <w:hyperlink r:id="rId197">
        <w:r>
          <w:rPr>
            <w:rFonts w:ascii="Times New Roman" w:cs="Times New Roman" w:eastAsia="Times New Roman" w:hAnsi="Times New Roman"/>
            <w:sz w:val="18"/>
            <w:szCs w:val="18"/>
            <w:u w:val="single" w:color="auto"/>
            <w:color w:val="0000FF"/>
          </w:rPr>
          <w:t>Amendment No. 3 to Forest Service Unified Permit for Vail ski area. (Incorporated by reference to Exhibit 10.6 (d) on Form 10-K of Vail</w:t>
        </w:r>
      </w:hyperlink>
      <w:r>
        <w:rPr>
          <w:rFonts w:ascii="Times New Roman" w:cs="Times New Roman" w:eastAsia="Times New Roman" w:hAnsi="Times New Roman"/>
          <w:sz w:val="18"/>
          <w:szCs w:val="18"/>
          <w:u w:val="single" w:color="auto"/>
          <w:color w:val="0000FF"/>
        </w:rPr>
        <w:t xml:space="preserve"> </w:t>
      </w:r>
      <w:hyperlink r:id="rId197">
        <w:r>
          <w:rPr>
            <w:rFonts w:ascii="Times New Roman" w:cs="Times New Roman" w:eastAsia="Times New Roman" w:hAnsi="Times New Roman"/>
            <w:sz w:val="18"/>
            <w:szCs w:val="18"/>
            <w:u w:val="single" w:color="auto"/>
            <w:color w:val="0000FF"/>
          </w:rPr>
          <w:t>Resorts, Inc. for the year ended July 31, 2005)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60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8">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60" w:hanging="8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10.5(e)</w:t>
      </w:r>
      <w:r>
        <w:rPr>
          <w:sz w:val="20"/>
          <w:szCs w:val="20"/>
          <w:color w:val="auto"/>
        </w:rPr>
        <w:tab/>
      </w:r>
      <w:hyperlink r:id="rId199">
        <w:r>
          <w:rPr>
            <w:rFonts w:ascii="Times New Roman" w:cs="Times New Roman" w:eastAsia="Times New Roman" w:hAnsi="Times New Roman"/>
            <w:sz w:val="18"/>
            <w:szCs w:val="18"/>
            <w:u w:val="single" w:color="auto"/>
            <w:color w:val="0000FF"/>
          </w:rPr>
          <w:t>Amendment No. 4 to Forest Service Unified Permit for Vail ski area. (Incorporated by reference to Exhibit 10.6 (e) on Form 10-K of Vail</w:t>
        </w:r>
      </w:hyperlink>
      <w:r>
        <w:rPr>
          <w:rFonts w:ascii="Times New Roman" w:cs="Times New Roman" w:eastAsia="Times New Roman" w:hAnsi="Times New Roman"/>
          <w:sz w:val="18"/>
          <w:szCs w:val="18"/>
          <w:u w:val="single" w:color="auto"/>
          <w:color w:val="0000FF"/>
        </w:rPr>
        <w:t xml:space="preserve"> </w:t>
      </w:r>
      <w:hyperlink r:id="rId199">
        <w:r>
          <w:rPr>
            <w:rFonts w:ascii="Times New Roman" w:cs="Times New Roman" w:eastAsia="Times New Roman" w:hAnsi="Times New Roman"/>
            <w:sz w:val="18"/>
            <w:szCs w:val="18"/>
            <w:u w:val="single" w:color="auto"/>
            <w:color w:val="0000FF"/>
          </w:rPr>
          <w:t>Resorts, Inc. for the year ended July 31, 2005) (File No. 001-09614).</w:t>
        </w:r>
      </w:hyperlink>
    </w:p>
    <w:p>
      <w:pPr>
        <w:spacing w:after="0" w:line="10" w:lineRule="exact"/>
        <w:rPr>
          <w:sz w:val="20"/>
          <w:szCs w:val="20"/>
          <w:color w:val="auto"/>
        </w:rPr>
      </w:pPr>
    </w:p>
    <w:p>
      <w:pPr>
        <w:ind w:left="960" w:right="20" w:hanging="82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200">
        <w:r>
          <w:rPr>
            <w:rFonts w:ascii="Times New Roman" w:cs="Times New Roman" w:eastAsia="Times New Roman" w:hAnsi="Times New Roman"/>
            <w:sz w:val="18"/>
            <w:szCs w:val="18"/>
            <w:u w:val="single" w:color="auto"/>
            <w:color w:val="0000FF"/>
          </w:rPr>
          <w:t>Vail Resorts, Inc. Amended and Restated 2002 Long Term Incentive and Share Award Plan. (Incorporated by reference to Exhibit 99.1 on</w:t>
        </w:r>
      </w:hyperlink>
      <w:r>
        <w:rPr>
          <w:rFonts w:ascii="Times New Roman" w:cs="Times New Roman" w:eastAsia="Times New Roman" w:hAnsi="Times New Roman"/>
          <w:sz w:val="18"/>
          <w:szCs w:val="18"/>
          <w:u w:val="single" w:color="auto"/>
          <w:color w:val="0000FF"/>
        </w:rPr>
        <w:t xml:space="preserve"> </w:t>
      </w:r>
      <w:hyperlink r:id="rId200">
        <w:r>
          <w:rPr>
            <w:rFonts w:ascii="Times New Roman" w:cs="Times New Roman" w:eastAsia="Times New Roman" w:hAnsi="Times New Roman"/>
            <w:sz w:val="18"/>
            <w:szCs w:val="18"/>
            <w:u w:val="single" w:color="auto"/>
            <w:color w:val="0000FF"/>
          </w:rPr>
          <w:t>Form 8-K of Vail Resorts, Inc. filed on December 10, 2009)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960" w:hanging="82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202">
        <w:r>
          <w:rPr>
            <w:rFonts w:ascii="Times New Roman" w:cs="Times New Roman" w:eastAsia="Times New Roman" w:hAnsi="Times New Roman"/>
            <w:sz w:val="18"/>
            <w:szCs w:val="18"/>
            <w:u w:val="single" w:color="auto"/>
            <w:color w:val="0000FF"/>
          </w:rPr>
          <w:t>Vail Resorts Deferred Compensation Plan, effective as of January 1, 2005. (Incorporated by reference to Exhibit 10.22 on Form 10-K of</w:t>
        </w:r>
      </w:hyperlink>
      <w:r>
        <w:rPr>
          <w:rFonts w:ascii="Times New Roman" w:cs="Times New Roman" w:eastAsia="Times New Roman" w:hAnsi="Times New Roman"/>
          <w:sz w:val="18"/>
          <w:szCs w:val="18"/>
          <w:u w:val="single" w:color="auto"/>
          <w:color w:val="0000FF"/>
        </w:rPr>
        <w:t xml:space="preserve"> </w:t>
      </w:r>
      <w:hyperlink r:id="rId202">
        <w:r>
          <w:rPr>
            <w:rFonts w:ascii="Times New Roman" w:cs="Times New Roman" w:eastAsia="Times New Roman" w:hAnsi="Times New Roman"/>
            <w:sz w:val="18"/>
            <w:szCs w:val="18"/>
            <w:u w:val="single" w:color="auto"/>
            <w:color w:val="0000FF"/>
          </w:rPr>
          <w:t>Vail Resorts, Inc. for the year ended July 31, 2009) (File No. 001-09614).</w:t>
        </w:r>
      </w:hyperlink>
    </w:p>
    <w:p>
      <w:pPr>
        <w:spacing w:after="0" w:line="10" w:lineRule="exact"/>
        <w:rPr>
          <w:sz w:val="20"/>
          <w:szCs w:val="20"/>
          <w:color w:val="auto"/>
        </w:rPr>
      </w:pPr>
    </w:p>
    <w:p>
      <w:pPr>
        <w:ind w:left="960" w:hanging="82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203">
        <w:r>
          <w:rPr>
            <w:rFonts w:ascii="Times New Roman" w:cs="Times New Roman" w:eastAsia="Times New Roman" w:hAnsi="Times New Roman"/>
            <w:sz w:val="18"/>
            <w:szCs w:val="18"/>
            <w:u w:val="single" w:color="auto"/>
            <w:color w:val="0000FF"/>
          </w:rPr>
          <w:t>Executive Employment Agreement, between Vail Resorts, Inc. and Kirsten A. Lynch effective November 1, 2021. (Incorporated by</w:t>
        </w:r>
      </w:hyperlink>
      <w:r>
        <w:rPr>
          <w:rFonts w:ascii="Times New Roman" w:cs="Times New Roman" w:eastAsia="Times New Roman" w:hAnsi="Times New Roman"/>
          <w:sz w:val="18"/>
          <w:szCs w:val="18"/>
          <w:u w:val="single" w:color="auto"/>
          <w:color w:val="0000FF"/>
        </w:rPr>
        <w:t xml:space="preserve"> </w:t>
      </w:r>
      <w:hyperlink r:id="rId203">
        <w:r>
          <w:rPr>
            <w:rFonts w:ascii="Times New Roman" w:cs="Times New Roman" w:eastAsia="Times New Roman" w:hAnsi="Times New Roman"/>
            <w:sz w:val="18"/>
            <w:szCs w:val="18"/>
            <w:u w:val="single" w:color="auto"/>
            <w:color w:val="0000FF"/>
          </w:rPr>
          <w:t>reference to Exhibit 10.1 of the report on Form 8-K of Vail Resorts, Inc. filed on November 1, 2021)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60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4">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960" w:right="300" w:hanging="782"/>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205">
        <w:r>
          <w:rPr>
            <w:rFonts w:ascii="Times New Roman" w:cs="Times New Roman" w:eastAsia="Times New Roman" w:hAnsi="Times New Roman"/>
            <w:sz w:val="18"/>
            <w:szCs w:val="18"/>
            <w:u w:val="single" w:color="auto"/>
            <w:color w:val="0000FF"/>
          </w:rPr>
          <w:t>Form of Indemnification Agreement. (Incorporated by reference to Exhibit 10.1 of the report on Form 8-K of Vail Resorts, Inc. filed on</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October 13, 2021 (File No. 001-09614).</w:t>
        </w:r>
      </w:hyperlink>
    </w:p>
    <w:p>
      <w:pPr>
        <w:spacing w:after="0" w:line="10" w:lineRule="exact"/>
        <w:rPr>
          <w:sz w:val="20"/>
          <w:szCs w:val="20"/>
          <w:color w:val="auto"/>
        </w:rPr>
      </w:pPr>
    </w:p>
    <w:p>
      <w:pPr>
        <w:ind w:left="960" w:hanging="827"/>
        <w:spacing w:after="0" w:line="237" w:lineRule="auto"/>
        <w:tabs>
          <w:tab w:leader="none" w:pos="9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206">
        <w:r>
          <w:rPr>
            <w:rFonts w:ascii="Times New Roman" w:cs="Times New Roman" w:eastAsia="Times New Roman" w:hAnsi="Times New Roman"/>
            <w:sz w:val="18"/>
            <w:szCs w:val="18"/>
            <w:u w:val="single" w:color="auto"/>
            <w:color w:val="0000FF"/>
          </w:rPr>
          <w:t>Master Agreement of Lease, dated May 29, 2013, between VR CPC Holdings, Inc. and Talisker Canyons Leaseco LLC. (Incorporated by</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reference to Exhibit 10.1 on Form 8-K of Vail Resorts, Inc. filed on May 30, 2013)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-255905</wp:posOffset>
            </wp:positionV>
            <wp:extent cx="7106285" cy="265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ectPr>
          <w:pgSz w:w="11900" w:h="16838" w:orient="portrait"/>
          <w:cols w:equalWidth="0" w:num="1">
            <w:col w:w="11000"/>
          </w:cols>
          <w:pgMar w:left="520" w:top="112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1122" w:right="379" w:bottom="1440" w:gutter="0" w:footer="0" w:header="0"/>
          <w:type w:val="continuous"/>
        </w:sectPr>
      </w:pPr>
    </w:p>
    <w:bookmarkStart w:id="109" w:name="page110"/>
    <w:bookmarkEnd w:id="109"/>
    <w:p>
      <w:pPr>
        <w:ind w:left="260"/>
        <w:spacing w:after="0"/>
        <w:rPr>
          <w:sz w:val="20"/>
          <w:szCs w:val="20"/>
          <w:color w:val="auto"/>
        </w:rPr>
      </w:pPr>
      <w:r>
        <w:rPr>
          <w:rFonts w:ascii="Times New Roman" w:cs="Times New Roman" w:eastAsia="Times New Roman" w:hAnsi="Times New Roman"/>
          <w:sz w:val="18"/>
          <w:szCs w:val="18"/>
          <w:b w:val="1"/>
          <w:bCs w:val="1"/>
          <w:color w:val="auto"/>
        </w:rPr>
        <w:t>Posted</w:t>
      </w:r>
    </w:p>
    <w:p>
      <w:pPr>
        <w:ind w:left="220"/>
        <w:spacing w:after="0" w:line="203" w:lineRule="auto"/>
        <w:tabs>
          <w:tab w:leader="none" w:pos="570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16" w:lineRule="exact"/>
        <w:rPr>
          <w:sz w:val="20"/>
          <w:szCs w:val="20"/>
          <w:color w:val="auto"/>
        </w:rPr>
      </w:pPr>
    </w:p>
    <w:p>
      <w:pPr>
        <w:jc w:val="both"/>
        <w:ind w:left="1140" w:right="20" w:hanging="824"/>
        <w:spacing w:after="0" w:line="226"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209">
        <w:r>
          <w:rPr>
            <w:rFonts w:ascii="Times New Roman" w:cs="Times New Roman" w:eastAsia="Times New Roman" w:hAnsi="Times New Roman"/>
            <w:sz w:val="18"/>
            <w:szCs w:val="18"/>
            <w:u w:val="single" w:color="auto"/>
            <w:color w:val="0000FF"/>
          </w:rPr>
          <w:t>Guaranty of Vail Resorts, Inc., dated May 29, 2013, in connection with the Master Agreement of Lease between VR CPC Holdings, Inc.</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and Talisker Canyons Leaseco LLC. (Incorporated by reference to Exhibit 10.2 on Form 8-K of Vail Resorts, Inc. filed on May 30, 2013)</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(File No. 001-09614).</w:t>
        </w:r>
      </w:hyperlink>
    </w:p>
    <w:p>
      <w:pPr>
        <w:spacing w:after="0" w:line="9" w:lineRule="exact"/>
        <w:rPr>
          <w:rFonts w:ascii="Times New Roman" w:cs="Times New Roman" w:eastAsia="Times New Roman" w:hAnsi="Times New Roman"/>
          <w:sz w:val="18"/>
          <w:szCs w:val="18"/>
          <w:u w:val="single" w:color="auto"/>
          <w:color w:val="0000FF"/>
        </w:rPr>
      </w:pPr>
    </w:p>
    <w:p>
      <w:pPr>
        <w:ind w:left="1140" w:right="20" w:hanging="872"/>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210">
        <w:r>
          <w:rPr>
            <w:rFonts w:ascii="Times New Roman" w:cs="Times New Roman" w:eastAsia="Times New Roman" w:hAnsi="Times New Roman"/>
            <w:sz w:val="18"/>
            <w:szCs w:val="18"/>
            <w:u w:val="single" w:color="auto"/>
            <w:color w:val="0000FF"/>
          </w:rPr>
          <w:t>Vail Resorts, Inc. Management Incentive Plan (amended September 13, 2023) (Incorporated by reference to Exhibit 10.2 on Form 10-Q of</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Vail Resorts, Inc. for the quarter ended October 31, 2023) (File No.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7106285" cy="265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40" w:right="20" w:hanging="872"/>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10.13*</w:t>
      </w:r>
      <w:r>
        <w:rPr>
          <w:sz w:val="20"/>
          <w:szCs w:val="20"/>
          <w:color w:val="auto"/>
        </w:rPr>
        <w:tab/>
      </w:r>
      <w:hyperlink r:id="rId212">
        <w:r>
          <w:rPr>
            <w:rFonts w:ascii="Times New Roman" w:cs="Times New Roman" w:eastAsia="Times New Roman" w:hAnsi="Times New Roman"/>
            <w:sz w:val="18"/>
            <w:szCs w:val="18"/>
            <w:u w:val="single" w:color="auto"/>
            <w:color w:val="0000FF"/>
          </w:rPr>
          <w:t>Vail Resorts, Inc. 2015 Omnibus Incentive Plan (Incorporated by reference to Exhibit 10.1 on Form 8-K of Vail Resorts, Inc. filed on</w:t>
        </w:r>
      </w:hyperlink>
      <w:r>
        <w:rPr>
          <w:rFonts w:ascii="Times New Roman" w:cs="Times New Roman" w:eastAsia="Times New Roman" w:hAnsi="Times New Roman"/>
          <w:sz w:val="18"/>
          <w:szCs w:val="18"/>
          <w:u w:val="single" w:color="auto"/>
          <w:color w:val="0000FF"/>
        </w:rPr>
        <w:t xml:space="preserve"> </w:t>
      </w:r>
      <w:hyperlink r:id="rId212">
        <w:r>
          <w:rPr>
            <w:rFonts w:ascii="Times New Roman" w:cs="Times New Roman" w:eastAsia="Times New Roman" w:hAnsi="Times New Roman"/>
            <w:sz w:val="18"/>
            <w:szCs w:val="18"/>
            <w:u w:val="single" w:color="auto"/>
            <w:color w:val="0000FF"/>
          </w:rPr>
          <w:t>December 7, 2015) (File Number 001-09614).</w:t>
        </w:r>
      </w:hyperlink>
    </w:p>
    <w:p>
      <w:pPr>
        <w:spacing w:after="0" w:line="10" w:lineRule="exact"/>
        <w:rPr>
          <w:sz w:val="20"/>
          <w:szCs w:val="20"/>
          <w:color w:val="auto"/>
        </w:rPr>
      </w:pPr>
    </w:p>
    <w:p>
      <w:pPr>
        <w:ind w:left="1140" w:right="20" w:hanging="872"/>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213">
        <w:r>
          <w:rPr>
            <w:rFonts w:ascii="Times New Roman" w:cs="Times New Roman" w:eastAsia="Times New Roman" w:hAnsi="Times New Roman"/>
            <w:sz w:val="18"/>
            <w:szCs w:val="18"/>
            <w:u w:val="single" w:color="auto"/>
            <w:color w:val="0000FF"/>
          </w:rPr>
          <w:t>Form of Restricted Share Unit Agreement (effective September 23, 2020) (Incorporated by reference to Exhibit 10.17 on Form 10-K of</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Vail Resorts, Inc. for the year ended July 31, 2020) (File Number 001-09614).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-255905</wp:posOffset>
            </wp:positionV>
            <wp:extent cx="7106285" cy="265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140" w:right="20" w:hanging="872"/>
        <w:spacing w:after="0" w:line="237"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215">
        <w:r>
          <w:rPr>
            <w:rFonts w:ascii="Times New Roman" w:cs="Times New Roman" w:eastAsia="Times New Roman" w:hAnsi="Times New Roman"/>
            <w:sz w:val="18"/>
            <w:szCs w:val="18"/>
            <w:u w:val="single" w:color="auto"/>
            <w:color w:val="0000FF"/>
          </w:rPr>
          <w:t>Form of Share Appreciation Rights Agreement (effective September 23, 2020) (Incorporated by reference to Exhibit 10.18 on Form 10-K</w:t>
        </w:r>
      </w:hyperlink>
      <w:r>
        <w:rPr>
          <w:rFonts w:ascii="Times New Roman" w:cs="Times New Roman" w:eastAsia="Times New Roman" w:hAnsi="Times New Roman"/>
          <w:sz w:val="18"/>
          <w:szCs w:val="18"/>
          <w:u w:val="single" w:color="auto"/>
          <w:color w:val="0000FF"/>
        </w:rPr>
        <w:t xml:space="preserve"> </w:t>
      </w:r>
      <w:hyperlink r:id="rId215">
        <w:r>
          <w:rPr>
            <w:rFonts w:ascii="Times New Roman" w:cs="Times New Roman" w:eastAsia="Times New Roman" w:hAnsi="Times New Roman"/>
            <w:sz w:val="18"/>
            <w:szCs w:val="18"/>
            <w:u w:val="single" w:color="auto"/>
            <w:color w:val="0000FF"/>
          </w:rPr>
          <w:t>of Vail Resorts, Inc. for the year ended July 31, 2020) (File Number 001-09614).</w:t>
        </w:r>
      </w:hyperlink>
    </w:p>
    <w:p>
      <w:pPr>
        <w:spacing w:after="0" w:line="10" w:lineRule="exact"/>
        <w:rPr>
          <w:sz w:val="20"/>
          <w:szCs w:val="20"/>
          <w:color w:val="auto"/>
        </w:rPr>
      </w:pPr>
    </w:p>
    <w:p>
      <w:pPr>
        <w:jc w:val="both"/>
        <w:ind w:left="1140" w:right="20" w:hanging="827"/>
        <w:spacing w:after="0" w:line="216"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216">
        <w:r>
          <w:rPr>
            <w:rFonts w:ascii="Times New Roman" w:cs="Times New Roman" w:eastAsia="Times New Roman" w:hAnsi="Times New Roman"/>
            <w:sz w:val="18"/>
            <w:szCs w:val="18"/>
            <w:u w:val="single" w:color="auto"/>
            <w:color w:val="0000FF"/>
          </w:rPr>
          <w:t>Ninth Amended and Restated Credit Agreement, dated April 24, 2024 among Vail Holdings, Inc., as borrower, Bank of America, N.A. as</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administrative agent, U.S. Bank National Association and Wells Fargo, National Association as co-syndication Agents, and the Lenders</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party thereto (Incorporated by reference to Exhibit 10.1 on Form 10-Q of Vail Resorts, Inc. for the quarter ended April 30, 2024) (File No.</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-351155</wp:posOffset>
            </wp:positionV>
            <wp:extent cx="7106285" cy="4889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06285" cy="488950"/>
                    </a:xfrm>
                    <a:prstGeom prst="rect">
                      <a:avLst/>
                    </a:prstGeom>
                    <a:noFill/>
                  </pic:spPr>
                </pic:pic>
              </a:graphicData>
            </a:graphic>
          </wp:anchor>
        </w:drawing>
      </w:r>
    </w:p>
    <w:p>
      <w:pPr>
        <w:ind w:left="1140"/>
        <w:spacing w:after="0"/>
        <w:rPr>
          <w:rFonts w:ascii="Times New Roman" w:cs="Times New Roman" w:eastAsia="Times New Roman" w:hAnsi="Times New Roman"/>
          <w:sz w:val="18"/>
          <w:szCs w:val="18"/>
          <w:u w:val="single" w:color="auto"/>
          <w:color w:val="0000FF"/>
        </w:rPr>
      </w:pPr>
      <w:hyperlink r:id="rId216">
        <w:r>
          <w:rPr>
            <w:rFonts w:ascii="Times New Roman" w:cs="Times New Roman" w:eastAsia="Times New Roman" w:hAnsi="Times New Roman"/>
            <w:sz w:val="18"/>
            <w:szCs w:val="18"/>
            <w:u w:val="single" w:color="auto"/>
            <w:color w:val="0000FF"/>
          </w:rPr>
          <w:t>001-09614).</w:t>
        </w:r>
      </w:hyperlink>
    </w:p>
    <w:p>
      <w:pPr>
        <w:spacing w:after="0" w:line="7" w:lineRule="exact"/>
        <w:rPr>
          <w:rFonts w:ascii="Times New Roman" w:cs="Times New Roman" w:eastAsia="Times New Roman" w:hAnsi="Times New Roman"/>
          <w:sz w:val="18"/>
          <w:szCs w:val="18"/>
          <w:u w:val="single" w:color="auto"/>
          <w:color w:val="0000FF"/>
        </w:rPr>
      </w:pPr>
    </w:p>
    <w:p>
      <w:pPr>
        <w:jc w:val="both"/>
        <w:ind w:left="1140" w:right="20" w:hanging="827"/>
        <w:spacing w:after="0" w:line="21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218">
        <w:r>
          <w:rPr>
            <w:rFonts w:ascii="Times New Roman" w:cs="Times New Roman" w:eastAsia="Times New Roman" w:hAnsi="Times New Roman"/>
            <w:sz w:val="18"/>
            <w:szCs w:val="18"/>
            <w:u w:val="single" w:color="auto"/>
            <w:color w:val="0000FF"/>
          </w:rPr>
          <w:t>Second Amended and Restated Credit Agreement, dated as of April 14, 2023, among Whistler Mountain Resort Limited Partnership and</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Blackcomb Skiing Enterprises Limited Partnership, as borrowers, the Guarantors Party hereto, the Financial Institutions named herein, The</w:t>
        </w:r>
      </w:hyperlink>
      <w:r>
        <w:rPr>
          <w:rFonts w:ascii="Times New Roman" w:cs="Times New Roman" w:eastAsia="Times New Roman" w:hAnsi="Times New Roman"/>
          <w:sz w:val="18"/>
          <w:szCs w:val="18"/>
          <w:u w:val="single" w:color="auto"/>
          <w:color w:val="0000FF"/>
        </w:rPr>
        <w:t xml:space="preserve"> </w:t>
      </w:r>
      <w:hyperlink r:id="rId218">
        <w:r>
          <w:rPr>
            <w:rFonts w:ascii="Times New Roman" w:cs="Times New Roman" w:eastAsia="Times New Roman" w:hAnsi="Times New Roman"/>
            <w:sz w:val="18"/>
            <w:szCs w:val="18"/>
            <w:u w:val="single" w:color="auto"/>
            <w:color w:val="0000FF"/>
          </w:rPr>
          <w:t>Toronto-Dominion Bank, as administrative agent, on its own behalf and on behalf of the Lenders (Incorporated by reference to Exhibit</w:t>
        </w:r>
      </w:hyperlink>
    </w:p>
    <w:p>
      <w:pPr>
        <w:spacing w:after="0" w:line="1" w:lineRule="exact"/>
        <w:rPr>
          <w:rFonts w:ascii="Times New Roman" w:cs="Times New Roman" w:eastAsia="Times New Roman" w:hAnsi="Times New Roman"/>
          <w:sz w:val="18"/>
          <w:szCs w:val="18"/>
          <w:u w:val="single" w:color="auto"/>
          <w:color w:val="0000FF"/>
        </w:rPr>
      </w:pPr>
    </w:p>
    <w:p>
      <w:pPr>
        <w:ind w:left="114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10.1 on Form 10-Q of Vail Resorts, Inc. for the quarter ended April 30, 2023) (File No. 001-09614).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4445</wp:posOffset>
            </wp:positionV>
            <wp:extent cx="7106285" cy="3771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jc w:val="both"/>
        <w:ind w:left="1140" w:right="20" w:hanging="827"/>
        <w:spacing w:after="0" w:line="224"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220">
        <w:r>
          <w:rPr>
            <w:rFonts w:ascii="Times New Roman" w:cs="Times New Roman" w:eastAsia="Times New Roman" w:hAnsi="Times New Roman"/>
            <w:sz w:val="18"/>
            <w:szCs w:val="18"/>
            <w:u w:val="single" w:color="auto"/>
            <w:color w:val="0000FF"/>
          </w:rPr>
          <w:t>Whistler Mountain Master Development Agreement, dated as of February 23, 2017, between Her Majesty the Queen in Right of the</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Province of British Columbia and Whistler Mountain Resort Limited Partnership (Incorporated by reference to Exhibit 10.1 on Form 8-K</w:t>
        </w:r>
      </w:hyperlink>
      <w:r>
        <w:rPr>
          <w:rFonts w:ascii="Times New Roman" w:cs="Times New Roman" w:eastAsia="Times New Roman" w:hAnsi="Times New Roman"/>
          <w:sz w:val="18"/>
          <w:szCs w:val="18"/>
          <w:u w:val="single" w:color="auto"/>
          <w:color w:val="0000FF"/>
        </w:rPr>
        <w:t xml:space="preserve"> </w:t>
      </w:r>
      <w:hyperlink r:id="rId220">
        <w:r>
          <w:rPr>
            <w:rFonts w:ascii="Times New Roman" w:cs="Times New Roman" w:eastAsia="Times New Roman" w:hAnsi="Times New Roman"/>
            <w:sz w:val="18"/>
            <w:szCs w:val="18"/>
            <w:u w:val="single" w:color="auto"/>
            <w:color w:val="0000FF"/>
          </w:rPr>
          <w:t>of Vail Resorts, Inc. filed on February 27, 2017) (File No. 001-09614).</w:t>
        </w:r>
      </w:hyperlink>
    </w:p>
    <w:p>
      <w:pPr>
        <w:spacing w:after="0" w:line="10" w:lineRule="exact"/>
        <w:rPr>
          <w:rFonts w:ascii="Times New Roman" w:cs="Times New Roman" w:eastAsia="Times New Roman" w:hAnsi="Times New Roman"/>
          <w:sz w:val="18"/>
          <w:szCs w:val="18"/>
          <w:u w:val="single" w:color="auto"/>
          <w:color w:val="0000FF"/>
        </w:rPr>
      </w:pPr>
    </w:p>
    <w:p>
      <w:pPr>
        <w:jc w:val="both"/>
        <w:ind w:left="1140" w:right="20" w:hanging="827"/>
        <w:spacing w:after="0" w:line="226"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221">
        <w:r>
          <w:rPr>
            <w:rFonts w:ascii="Times New Roman" w:cs="Times New Roman" w:eastAsia="Times New Roman" w:hAnsi="Times New Roman"/>
            <w:sz w:val="18"/>
            <w:szCs w:val="18"/>
            <w:u w:val="single" w:color="auto"/>
            <w:color w:val="0000FF"/>
          </w:rPr>
          <w:t>Blackcomb Mountain Master Development Agreement, dated as of February 23, 2017, between Her Majesty the Queen in Right of the</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Province of British Columbia and Blackcomb Skiing Enterprises Limited Partnership (Incorporated by reference to Exhibit 10.2 on Form</w:t>
        </w:r>
      </w:hyperlink>
      <w:r>
        <w:rPr>
          <w:rFonts w:ascii="Times New Roman" w:cs="Times New Roman" w:eastAsia="Times New Roman" w:hAnsi="Times New Roman"/>
          <w:sz w:val="18"/>
          <w:szCs w:val="18"/>
          <w:u w:val="single" w:color="auto"/>
          <w:color w:val="0000FF"/>
        </w:rPr>
        <w:t xml:space="preserve"> </w:t>
      </w:r>
      <w:hyperlink r:id="rId221">
        <w:r>
          <w:rPr>
            <w:rFonts w:ascii="Times New Roman" w:cs="Times New Roman" w:eastAsia="Times New Roman" w:hAnsi="Times New Roman"/>
            <w:sz w:val="18"/>
            <w:szCs w:val="18"/>
            <w:u w:val="single" w:color="auto"/>
            <w:color w:val="0000FF"/>
          </w:rPr>
          <w:t>8-K of Vail Resorts, Inc. filed on February 27, 2017) (File No. 001-09614).</w:t>
        </w:r>
      </w:hyperlink>
    </w:p>
    <w:p>
      <w:pPr>
        <w:spacing w:after="0" w:line="9" w:lineRule="exact"/>
        <w:rPr>
          <w:rFonts w:ascii="Times New Roman" w:cs="Times New Roman" w:eastAsia="Times New Roman" w:hAnsi="Times New Roman"/>
          <w:sz w:val="18"/>
          <w:szCs w:val="18"/>
          <w:u w:val="single" w:color="auto"/>
          <w:color w:val="0000FF"/>
        </w:rPr>
      </w:pPr>
    </w:p>
    <w:p>
      <w:pPr>
        <w:jc w:val="both"/>
        <w:ind w:left="1140" w:right="20" w:hanging="827"/>
        <w:spacing w:after="0" w:line="226" w:lineRule="auto"/>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222">
        <w:r>
          <w:rPr>
            <w:rFonts w:ascii="Times New Roman" w:cs="Times New Roman" w:eastAsia="Times New Roman" w:hAnsi="Times New Roman"/>
            <w:sz w:val="18"/>
            <w:szCs w:val="18"/>
            <w:u w:val="single" w:color="auto"/>
            <w:color w:val="0000FF"/>
          </w:rPr>
          <w:t>Form of Separation Agreement and General Release by and between Ryan Bennett and Vail Resorts, Inc. dated October 12, 2023</w:t>
        </w:r>
      </w:hyperlink>
      <w:r>
        <w:rPr>
          <w:rFonts w:ascii="Times New Roman" w:cs="Times New Roman" w:eastAsia="Times New Roman" w:hAnsi="Times New Roman"/>
          <w:sz w:val="18"/>
          <w:szCs w:val="18"/>
          <w:u w:val="single" w:color="auto"/>
          <w:color w:val="0000FF"/>
        </w:rPr>
        <w:t xml:space="preserve"> </w:t>
      </w:r>
      <w:hyperlink r:id="rId222">
        <w:r>
          <w:rPr>
            <w:rFonts w:ascii="Times New Roman" w:cs="Times New Roman" w:eastAsia="Times New Roman" w:hAnsi="Times New Roman"/>
            <w:sz w:val="18"/>
            <w:szCs w:val="18"/>
            <w:u w:val="single" w:color="auto"/>
            <w:color w:val="0000FF"/>
          </w:rPr>
          <w:t>(Incorporated by reference to Exhibit 10.1 on Form 10-Q of Vail Resorts, Inc. for the quarter ended October 31, 2023) (File No. 001-</w:t>
        </w:r>
      </w:hyperlink>
      <w:hyperlink r:id="rId222">
        <w:r>
          <w:rPr>
            <w:rFonts w:ascii="Times New Roman" w:cs="Times New Roman" w:eastAsia="Times New Roman" w:hAnsi="Times New Roman"/>
            <w:sz w:val="18"/>
            <w:szCs w:val="18"/>
            <w:u w:val="single" w:color="auto"/>
            <w:color w:val="0000FF"/>
          </w:rPr>
          <w:t>09614).</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-367665</wp:posOffset>
            </wp:positionV>
            <wp:extent cx="7106285" cy="3771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19.1</w:t>
      </w:r>
      <w:r>
        <w:rPr>
          <w:sz w:val="20"/>
          <w:szCs w:val="20"/>
          <w:color w:val="auto"/>
        </w:rPr>
        <w:tab/>
      </w:r>
      <w:r>
        <w:rPr>
          <w:rFonts w:ascii="Times New Roman" w:cs="Times New Roman" w:eastAsia="Times New Roman" w:hAnsi="Times New Roman"/>
          <w:sz w:val="17"/>
          <w:szCs w:val="17"/>
          <w:u w:val="single" w:color="auto"/>
          <w:color w:val="0000FF"/>
        </w:rPr>
        <w:t>Vail Resorts, Inc. Fifth Amended and Restated Insider Trading Compliance Program.</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17145</wp:posOffset>
            </wp:positionV>
            <wp:extent cx="7106285"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7" w:lineRule="exact"/>
        <w:rPr>
          <w:rFonts w:ascii="Times New Roman" w:cs="Times New Roman" w:eastAsia="Times New Roman" w:hAnsi="Times New Roman"/>
          <w:sz w:val="18"/>
          <w:szCs w:val="18"/>
          <w:u w:val="single" w:color="auto"/>
          <w:color w:val="0000FF"/>
        </w:rPr>
      </w:pPr>
    </w:p>
    <w:p>
      <w:pPr>
        <w:ind w:left="1140" w:hanging="722"/>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Vail Resorts, Inc.</w:t>
      </w:r>
    </w:p>
    <w:p>
      <w:pPr>
        <w:spacing w:after="0" w:line="23" w:lineRule="exact"/>
        <w:rPr>
          <w:rFonts w:ascii="Times New Roman" w:cs="Times New Roman" w:eastAsia="Times New Roman" w:hAnsi="Times New Roman"/>
          <w:sz w:val="18"/>
          <w:szCs w:val="18"/>
          <w:u w:val="single" w:color="auto"/>
          <w:color w:val="0000FF"/>
        </w:rPr>
      </w:pPr>
    </w:p>
    <w:p>
      <w:pPr>
        <w:ind w:left="1140" w:hanging="722"/>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2" w:lineRule="exact"/>
        <w:rPr>
          <w:rFonts w:ascii="Times New Roman" w:cs="Times New Roman" w:eastAsia="Times New Roman" w:hAnsi="Times New Roman"/>
          <w:sz w:val="18"/>
          <w:szCs w:val="18"/>
          <w:color w:val="auto"/>
        </w:rPr>
      </w:pPr>
    </w:p>
    <w:p>
      <w:pPr>
        <w:ind w:left="1140" w:hanging="722"/>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Included on signature pages hereto.</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-130810</wp:posOffset>
            </wp:positionV>
            <wp:extent cx="7106285"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rFonts w:ascii="Times New Roman" w:cs="Times New Roman" w:eastAsia="Times New Roman" w:hAnsi="Times New Roman"/>
          <w:sz w:val="18"/>
          <w:szCs w:val="18"/>
          <w:u w:val="single" w:color="auto"/>
          <w:color w:val="0000FF"/>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Chief Executive Officer pursuant to Section 302 of the Sarbanes-Oxley Act of 2002.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14605</wp:posOffset>
            </wp:positionV>
            <wp:extent cx="7106285" cy="146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rFonts w:ascii="Times New Roman" w:cs="Times New Roman" w:eastAsia="Times New Roman" w:hAnsi="Times New Roman"/>
          <w:sz w:val="18"/>
          <w:szCs w:val="18"/>
          <w:u w:val="single" w:color="auto"/>
          <w:color w:val="0000FF"/>
        </w:rPr>
      </w:pPr>
    </w:p>
    <w:p>
      <w:pPr>
        <w:ind w:left="360"/>
        <w:spacing w:after="0"/>
        <w:tabs>
          <w:tab w:leader="none" w:pos="11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Chief Financial Officer pursuant to Section 302 of the Sarbanes-Oxley Act of 2002.</w:t>
      </w:r>
    </w:p>
    <w:p>
      <w:pPr>
        <w:spacing w:after="0" w:line="23" w:lineRule="exact"/>
        <w:rPr>
          <w:rFonts w:ascii="Times New Roman" w:cs="Times New Roman" w:eastAsia="Times New Roman" w:hAnsi="Times New Roman"/>
          <w:sz w:val="18"/>
          <w:szCs w:val="18"/>
          <w:u w:val="single" w:color="auto"/>
          <w:color w:val="0000FF"/>
        </w:rPr>
      </w:pPr>
    </w:p>
    <w:p>
      <w:pPr>
        <w:ind w:left="1140" w:right="20" w:hanging="722"/>
        <w:spacing w:after="0" w:line="234"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tbl>
      <w:tblPr>
        <w:tblLayout w:type="fixed"/>
        <w:tblInd w:w="20" w:type="dxa"/>
        <w:tblCellMar>
          <w:top w:w="0" w:type="dxa"/>
          <w:left w:w="0" w:type="dxa"/>
          <w:bottom w:w="0" w:type="dxa"/>
          <w:right w:w="0" w:type="dxa"/>
        </w:tblCellMar>
      </w:tblPr>
      <w:tr>
        <w:trPr>
          <w:trHeight w:val="224"/>
        </w:trPr>
        <w:tc>
          <w:tcPr>
            <w:tcW w:w="1120" w:type="dxa"/>
            <w:vAlign w:val="bottom"/>
            <w:tcBorders>
              <w:bottom w:val="single" w:sz="8" w:color="CCEEFF"/>
            </w:tcBorders>
            <w:shd w:val="clear" w:color="auto" w:fill="CCEEFF"/>
          </w:tcPr>
          <w:p>
            <w:pPr>
              <w:jc w:val="center"/>
              <w:ind w:right="50"/>
              <w:spacing w:after="0" w:line="204" w:lineRule="exact"/>
              <w:rPr>
                <w:sz w:val="20"/>
                <w:szCs w:val="20"/>
                <w:color w:val="auto"/>
              </w:rPr>
            </w:pPr>
            <w:r>
              <w:rPr>
                <w:rFonts w:ascii="Times New Roman" w:cs="Times New Roman" w:eastAsia="Times New Roman" w:hAnsi="Times New Roman"/>
                <w:sz w:val="18"/>
                <w:szCs w:val="18"/>
                <w:color w:val="auto"/>
                <w:w w:val="95"/>
              </w:rPr>
              <w:t>97.1</w:t>
            </w:r>
          </w:p>
        </w:tc>
        <w:tc>
          <w:tcPr>
            <w:tcW w:w="5500" w:type="dxa"/>
            <w:vAlign w:val="bottom"/>
            <w:tcBorders>
              <w:bottom w:val="single" w:sz="8" w:color="0000FF"/>
            </w:tcBorders>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0000FF"/>
                <w:w w:val="99"/>
              </w:rPr>
              <w:t>Amended Executive Compensation Clawback Policy dated October 2, 2023.</w:t>
            </w:r>
          </w:p>
        </w:tc>
        <w:tc>
          <w:tcPr>
            <w:tcW w:w="4560" w:type="dxa"/>
            <w:vAlign w:val="bottom"/>
            <w:tcBorders>
              <w:bottom w:val="single" w:sz="8" w:color="CCEEFF"/>
            </w:tcBorders>
            <w:shd w:val="clear" w:color="auto" w:fill="CCEEFF"/>
          </w:tcPr>
          <w:p>
            <w:pPr>
              <w:spacing w:after="0"/>
              <w:rPr>
                <w:sz w:val="19"/>
                <w:szCs w:val="19"/>
                <w:color w:val="auto"/>
              </w:rPr>
            </w:pPr>
          </w:p>
        </w:tc>
      </w:tr>
      <w:tr>
        <w:trPr>
          <w:trHeight w:val="175"/>
        </w:trPr>
        <w:tc>
          <w:tcPr>
            <w:tcW w:w="11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w:t>
            </w:r>
          </w:p>
        </w:tc>
      </w:tr>
      <w:tr>
        <w:trPr>
          <w:trHeight w:val="239"/>
        </w:trPr>
        <w:tc>
          <w:tcPr>
            <w:tcW w:w="1120" w:type="dxa"/>
            <w:vAlign w:val="bottom"/>
          </w:tcPr>
          <w:p>
            <w:pPr>
              <w:spacing w:after="0"/>
              <w:rPr>
                <w:sz w:val="20"/>
                <w:szCs w:val="20"/>
                <w:color w:val="auto"/>
              </w:rPr>
            </w:pP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document.</w:t>
            </w:r>
          </w:p>
        </w:tc>
      </w:tr>
      <w:tr>
        <w:trPr>
          <w:trHeight w:val="234"/>
        </w:trPr>
        <w:tc>
          <w:tcPr>
            <w:tcW w:w="11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30"/>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101.CAL</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30"/>
        </w:trPr>
        <w:tc>
          <w:tcPr>
            <w:tcW w:w="11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101.DEF</w:t>
            </w:r>
          </w:p>
        </w:tc>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30"/>
        </w:trPr>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7"/>
              </w:rPr>
              <w:t>101.LAB</w:t>
            </w:r>
          </w:p>
        </w:tc>
        <w:tc>
          <w:tcPr>
            <w:tcW w:w="10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Label Linkbase Document.</w:t>
            </w:r>
          </w:p>
        </w:tc>
      </w:tr>
      <w:tr>
        <w:trPr>
          <w:trHeight w:val="229"/>
        </w:trPr>
        <w:tc>
          <w:tcPr>
            <w:tcW w:w="11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rPr>
              <w:t>101.PRE</w:t>
            </w:r>
          </w:p>
        </w:tc>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ind w:left="-20" w:right="4080" w:firstLine="393"/>
        <w:spacing w:after="0" w:line="480" w:lineRule="auto"/>
        <w:tabs>
          <w:tab w:leader="none" w:pos="11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Annual Report on Form 10-K, formatted in inline XBRL. *Management contracts and compensatory plans and arrangements.</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66" w:lineRule="exact"/>
        <w:rPr>
          <w:rFonts w:ascii="Times New Roman" w:cs="Times New Roman" w:eastAsia="Times New Roman" w:hAnsi="Times New Roman"/>
          <w:sz w:val="18"/>
          <w:szCs w:val="18"/>
          <w:u w:val="single" w:color="auto"/>
          <w:color w:val="0000FF"/>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22" w:right="359" w:bottom="1440" w:gutter="0" w:footer="0" w:header="0"/>
        </w:sectPr>
      </w:pPr>
    </w:p>
    <w:bookmarkStart w:id="110" w:name="page111"/>
    <w:bookmarkEnd w:id="110"/>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26, 2024</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9"/>
        </w:trPr>
        <w:tc>
          <w:tcPr>
            <w:tcW w:w="464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Angela A. Korch</w:t>
            </w:r>
          </w:p>
        </w:tc>
      </w:tr>
      <w:tr>
        <w:trPr>
          <w:trHeight w:val="218"/>
        </w:trPr>
        <w:tc>
          <w:tcPr>
            <w:tcW w:w="464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Angela A. Korch</w:t>
            </w:r>
          </w:p>
        </w:tc>
      </w:tr>
      <w:tr>
        <w:trPr>
          <w:trHeight w:val="180"/>
        </w:trPr>
        <w:tc>
          <w:tcPr>
            <w:tcW w:w="4640" w:type="dxa"/>
            <w:vAlign w:val="bottom"/>
          </w:tcPr>
          <w:p>
            <w:pPr>
              <w:spacing w:after="0"/>
              <w:rPr>
                <w:sz w:val="15"/>
                <w:szCs w:val="15"/>
                <w:color w:val="auto"/>
              </w:rPr>
            </w:pPr>
          </w:p>
        </w:tc>
        <w:tc>
          <w:tcPr>
            <w:tcW w:w="5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Executive Vice President and</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46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508"/>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26, 2024</w:t>
            </w: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9"/>
        </w:trPr>
        <w:tc>
          <w:tcPr>
            <w:tcW w:w="4640" w:type="dxa"/>
            <w:vAlign w:val="bottom"/>
          </w:tcPr>
          <w:p>
            <w:pPr>
              <w:ind w:left="418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Nathan Gronberg</w:t>
            </w:r>
          </w:p>
        </w:tc>
      </w:tr>
      <w:tr>
        <w:trPr>
          <w:trHeight w:val="218"/>
        </w:trPr>
        <w:tc>
          <w:tcPr>
            <w:tcW w:w="464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Nathan Gronberg</w:t>
            </w:r>
          </w:p>
        </w:tc>
      </w:tr>
      <w:tr>
        <w:trPr>
          <w:trHeight w:val="180"/>
        </w:trPr>
        <w:tc>
          <w:tcPr>
            <w:tcW w:w="4640" w:type="dxa"/>
            <w:vAlign w:val="bottom"/>
          </w:tcPr>
          <w:p>
            <w:pPr>
              <w:spacing w:after="0"/>
              <w:rPr>
                <w:sz w:val="15"/>
                <w:szCs w:val="15"/>
                <w:color w:val="auto"/>
              </w:rPr>
            </w:pPr>
          </w:p>
        </w:tc>
        <w:tc>
          <w:tcPr>
            <w:tcW w:w="5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Vice President, Controller and</w:t>
            </w:r>
          </w:p>
        </w:tc>
      </w:tr>
      <w:tr>
        <w:trPr>
          <w:trHeight w:val="176"/>
        </w:trPr>
        <w:tc>
          <w:tcPr>
            <w:tcW w:w="4640" w:type="dxa"/>
            <w:vAlign w:val="bottom"/>
          </w:tcPr>
          <w:p>
            <w:pPr>
              <w:spacing w:after="0"/>
              <w:rPr>
                <w:sz w:val="15"/>
                <w:szCs w:val="15"/>
                <w:color w:val="auto"/>
              </w:rPr>
            </w:pPr>
          </w:p>
        </w:tc>
        <w:tc>
          <w:tcPr>
            <w:tcW w:w="5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4"/>
        </w:trPr>
        <w:tc>
          <w:tcPr>
            <w:tcW w:w="464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Angela A. Korch or Nathan Gronberg his or her true and lawful attorney-in-fact and agent, with full power of substitution and resubstitution, for him or her and in his or her name, place and stead, in any and all capacities, to sign any or all amendments or supplements to this Form 10-K and to file the same with all exhibits thereto and other documents in connection therewith, with the Securities and Exchange Commission, granting unto said attorney-in-fact and agent full power and authority to do and perform each and every act and thing necessary or appropriate to be done with this Form 10-K and any amendments or supplements hereto, as fully to all intents and purposes as he or she might or could do in person, hereby ratifying and confirming all that said attorney-in-fact and agent, or their substitute or substitutes, may lawfully do or cause to be done by virtue hereof.</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September 26, 2024.</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/s/ Kirsten A. Lynch</w:t>
            </w:r>
          </w:p>
        </w:tc>
        <w:tc>
          <w:tcPr>
            <w:tcW w:w="60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Chief Executive Officer</w:t>
            </w:r>
          </w:p>
        </w:tc>
        <w:tc>
          <w:tcPr>
            <w:tcW w:w="0" w:type="dxa"/>
            <w:vAlign w:val="bottom"/>
          </w:tcPr>
          <w:p>
            <w:pPr>
              <w:spacing w:after="0"/>
              <w:rPr>
                <w:sz w:val="1"/>
                <w:szCs w:val="1"/>
                <w:color w:val="auto"/>
              </w:rPr>
            </w:pPr>
          </w:p>
        </w:tc>
      </w:tr>
      <w:tr>
        <w:trPr>
          <w:trHeight w:val="228"/>
        </w:trPr>
        <w:tc>
          <w:tcPr>
            <w:tcW w:w="44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Kirsten A. Lynch</w:t>
            </w:r>
          </w:p>
        </w:tc>
        <w:tc>
          <w:tcPr>
            <w:tcW w:w="6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576"/>
        </w:trPr>
        <w:tc>
          <w:tcPr>
            <w:tcW w:w="4480" w:type="dxa"/>
            <w:vAlign w:val="bottom"/>
            <w:vMerge w:val="restart"/>
          </w:tcPr>
          <w:p>
            <w:pPr>
              <w:jc w:val="center"/>
              <w:ind w:left="310"/>
              <w:spacing w:after="0"/>
              <w:rPr>
                <w:sz w:val="20"/>
                <w:szCs w:val="20"/>
                <w:color w:val="auto"/>
              </w:rPr>
            </w:pPr>
            <w:r>
              <w:rPr>
                <w:rFonts w:ascii="Times New Roman" w:cs="Times New Roman" w:eastAsia="Times New Roman" w:hAnsi="Times New Roman"/>
                <w:sz w:val="18"/>
                <w:szCs w:val="18"/>
                <w:color w:val="auto"/>
                <w:w w:val="99"/>
              </w:rPr>
              <w:t>/s/ Angela A. Korch</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vMerge w:val="continue"/>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Angela A. Korch</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0" w:type="dxa"/>
            <w:vAlign w:val="bottom"/>
          </w:tcPr>
          <w:p>
            <w:pPr>
              <w:spacing w:after="0"/>
              <w:rPr>
                <w:sz w:val="1"/>
                <w:szCs w:val="1"/>
                <w:color w:val="auto"/>
              </w:rPr>
            </w:pPr>
          </w:p>
        </w:tc>
      </w:tr>
      <w:tr>
        <w:trPr>
          <w:trHeight w:val="576"/>
        </w:trPr>
        <w:tc>
          <w:tcPr>
            <w:tcW w:w="448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color w:val="auto"/>
                <w:w w:val="99"/>
              </w:rPr>
              <w:t>/s/ Nathan Gronberg</w:t>
            </w:r>
          </w:p>
        </w:tc>
        <w:tc>
          <w:tcPr>
            <w:tcW w:w="6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Vice President, Controller and Chief Accounting Officer</w:t>
            </w:r>
          </w:p>
        </w:tc>
        <w:tc>
          <w:tcPr>
            <w:tcW w:w="0" w:type="dxa"/>
            <w:vAlign w:val="bottom"/>
          </w:tcPr>
          <w:p>
            <w:pPr>
              <w:spacing w:after="0"/>
              <w:rPr>
                <w:sz w:val="1"/>
                <w:szCs w:val="1"/>
                <w:color w:val="auto"/>
              </w:rPr>
            </w:pPr>
          </w:p>
        </w:tc>
      </w:tr>
      <w:tr>
        <w:trPr>
          <w:trHeight w:val="108"/>
        </w:trPr>
        <w:tc>
          <w:tcPr>
            <w:tcW w:w="4480" w:type="dxa"/>
            <w:vAlign w:val="bottom"/>
            <w:tcBorders>
              <w:bottom w:val="single" w:sz="8" w:color="auto"/>
            </w:tcBorders>
            <w:vMerge w:val="continue"/>
          </w:tcPr>
          <w:p>
            <w:pPr>
              <w:spacing w:after="0"/>
              <w:rPr>
                <w:sz w:val="9"/>
                <w:szCs w:val="9"/>
                <w:color w:val="auto"/>
              </w:rPr>
            </w:pPr>
          </w:p>
        </w:tc>
        <w:tc>
          <w:tcPr>
            <w:tcW w:w="60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Nathan Gronberg</w:t>
            </w:r>
          </w:p>
        </w:tc>
        <w:tc>
          <w:tcPr>
            <w:tcW w:w="60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481"/>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/s/ Robert A. Katz</w:t>
            </w:r>
          </w:p>
        </w:tc>
        <w:tc>
          <w:tcPr>
            <w:tcW w:w="60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Executive Chairperson of the Board</w:t>
            </w:r>
          </w:p>
        </w:tc>
        <w:tc>
          <w:tcPr>
            <w:tcW w:w="0" w:type="dxa"/>
            <w:vAlign w:val="bottom"/>
          </w:tcPr>
          <w:p>
            <w:pPr>
              <w:spacing w:after="0"/>
              <w:rPr>
                <w:sz w:val="1"/>
                <w:szCs w:val="1"/>
                <w:color w:val="auto"/>
              </w:rPr>
            </w:pPr>
          </w:p>
        </w:tc>
      </w:tr>
      <w:tr>
        <w:trPr>
          <w:trHeight w:val="228"/>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Robert A. Katz</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1"/>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/s/ Reginald Chambers</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Reginald Chambers</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1"/>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/s/ Susan L. Decker</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Susan L. Decker</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1"/>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/s/ Iris Knobloch</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Iris Knobloch</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1"/>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/s/ Nadia Rawlinson</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Nadia Rawlinson</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95"/>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/s/ John T. Redmond</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John T. Redmond</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95"/>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/s/ Michele Romanow</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rPr>
              <w:t>Michele Romanow</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1"/>
        </w:trPr>
        <w:tc>
          <w:tcPr>
            <w:tcW w:w="448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/s/ Hilary A. Schneider</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Hilary A. Schneider</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95"/>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/s/ D. Bruce Sewell</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D. Bruce Sewell</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1"/>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9"/>
              </w:rPr>
              <w:t>/s/ John F. Sorte</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John F. Sorte</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r>
        <w:trPr>
          <w:trHeight w:val="481"/>
        </w:trPr>
        <w:tc>
          <w:tcPr>
            <w:tcW w:w="448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w w:val="98"/>
              </w:rPr>
              <w:t>/s/ Peter A. Vaughn</w:t>
            </w:r>
          </w:p>
        </w:tc>
        <w:tc>
          <w:tcPr>
            <w:tcW w:w="6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8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7"/>
              </w:rPr>
              <w:t>Peter A. Vaughn</w:t>
            </w:r>
          </w:p>
        </w:tc>
        <w:tc>
          <w:tcPr>
            <w:tcW w:w="608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560"/>
          </w:cols>
          <w:pgMar w:left="660" w:top="1431" w:right="67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19.1</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Effective Date: 12/08/2020</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FIFTH AMENDED AND RESTATED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PROGRAM</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______________________________________________________________________</w:t>
      </w:r>
    </w:p>
    <w:p>
      <w:pPr>
        <w:spacing w:after="0" w:line="22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In order to take an active role in the prevention of insider trading violations by its officers, directors, employees and other related individuals, Vail Resorts, Inc. and its subsidiaries (collectively, the “Company”) has adopted the policies and procedures described in this Insider Trading Compliance Program (the “Policy”). The Company has adopted the policies set forth below, which prohibit trading based on material, nonpublic information regarding the Company (“Material Nonpublic Information” or “MNPI”). The Company opposes the unauthorized disclosure of any nonpublic information acquired in the work-place and the misuse of Material Nonpublic Information in securities trading. Any such actions will be deemed violations of the Policy and can lead to immediate termination of employment with the Company, as well as potential civil liability and criminal prosecution.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 Inquiries</w:t>
      </w:r>
    </w:p>
    <w:p>
      <w:pPr>
        <w:spacing w:after="0" w:line="22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When in doubt about a matter covered in this Policy, or if you have any questions, please contact the Company’s General Counsel.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B. Persons to Whom the Policy Applies</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This Policy, and its prohibition on trading based on Material Nonpublic Information, applies to </w:t>
      </w:r>
      <w:r>
        <w:rPr>
          <w:rFonts w:ascii="Times New Roman" w:cs="Times New Roman" w:eastAsia="Times New Roman" w:hAnsi="Times New Roman"/>
          <w:sz w:val="22"/>
          <w:szCs w:val="22"/>
          <w:u w:val="single" w:color="auto"/>
          <w:color w:val="auto"/>
        </w:rPr>
        <w:t>all</w:t>
      </w:r>
      <w:r>
        <w:rPr>
          <w:rFonts w:ascii="Times New Roman" w:cs="Times New Roman" w:eastAsia="Times New Roman" w:hAnsi="Times New Roman"/>
          <w:sz w:val="22"/>
          <w:szCs w:val="22"/>
          <w:color w:val="auto"/>
        </w:rPr>
        <w:t xml:space="preserve"> employees and members of the Board of Directors of the Company. The Company may also determine that other persons should be subject to this Policy, such as contractors or consultants who have access to Material Nonpublic Information. Family members who reside with a person listed above (including a spouse, a child, a child away at college, stepchildren, grandchildren, parents, stepparents, grandparents, siblings and in-laws), anyone else who lives in such person’s household, and any family members who do not live in such person’s household but whose transactions in Company Securities are directed by such person or are subject to such person’s influence or control, such as parents or children who consult with such person before they trade in Company Securities (collectively referred to as “Family Members”) are also covered by the Policy (together with all employees and members of the Board of Directors, “Covered Persons”).</w:t>
      </w:r>
    </w:p>
    <w:p>
      <w:pPr>
        <w:spacing w:after="0" w:line="180" w:lineRule="exact"/>
        <w:rPr>
          <w:sz w:val="20"/>
          <w:szCs w:val="20"/>
          <w:color w:val="auto"/>
        </w:rPr>
      </w:pPr>
    </w:p>
    <w:p>
      <w:pPr>
        <w:ind w:right="3240" w:firstLine="648"/>
        <w:spacing w:after="0" w:line="271" w:lineRule="auto"/>
        <w:rPr>
          <w:sz w:val="20"/>
          <w:szCs w:val="20"/>
          <w:color w:val="auto"/>
        </w:rPr>
      </w:pPr>
      <w:r>
        <w:rPr>
          <w:rFonts w:ascii="Times New Roman" w:cs="Times New Roman" w:eastAsia="Times New Roman" w:hAnsi="Times New Roman"/>
          <w:sz w:val="22"/>
          <w:szCs w:val="22"/>
          <w:color w:val="auto"/>
        </w:rPr>
        <w:t>In addition, the Policy imposes certain additional restrictions on the group of persons listed below (collectively, “Insiders”):</w:t>
      </w:r>
    </w:p>
    <w:p>
      <w:pPr>
        <w:spacing w:after="0" w:line="18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Board of Directors;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officers and other appointed corporate officers;</w:t>
      </w:r>
    </w:p>
    <w:p>
      <w:pPr>
        <w:sectPr>
          <w:pgSz w:w="11900" w:h="16838" w:orient="portrait"/>
          <w:cols w:equalWidth="0" w:num="1">
            <w:col w:w="11240"/>
          </w:cols>
          <w:pgMar w:left="320" w:top="1418" w:right="339" w:bottom="1440" w:gutter="0" w:footer="0" w:header="0"/>
        </w:sectPr>
      </w:pPr>
    </w:p>
    <w:bookmarkStart w:id="114" w:name="page115"/>
    <w:bookmarkEnd w:id="114"/>
    <w:p>
      <w:pPr>
        <w:ind w:left="660" w:hanging="328"/>
        <w:spacing w:after="0"/>
        <w:tabs>
          <w:tab w:leader="none" w:pos="66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Members of the Company’s internal executive committee (the “Executive Committee”); and</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Grade 27+ employees.</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Please review each provision of this Policy carefully to determine whether it applies to you.</w:t>
      </w:r>
    </w:p>
    <w:p>
      <w:pPr>
        <w:spacing w:after="0" w:line="227"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63"/>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22"/>
          <w:szCs w:val="22"/>
          <w:b w:val="1"/>
          <w:bCs w:val="1"/>
          <w:i w:val="1"/>
          <w:iCs w:val="1"/>
          <w:color w:val="auto"/>
        </w:rPr>
        <w:t>Transactions to Which the Policy Applies</w:t>
      </w:r>
    </w:p>
    <w:p>
      <w:pPr>
        <w:spacing w:after="0" w:line="2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This Policy applies to all transactions in the Company’s securities, including common stock, options for common stock, stock appreciation rights, restricted stock, restricted stock units and any other securities the Company may issue from time to time, such as preferred stock, warrants, debt securities and convertible debentures, as well as to derivative securities relating to the Company’s stock, whether or not issued by the Company, such as exchange-traded options (collectively, the “Securities” and each, a “Security”). It is the general policy of the Company that no Covered Person shall misuse, intentionally or unintentionally, Material Nonpublic Information in connection with the Covered Person’s relationship with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The Policy requires that:</w:t>
      </w:r>
    </w:p>
    <w:p>
      <w:pPr>
        <w:spacing w:after="0" w:line="220" w:lineRule="exact"/>
        <w:rPr>
          <w:sz w:val="20"/>
          <w:szCs w:val="20"/>
          <w:color w:val="auto"/>
        </w:rPr>
      </w:pPr>
    </w:p>
    <w:p>
      <w:pPr>
        <w:jc w:val="both"/>
        <w:ind w:left="660" w:hanging="328"/>
        <w:spacing w:after="0" w:line="254" w:lineRule="auto"/>
        <w:tabs>
          <w:tab w:leader="none" w:pos="655"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all Insiders shall be prohibited from trading or offering to purchase, sell, gift or donate any Securities of the Company except during the period that begins at the open of market on the first Trading Day (as defined below) following one full Trading Day after the date of public disclosure of the Company’s financial results for a particular fiscal quarter or year and ends at the close of trading ten (10) Trading Days later (or, if such day is not a Trading Day, the next Trading Day thereafter);</w:t>
      </w:r>
    </w:p>
    <w:p>
      <w:pPr>
        <w:spacing w:after="0" w:line="173" w:lineRule="exact"/>
        <w:rPr>
          <w:rFonts w:ascii="Times New Roman" w:cs="Times New Roman" w:eastAsia="Times New Roman" w:hAnsi="Times New Roman"/>
          <w:sz w:val="22"/>
          <w:szCs w:val="22"/>
          <w:b w:val="1"/>
          <w:bCs w:val="1"/>
          <w:color w:val="auto"/>
        </w:rPr>
      </w:pPr>
    </w:p>
    <w:p>
      <w:pPr>
        <w:jc w:val="both"/>
        <w:ind w:left="660" w:hanging="328"/>
        <w:spacing w:after="0" w:line="259" w:lineRule="auto"/>
        <w:tabs>
          <w:tab w:leader="none" w:pos="655"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any Insider or other Covered Person as may be designated by senior management may be subject to special blackout periods during which certain Insiders will be prohibited from trading any Securities of the Company, even though the Trading Window would otherwise be open;</w:t>
      </w:r>
    </w:p>
    <w:p>
      <w:pPr>
        <w:spacing w:after="0" w:line="179" w:lineRule="exact"/>
        <w:rPr>
          <w:rFonts w:ascii="Times New Roman" w:cs="Times New Roman" w:eastAsia="Times New Roman" w:hAnsi="Times New Roman"/>
          <w:sz w:val="22"/>
          <w:szCs w:val="22"/>
          <w:b w:val="1"/>
          <w:bCs w:val="1"/>
          <w:color w:val="auto"/>
        </w:rPr>
      </w:pPr>
    </w:p>
    <w:p>
      <w:pPr>
        <w:jc w:val="both"/>
        <w:ind w:left="660" w:hanging="328"/>
        <w:spacing w:after="0" w:line="253" w:lineRule="auto"/>
        <w:tabs>
          <w:tab w:leader="none" w:pos="655"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Insider may engage in short sales or in any hedging or similar transaction that is designed to directly hedge or offset any decrease in the market value of the Company’s Securities, including through the use or purchase of derivatives or other financial instruments, which includes, but is not limited to, trading in put or call options, collar transactions, prepaid variable forward contracts, equity swaps or exchange funds;</w:t>
      </w:r>
    </w:p>
    <w:p>
      <w:pPr>
        <w:spacing w:after="0" w:line="175" w:lineRule="exact"/>
        <w:rPr>
          <w:rFonts w:ascii="Times New Roman" w:cs="Times New Roman" w:eastAsia="Times New Roman" w:hAnsi="Times New Roman"/>
          <w:sz w:val="22"/>
          <w:szCs w:val="22"/>
          <w:b w:val="1"/>
          <w:bCs w:val="1"/>
          <w:color w:val="auto"/>
        </w:rPr>
      </w:pPr>
    </w:p>
    <w:p>
      <w:pPr>
        <w:ind w:left="660" w:right="20" w:hanging="328"/>
        <w:spacing w:after="0" w:line="287" w:lineRule="auto"/>
        <w:tabs>
          <w:tab w:leader="none" w:pos="655"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Insider may hold Securities of the Company in a margin account or pledge Securities of the Company as collateral for a loan; and</w:t>
      </w:r>
    </w:p>
    <w:p>
      <w:pPr>
        <w:spacing w:after="0" w:line="137" w:lineRule="exact"/>
        <w:rPr>
          <w:rFonts w:ascii="Times New Roman" w:cs="Times New Roman" w:eastAsia="Times New Roman" w:hAnsi="Times New Roman"/>
          <w:sz w:val="22"/>
          <w:szCs w:val="22"/>
          <w:b w:val="1"/>
          <w:bCs w:val="1"/>
          <w:color w:val="auto"/>
        </w:rPr>
      </w:pPr>
    </w:p>
    <w:p>
      <w:pPr>
        <w:ind w:left="660" w:hanging="328"/>
        <w:spacing w:after="0" w:line="275" w:lineRule="auto"/>
        <w:tabs>
          <w:tab w:leader="none" w:pos="655"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executive officers, members of the Executive Committee and members of the Board of Directors must pre-clear </w:t>
      </w:r>
      <w:r>
        <w:rPr>
          <w:rFonts w:ascii="Times New Roman" w:cs="Times New Roman" w:eastAsia="Times New Roman" w:hAnsi="Times New Roman"/>
          <w:sz w:val="22"/>
          <w:szCs w:val="22"/>
          <w:b w:val="1"/>
          <w:bCs w:val="1"/>
          <w:u w:val="single" w:color="auto"/>
          <w:color w:val="auto"/>
        </w:rPr>
        <w:t>all</w:t>
      </w:r>
      <w:r>
        <w:rPr>
          <w:rFonts w:ascii="Times New Roman" w:cs="Times New Roman" w:eastAsia="Times New Roman" w:hAnsi="Times New Roman"/>
          <w:sz w:val="22"/>
          <w:szCs w:val="22"/>
          <w:b w:val="1"/>
          <w:bCs w:val="1"/>
          <w:color w:val="auto"/>
        </w:rPr>
        <w:t xml:space="preserve"> trading activity, including during a Trading Window.</w:t>
      </w:r>
    </w:p>
    <w:p>
      <w:pPr>
        <w:sectPr>
          <w:pgSz w:w="11900" w:h="16838" w:orient="portrait"/>
          <w:cols w:equalWidth="0" w:num="1">
            <w:col w:w="11240"/>
          </w:cols>
          <w:pgMar w:left="320" w:top="1422"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22"/>
          <w:szCs w:val="22"/>
          <w:color w:val="auto"/>
        </w:rPr>
        <w:t>More specifically, the Company has adopted the following policies:</w:t>
      </w:r>
    </w:p>
    <w:p>
      <w:pPr>
        <w:spacing w:after="0" w:line="214" w:lineRule="exact"/>
        <w:rPr>
          <w:sz w:val="20"/>
          <w:szCs w:val="20"/>
          <w:color w:val="auto"/>
        </w:rPr>
      </w:pPr>
    </w:p>
    <w:p>
      <w:pPr>
        <w:ind w:left="860" w:hanging="216"/>
        <w:spacing w:after="0"/>
        <w:tabs>
          <w:tab w:leader="none" w:pos="8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Trading on Material Nonpublic Information.</w:t>
      </w:r>
    </w:p>
    <w:p>
      <w:pPr>
        <w:spacing w:after="0" w:line="225" w:lineRule="exact"/>
        <w:rPr>
          <w:rFonts w:ascii="Times New Roman" w:cs="Times New Roman" w:eastAsia="Times New Roman" w:hAnsi="Times New Roman"/>
          <w:sz w:val="22"/>
          <w:szCs w:val="22"/>
          <w:color w:val="auto"/>
        </w:rPr>
      </w:pPr>
    </w:p>
    <w:p>
      <w:pPr>
        <w:jc w:val="both"/>
        <w:ind w:left="-660" w:firstLine="1952"/>
        <w:spacing w:after="0" w:line="249" w:lineRule="auto"/>
        <w:tabs>
          <w:tab w:leader="none" w:pos="1594"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Covered Person shall engage in any transaction involving a purchase, sale, gift or donation of the Company’s Securities, including any offer to purchase or offer to sell, during any period commencing with the date that he or she is aware of or possesses Material Nonpublic Information concerning the Company, and ending at the open of market on the first Trading Day following one full Trading Day after the date of public disclosure of that information, or at such time as such Material Nonpublic Information is no longer material. As used herein, the term “Trading Day” shall mean a day on which the New York Stock Exchange and The Nasdaq Stock Market are open for trading. A “Trading Day” begins at the time trading begins on such day. This restriction on trading does not apply to transactions made under a trading plan adopted pursuant to Rule 10b5-1 under the Securities Exchange Act of 1934, as amended (the “Exchange Act”) and approved by the Company (an “Approved Rule 10b5-1 Trading Plan”) or other exempted transactions set forth in Section 2(d) of the Policy. Rule 10b5-1 trading plans, along with the required approval process for such plans, are described in Section G of this Policy.</w:t>
      </w:r>
    </w:p>
    <w:p>
      <w:pPr>
        <w:spacing w:after="0" w:line="183" w:lineRule="exact"/>
        <w:rPr>
          <w:rFonts w:ascii="Times New Roman" w:cs="Times New Roman" w:eastAsia="Times New Roman" w:hAnsi="Times New Roman"/>
          <w:sz w:val="22"/>
          <w:szCs w:val="22"/>
          <w:color w:val="auto"/>
        </w:rPr>
      </w:pPr>
    </w:p>
    <w:p>
      <w:pPr>
        <w:jc w:val="both"/>
        <w:ind w:left="-660" w:firstLine="1952"/>
        <w:spacing w:after="0" w:line="256" w:lineRule="auto"/>
        <w:tabs>
          <w:tab w:leader="none" w:pos="1602"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federal and state securities laws, a Covered Person may be subject to (i) a civil penalty of up to three times the profit gained or loss avoided plus disgorgement of any profit realized, (ii) a criminal fine of up to $5,000,000 (no matter how small the profit) and (iii) up to 20 years in jail for engaging in transactions in the Company’s Securities at a time when he or she has knowledge of Material Nonpublic Information regarding the Company.</w:t>
      </w:r>
    </w:p>
    <w:p>
      <w:pPr>
        <w:spacing w:after="0" w:line="176" w:lineRule="exact"/>
        <w:rPr>
          <w:rFonts w:ascii="Times New Roman" w:cs="Times New Roman" w:eastAsia="Times New Roman" w:hAnsi="Times New Roman"/>
          <w:sz w:val="22"/>
          <w:szCs w:val="22"/>
          <w:color w:val="auto"/>
        </w:rPr>
      </w:pPr>
    </w:p>
    <w:p>
      <w:pPr>
        <w:jc w:val="both"/>
        <w:ind w:left="-660" w:firstLine="1952"/>
        <w:spacing w:after="0" w:line="253" w:lineRule="auto"/>
        <w:tabs>
          <w:tab w:leader="none" w:pos="158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Covered Person may also be liable for improper transactions by any person (commonly referred to as a “tippee”) to whom he or she has disclosed Material Nonpublic Information regarding the Company or to whom he or she has made recommendations or expressed opinions on the basis of such information as to trading in the Company’s Securities. The Securities and Exchange Commission (the “SEC”), the stock exchanges and the National Association of Securities Dealers, Inc. use sophisticated electronic surveillance techniques to uncover insider trading.</w:t>
      </w:r>
    </w:p>
    <w:p>
      <w:pPr>
        <w:spacing w:after="0" w:line="178" w:lineRule="exact"/>
        <w:rPr>
          <w:rFonts w:ascii="Times New Roman" w:cs="Times New Roman" w:eastAsia="Times New Roman" w:hAnsi="Times New Roman"/>
          <w:sz w:val="22"/>
          <w:szCs w:val="22"/>
          <w:color w:val="auto"/>
        </w:rPr>
      </w:pPr>
    </w:p>
    <w:p>
      <w:pPr>
        <w:jc w:val="both"/>
        <w:ind w:left="-660" w:firstLine="1952"/>
        <w:spacing w:after="0" w:line="265" w:lineRule="auto"/>
        <w:tabs>
          <w:tab w:leader="none" w:pos="1659"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Covered Person shall disclose (“tip”) Material Nonpublic Information to any other person (including co-workers (except to the extent that person requires the information to perform his or her duties), customers, suppliers and friends and Family Members). This includes disclosure through “anonymous” communications online and elsewhere and via any social media sites. Penalties and disciplinary actions for revealing any Material Nonpublic Information can be imposed whether or not any person trades on the basis of such information. In addition, no Covered Person or related person shall make recommendations or express opinions on the basis of Material Nonpublic Information as to trading in the Company’s Securities.</w:t>
      </w:r>
    </w:p>
    <w:p>
      <w:pPr>
        <w:spacing w:after="0" w:line="162" w:lineRule="exact"/>
        <w:rPr>
          <w:rFonts w:ascii="Times New Roman" w:cs="Times New Roman" w:eastAsia="Times New Roman" w:hAnsi="Times New Roman"/>
          <w:sz w:val="21"/>
          <w:szCs w:val="21"/>
          <w:color w:val="auto"/>
        </w:rPr>
      </w:pPr>
    </w:p>
    <w:p>
      <w:pPr>
        <w:ind w:left="-660" w:right="20" w:firstLine="1304"/>
        <w:spacing w:after="0" w:line="276" w:lineRule="auto"/>
        <w:tabs>
          <w:tab w:leader="none" w:pos="892"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Blackout Period and Trading Window. </w:t>
      </w:r>
      <w:r>
        <w:rPr>
          <w:rFonts w:ascii="Times New Roman" w:cs="Times New Roman" w:eastAsia="Times New Roman" w:hAnsi="Times New Roman"/>
          <w:sz w:val="22"/>
          <w:szCs w:val="22"/>
          <w:color w:val="auto"/>
        </w:rPr>
        <w:t>Any period during which Insiders are prohibited from trading 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referred to herein as a “blackout period.” A “blackout period” is a</w:t>
      </w:r>
    </w:p>
    <w:p>
      <w:pPr>
        <w:sectPr>
          <w:pgSz w:w="11900" w:h="16838" w:orient="portrait"/>
          <w:cols w:equalWidth="0" w:num="1">
            <w:col w:w="10580"/>
          </w:cols>
          <w:pgMar w:left="980" w:top="1422" w:right="339" w:bottom="1440" w:gutter="0" w:footer="0" w:header="0"/>
        </w:sectPr>
      </w:pPr>
    </w:p>
    <w:bookmarkStart w:id="116" w:name="page117"/>
    <w:bookmarkEnd w:id="116"/>
    <w:p>
      <w:pPr>
        <w:jc w:val="both"/>
        <w:spacing w:after="0" w:line="257" w:lineRule="auto"/>
        <w:rPr>
          <w:sz w:val="20"/>
          <w:szCs w:val="20"/>
          <w:color w:val="auto"/>
        </w:rPr>
      </w:pPr>
      <w:r>
        <w:rPr>
          <w:rFonts w:ascii="Times New Roman" w:cs="Times New Roman" w:eastAsia="Times New Roman" w:hAnsi="Times New Roman"/>
          <w:sz w:val="22"/>
          <w:szCs w:val="22"/>
          <w:color w:val="auto"/>
        </w:rPr>
        <w:t>particularly sensitive period of time for transactions in the Company’s Securities from the perspective of compliance with applicable securities laws. This sensitivity is due to the fact that many Insiders will, during that period, often be aware of or possess Material Nonpublic Information.</w:t>
      </w:r>
    </w:p>
    <w:p>
      <w:pPr>
        <w:spacing w:after="0" w:line="180" w:lineRule="exact"/>
        <w:rPr>
          <w:sz w:val="20"/>
          <w:szCs w:val="20"/>
          <w:color w:val="auto"/>
        </w:rPr>
      </w:pPr>
    </w:p>
    <w:p>
      <w:pPr>
        <w:jc w:val="both"/>
        <w:ind w:firstLine="1952"/>
        <w:spacing w:after="0" w:line="249" w:lineRule="auto"/>
        <w:tabs>
          <w:tab w:leader="none" w:pos="2265"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Quarterly Trading Window. </w:t>
      </w:r>
      <w:r>
        <w:rPr>
          <w:rFonts w:ascii="Times New Roman" w:cs="Times New Roman" w:eastAsia="Times New Roman" w:hAnsi="Times New Roman"/>
          <w:sz w:val="22"/>
          <w:szCs w:val="22"/>
          <w:color w:val="auto"/>
        </w:rPr>
        <w:t>To ensure compliance with this Policy and applicable federal and state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securities laws, the Company requires that all Insiders refrain from conducting transactions involving the purchase or sale of the Company’s securities other than during the period that begins at the opening of market on the first Trading Day following one full Trading Day after the date of public disclosure of the Company’s financial results for a particular fiscal quarter or year and ends at the close of trading on the tenth (10th) Trading Day thereafter (or, if such tenth day is not a Trading Day, the next Trading Day thereafter (the “Trading Window”) so that the Trading Window is open for a total of ten (10) Trading Days. The restriction on all trades made outside the Trading Window includes restrictions on Cashless Exercises (as defined below), but does not apply to transactions made under an Approved Rule 10b5-1 Trading Plan or other exempted transactions set forth in Section 2(d) of the Policy.</w:t>
      </w:r>
    </w:p>
    <w:p>
      <w:pPr>
        <w:spacing w:after="0" w:line="175" w:lineRule="exact"/>
        <w:rPr>
          <w:rFonts w:ascii="Times New Roman" w:cs="Times New Roman" w:eastAsia="Times New Roman" w:hAnsi="Times New Roman"/>
          <w:sz w:val="22"/>
          <w:szCs w:val="22"/>
          <w:color w:val="auto"/>
        </w:rPr>
      </w:pPr>
    </w:p>
    <w:p>
      <w:pPr>
        <w:jc w:val="both"/>
        <w:ind w:firstLine="1952"/>
        <w:spacing w:after="0" w:line="250" w:lineRule="auto"/>
        <w:tabs>
          <w:tab w:leader="none" w:pos="226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Special Blackout Periods during Trading Windows. </w:t>
      </w:r>
      <w:r>
        <w:rPr>
          <w:rFonts w:ascii="Times New Roman" w:cs="Times New Roman" w:eastAsia="Times New Roman" w:hAnsi="Times New Roman"/>
          <w:sz w:val="22"/>
          <w:szCs w:val="22"/>
          <w:color w:val="auto"/>
        </w:rPr>
        <w:t>From time to time, the Company may prohibit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some or all Insiders or other employees as may designated by senior management from trading in Securities of the Company during a Trading Window because of material developments known to the Company and Insiders and not yet disclosed to the public. In such event, no Insider may engage in any transaction involving the purchase or sale of the Company’s Securities and no Insider shall disclose to others the existence of the special blackout period. This restriction on trading does not apply to transactions made under an Approved Rule 10b5-1 Trading Plan or other exempted transactions set forth in Section 2(d) of the Policy. The Company will re-open the Trading Window at the open of market on the first Trading Day following: (i) one full Trading Day after the date of public disclosure of the information or (ii) that date on which the Company determines that the information is no longer material.</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b w:val="1"/>
          <w:bCs w:val="1"/>
          <w:i w:val="1"/>
          <w:iCs w:val="1"/>
          <w:color w:val="auto"/>
        </w:rPr>
        <w:t xml:space="preserve">[EXAMPLE: By way of illustration only, if the Company releases its quarterly financial results or other Material Nonpublic Information </w:t>
      </w:r>
      <w:r>
        <w:rPr>
          <w:rFonts w:ascii="Times New Roman" w:cs="Times New Roman" w:eastAsia="Times New Roman" w:hAnsi="Times New Roman"/>
          <w:sz w:val="22"/>
          <w:szCs w:val="22"/>
          <w:b w:val="1"/>
          <w:bCs w:val="1"/>
          <w:i w:val="1"/>
          <w:iCs w:val="1"/>
          <w:u w:val="single" w:color="auto"/>
          <w:color w:val="auto"/>
        </w:rPr>
        <w:t>before</w:t>
      </w:r>
      <w:r>
        <w:rPr>
          <w:rFonts w:ascii="Times New Roman" w:cs="Times New Roman" w:eastAsia="Times New Roman" w:hAnsi="Times New Roman"/>
          <w:sz w:val="22"/>
          <w:szCs w:val="22"/>
          <w:b w:val="1"/>
          <w:bCs w:val="1"/>
          <w:i w:val="1"/>
          <w:iCs w:val="1"/>
          <w:color w:val="auto"/>
        </w:rPr>
        <w:t xml:space="preserve"> the market opens on a Thursday, then the Trading Window shall open at the beginning of market on Friday, the following day, since one full Trading Day (Thursday) has passed. However, if the Company releases its quarterly financial results or other Material Nonpublic Information </w:t>
      </w:r>
      <w:r>
        <w:rPr>
          <w:rFonts w:ascii="Times New Roman" w:cs="Times New Roman" w:eastAsia="Times New Roman" w:hAnsi="Times New Roman"/>
          <w:sz w:val="22"/>
          <w:szCs w:val="22"/>
          <w:b w:val="1"/>
          <w:bCs w:val="1"/>
          <w:i w:val="1"/>
          <w:iCs w:val="1"/>
          <w:u w:val="single" w:color="auto"/>
          <w:color w:val="auto"/>
        </w:rPr>
        <w:t>after</w:t>
      </w:r>
      <w:r>
        <w:rPr>
          <w:rFonts w:ascii="Times New Roman" w:cs="Times New Roman" w:eastAsia="Times New Roman" w:hAnsi="Times New Roman"/>
          <w:sz w:val="22"/>
          <w:szCs w:val="22"/>
          <w:b w:val="1"/>
          <w:bCs w:val="1"/>
          <w:i w:val="1"/>
          <w:iCs w:val="1"/>
          <w:color w:val="auto"/>
        </w:rPr>
        <w:t xml:space="preserve"> the market closes on a Thursday, then the Trading Window shall open at the beginning of market on Monday, and Friday would constitute the one full Trading Day required prior to opening the Trading Window.</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i w:val="1"/>
          <w:iCs w:val="1"/>
          <w:color w:val="auto"/>
        </w:rPr>
        <w:t>EXAMPLE: For further illustration and for clarification purposes only, if the Company releases earnings on Thursday, May 1, at 6:00a.m., which is before the market opens, then the Trading Window will open on Friday, May 2, at the opening of market. The Trading Window will then close on the 10th Trading Day thereafter, which in this example, would be Thursday, May 15.]</w:t>
      </w:r>
    </w:p>
    <w:p>
      <w:pPr>
        <w:sectPr>
          <w:pgSz w:w="11900" w:h="16838" w:orient="portrait"/>
          <w:cols w:equalWidth="0" w:num="1">
            <w:col w:w="11240"/>
          </w:cols>
          <w:pgMar w:left="320" w:top="1422" w:right="339" w:bottom="1440" w:gutter="0" w:footer="0" w:header="0"/>
        </w:sectPr>
      </w:pPr>
    </w:p>
    <w:bookmarkStart w:id="117" w:name="page118"/>
    <w:bookmarkEnd w:id="117"/>
    <w:p>
      <w:pPr>
        <w:jc w:val="both"/>
        <w:ind w:firstLine="1952"/>
        <w:spacing w:after="0" w:line="251" w:lineRule="auto"/>
        <w:tabs>
          <w:tab w:leader="none" w:pos="223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 Trading on Material Nonpublic Information at Any Time. </w:t>
      </w:r>
      <w:r>
        <w:rPr>
          <w:rFonts w:ascii="Times New Roman" w:cs="Times New Roman" w:eastAsia="Times New Roman" w:hAnsi="Times New Roman"/>
          <w:sz w:val="22"/>
          <w:szCs w:val="22"/>
          <w:b w:val="1"/>
          <w:bCs w:val="1"/>
          <w:color w:val="auto"/>
        </w:rPr>
        <w:t>It should be noted that even during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b w:val="1"/>
          <w:bCs w:val="1"/>
          <w:color w:val="auto"/>
        </w:rPr>
        <w:t xml:space="preserve">Trading Window, any Covered Person who is aware of or possesses Material Nonpublic Information concerning the Company should not engage in any transactions in the Company’s Securities until such information has been known publicly for at least one full Trading Day after the date of public disclosure. This restriction does not apply to transactions made under an Approved Rule 10b5-1 Trading Plan or other exempted transactions set forth in Section 2(d) of the Policy. Trading in the Company’s Securities during the Trading Window should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b w:val="1"/>
          <w:bCs w:val="1"/>
          <w:color w:val="auto"/>
        </w:rPr>
        <w:t xml:space="preserve"> be considered a “safe harbor,” and all Covered Persons should use good judgment at all times.</w:t>
      </w:r>
    </w:p>
    <w:p>
      <w:pPr>
        <w:spacing w:after="0" w:line="172" w:lineRule="exact"/>
        <w:rPr>
          <w:rFonts w:ascii="Times New Roman" w:cs="Times New Roman" w:eastAsia="Times New Roman" w:hAnsi="Times New Roman"/>
          <w:sz w:val="22"/>
          <w:szCs w:val="22"/>
          <w:color w:val="auto"/>
        </w:rPr>
      </w:pPr>
    </w:p>
    <w:p>
      <w:pPr>
        <w:ind w:right="20" w:firstLine="1952"/>
        <w:spacing w:after="0" w:line="289" w:lineRule="auto"/>
        <w:tabs>
          <w:tab w:leader="none" w:pos="226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Certain Exceptions. </w:t>
      </w:r>
      <w:r>
        <w:rPr>
          <w:rFonts w:ascii="Times New Roman" w:cs="Times New Roman" w:eastAsia="Times New Roman" w:hAnsi="Times New Roman"/>
          <w:sz w:val="22"/>
          <w:szCs w:val="22"/>
          <w:color w:val="auto"/>
        </w:rPr>
        <w:t>Notwithstanding the provisions of the Policy, a Covered person may engage 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transactions made pursuant to an Approved Rule 10b5-1 Trading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Plan while in possession of Material Nonpublic Information or during a closed Trading Window.</w:t>
      </w:r>
    </w:p>
    <w:p>
      <w:pPr>
        <w:spacing w:after="0" w:line="214" w:lineRule="exact"/>
        <w:rPr>
          <w:sz w:val="20"/>
          <w:szCs w:val="20"/>
          <w:color w:val="auto"/>
        </w:rPr>
      </w:pPr>
    </w:p>
    <w:p>
      <w:pPr>
        <w:jc w:val="both"/>
        <w:ind w:firstLine="1952"/>
        <w:spacing w:after="0" w:line="263" w:lineRule="auto"/>
        <w:tabs>
          <w:tab w:leader="none" w:pos="2251" w:val="left"/>
        </w:tabs>
        <w:numPr>
          <w:ilvl w:val="2"/>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Post-Termination Transactions. </w:t>
      </w:r>
      <w:r>
        <w:rPr>
          <w:rFonts w:ascii="Times New Roman" w:cs="Times New Roman" w:eastAsia="Times New Roman" w:hAnsi="Times New Roman"/>
          <w:sz w:val="21"/>
          <w:szCs w:val="21"/>
          <w:color w:val="auto"/>
        </w:rPr>
        <w:t>This Policy continues to apply to transactions in Company securities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even after an employee, officer or director has resigned or terminated employment. If a person who resigns or separates from the Company is in possession of Material Nonpublic Information at that time, he or she may not trade in Company securities until that information has become public or is no longer material. Additionally, subject to management’s discretion, any Insider who resigns or separates from the Company during a blackout period shall remain blacked out for a period that ends on the earlier of</w:t>
      </w:r>
    </w:p>
    <w:p>
      <w:pPr>
        <w:spacing w:after="0" w:line="2" w:lineRule="exact"/>
        <w:rPr>
          <w:rFonts w:ascii="Times New Roman" w:cs="Times New Roman" w:eastAsia="Times New Roman" w:hAnsi="Times New Roman"/>
          <w:sz w:val="21"/>
          <w:szCs w:val="21"/>
          <w:color w:val="auto"/>
        </w:rPr>
      </w:pPr>
    </w:p>
    <w:p>
      <w:pPr>
        <w:ind w:left="260" w:hanging="252"/>
        <w:spacing w:after="0"/>
        <w:tabs>
          <w:tab w:leader="none" w:pos="26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commencement of the next open Trading Window, or (ii) 30 days from the date of separation from the Company.</w:t>
      </w:r>
    </w:p>
    <w:p>
      <w:pPr>
        <w:spacing w:after="0" w:line="189" w:lineRule="exact"/>
        <w:rPr>
          <w:rFonts w:ascii="Times New Roman" w:cs="Times New Roman" w:eastAsia="Times New Roman" w:hAnsi="Times New Roman"/>
          <w:sz w:val="22"/>
          <w:szCs w:val="22"/>
          <w:color w:val="auto"/>
        </w:rPr>
      </w:pPr>
    </w:p>
    <w:p>
      <w:pPr>
        <w:jc w:val="both"/>
        <w:ind w:firstLine="1304"/>
        <w:spacing w:after="0" w:line="254" w:lineRule="auto"/>
        <w:tabs>
          <w:tab w:leader="none" w:pos="1539"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Short Sales and Other Derivatives. </w:t>
      </w:r>
      <w:r>
        <w:rPr>
          <w:rFonts w:ascii="Times New Roman" w:cs="Times New Roman" w:eastAsia="Times New Roman" w:hAnsi="Times New Roman"/>
          <w:sz w:val="22"/>
          <w:szCs w:val="22"/>
          <w:color w:val="auto"/>
        </w:rPr>
        <w:t>To ensure compliance with this Policy and applicable federal and state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securities laws, the Company requires that all Insiders refrain from conducting short sales (the sale of securities not owned by the seller or, if owned, not delivered against such sale) or investing in other derivatives of the Company’s Securities at any time. Short sales and investing in other derivatives of the Company’s Securities, including put and call options, collar transactions or other hedging transactions, are prohibited by this Policy even when the Trading Window is open.</w:t>
      </w:r>
    </w:p>
    <w:p>
      <w:pPr>
        <w:spacing w:after="0" w:line="17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525"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Margin Accounts and Pledging Securities as Collateral for a Loan. </w:t>
      </w:r>
      <w:r>
        <w:rPr>
          <w:rFonts w:ascii="Times New Roman" w:cs="Times New Roman" w:eastAsia="Times New Roman" w:hAnsi="Times New Roman"/>
          <w:sz w:val="22"/>
          <w:szCs w:val="22"/>
          <w:color w:val="auto"/>
        </w:rPr>
        <w:t>Securities held in a margin account or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pledged as collateral for a loan may be sold without the employee’s or director’s consent if such person fails to meet a margin call or by the lender in foreclosure if such person defaults on a loan. A margin or foreclosure sale that occurs when the Covered Person is aware of or possesses Material Nonpublic Information may, under some circumstances, result in unlawful insider trading. Because of this danger, Covered Persons are prohibited from holding Company Securities in a margin account or pledging Company Securities as collateral for a loan.</w:t>
      </w:r>
    </w:p>
    <w:p>
      <w:pPr>
        <w:spacing w:after="0" w:line="174" w:lineRule="exact"/>
        <w:rPr>
          <w:rFonts w:ascii="Times New Roman" w:cs="Times New Roman" w:eastAsia="Times New Roman" w:hAnsi="Times New Roman"/>
          <w:sz w:val="22"/>
          <w:szCs w:val="22"/>
          <w:color w:val="auto"/>
        </w:rPr>
      </w:pPr>
    </w:p>
    <w:p>
      <w:pPr>
        <w:jc w:val="both"/>
        <w:ind w:firstLine="1304"/>
        <w:spacing w:after="0" w:line="278" w:lineRule="auto"/>
        <w:tabs>
          <w:tab w:leader="none" w:pos="1512"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Determining what is Material Nonpublic Information. </w:t>
      </w:r>
      <w:r>
        <w:rPr>
          <w:rFonts w:ascii="Times New Roman" w:cs="Times New Roman" w:eastAsia="Times New Roman" w:hAnsi="Times New Roman"/>
          <w:sz w:val="21"/>
          <w:szCs w:val="21"/>
          <w:color w:val="auto"/>
        </w:rPr>
        <w:t>Nonpublic information is information that has not been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previously disclosed to the general public and is otherwise not available to the general public. Information is considered to be public only when it has been released to the public through appropriate channels and enough time has elapsed to permit the</w:t>
      </w:r>
    </w:p>
    <w:p>
      <w:pPr>
        <w:sectPr>
          <w:pgSz w:w="11900" w:h="16838" w:orient="portrait"/>
          <w:cols w:equalWidth="0" w:num="1">
            <w:col w:w="11240"/>
          </w:cols>
          <w:pgMar w:left="320" w:top="1416" w:right="339" w:bottom="1440" w:gutter="0" w:footer="0" w:header="0"/>
        </w:sectPr>
      </w:pPr>
    </w:p>
    <w:bookmarkStart w:id="118" w:name="page119"/>
    <w:bookmarkEnd w:id="118"/>
    <w:p>
      <w:pPr>
        <w:jc w:val="both"/>
        <w:spacing w:after="0" w:line="271" w:lineRule="auto"/>
        <w:rPr>
          <w:sz w:val="20"/>
          <w:szCs w:val="20"/>
          <w:color w:val="auto"/>
        </w:rPr>
      </w:pPr>
      <w:r>
        <w:rPr>
          <w:rFonts w:ascii="Times New Roman" w:cs="Times New Roman" w:eastAsia="Times New Roman" w:hAnsi="Times New Roman"/>
          <w:sz w:val="22"/>
          <w:szCs w:val="22"/>
          <w:color w:val="auto"/>
        </w:rPr>
        <w:t>investment market to absorb and evaluate the information. Nonpublic information relating to the Company is the property of the Company and the unauthorized disclosure of such information is forbidden.</w:t>
      </w:r>
    </w:p>
    <w:p>
      <w:pPr>
        <w:spacing w:after="0" w:line="15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It is not possible to define all categories of material information. However, information should be regarded as material if there is a reasonable likelihood that it would be considered important to an investor in making an investment decision (i.e. whether to buy, sell or hold) regarding the Company’s Securities or if it would have a significant effect on the price of the Company’s Securities. The Company strongly suggests that any questions as to the materiality of nonpublic information be resolved conservatively, in favor of the information being material. If a person is ever in doubt as to whether information they possess is material and nonpublic, such person should consult with the General Counsel.</w:t>
      </w:r>
    </w:p>
    <w:p>
      <w:pPr>
        <w:spacing w:after="0" w:line="19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While it may be difficult under this standard to determine whether particular information is material, there are various categories of information that are particularly sensitive and, as a general rule, should always be considered material. Examples of such information may include:</w:t>
      </w:r>
    </w:p>
    <w:p>
      <w:pPr>
        <w:spacing w:after="0" w:line="173" w:lineRule="exact"/>
        <w:rPr>
          <w:sz w:val="20"/>
          <w:szCs w:val="20"/>
          <w:color w:val="auto"/>
        </w:rPr>
      </w:pPr>
    </w:p>
    <w:p>
      <w:pPr>
        <w:ind w:left="660" w:right="20" w:hanging="328"/>
        <w:spacing w:after="0" w:line="271" w:lineRule="auto"/>
        <w:tabs>
          <w:tab w:leader="none" w:pos="65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 or quarterly financial results or projections, including earnings guidance or projections regarding revenues, skier visits, bookings or reservation trends</w:t>
      </w:r>
    </w:p>
    <w:p>
      <w:pPr>
        <w:spacing w:after="0" w:line="157" w:lineRule="exact"/>
        <w:rPr>
          <w:rFonts w:ascii="Times New Roman" w:cs="Times New Roman" w:eastAsia="Times New Roman" w:hAnsi="Times New Roman"/>
          <w:sz w:val="22"/>
          <w:szCs w:val="22"/>
          <w:color w:val="auto"/>
        </w:rPr>
      </w:pPr>
    </w:p>
    <w:p>
      <w:pPr>
        <w:ind w:left="660" w:hanging="328"/>
        <w:spacing w:after="0" w:line="284" w:lineRule="auto"/>
        <w:tabs>
          <w:tab w:leader="none" w:pos="65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Known but unannounced future earnings or losses or internal forecasts that differ substantially from industry trends or Company guidance or projections</w:t>
      </w:r>
    </w:p>
    <w:p>
      <w:pPr>
        <w:spacing w:after="0" w:line="14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Execution or termination of significant contracts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merger or other acquisition, joint venture or divestiture</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the disposition, construction or acquisition of significant assets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Borrowings of significant amounts of funds, liquidity problems or information regarding an impending bankruptcy</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dividend policy, impending stock splits or changes in the Company’s capital structure</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equity or debt offerings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Positive or negative developments regarding threatened or outstanding litigation or government investigations</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litigation exposure due to actual or threatened litigation</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cybersecurity incidents that arise to significant enterprise level risk</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senior management</w:t>
      </w:r>
    </w:p>
    <w:p>
      <w:pPr>
        <w:spacing w:after="0" w:line="21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marketing plans or major price or product changes</w:t>
      </w:r>
    </w:p>
    <w:p>
      <w:pPr>
        <w:sectPr>
          <w:pgSz w:w="11900" w:h="16838" w:orient="portrait"/>
          <w:cols w:equalWidth="0" w:num="1">
            <w:col w:w="11240"/>
          </w:cols>
          <w:pgMar w:left="320" w:top="1422"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22"/>
          <w:szCs w:val="22"/>
          <w:color w:val="auto"/>
        </w:rPr>
        <w:t>Information may be material, regardless of whether it is positive or negative.</w:t>
      </w:r>
    </w:p>
    <w:p>
      <w:pPr>
        <w:spacing w:after="0" w:line="214" w:lineRule="exact"/>
        <w:rPr>
          <w:sz w:val="20"/>
          <w:szCs w:val="20"/>
          <w:color w:val="auto"/>
        </w:rPr>
      </w:pPr>
    </w:p>
    <w:p>
      <w:pPr>
        <w:jc w:val="both"/>
        <w:ind w:firstLine="1304"/>
        <w:spacing w:after="0" w:line="264" w:lineRule="auto"/>
        <w:tabs>
          <w:tab w:leader="none" w:pos="1525"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i w:val="1"/>
          <w:iCs w:val="1"/>
          <w:color w:val="auto"/>
        </w:rPr>
        <w:t xml:space="preserve">Mandatory Pre-Notification of Trades. </w:t>
      </w:r>
      <w:r>
        <w:rPr>
          <w:rFonts w:ascii="Times New Roman" w:cs="Times New Roman" w:eastAsia="Times New Roman" w:hAnsi="Times New Roman"/>
          <w:sz w:val="21"/>
          <w:szCs w:val="21"/>
          <w:color w:val="auto"/>
        </w:rPr>
        <w:t>The Company has determined that all executive officers, members of</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the Executive Committee and members of the Board of Directors and certain other persons identified by the Company from time to time and who have been notified that they have been so identified must refrain from trading in the Company’s Securities (including any gifts or donations of Company Securities), </w:t>
      </w:r>
      <w:r>
        <w:rPr>
          <w:rFonts w:ascii="Times New Roman" w:cs="Times New Roman" w:eastAsia="Times New Roman" w:hAnsi="Times New Roman"/>
          <w:sz w:val="21"/>
          <w:szCs w:val="21"/>
          <w:u w:val="single" w:color="auto"/>
          <w:color w:val="auto"/>
        </w:rPr>
        <w:t>even during the Trading Window</w:t>
      </w:r>
      <w:r>
        <w:rPr>
          <w:rFonts w:ascii="Times New Roman" w:cs="Times New Roman" w:eastAsia="Times New Roman" w:hAnsi="Times New Roman"/>
          <w:sz w:val="21"/>
          <w:szCs w:val="21"/>
          <w:color w:val="auto"/>
        </w:rPr>
        <w:t>, without first complying with the Company’s “pre-notification” and Trading Authorization Request process. Each such person must provide prior notice of any trades to the CEO (in the case of the CEO, to the Chair of the Compensation Committee) and complete and submit a Trading Authorization Request Form to the Company’s General Counsel prior to commencing any trade in the Company’s Securities. Additionally, any employee who desires to complete a cashless exercise of stock appreciation rights (e.g. an exercise without a concurrent sale or donation of the net shares received) (a “Cashless Exercise”) during a Trading Window, prior to</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commencing such transaction, the employee should discuss the transaction in detail with the CEO (in the case of the CEO, with the Chair of the Compensation Committee), outlining the rationale for the proposed transaction. Although a person wishing to trade pursuant to an Approved Rule 10b5-1 Trading Plan need not seek pre-clearance from the Company’s General Counsel before each trade takes place, such person must obtain Company approval of that person’s proposed Rule 10b5-1 trading plan before it is adopted or amended.</w:t>
      </w:r>
    </w:p>
    <w:p>
      <w:pPr>
        <w:spacing w:after="0" w:line="173" w:lineRule="exact"/>
        <w:rPr>
          <w:sz w:val="20"/>
          <w:szCs w:val="20"/>
          <w:color w:val="auto"/>
        </w:rPr>
      </w:pPr>
    </w:p>
    <w:p>
      <w:pPr>
        <w:jc w:val="both"/>
        <w:ind w:firstLine="1304"/>
        <w:spacing w:after="0" w:line="254" w:lineRule="auto"/>
        <w:tabs>
          <w:tab w:leader="none" w:pos="151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Notification of Trades. </w:t>
      </w:r>
      <w:r>
        <w:rPr>
          <w:rFonts w:ascii="Times New Roman" w:cs="Times New Roman" w:eastAsia="Times New Roman" w:hAnsi="Times New Roman"/>
          <w:sz w:val="22"/>
          <w:szCs w:val="22"/>
          <w:color w:val="auto"/>
        </w:rPr>
        <w:t>Each executive officer, member of the Executive Committee or member of the Board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Directors (including Family Members) must ensure that his or her broker provides the Company with detailed information (trade date, number of shares, exact price) regarding every transaction involving the Company’s Securities, including gifts, transfers, pledges and all Rule 10b5-1 transactions, immediately following execution.</w:t>
      </w:r>
    </w:p>
    <w:p>
      <w:pPr>
        <w:spacing w:after="0" w:line="184" w:lineRule="exact"/>
        <w:rPr>
          <w:rFonts w:ascii="Times New Roman" w:cs="Times New Roman" w:eastAsia="Times New Roman" w:hAnsi="Times New Roman"/>
          <w:sz w:val="22"/>
          <w:szCs w:val="22"/>
          <w:color w:val="auto"/>
        </w:rPr>
      </w:pPr>
    </w:p>
    <w:p>
      <w:pPr>
        <w:jc w:val="both"/>
        <w:ind w:firstLine="1304"/>
        <w:spacing w:after="0" w:line="254" w:lineRule="auto"/>
        <w:tabs>
          <w:tab w:leader="none" w:pos="151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Individual Responsibility. </w:t>
      </w:r>
      <w:r>
        <w:rPr>
          <w:rFonts w:ascii="Times New Roman" w:cs="Times New Roman" w:eastAsia="Times New Roman" w:hAnsi="Times New Roman"/>
          <w:sz w:val="22"/>
          <w:szCs w:val="22"/>
          <w:color w:val="auto"/>
        </w:rPr>
        <w:t>Every Covered Person has the individual responsibility to comply with this Policy. A</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Covered Person may, from time to time, have to forego a proposed transaction in the Company’s Securities even if he or she planned to make the transaction before learning of the Material Nonpublic Information and even though such person believes he or she may suffer an economic loss or forego anticipated profit by waiting.</w:t>
      </w:r>
    </w:p>
    <w:p>
      <w:pPr>
        <w:spacing w:after="0" w:line="17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512"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Transactions by Family Members and Others. </w:t>
      </w:r>
      <w:r>
        <w:rPr>
          <w:rFonts w:ascii="Times New Roman" w:cs="Times New Roman" w:eastAsia="Times New Roman" w:hAnsi="Times New Roman"/>
          <w:sz w:val="22"/>
          <w:szCs w:val="22"/>
          <w:color w:val="auto"/>
        </w:rPr>
        <w:t>This Policy applies to your Family Members (as defined above).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74" w:lineRule="exact"/>
        <w:rPr>
          <w:rFonts w:ascii="Times New Roman" w:cs="Times New Roman" w:eastAsia="Times New Roman" w:hAnsi="Times New Roman"/>
          <w:sz w:val="22"/>
          <w:szCs w:val="22"/>
          <w:color w:val="auto"/>
        </w:rPr>
      </w:pPr>
    </w:p>
    <w:p>
      <w:pPr>
        <w:jc w:val="both"/>
        <w:ind w:firstLine="1304"/>
        <w:spacing w:after="0" w:line="266" w:lineRule="auto"/>
        <w:tabs>
          <w:tab w:leader="none" w:pos="162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Transactions by Entities That You Influence or Control. </w:t>
      </w:r>
      <w:r>
        <w:rPr>
          <w:rFonts w:ascii="Times New Roman" w:cs="Times New Roman" w:eastAsia="Times New Roman" w:hAnsi="Times New Roman"/>
          <w:sz w:val="22"/>
          <w:szCs w:val="22"/>
          <w:color w:val="auto"/>
        </w:rPr>
        <w:t>This Policy applies to any entities that you influence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control, including any corporations, limited liability companies, partnerships or trusts (collectively referred to as “Controlled Entities”), and</w:t>
      </w:r>
    </w:p>
    <w:p>
      <w:pPr>
        <w:sectPr>
          <w:pgSz w:w="11900" w:h="16838" w:orient="portrait"/>
          <w:cols w:equalWidth="0" w:num="1">
            <w:col w:w="11240"/>
          </w:cols>
          <w:pgMar w:left="320" w:top="1422" w:right="339" w:bottom="1440" w:gutter="0" w:footer="0" w:header="0"/>
        </w:sectPr>
      </w:pPr>
    </w:p>
    <w:bookmarkStart w:id="120" w:name="page121"/>
    <w:bookmarkEnd w:id="120"/>
    <w:p>
      <w:pPr>
        <w:jc w:val="both"/>
        <w:spacing w:after="0" w:line="271" w:lineRule="auto"/>
        <w:rPr>
          <w:sz w:val="20"/>
          <w:szCs w:val="20"/>
          <w:color w:val="auto"/>
        </w:rPr>
      </w:pPr>
      <w:r>
        <w:rPr>
          <w:rFonts w:ascii="Times New Roman" w:cs="Times New Roman" w:eastAsia="Times New Roman" w:hAnsi="Times New Roman"/>
          <w:sz w:val="22"/>
          <w:szCs w:val="22"/>
          <w:color w:val="auto"/>
        </w:rPr>
        <w:t>transactions by these Controlled Entities should be treated for the purposes of this Policy and applicable securities laws as if they were for your own account.</w:t>
      </w:r>
    </w:p>
    <w:p>
      <w:pPr>
        <w:spacing w:after="0" w:line="15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D. </w:t>
      </w:r>
      <w:r>
        <w:rPr>
          <w:rFonts w:ascii="Times New Roman" w:cs="Times New Roman" w:eastAsia="Times New Roman" w:hAnsi="Times New Roman"/>
          <w:sz w:val="22"/>
          <w:szCs w:val="22"/>
          <w:b w:val="1"/>
          <w:bCs w:val="1"/>
          <w:i w:val="1"/>
          <w:iCs w:val="1"/>
          <w:color w:val="auto"/>
        </w:rPr>
        <w:t>Violations of the Policy.</w:t>
      </w:r>
      <w:r>
        <w:rPr>
          <w:rFonts w:ascii="Times New Roman" w:cs="Times New Roman" w:eastAsia="Times New Roman" w:hAnsi="Times New Roman"/>
          <w:sz w:val="22"/>
          <w:szCs w:val="22"/>
          <w:color w:val="auto"/>
        </w:rPr>
        <w:t xml:space="preserve"> Any person subject to the Policy who violates this Policy shall also be subject to disciplinary action by the Company, which may include ineligibility for future participation in the Company’s equity incentive plans or termination of employment or service on the Board of Directors, and potentially to civil and criminal penalties. The Board of Directors of the Company (in the case of members of the Board of Directors or the Executive Committee) and the CEO of the Company (in the case of any other employee of the Company) shall determine the penalty for a given violation of the Policy in its sole discretion.</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b w:val="1"/>
          <w:bCs w:val="1"/>
          <w:i w:val="1"/>
          <w:iCs w:val="1"/>
          <w:color w:val="auto"/>
        </w:rPr>
        <w:t>Priority of Statutory or Regulatory Trading Restrictions.</w:t>
      </w:r>
      <w:r>
        <w:rPr>
          <w:rFonts w:ascii="Times New Roman" w:cs="Times New Roman" w:eastAsia="Times New Roman" w:hAnsi="Times New Roman"/>
          <w:sz w:val="22"/>
          <w:szCs w:val="22"/>
          <w:color w:val="auto"/>
        </w:rPr>
        <w:t xml:space="preserve"> The trading prohibitions set forth in this Policy will be superseded by any greater prohibitions or restrictions prescribed by federal or state securities laws and regulations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short-swing trading by Insiders under the Exchange Act or restrictions on the sale of securities subject to Rule 144 under the Securities Act of 1933). Any person who is uncertain whether other prohibitions or restrictions apply should consult the General Counsel or his or her own legal counsel.</w:t>
      </w:r>
    </w:p>
    <w:p>
      <w:pPr>
        <w:spacing w:after="0" w:line="17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 xml:space="preserve">F. </w:t>
      </w:r>
      <w:r>
        <w:rPr>
          <w:rFonts w:ascii="Times New Roman" w:cs="Times New Roman" w:eastAsia="Times New Roman" w:hAnsi="Times New Roman"/>
          <w:sz w:val="21"/>
          <w:szCs w:val="21"/>
          <w:b w:val="1"/>
          <w:bCs w:val="1"/>
          <w:i w:val="1"/>
          <w:iCs w:val="1"/>
          <w:color w:val="auto"/>
        </w:rPr>
        <w:t>Trading Restrictions on Non-Company Securities.</w:t>
      </w:r>
      <w:r>
        <w:rPr>
          <w:rFonts w:ascii="Times New Roman" w:cs="Times New Roman" w:eastAsia="Times New Roman" w:hAnsi="Times New Roman"/>
          <w:sz w:val="21"/>
          <w:szCs w:val="21"/>
          <w:color w:val="auto"/>
        </w:rPr>
        <w:t xml:space="preserve"> This Policy and the guidelines described herein also apply to Material Nonpublic Information relating to other companies, including the Company’s distributors, vendors or suppliers (“Business Partners”), when that information is obtained in the course of employment with or other services performed on behalf of the Company. Civil and criminal penalties and/or termination of employment may result from trading on inside information regarding the Company’s Business Partners. All Covered Persons should treat Material Nonpublic Information about the Company’s Business Partners with the same care required with respect to information related directly to the Company. Accordingly, no Covered Person may trade the securities of (or share information regarding) </w:t>
      </w:r>
      <w:r>
        <w:rPr>
          <w:rFonts w:ascii="Times New Roman" w:cs="Times New Roman" w:eastAsia="Times New Roman" w:hAnsi="Times New Roman"/>
          <w:sz w:val="21"/>
          <w:szCs w:val="21"/>
          <w:u w:val="single" w:color="auto"/>
          <w:color w:val="auto"/>
        </w:rPr>
        <w:t>other</w:t>
      </w:r>
      <w:r>
        <w:rPr>
          <w:rFonts w:ascii="Times New Roman" w:cs="Times New Roman" w:eastAsia="Times New Roman" w:hAnsi="Times New Roman"/>
          <w:sz w:val="21"/>
          <w:szCs w:val="21"/>
          <w:color w:val="auto"/>
        </w:rPr>
        <w:t xml:space="preserve"> companies if such person becomes aware of Material Nonpublic Information about those companies during the course of his or her employment with or other services performed on behalf of at the Company. It is unlawful to use such Material Nonpublic Information to trade securities of </w:t>
      </w:r>
      <w:r>
        <w:rPr>
          <w:rFonts w:ascii="Times New Roman" w:cs="Times New Roman" w:eastAsia="Times New Roman" w:hAnsi="Times New Roman"/>
          <w:sz w:val="21"/>
          <w:szCs w:val="21"/>
          <w:u w:val="single" w:color="auto"/>
          <w:color w:val="auto"/>
        </w:rPr>
        <w:t>either</w:t>
      </w:r>
      <w:r>
        <w:rPr>
          <w:rFonts w:ascii="Times New Roman" w:cs="Times New Roman" w:eastAsia="Times New Roman" w:hAnsi="Times New Roman"/>
          <w:sz w:val="21"/>
          <w:szCs w:val="21"/>
          <w:color w:val="auto"/>
        </w:rPr>
        <w:t xml:space="preserve"> the Company or the other company until one full Trading Day after the date such information is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b w:val="1"/>
          <w:bCs w:val="1"/>
          <w:i w:val="1"/>
          <w:iCs w:val="1"/>
          <w:color w:val="auto"/>
        </w:rPr>
        <w:t>Rule 10b5-1 Trading Plans.</w:t>
      </w:r>
      <w:r>
        <w:rPr>
          <w:rFonts w:ascii="Times New Roman" w:cs="Times New Roman" w:eastAsia="Times New Roman" w:hAnsi="Times New Roman"/>
          <w:sz w:val="22"/>
          <w:szCs w:val="22"/>
          <w:color w:val="auto"/>
        </w:rPr>
        <w:t xml:space="preserve"> Rule 10b5-1 permits Insiders to implement prearranged securities trading programs without running afoul of insider trading rules if certain requirements are met. Insiders can establish arrangements or programs to sell or purchase Securities of the Company, even during the “blackout periods” imposed by this Policy, and even though the Insider may possess Material Nonpublic Information at the time of the trade. Please note, however, that there are numerous restrictions associated with arrangements complying with the Rule 10b5-1 and that </w:t>
      </w:r>
      <w:r>
        <w:rPr>
          <w:rFonts w:ascii="Times New Roman" w:cs="Times New Roman" w:eastAsia="Times New Roman" w:hAnsi="Times New Roman"/>
          <w:sz w:val="22"/>
          <w:szCs w:val="22"/>
          <w:b w:val="1"/>
          <w:bCs w:val="1"/>
          <w:i w:val="1"/>
          <w:iCs w:val="1"/>
          <w:color w:val="auto"/>
        </w:rPr>
        <w:t>all plans, arrangements or instructions must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be approved by the Company’s General Counsel.</w:t>
      </w:r>
    </w:p>
    <w:p>
      <w:pPr>
        <w:sectPr>
          <w:pgSz w:w="11900" w:h="16838" w:orient="portrait"/>
          <w:cols w:equalWidth="0" w:num="1">
            <w:col w:w="11240"/>
          </w:cols>
          <w:pgMar w:left="320" w:top="1422"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1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 xml:space="preserve">SUBSIDIARIES </w:t>
      </w:r>
      <w:r>
        <w:rPr>
          <w:rFonts w:ascii="Times New Roman" w:cs="Times New Roman" w:eastAsia="Times New Roman" w:hAnsi="Times New Roman"/>
          <w:sz w:val="11"/>
          <w:szCs w:val="11"/>
          <w:b w:val="1"/>
          <w:bCs w:val="1"/>
          <w:color w:val="auto"/>
        </w:rPr>
        <w:t>1</w:t>
      </w:r>
    </w:p>
    <w:p>
      <w:pPr>
        <w:spacing w:after="0" w:line="1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VAIL RESORTS, INC</w:t>
      </w:r>
      <w:r>
        <w:rPr>
          <w:rFonts w:ascii="Times New Roman" w:cs="Times New Roman" w:eastAsia="Times New Roman" w:hAnsi="Times New Roman"/>
          <w:sz w:val="22"/>
          <w:szCs w:val="22"/>
          <w:color w:val="auto"/>
        </w:rPr>
        <w:t>.</w:t>
      </w:r>
    </w:p>
    <w:p>
      <w:pPr>
        <w:spacing w:after="0" w:line="13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STATE OF</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DOING BUSINESS AS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4820" w:type="dxa"/>
            <w:vAlign w:val="bottom"/>
            <w:tcBorders>
              <w:right w:val="single" w:sz="8" w:color="auto"/>
            </w:tcBorders>
          </w:tcPr>
          <w:p>
            <w:pPr>
              <w:spacing w:after="0"/>
              <w:rPr>
                <w:sz w:val="17"/>
                <w:szCs w:val="17"/>
                <w:color w:val="auto"/>
              </w:rPr>
            </w:pPr>
          </w:p>
        </w:tc>
      </w:tr>
      <w:tr>
        <w:trPr>
          <w:trHeight w:val="238"/>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FORMATION</w:t>
            </w: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1016563 B.C.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37"/>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1089881 B.C.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17402 HIDDEN VALLEY,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2006 CIMARRON,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AFFINITY SNOWSPORTS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MEDIA ASSOCIATES,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MEDIA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ANDERMATT SEDRUN SPORT A.G.</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AQUIA PTY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ARRABELLE AT VAIL SQUARE,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AUSTRALIAN ALPINE ENTERPRISES HOLDINGS</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PTY LTD</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AUSTRALIAN ALPINE ENTERPRISES PTY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AUSTRALIAN ALPINE RESERVATION CENTRES</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PTY LTD</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BBJFLQ,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BCRP,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ASSOCIATES,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BEANO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BEAR TRAP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BUCKBOARD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DALLY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FLATTOPS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DUST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GOSHAWK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GOSHAWK GLADE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GRAND TRAVERSE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HAY MEADOW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LATIGO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MCCOY PARK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PINEY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BUFFALO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TAIL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SALT LICK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SHEEPHORN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SPRUCE SADDLE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STEP ONE,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STONE CREEK SWITCHBACK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STRAWBERRY PARK AT BEAVER CREEK</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STUMP PARK AT BEAVER CREEK, INC.</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CONSULTANTS,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180"/>
          </w:cols>
          <w:pgMar w:left="380" w:top="945" w:right="339" w:bottom="1440" w:gutter="0" w:footer="0" w:header="0"/>
        </w:sectPr>
      </w:pPr>
    </w:p>
    <w:bookmarkStart w:id="122" w:name="page123"/>
    <w:bookmarkEnd w:id="12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FOOD SERVICES, INC.</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BACHELOR GULCH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BEANO’S CABIN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CREPES AND COOKIES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CANDY CABIN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GUNDER’S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TALONS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 CARPET CLUB</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BLACK DIAMOND INSURANCE,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Arizona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BLACKCOMB MOUNTAIN DEVELOPMENT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BLACKCOMB SKIING ENTERPRISES LIMITED</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PARTNERSHIP</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BLACKCOMB SKIING ENTERPRISES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BLC OPERATORS,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BOOTH CREEK SKI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BOSTON MILLS SKI RESORT,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BOSTON MILLS SKI RESORT</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BOULDER VIEW TAVERN,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BRANDYWINE SKI RESORT,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BRECKENRIDGE HOTEL MANAGEMENT</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COMPANY, LLC</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RESORT PROPERTIES,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RESORT PROPERTIES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PROPERTY MANAGEMENT</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TERRACE,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GROUP 1, LP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GROUP 2, LP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RESIDENTIAL PHASE 1, LP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SKI LODGE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 COMMERCIAL PROPERTIES ‘07,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MOUNTAIN EXPRESS,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 DESTINATIONS WEST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 PARTNERS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 PREMIER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CMECOUPONS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CMECOUPONS.COM</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MOUNTAIN EXPRESS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DESTINATIONS WEST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EPIC MOUNTAIN EXPRESS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 CME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 COLORADO MOUNTAIN EXPRESS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PREMIER VIP TRANSPORTATION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RESORT EXPRESS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ART GUIDE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DINING GUIDE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SKIER’S CONNECTION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TRANSPORTATION MANAGEMENT SYSTEMS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WHEELS OF FORTUNE</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COLTER BAY CONVENIENCE STORE,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COLTER BAY GENERAL STORE,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CRANS-MONTANA FOOD AND BEVERAGE SA</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16" w:right="519" w:bottom="1440" w:gutter="0" w:footer="0" w:header="0"/>
        </w:sectPr>
      </w:pPr>
    </w:p>
    <w:bookmarkStart w:id="123" w:name="page124"/>
    <w:bookmarkEnd w:id="12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LLC</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ATMOSPHERE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BUTTE 66</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BUTTE 66 BBQ ROADHOUSE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CAMP CB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 CONFERENCE SERVICES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 MOUNTAIN SCHOOL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CBMR LIFT TICKETS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CBMR PROPERTIES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CBMR SKI AND RIDE SCHOOL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CBMR WHOLESALE DEPARTMENT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COAL BREAKERS – CRESTED BUTTE MOUNTAIN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DEVELOPMENT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MOUNTAIN BIKE PARK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MOUNTAIN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SKI AREA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SKI RENTAL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TRAVEL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VACATIONS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WHOLESALE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ELEVATION RETAIL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GENERAL STORE – CBMR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GRAND LODGE HOTEL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GRAND LODGE RETAIL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HALL OF FAME BAR &amp; GRILL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ICE BAR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JEFE’S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KIDS WORLD – CBMR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AT MOUNTAINEER SQUARE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LOGO’D AT CB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ADVENTURES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OUTPOST CBMR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OUTPOST—CBMR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PARADISE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RESORT COMMUNICATIONS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RUSTICA CBMR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RUSTICA—CBMR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TEN PEAKS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THIN AIR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TRACKERS – CBMR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TREASURY CENTER RENTALS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ULEY’S CABIN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 ROOM</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WOODSTONE GRILL</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CROTCHED MOUNTAIN PROPERTIES,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Hampshire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CRYSTAL PEAK LODGE OF BRECKENRIDGE,</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CRYSTAL PEAK LODGE</w:t>
            </w: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DELTRECS,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DTPC,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DT PARK CITY HOTEL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INTELLIGENTSIA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ROOTS GRILL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VERTICAL LOUNGE</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YARROW HOTEL</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EVER VAIL,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16" w:right="519" w:bottom="1440" w:gutter="0" w:footer="0" w:header="0"/>
        </w:sectPr>
      </w:pPr>
    </w:p>
    <w:bookmarkStart w:id="124" w:name="page125"/>
    <w:bookmarkEnd w:id="12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FALLS CREEK SKI LIFTS PTY LTD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top w:val="single" w:sz="8" w:color="auto"/>
              <w:right w:val="single" w:sz="8" w:color="auto"/>
            </w:tcBorders>
          </w:tcPr>
          <w:p>
            <w:pPr>
              <w:spacing w:after="0"/>
              <w:rPr>
                <w:sz w:val="21"/>
                <w:szCs w:val="21"/>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FIRST CHAIR HOUSING TRUSTEE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FLAGG RANCH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FOREST RIDGE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FROSTY LAND,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GARIBALDI LIFTS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GILLETT BROADCASTING,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GORE CREEK PLACE,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GRAND TETON LODGE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 NORTH REGIONAL CENTER,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GREATER PARK CITY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Utah</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ALPINE SLIDE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APRES SKI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BASE AREA CAFETERIA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GREATER PARK CITY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KINDERSCHULE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LOGO</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MOUNTAIN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MOUNTAIN RESORT RENTAL SHOP</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SKI AREA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SKI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RUSTY NAIL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SILVER PUTT PARK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STEEPS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SNOW HUT</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SUMMIT HOUSE</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GREATER PROPERTIES,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GROS VENTRE UTILITY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HEAVENLY VALLEY, LIMITED PARTNERSHIP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HEAVENLY MOUNTAIN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INN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MOUNTAIN RESORT</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KIRKWOOD SERVICE CENTER</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HIDDEN VALLEY GOLF AND SKI,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HIDDEN VALLEY SKI AREA</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HPK,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HUNKIDORI LAND COMPANY,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ACQUISITION,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BASE LODGE,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FESTIVALS,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RENTALS,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MOUNTAIN SKI BOWL,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HUNTER RESORT VACATIONS,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New York</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HVLP KIRKWOOD SERVICES,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HOLE GOLF AND TENNIS CLUB,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LAKE LODGE CORPORATION</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JENNY LAKE LODGE,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JENNY LAKE STORE,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JFBB LQ,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36"/>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JFBB SKI AREAS,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 FROST BIG BOULDER</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JHL&amp;S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CONFERENCE SERVICES,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DEVELOPMENT SALES,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16" w:right="519" w:bottom="1440" w:gutter="0" w:footer="0" w:header="0"/>
        </w:sectPr>
      </w:pPr>
    </w:p>
    <w:bookmarkStart w:id="125" w:name="page126"/>
    <w:bookmarkEnd w:id="12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FOOD &amp; BEVERAGE COMPANY</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9280’</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ALPENTOP DELI</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DERCUM SQUARE ICE RINK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CONFERENCE CENTER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CORPORATE CENTER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LODGE &amp; SPA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MINER’S CART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SKI HILL PLACE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PIONEER CROSSING</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SEVENS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DRIFTER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CROW’S NEST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LOBBY BAR AT RIVER MOUNTAIN LODGE</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OVERLOOK</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RANCH WATER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KEYSTONE RESORT PROPERTY MANAGEMENT</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KEYSTONE CENTRAL RESERVATIONS</w:t>
            </w:r>
          </w:p>
        </w:tc>
      </w:tr>
      <w:tr>
        <w:trPr>
          <w:trHeight w:val="243"/>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200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MOUNTAIN RESERVATIONS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PROPERTY MANAGEMENT</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KEYSTONE/INTRAWEST,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REAL ESTATE DEVELOPMENTS</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KEYSTONE/INTRAWEST REAL ESTATE,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 POSADA BEVERAGE SERVICE,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LAKE TAHOE LODGING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LBO HOLDING,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Maine</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ATTITASH</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ATTITASH BEAR PEAK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ATTITASH GRAND SUMMIT HOTEL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ATTITASH MOUNTAIN RESORT</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ATTITASH RESORT</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PROPERTIES,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LODGE AT VAIL</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REALTY,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MAD RIVER MOUNTAIN,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MHSC DP PTY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MHSC HOTELS PTY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MHSC PROPERTIES PTY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MHSC TRANSPORTATION SERVICES PTY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MOUNT HOTHAM MANAGEMENT AND</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RESERVATION PTY LTD</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HOTHAM SKIING COMPANY PTY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DEVELOP AND BUILD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GP SERVICES,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THUNDER,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16" w:right="519" w:bottom="1440" w:gutter="0" w:footer="0" w:header="0"/>
        </w:sectPr>
      </w:pPr>
    </w:p>
    <w:bookmarkStart w:id="126" w:name="page127"/>
    <w:bookmarkEnd w:id="12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LTD.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1900’ BURGER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BLUEBIRD EXPRESS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LODGE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MOUNT SNOW</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CARINTHIA PARKS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BIKE PARK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BLUEBIRD EXPRESS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CHILD CARE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REALTY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SKI AREA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SKI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SNOW SKI SHOP</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NATURESPA</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STATION TAP ROOM</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MT CB REAL ESTATE,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NATIONAL PARK HOSPITALITY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NORTHSTAR GROUP COMMERCIAL</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PROPERTIES, LLC</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99"/>
              </w:rPr>
              <w:t>NORTHSTAR GROUP RESTAURANT PROPERTIES,</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LLC</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LIMITED LIABILITY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MOUNTAIN SKI RENTAL AND REPAIR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SHOP</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RENTAL SERVICE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SKI AND RIDE SCHOOL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VALLEY NORDIC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VALLEY GOLF ACADEMY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STARS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TRACKS LEARNING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ICE HOUSE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MEETING HOUSE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OKEMO DIFFERENCE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SPA AT OKEMO</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SPORTS CENTER AT OKEMO</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TOLL GATE GARDEN</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OKEMO MOUNTAIN FOOD AND BEVERAGE,</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43 NORTH</w:t>
            </w:r>
          </w:p>
        </w:tc>
      </w:tr>
      <w:tr>
        <w:trPr>
          <w:trHeight w:val="243"/>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200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EPIC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JACKSON GORE INN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OKEMO TAP HOUSE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ROBIN’S ROOST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SIENA AT JACKSON GORE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SKY BAR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SMOKEY JOE’S GRILL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SUGAR HOUSE AT OKEMO</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COLEMAN BROOK TAVERN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CORNER STORE AT JACKSON GORE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INN AT JACKSON GORE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SITTING BULL LOUNGE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VERMONT PIZZA AT OKEMO</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WILLIE DUNN’S GRILLE</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RIVER RUN,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SKI HILL PLACE,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PAOLI PEAKS,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PROPERTIES,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PEAK TO CREEK HOLDINGS CORP.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16" w:right="519" w:bottom="1440" w:gutter="0" w:footer="0" w:header="0"/>
        </w:sectPr>
      </w:pPr>
    </w:p>
    <w:bookmarkStart w:id="127" w:name="page128"/>
    <w:bookmarkEnd w:id="1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PEAK TO CREEK LODGING COMPANY LTD.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LODGING OVATIONS</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PEAK RESORTS,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PERISHER BLUE PTY LIMITED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PROPERTY MANAGEMENT ACQUISITION CORP.,</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ROCKY MOUNTAIN RESORT LODGING COMPANY</w:t>
            </w: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37"/>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RCR VAIL,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RESIDENCES, LLC</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REMONTÉES MÉCANIQUES CRANS MONTANA</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Switzerland</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AMINONA SA</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ARRABELLE,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99"/>
              </w:rPr>
              <w:t>ROCKRESORTS CORDILLERA LODGE COMPANY,</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LLC</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COSTA RICA S.R.L.</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Costa Rica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DR,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EQUINOX,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HOTEL JEROME,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INTERNATIONAL,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ROCKRESORTS INTERNATIONAL</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MANAGEMENT COMPANY</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JAMAICA LIMITED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Jamaica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SKI TIP,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(ST. LUCIA)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St. Lucia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THIRD TURTLE,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Turks &amp; Caicos Islands</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WYOMING,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ROCKRESORTS,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 LIBERTY OPERATING CORP.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 ROUNDTOP OPERATING CORP.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SLIFER SMITH &amp; FRAMPTON/VAIL ASSOCIATES</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COLORADO LANDMARK REALTORS</w:t>
            </w:r>
          </w:p>
        </w:tc>
      </w:tr>
      <w:tr>
        <w:trPr>
          <w:trHeight w:val="243"/>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REAL ESTATE, LLC</w:t>
            </w:r>
          </w:p>
        </w:tc>
        <w:tc>
          <w:tcPr>
            <w:tcW w:w="200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LANDMARK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LANDMARK, REALTORS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LANDMARK-MULTIPROP REALTY,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PIQUET REALTY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LIFE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SLIFER, SMITH &amp; FRAMPTON REAL ESTATE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SLIFER, SMITH &amp; FRAMPTON/VAIL ASSOCIATES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SLIFER, SMITH &amp; FRAMPTON/VAIL ASSOCIATES LLC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LIONSHEAD REAL ESTATE BROKERS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VAIL-LIONSHEAD REAL ESTATE BROKERS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VAIL-LIONSHEAD REAL ESTATE CO.</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SNH DEVELOPMENT,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CROTCHED MOUNTAIN SKI AND RIDE AREA</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CROTCHED MOUNTAIN SKI AREA</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CREEK,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TIME ACQUISITION,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Missouri</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TIME,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TRUST</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SOHO DEVELOPMENT,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SPORTLIFE SA</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Switzerland</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16" w:right="519" w:bottom="1440" w:gutter="0" w:footer="0" w:header="0"/>
        </w:sectPr>
      </w:pPr>
    </w:p>
    <w:bookmarkStart w:id="128" w:name="page129"/>
    <w:bookmarkEnd w:id="12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SSI VENTURE, INC.</w:t>
            </w:r>
          </w:p>
        </w:tc>
        <w:tc>
          <w:tcPr>
            <w:tcW w:w="200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Utah</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ALL MOUNTAIN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ALTERNATIVE EDGE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ASPEN SPORTS AT SNOWMASS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ASPEN SPORTS LLC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FLY FISHER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SIGNATURE SHOP</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BICYCLE VILLAGE OF COLORADO</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BOARDER CROSS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BOARDER CROSSING</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BOARDER X-ING</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BOOTSIE LACY B LLC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BOULDER SKI AND BIKE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BOULDER SKI AND BIKE DEALS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BOULDER SKI DEALS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BREEZE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BREEZE SKI &amp; SPORT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BREEZE SKI RENTALS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BUYSKIS.COM</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CB MOUNTAIN OUTFITTERS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SKI &amp; GOLF</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SKI AND BIKE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SNOWBOARDS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COPPER MOUNTAIN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COPPER VILLAGE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CRESTED BUTTE RENTAL &amp; DEMO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DEPOT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DEPOT SKI RENTALS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EFLIN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EPIC MOUNTAIN GEAR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EPIC MOUNTAIN RENTALS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FRISCO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GORE CREEK FLY FISHERMAN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GRAND WEST OUTFITTERS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HAPPY THOUGHTS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LIONSHEAD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LOGO’D AT GRAND LODGE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MAIN STREET OUTLET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MAX SNOWBOARD</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ADVENTURE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BASICS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SPORTS OUTLET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MOUNTAINSPORT TELLURIDE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TRACK MIND</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MOUNTAIN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PEAK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RENTBOARDS.COM</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RENTSKIS GOLD</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RENTSKIS.COM</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RIVER RUN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EYES AND TEES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EYES AND 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EYEWEAR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EYEWEAR LTD. “A SHADEY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SAN MIGUEL ANGLERS</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80" w:top="916" w:right="519" w:bottom="1440" w:gutter="0" w:footer="0" w:header="0"/>
        </w:sectPr>
      </w:pPr>
    </w:p>
    <w:bookmarkStart w:id="129" w:name="page130"/>
    <w:bookmarkEnd w:id="12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SSI VENTURE, INC. (cont.)</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Utah</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 DEPOT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 DEPOT RENTALS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SKI DEPOT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SNOWMASS SPORT STALKER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SPECIALTY SPORTS NETWORK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SPECIALTY SPORTS VENTURE LLC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STEAMBOAT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TAYLOR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TAYLOR CREEK ANGLING SERVICES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TAYLOR CREEK FLY SHOPS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TAYLOR CREEK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TELLURIDE ADVENTURES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TELLURIDE MOUNTAIN BIKE HEADQUARTERS LLC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TELLURIDE MOUNTAINCRAFT LLC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TELLURIDE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TEN MILE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DEPOT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SKI DOCTOR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FISHING GUIDES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FLY-FISHING</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FLY-FISHING OUTFITTERS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RETAIL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SPORTS KIDS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WINTER PARK SKI RENTALS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WINTER PARK SKI SWAP</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WINTER PARK SPORTS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WINTER PARK SWAP SHOP</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SSV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NEVE SPORTS</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SSV ONLINE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Wisconsin</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OUTDOOR OUTLET</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SSV ONLINE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STAGECOACH DEVELOPMENT,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Nevada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STAMPEDE CANTEEN,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SUMMIT SKI LIMITED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SYCAMORE LAKE,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Ohio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ALPINE VALLEY</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TCRM COMPANY</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TENDERFOOT SEASONAL HOUSING,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TETON HOSPITALITY SERVICES,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Wyoming</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CANYONS GOLF CLUB,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Utah</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CHALETS AT THE LODGE AT VAIL,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LODGE AT VAIL CHALETS</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GAME CREEK CLUB</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SUNAPEE DIFFERENCE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Hampshire</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SKI AREA</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SUNAPEE SKI RENTALS</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80" w:top="916" w:right="519" w:bottom="1440" w:gutter="0" w:footer="0" w:header="0"/>
        </w:sectPr>
      </w:pPr>
    </w:p>
    <w:bookmarkStart w:id="130" w:name="page131"/>
    <w:bookmarkEnd w:id="13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VAIL CORPORATION</w:t>
            </w:r>
          </w:p>
        </w:tc>
        <w:tc>
          <w:tcPr>
            <w:tcW w:w="200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ARROWHEAD ALPINE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ASPEN GROVE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AVAIL ADVENTURE OUTFITTERS, LTD.</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BACHELOR GULCH</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BACHELOR GULCH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GORE CREEK MINI GOLF</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PASSPORT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PRATER LANE PLAY SCHOOL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SKY GOLF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SKY GOLF CLUB GUEST CLUBHOUSE PRO SHOP</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RED SKY GOLF CLUB MEMBER PRO SHOP</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ARRABELLE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OSPREY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PASSPORT CLUBHOUSE AT GOLDEN PEAK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YOUNGER GENERATION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TV8</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CONSULTANTS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HIKING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MANAGEMENT COMPANY</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SNOWBOARD SUPPLY</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w w:val="99"/>
              </w:rPr>
              <w:t>THE VILLAGE AT BRECKENRIDGE ACQUISITION</w:t>
            </w:r>
          </w:p>
        </w:tc>
        <w:tc>
          <w:tcPr>
            <w:tcW w:w="2000" w:type="dxa"/>
            <w:vAlign w:val="bottom"/>
            <w:tcBorders>
              <w:right w:val="single" w:sz="8" w:color="auto"/>
            </w:tcBorders>
          </w:tcPr>
          <w:p>
            <w:pPr>
              <w:ind w:left="680"/>
              <w:spacing w:after="0" w:line="191" w:lineRule="exact"/>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BRECKENRIDGE CATTLE COMPANY</w:t>
            </w:r>
          </w:p>
        </w:tc>
      </w:tr>
      <w:tr>
        <w:trPr>
          <w:trHeight w:val="243"/>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CORP., INC.</w:t>
            </w:r>
          </w:p>
        </w:tc>
        <w:tc>
          <w:tcPr>
            <w:tcW w:w="2000" w:type="dxa"/>
            <w:vAlign w:val="bottom"/>
            <w:tcBorders>
              <w:right w:val="single" w:sz="8" w:color="auto"/>
            </w:tcBorders>
          </w:tcPr>
          <w:p>
            <w:pPr>
              <w:spacing w:after="0"/>
              <w:rPr>
                <w:sz w:val="21"/>
                <w:szCs w:val="21"/>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MOUNTAIN LODGE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CAFÉ BRECKENRIDGE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 STRIKE SALOON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JAKE T. POUNDERS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MAGGIE CAFETERIA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THUNDER PROPERTY MANAGEMENT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PASTA COMPANY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RESORT LODGING</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VILLAGE AT BRECKENRIDGE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VILLAGE AT BRECKENRIDGE RESORT</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VILLAGE PUB</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TRIMONT LAND COMPANY</w:t>
            </w:r>
          </w:p>
        </w:tc>
        <w:tc>
          <w:tcPr>
            <w:tcW w:w="20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California</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NORTHSTAR AT TAHOE RESORT</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NORTHSTAR CALIFORNIA</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TRIPLE PEAKS, LLC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HOLDINGS, LTD.</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INVESTMENTS, INC.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WARREN LAKES VENTURE, LTD.</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REAL ESTATE, INC.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SCHOLARSHIP PROGRAM</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16" w:right="519" w:bottom="1440" w:gutter="0" w:footer="0" w:header="0"/>
        </w:sectPr>
      </w:pPr>
    </w:p>
    <w:bookmarkStart w:id="131" w:name="page132"/>
    <w:bookmarkEnd w:id="13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FOOD SERVICES, INC.</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BISTRO 14</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BUFFALOS ROADHOUSE GRILL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CAMP 1,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EXTRA EXTRA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FOX HOLLOW GOLF COURSE CLUBHOUSE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GAME CREEK CLUB VILLAGE CLUBHOUSE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GOLDEN PEAK GRILL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GOLDEN PEAK RESTAURANT AND CANTINA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THE DOG HAUS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ONE ELK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RIPPEROO’S CORNER CAFÉ</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SALSA’S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10TH</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LIONS DEN BAR &amp; GRILL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ELK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DINING COMPANY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WAFFLE WAY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WILDWOOD EXPRESS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WILDWOOD SMOKEHOUSE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WOK ‘N ROLL ‘N RICE, INC.</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WOK’N ROLL, INC.</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FINANCE B.V.</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Netherlands</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 BROKERAGE, A DIVISION OF VAIL ASSOCIATES,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APRES LOUNGE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AVON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AVON-VAIL COMPANY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ADVERTISING AGENCY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ANTIQUES,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APARTMENTS,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ART,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AT AVON,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AT VAIL,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BACKPACKING,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BAKERY,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BAR,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BARBERS,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BICYCLES,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BOOK AND POSTER SHOP,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BOOK STORE,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BOOKING AGENCY,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BOOKING AND TICKET AGENCY,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BEAVER CREEK BOOKSTORE AND OFFICE SUPPLY,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BUILDERS,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BUS SERVICE,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CAB,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CABLE T V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CAFÉ &amp; LOUNGE,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CAMERA,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CHEESE SHOP, INC.</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CINEMA, INC.</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80" w:top="916" w:right="519" w:bottom="1440" w:gutter="0" w:footer="0" w:header="0"/>
        </w:sectPr>
      </w:pPr>
    </w:p>
    <w:bookmarkStart w:id="132" w:name="page133"/>
    <w:bookmarkEnd w:id="1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 (cont.)</w:t>
            </w:r>
          </w:p>
        </w:tc>
        <w:tc>
          <w:tcPr>
            <w:tcW w:w="200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CLEANERS,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CLOTHING,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CONDOMINIUM MANAGEMENT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RENTAL,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CONDOMINIUM RENTAL,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CONDOMINIUMS AND LODGE,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CONDOMINIUMS,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CONDOTEL,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CONFERENCE CENTER,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CONSTRUCTION AND DEVELOPMENT,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CONSTRUCTION COMPANY,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CONSTRUCTION MANAGEMENT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CONSULTANTS,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CYCLE SHOP,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DAIRY,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DECORATING,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DEPARTMENT STORE,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DEVELOPMENT COMPANY,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DISTRIBUTING,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DRUGS,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DRUGSTORE,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DRY CLEANERS,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ELECTRIC,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ENGINEERS,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EQUESTRIAN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FILLING STATION,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FIREWOOD,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FLORISTS,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FLYING SERVICE,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FOOD STORE,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GALLERIES,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GAS STATION,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GENERAL CONTRACTORS,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GIFT SHOP,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GOLF AND TENNIS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GOLF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GOLF CLUB BAR &amp; GRILL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GROCERY,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GUIDES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HARDWARE,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HEALTH SPA,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HEATING &amp; PLUMBING,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HOSTESSES,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HOTEL COMPANY,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INTERIOR DESIGN,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JEEP GUIDES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JEWELERS,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JOURNAL,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LANDSCAPING AND SNOWPLOWING,</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LAUNDROMAT, INC.</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80" w:top="916" w:right="519" w:bottom="1440" w:gutter="0" w:footer="0" w:header="0"/>
        </w:sectPr>
      </w:pPr>
    </w:p>
    <w:bookmarkStart w:id="133" w:name="page134"/>
    <w:bookmarkEnd w:id="13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 (cont.)</w:t>
            </w:r>
          </w:p>
        </w:tc>
        <w:tc>
          <w:tcPr>
            <w:tcW w:w="200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LIMOUSINE SERVICE,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LIQUOR AND WINE SHOP,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LIQUOR STORE,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LIQUORS,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LODGE AND CONFERENCE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MAINTENANCE AND REPAIR,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MARKET,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MARKETING ASSOCIATION,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MEADOWS,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MERCHANTS ASSOCIATION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MOBILE COURT,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MOBILE HOME PARK,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MOTEL,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MOTOR LODGE,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MOUNTAIN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MOUNTAINEERING,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NEWS AGENCY,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NEWS,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OUTDOOR CLUB,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PAINTING,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PHARMACY,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PHOTOGRAPHY,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PIZZA,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PLANTERS,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PRINTERY,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PRINTING AND SECRETARIAL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PUB,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RANCH,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REAL ESTATE,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REALTY AND MANAGEMENT,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RECREATION AREA,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RENTALS,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RESERVATION SERVICE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RESORT AND CONFERENCE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RESORT AND TENNIS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RESORT ASSOCIATION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RESTAURANT,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SALES,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SALOON,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SECURITY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SERVICE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SERVICE STATION,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AND MOUNTAINEERING,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AND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AREA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CLUB, INC.</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CORPORATION</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80" w:top="916" w:right="519" w:bottom="1440" w:gutter="0" w:footer="0" w:header="0"/>
        </w:sectPr>
      </w:pPr>
    </w:p>
    <w:bookmarkStart w:id="134" w:name="page135"/>
    <w:bookmarkEnd w:id="13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 (cont.)</w:t>
            </w:r>
          </w:p>
        </w:tc>
        <w:tc>
          <w:tcPr>
            <w:tcW w:w="200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PATROL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RENTAL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REPAIR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SCHOOL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SERVICE,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SHOPS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 TOURING,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SKIING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SNOWPLOWING,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SPIRITS,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SPORT SHOP</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SPORTING GOODS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STEAK HOUSE,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SYSTEMS,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 V,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TAXI SERVICE,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TENNIS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TOWING,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TRADING POST,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TRADING,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TRAILER PARK,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TRANSPORTATION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TRAVEL AGENCY,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TRAVEL SERVICE,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VACATION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VALLEY ASSOCIATION,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VILLAGER,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VISITORS SERVICE,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CREEKSIDE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CREEK-VAIL COMPANY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BEAVER-VAIL DEVELOPMENT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EAGLE RESIDENCES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EXTREMELY VAIL,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FOOD STORE AT BEAVER CREEK,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GAME CREEK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LODGE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MERIDIAN GROUP JOINT VENTURE, LTD.</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PLAZA LODGE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ADVENTURE COMPANY,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BEAVER TAIL,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ENCLAVE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INN AT BEAVER CREEK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TRAIL’S END BAR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DEVELOPMENT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VENTURES,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BEAVER CREEK REAL ESTATE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BOBSLED ADVENTURES,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CLUB</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MOUNTAIN RESORT AND CONFERENCE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PRODUCTIONS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CENTRAL RESERVATIONS</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80" w:top="916" w:right="519" w:bottom="1440" w:gutter="0" w:footer="0" w:header="0"/>
        </w:sectPr>
      </w:pPr>
    </w:p>
    <w:bookmarkStart w:id="135" w:name="page136"/>
    <w:bookmarkEnd w:id="13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HOLDINGS, INC. (cont.)</w:t>
            </w:r>
          </w:p>
        </w:tc>
        <w:tc>
          <w:tcPr>
            <w:tcW w:w="2000" w:type="dxa"/>
            <w:vAlign w:val="bottom"/>
            <w:tcBorders>
              <w:top w:val="single" w:sz="8" w:color="auto"/>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VAIL/BROADMOOR, INC.</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VAIL/JAPAN ENTERPRISES, INC.</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VAIL-AVON COMPANY</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VAIL-BEAVER CREEK COMPANY</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WILDWOOD SHELTER</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HOTEL MANAGEMENT COMPANY, LLC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DEVELOPMENT COMPANY</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ASSOCIATES REAL ESTATE GROUP</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LODGING COMPANY</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Delaware</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RENTAL MANAGEMENT COMPANY</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HOSPITALITY</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RR, INC.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SUMMIT RESORTS, INC.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VILLAGE TRAVEL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HOSPITALITY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LODGING &amp; HOSPITALITY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MOUNTAIN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PROPERTY MANAGEMENT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SKI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BRECKENRIDGE SKI RESORT CORPORATION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COLORADO VACATIONS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CONFERENCE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LODGE &amp; SPA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LODGING &amp; HOSPITALITY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RESORT,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STABLES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KEYSTONE TRAVEL</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RALSTON RESORTS,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RESERVATIONS FOR THE SUMMIT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RESORT VACATIONS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ROCKY MOUNTAIN SKI CONSOLIDATORS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CENTRAL RESERVATIONS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RESERVATIONS, INC.</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VAIL/BEAVER CREEK TRAVEL</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TRADEMARKS, INC.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RESORTS TRADEMARKS, INC.</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VAIL/ARROWHEAD, INC.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1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VAIL/BEAVER CREEK RESORT PROPERTIES, INC.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ARROWHEAD PROPERTY MANAGEMENT COMPANY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BACHELOR GULCH PROPERTY MANAGEMENT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RESORT PROPERTIES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BEAVER CREEK TENNIS CENTER</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PLAZA RENTAL RESERVATIONS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PLAZA RESERVATIONS, INC.</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TRAPPER’S CABIN</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VAIL PROPERTY MANAGEMENT</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VAMHC, INC.</w:t>
            </w:r>
          </w:p>
        </w:tc>
        <w:tc>
          <w:tcPr>
            <w:tcW w:w="200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ACQUISITION, INC.</w:t>
            </w:r>
          </w:p>
        </w:tc>
        <w:tc>
          <w:tcPr>
            <w:tcW w:w="200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California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AUSTRALIA HOLDINGS PTY LTD</w:t>
            </w:r>
          </w:p>
        </w:tc>
        <w:tc>
          <w:tcPr>
            <w:tcW w:w="200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1000"/>
          </w:cols>
          <w:pgMar w:left="380" w:top="916" w:right="519" w:bottom="1440" w:gutter="0" w:footer="0" w:header="0"/>
        </w:sectPr>
      </w:pPr>
    </w:p>
    <w:bookmarkStart w:id="136" w:name="page137"/>
    <w:bookmarkEnd w:id="1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CPC HOLDINGS, INC.</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CANYONS GOLF COURSE BEVERAGE CARTS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COBRA DOG SHACK</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JUPITER JAVA</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KRISTI’S COFFEE CAFÉ</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LEGACY LODGE</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LEGACY SPORTS</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LEGENDS AT THE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MID MOUNTAIN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MINER’S CAMP RESTAURANT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MOUNTAIN</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MOUNTAIN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PARK CITY RESORT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SNOW HUT</w:t>
            </w:r>
          </w:p>
        </w:tc>
      </w:tr>
      <w:tr>
        <w:trPr>
          <w:trHeight w:val="216"/>
        </w:trPr>
        <w:tc>
          <w:tcPr>
            <w:tcW w:w="4200" w:type="dxa"/>
            <w:vAlign w:val="bottom"/>
            <w:tcBorders>
              <w:left w:val="single" w:sz="8" w:color="auto"/>
              <w:right w:val="single" w:sz="8" w:color="auto"/>
            </w:tcBorders>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SUMMIT HOUSE</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CANYONS</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CPC SERVICES,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HEAVENLY CONCESSIONS,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HEAVENLY I,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HEAVENLY II,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Colorado</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VR NE HOLDINGS, LLC</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JACKSON GORE VILLAGE</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JACKSON GORE VILLAGE RENTALS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JACKSON GORE VILLAGE SPORT AND FITNESS CENTER</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NW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PA HOLDINGS,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VR US HOLDINGS, INC.</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AFTON ALPS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AFTON ALPS RESORT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BRUHN’S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MT. BRIGHTON</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MT. BRIGHTON RESORT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ONE CREEK MOUNTAIN GRILL</w:t>
            </w:r>
          </w:p>
        </w:tc>
      </w:tr>
      <w:tr>
        <w:trPr>
          <w:trHeight w:val="189"/>
        </w:trPr>
        <w:tc>
          <w:tcPr>
            <w:tcW w:w="42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SKI HILL GRILL</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TRUCK</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VR US HOLDINGS II, LLC</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ADVENTURE CENTER</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ADVENTURE OUTFITTERS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ALL MOUNTAIN PROGRAM (AMP)</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CHILDREN’S ADVENTURE CENTER</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CLIFF HOUSE RESTAURANT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FIRST CHAIR ALPINE</w:t>
            </w:r>
          </w:p>
        </w:tc>
      </w:tr>
      <w:tr>
        <w:trPr>
          <w:trHeight w:val="189"/>
        </w:trPr>
        <w:tc>
          <w:tcPr>
            <w:tcW w:w="42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FRONT FOUR DEMO CENTER</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FRONT FOUR RENTALS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FRONT FOUR SPORTS</w:t>
            </w:r>
          </w:p>
        </w:tc>
      </w:tr>
      <w:tr>
        <w:trPr>
          <w:trHeight w:val="202"/>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GEAR ZONE</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GONDOLA CAFÉ</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GREAT ROOM GRILL</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INSIDER’S GUIDE TO STOWE</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LODGE AT MT. MANSFIELD</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LODGE AT STOWE MOUNTAIN RESORT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MANSFIELD CROSS-COUNTRY SKI CENTER</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MANSFIELD SPORT SHOPS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MIDWAY CAFÉ</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MIDWAY LODGE</w:t>
            </w:r>
          </w:p>
        </w:tc>
      </w:tr>
      <w:tr>
        <w:trPr>
          <w:trHeight w:val="189"/>
        </w:trPr>
        <w:tc>
          <w:tcPr>
            <w:tcW w:w="42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MIGHTYBUSTERS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MINIBUSTERS</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 MANSFIELD LODGE AT LONG TRAIL</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80" w:top="916" w:right="519" w:bottom="1440" w:gutter="0" w:footer="0" w:header="0"/>
        </w:sectPr>
      </w:pPr>
    </w:p>
    <w:bookmarkStart w:id="137" w:name="page138"/>
    <w:bookmarkEnd w:id="13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 US HOLDINGS II, LLC (cont.)</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MOUNTAIN CLINIC</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MT. MANSFIELD BASE LODGE</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MT. MANSFIELD LODGE</w:t>
            </w:r>
          </w:p>
        </w:tc>
      </w:tr>
      <w:tr>
        <w:trPr>
          <w:trHeight w:val="202"/>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MT. MANSFIELD SKI PATROL</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MT. MANSFIELD SPORTS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OCTAGON CAFETERIA</w:t>
            </w:r>
          </w:p>
        </w:tc>
      </w:tr>
      <w:tr>
        <w:trPr>
          <w:trHeight w:val="189"/>
        </w:trPr>
        <w:tc>
          <w:tcPr>
            <w:tcW w:w="42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SLOPESIDE MARKET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SPRUCE BASE CAMP</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SPRUCE CAMP</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SPRUCE CAMP BAR</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SPRUCE CAMP BASE LODGE</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SPRUCE LODGE AT MOUNT MANSFIELD</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SPRUCE PEAK SPORTS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STAY TUNED</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 ADVENTURE CENTER</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 BASE CAMP</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 BYPASS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 FOR STARTERS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 INSIDER GUIDE</w:t>
            </w:r>
          </w:p>
        </w:tc>
      </w:tr>
      <w:tr>
        <w:trPr>
          <w:trHeight w:val="189"/>
        </w:trPr>
        <w:tc>
          <w:tcPr>
            <w:tcW w:w="42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STOWE ROCKS!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 SPRUCE BASE LODGE</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 TOYS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 NATURALLY VERMONT’S BEST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STOWEBUSTERS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STOWE’S MIDWAY CAFÉ</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STOWKED</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SUMMER ADVENTURE CAMP</w:t>
            </w:r>
          </w:p>
        </w:tc>
      </w:tr>
      <w:tr>
        <w:trPr>
          <w:trHeight w:val="202"/>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THE CANTEEN RESTAURANT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THE INN AT THE MOUNTAIN</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THE MANSFIELD CLUB</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THE SMUGGLER’S DEN</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THE STOWE MOUNTAIN RESORT</w:t>
            </w:r>
          </w:p>
        </w:tc>
      </w:tr>
      <w:tr>
        <w:trPr>
          <w:trHeight w:val="189"/>
        </w:trPr>
        <w:tc>
          <w:tcPr>
            <w:tcW w:w="4200" w:type="dxa"/>
            <w:vAlign w:val="bottom"/>
            <w:tcBorders>
              <w:left w:val="single" w:sz="8" w:color="auto"/>
              <w:right w:val="single" w:sz="8" w:color="auto"/>
            </w:tcBorders>
          </w:tcPr>
          <w:p>
            <w:pPr>
              <w:spacing w:after="0"/>
              <w:rPr>
                <w:sz w:val="16"/>
                <w:szCs w:val="16"/>
                <w:color w:val="auto"/>
              </w:rPr>
            </w:pPr>
          </w:p>
        </w:tc>
        <w:tc>
          <w:tcPr>
            <w:tcW w:w="2000" w:type="dxa"/>
            <w:vAlign w:val="bottom"/>
            <w:tcBorders>
              <w:right w:val="single" w:sz="8" w:color="auto"/>
            </w:tcBorders>
          </w:tcPr>
          <w:p>
            <w:pPr>
              <w:spacing w:after="0"/>
              <w:rPr>
                <w:sz w:val="16"/>
                <w:szCs w:val="16"/>
                <w:color w:val="auto"/>
              </w:rPr>
            </w:pPr>
          </w:p>
        </w:tc>
        <w:tc>
          <w:tcPr>
            <w:tcW w:w="4820" w:type="dxa"/>
            <w:vAlign w:val="bottom"/>
            <w:tcBorders>
              <w:right w:val="single" w:sz="8" w:color="auto"/>
            </w:tcBorders>
          </w:tcPr>
          <w:p>
            <w:pPr>
              <w:ind w:left="80"/>
              <w:spacing w:after="0" w:line="189" w:lineRule="exact"/>
              <w:rPr>
                <w:sz w:val="20"/>
                <w:szCs w:val="20"/>
                <w:color w:val="auto"/>
              </w:rPr>
            </w:pPr>
            <w:r>
              <w:rPr>
                <w:rFonts w:ascii="Times New Roman" w:cs="Times New Roman" w:eastAsia="Times New Roman" w:hAnsi="Times New Roman"/>
                <w:sz w:val="18"/>
                <w:szCs w:val="18"/>
                <w:color w:val="auto"/>
              </w:rPr>
              <w:t>THE STOWE SHOP</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THE WAFFLE</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TOLL HOUSE CONFERENCE CENTER</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TRAILBLAZERS</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TREETOP ADVENTURE</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ZIPTOUR ADVENTURE</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VR WM HOLDINGS, LLC</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MT. BRIGHTON RESORT</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WILMOT MOUNTAIN</w:t>
            </w:r>
          </w:p>
        </w:tc>
      </w:tr>
      <w:tr>
        <w:trPr>
          <w:trHeight w:val="203"/>
        </w:trPr>
        <w:tc>
          <w:tcPr>
            <w:tcW w:w="4200" w:type="dxa"/>
            <w:vAlign w:val="bottom"/>
            <w:tcBorders>
              <w:left w:val="single" w:sz="8" w:color="auto"/>
              <w:right w:val="single" w:sz="8" w:color="auto"/>
            </w:tcBorders>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4820" w:type="dxa"/>
            <w:vAlign w:val="bottom"/>
            <w:tcBorders>
              <w:righ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color w:val="auto"/>
              </w:rPr>
              <w:t>WILMOT MOUNTAIN RESORT</w:t>
            </w:r>
          </w:p>
        </w:tc>
      </w:tr>
      <w:tr>
        <w:trPr>
          <w:trHeight w:val="234"/>
        </w:trPr>
        <w:tc>
          <w:tcPr>
            <w:tcW w:w="4200" w:type="dxa"/>
            <w:vAlign w:val="bottom"/>
            <w:tcBorders>
              <w:left w:val="single" w:sz="8" w:color="auto"/>
              <w:right w:val="single" w:sz="8" w:color="auto"/>
            </w:tcBorders>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WILMOT MOUNTAIN SKI RESORT</w:t>
            </w: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VRSS HOLDINGS,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4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LAUREL MOUNTAIN RESORT</w:t>
            </w: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VRV AUSTRALIA PTY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Australia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WB LAND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WB LAND (CREEKSIDE SNOW SCHOOL)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WB/T DEVELOPMENT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WC ACQUISITION CORP.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Hampshire</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WEST LAKE WATER PROJECT, LLC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Vermont</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WHISTLER &amp; BLACKCOMB MOUNTAIN</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RESORTS LIMITED</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ALPINE CLUB INC.</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BLACKCOMB EMPLOYMENT CORP.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WHISTLER BLACKCOMB GENERAL PARTNER</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LTD.</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WHISTLER BLACKCOMB HOLDINGS INC. (f/k/a</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1068877 BC Ltd.)</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000"/>
          </w:cols>
          <w:pgMar w:left="380" w:top="916" w:right="519" w:bottom="1440" w:gutter="0" w:footer="0" w:header="0"/>
        </w:sectPr>
      </w:pPr>
    </w:p>
    <w:bookmarkStart w:id="138" w:name="page139"/>
    <w:bookmarkEnd w:id="138"/>
    <w:p>
      <w:pPr>
        <w:spacing w:after="0" w:line="1" w:lineRule="exact"/>
        <w:rPr>
          <w:sz w:val="20"/>
          <w:szCs w:val="20"/>
          <w:color w:val="auto"/>
        </w:rPr>
      </w:pPr>
    </w:p>
    <w:tbl>
      <w:tblPr>
        <w:tblLayout w:type="fixed"/>
        <w:tblInd w:w="70" w:type="dxa"/>
        <w:tblCellMar>
          <w:top w:w="0" w:type="dxa"/>
          <w:left w:w="0" w:type="dxa"/>
          <w:bottom w:w="0" w:type="dxa"/>
          <w:right w:w="0" w:type="dxa"/>
        </w:tblCellMar>
      </w:tblPr>
      <w:tr>
        <w:trPr>
          <w:trHeight w:val="248"/>
        </w:trPr>
        <w:tc>
          <w:tcPr>
            <w:tcW w:w="42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HELI-SKIING LTD.</w:t>
            </w:r>
          </w:p>
        </w:tc>
        <w:tc>
          <w:tcPr>
            <w:tcW w:w="20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top w:val="single" w:sz="8" w:color="auto"/>
              <w:right w:val="single" w:sz="8" w:color="auto"/>
            </w:tcBorders>
          </w:tcPr>
          <w:p>
            <w:pPr>
              <w:spacing w:after="0"/>
              <w:rPr>
                <w:sz w:val="21"/>
                <w:szCs w:val="21"/>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WHISTLER MOUNTAIN RESORT LIMITED</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PARTNERSHIP</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WHISTLER SKI SCHOOL LTD.</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191"/>
        </w:trPr>
        <w:tc>
          <w:tcPr>
            <w:tcW w:w="4200" w:type="dxa"/>
            <w:vAlign w:val="bottom"/>
            <w:tcBorders>
              <w:left w:val="single" w:sz="8" w:color="auto"/>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WHISTLER/BLACKCOMB MOUNTAIN</w:t>
            </w:r>
          </w:p>
        </w:tc>
        <w:tc>
          <w:tcPr>
            <w:tcW w:w="2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British Columbia</w:t>
            </w:r>
          </w:p>
        </w:tc>
        <w:tc>
          <w:tcPr>
            <w:tcW w:w="4820" w:type="dxa"/>
            <w:vAlign w:val="bottom"/>
            <w:tcBorders>
              <w:right w:val="single" w:sz="8" w:color="auto"/>
            </w:tcBorders>
          </w:tcPr>
          <w:p>
            <w:pPr>
              <w:spacing w:after="0"/>
              <w:rPr>
                <w:sz w:val="16"/>
                <w:szCs w:val="16"/>
                <w:color w:val="auto"/>
              </w:rPr>
            </w:pPr>
          </w:p>
        </w:tc>
      </w:tr>
      <w:tr>
        <w:trPr>
          <w:trHeight w:val="234"/>
        </w:trPr>
        <w:tc>
          <w:tcPr>
            <w:tcW w:w="42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EMPLOYEE HOUSING LTD.</w:t>
            </w:r>
          </w:p>
        </w:tc>
        <w:tc>
          <w:tcPr>
            <w:tcW w:w="2000" w:type="dxa"/>
            <w:vAlign w:val="bottom"/>
            <w:tcBorders>
              <w:right w:val="single" w:sz="8" w:color="auto"/>
            </w:tcBorders>
          </w:tcPr>
          <w:p>
            <w:pPr>
              <w:spacing w:after="0"/>
              <w:rPr>
                <w:sz w:val="20"/>
                <w:szCs w:val="20"/>
                <w:color w:val="auto"/>
              </w:rPr>
            </w:pPr>
          </w:p>
        </w:tc>
        <w:tc>
          <w:tcPr>
            <w:tcW w:w="4820" w:type="dxa"/>
            <w:vAlign w:val="bottom"/>
            <w:tcBorders>
              <w:right w:val="single" w:sz="8" w:color="auto"/>
            </w:tcBorders>
          </w:tcPr>
          <w:p>
            <w:pPr>
              <w:spacing w:after="0"/>
              <w:rPr>
                <w:sz w:val="20"/>
                <w:szCs w:val="20"/>
                <w:color w:val="auto"/>
              </w:rPr>
            </w:pPr>
          </w:p>
        </w:tc>
      </w:tr>
      <w:tr>
        <w:trPr>
          <w:trHeight w:val="27"/>
        </w:trPr>
        <w:tc>
          <w:tcPr>
            <w:tcW w:w="4200" w:type="dxa"/>
            <w:vAlign w:val="bottom"/>
            <w:tcBorders>
              <w:left w:val="single" w:sz="8" w:color="auto"/>
              <w:bottom w:val="single" w:sz="8" w:color="auto"/>
              <w:right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WHITETAIL MOUNTAIN OPERATING CORP.</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Pennsylvania</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420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ZERODIX SÀRL</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4820" w:type="dxa"/>
            <w:vAlign w:val="bottom"/>
            <w:tcBorders>
              <w:right w:val="single" w:sz="8" w:color="auto"/>
            </w:tcBorders>
          </w:tcPr>
          <w:p>
            <w:pPr>
              <w:spacing w:after="0"/>
              <w:rPr>
                <w:sz w:val="19"/>
                <w:szCs w:val="19"/>
                <w:color w:val="auto"/>
              </w:rPr>
            </w:pPr>
          </w:p>
        </w:tc>
      </w:tr>
      <w:tr>
        <w:trPr>
          <w:trHeight w:val="22"/>
        </w:trPr>
        <w:tc>
          <w:tcPr>
            <w:tcW w:w="42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00" w:type="dxa"/>
            <w:vAlign w:val="bottom"/>
            <w:tcBorders>
              <w:bottom w:val="single" w:sz="8" w:color="auto"/>
              <w:right w:val="single" w:sz="8" w:color="auto"/>
            </w:tcBorders>
          </w:tcPr>
          <w:p>
            <w:pPr>
              <w:spacing w:after="0" w:line="20" w:lineRule="exact"/>
              <w:rPr>
                <w:sz w:val="1"/>
                <w:szCs w:val="1"/>
                <w:color w:val="auto"/>
              </w:rPr>
            </w:pPr>
          </w:p>
        </w:tc>
        <w:tc>
          <w:tcPr>
            <w:tcW w:w="4820" w:type="dxa"/>
            <w:vAlign w:val="bottom"/>
            <w:tcBorders>
              <w:bottom w:val="single" w:sz="8" w:color="auto"/>
              <w:right w:val="single" w:sz="8" w:color="auto"/>
            </w:tcBorders>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Includes only those entities owned 50% or greater.</w:t>
      </w:r>
    </w:p>
    <w:p>
      <w:pPr>
        <w:sectPr>
          <w:pgSz w:w="11900" w:h="16838" w:orient="portrait"/>
          <w:cols w:equalWidth="0" w:num="1">
            <w:col w:w="11060"/>
          </w:cols>
          <w:pgMar w:left="320" w:top="916" w:right="51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333-145934, 333-169552, and 333-208357) of Vail Resorts, Inc. of our report dated September 26, 2024 relating to the financial statements and the effectiveness of internal control over financial reporting, which appears in this Form 10-K.</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26, 2024</w:t>
      </w:r>
    </w:p>
    <w:p>
      <w:pPr>
        <w:sectPr>
          <w:pgSz w:w="11900" w:h="16838" w:orient="portrait"/>
          <w:cols w:equalWidth="0" w:num="1">
            <w:col w:w="11240"/>
          </w:cols>
          <w:pgMar w:left="320" w:top="941" w:right="3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A. Lynch, certify that:</w:t>
      </w:r>
    </w:p>
    <w:p>
      <w:pPr>
        <w:spacing w:after="0" w:line="387" w:lineRule="exact"/>
        <w:rPr>
          <w:sz w:val="20"/>
          <w:szCs w:val="20"/>
          <w:color w:val="auto"/>
        </w:rPr>
      </w:pPr>
    </w:p>
    <w:p>
      <w:pPr>
        <w:ind w:left="520" w:hanging="172"/>
        <w:spacing w:after="0"/>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4"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520" w:right="40" w:hanging="172"/>
        <w:spacing w:after="0" w:line="226"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200" w:right="40" w:hanging="681"/>
        <w:spacing w:after="0" w:line="237" w:lineRule="auto"/>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26, 2024</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Angela A. Korch, certify that:</w:t>
      </w:r>
    </w:p>
    <w:p>
      <w:pPr>
        <w:spacing w:after="0" w:line="387" w:lineRule="exact"/>
        <w:rPr>
          <w:sz w:val="20"/>
          <w:szCs w:val="20"/>
          <w:color w:val="auto"/>
        </w:rPr>
      </w:pPr>
    </w:p>
    <w:p>
      <w:pPr>
        <w:ind w:left="520" w:hanging="17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9"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jc w:val="both"/>
        <w:ind w:left="520" w:right="40" w:hanging="172"/>
        <w:spacing w:after="0" w:line="231"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00" w:right="40" w:hanging="681"/>
        <w:spacing w:after="0" w:line="234" w:lineRule="auto"/>
        <w:tabs>
          <w:tab w:leader="none" w:pos="12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jc w:val="both"/>
        <w:ind w:left="1200" w:right="40" w:hanging="681"/>
        <w:spacing w:after="0" w:line="231" w:lineRule="auto"/>
        <w:tabs>
          <w:tab w:leader="none" w:pos="12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26, 2024</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54"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Annual Report on Form 10-K for the year ended July 31, 2024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26, 2024</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September 26, 2024</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Angela A. Korch</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10-K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10-K),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p>
      <w:pPr>
        <w:sectPr>
          <w:pgSz w:w="11900" w:h="16838" w:orient="portrait"/>
          <w:cols w:equalWidth="0" w:num="1">
            <w:col w:w="11240"/>
          </w:cols>
          <w:pgMar w:left="320" w:top="887"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20"/>
          <w:szCs w:val="20"/>
          <w:b w:val="1"/>
          <w:bCs w:val="1"/>
          <w:color w:val="auto"/>
        </w:rPr>
        <w:t>Exhibit 97.1</w:t>
      </w: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Effective Date: 10/02/23</w:t>
      </w: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Executive Compensation Clawback Policy</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______________________________________________________________________</w:t>
      </w:r>
    </w:p>
    <w:p>
      <w:pPr>
        <w:spacing w:after="0" w:line="21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This Amended Executive Compensation Clawback Policy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describes the circumstances in which Executive Officers are required to repay or return Erroneously Awarded Compensation to Vail Resorts, Inc.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This Policy will be interpreted consistent with Section 954 of the Dodd-Frank Wall Street Reform and Consumer Protection Act of 2010, Section 10D of the Securities Exchange Act of 1934, and the applicable listing standards of the New York Stock Exchange (</w:t>
      </w:r>
      <w:r>
        <w:rPr>
          <w:rFonts w:ascii="Times New Roman" w:cs="Times New Roman" w:eastAsia="Times New Roman" w:hAnsi="Times New Roman"/>
          <w:sz w:val="20"/>
          <w:szCs w:val="20"/>
          <w:b w:val="1"/>
          <w:bCs w:val="1"/>
          <w:color w:val="auto"/>
        </w:rPr>
        <w:t>“NYSE”</w:t>
      </w:r>
      <w:r>
        <w:rPr>
          <w:rFonts w:ascii="Times New Roman" w:cs="Times New Roman" w:eastAsia="Times New Roman" w:hAnsi="Times New Roman"/>
          <w:sz w:val="20"/>
          <w:szCs w:val="20"/>
          <w:color w:val="auto"/>
        </w:rPr>
        <w:t>). Capitalized terms in this Policy have the meaning set forth in the Definitions section below.</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In the event that the Board of Directors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determines or reasonably should have determined that an Accounting Restatement is necessary, or a court, regulator, or other legally authorized body directs the Company to prepare an Accounting Restatement, the Compensation Committee will review all Incentive Payments to Executive Officers in the applicable Recovery Period to determine any Erroneously Awarded Compensation, and will take such action as it deems appropriate to recover for the benefit of the Company such Erroneously Awarded Compensation.</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The Company is not required to recover Erroneously Awarded Compensation if the following conditions are met and the Compensation Committee determines that recovery would be impracticable: (a) the direct expenses paid to a third party to assist in enforcing the Policy against an Executive Officer would exceed the amount to be recovered, after the Company has made reasonable attempts at recovery, documented such attempts, and provided such documentation to the NYSE, or (b) recovery would likely cause an otherwise tax-qualified retirement plan, under which benefits are broadly available to employees of the Company, to fail to meet the requirements of 26 U.S.C. 401(a)(13) or 26 U.S.C. 411(a) and the regulations thereunder. Incentive Payments received by an Executive Officer before commencement of service as an Executive Officer are not subject to recovery under this Policy. Except as provided in this Policy, in no event may the Company accept an amount that is less than the amount of the Erroneously Awarded Compensation in satisfaction of an Executive Officer’s obligations under this Policy.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cannot indemnify any Executive Officer against (a) the loss of any Erroneously Awarded Compensation that is repaid, returned or recovered pursuant to the terms of this Policy, or (b) any claims relating to the Company’s enforcement of the rights under this Policy, in either case, where such indemnity is otherwise prohibited by applicable law or the NYSE.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purposes of this Policy:</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“Accounting Restatement” </w:t>
      </w:r>
      <w:r>
        <w:rPr>
          <w:rFonts w:ascii="Times New Roman" w:cs="Times New Roman" w:eastAsia="Times New Roman" w:hAnsi="Times New Roman"/>
          <w:sz w:val="19"/>
          <w:szCs w:val="19"/>
          <w:color w:val="auto"/>
        </w:rPr>
        <w:t>means an accounting restatement due to material noncompliance with any financial reporting requirement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securities laws, including any required accounting restatement to correct an error in previously issued financial restatements that is material to the previously issued financial statements, or that corrects an error that is not material to previously issued financial statements, but would result in a material misstatement if the error were corrected in the current period or left uncorrected in the current period.</w:t>
      </w:r>
    </w:p>
    <w:p>
      <w:pPr>
        <w:spacing w:after="0" w:line="16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 xml:space="preserve">“Erroneously Awarded Compensation” </w:t>
      </w:r>
      <w:r>
        <w:rPr>
          <w:rFonts w:ascii="Times New Roman" w:cs="Times New Roman" w:eastAsia="Times New Roman" w:hAnsi="Times New Roman"/>
          <w:sz w:val="20"/>
          <w:szCs w:val="20"/>
          <w:color w:val="auto"/>
        </w:rPr>
        <w:t>means Incentive Payments in excess of the amount that would have been paid based on the restated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results, computed without regard to any taxes paid. For Incentive Payments based on or derived from stock price or total shareholder return where the amount of Erroneously Awarded Compensation is not subject to mathematical recalculation directly from the</w:t>
      </w:r>
    </w:p>
    <w:p>
      <w:pPr>
        <w:sectPr>
          <w:pgSz w:w="11900" w:h="16838" w:orient="portrait"/>
          <w:cols w:equalWidth="0" w:num="1">
            <w:col w:w="11240"/>
          </w:cols>
          <w:pgMar w:left="320" w:top="599" w:right="339" w:bottom="1440" w:gutter="0" w:footer="0" w:header="0"/>
        </w:sectPr>
      </w:pPr>
    </w:p>
    <w:bookmarkStart w:id="144" w:name="page145"/>
    <w:bookmarkEnd w:id="144"/>
    <w:p>
      <w:pPr>
        <w:jc w:val="both"/>
        <w:spacing w:after="0" w:line="258" w:lineRule="auto"/>
        <w:rPr>
          <w:sz w:val="20"/>
          <w:szCs w:val="20"/>
          <w:color w:val="auto"/>
        </w:rPr>
      </w:pPr>
      <w:r>
        <w:rPr>
          <w:rFonts w:ascii="Times New Roman" w:cs="Times New Roman" w:eastAsia="Times New Roman" w:hAnsi="Times New Roman"/>
          <w:sz w:val="20"/>
          <w:szCs w:val="20"/>
          <w:color w:val="auto"/>
        </w:rPr>
        <w:t>information in the applicable Accounting Restatement, the Erroneously Awarded Compensation will be determined by the Compensation Committee based on a reasonable estimate of the effect of the Accounting Restatement on the stock price or total shareholder return upon which the Incentive Payment was received (in which case, the Company will maintain documentation of such determination of that reasonable estimate and provide such documentation to the NYSE).</w:t>
      </w:r>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“Executive Officers” </w:t>
      </w:r>
      <w:r>
        <w:rPr>
          <w:rFonts w:ascii="Times New Roman" w:cs="Times New Roman" w:eastAsia="Times New Roman" w:hAnsi="Times New Roman"/>
          <w:sz w:val="20"/>
          <w:szCs w:val="20"/>
          <w:color w:val="auto"/>
        </w:rPr>
        <w:t>means the Company’s current and former (a) president, principal financial officer, principal accounting officer (or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 is no principal accounting officer, the controller), (b) any vice-president in charge of a principal business unit, division or function (such as sales, administration, or finance), (c) any other officer who performs a policy-making function for the Company, or (d) any other person who performs similar policy-making functions for the Company, as determined by the Board in accordance with law.</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b w:val="1"/>
          <w:bCs w:val="1"/>
          <w:color w:val="auto"/>
        </w:rPr>
        <w:t xml:space="preserve">“Financial Reporting Measure” </w:t>
      </w:r>
      <w:r>
        <w:rPr>
          <w:rFonts w:ascii="Times New Roman" w:cs="Times New Roman" w:eastAsia="Times New Roman" w:hAnsi="Times New Roman"/>
          <w:sz w:val="20"/>
          <w:szCs w:val="20"/>
          <w:color w:val="auto"/>
        </w:rPr>
        <w:t>means a measure that is determined and presented in accordance with the accounting principles used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preparing the Company’s financial statements, and all other measures that are derived wholly or in part from such measures. Stock price and total shareholder return (and any measures that are derived wholly or in part from stock price or total shareholder return) are considered Financial Reporting Measures. A measure need not be presented in the Company’s financial statements or included in a filing with the Securities and Exchange Commission in order to be a Financial Reporting Measure under this definition.</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“Incentive Payments” </w:t>
      </w:r>
      <w:r>
        <w:rPr>
          <w:rFonts w:ascii="Times New Roman" w:cs="Times New Roman" w:eastAsia="Times New Roman" w:hAnsi="Times New Roman"/>
          <w:sz w:val="20"/>
          <w:szCs w:val="20"/>
          <w:color w:val="auto"/>
        </w:rPr>
        <w:t>means any compensation that is received, granted, earned or vested based wholly or in part upon the attainment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Reporting Measure. Incentive Payments are deemed received in the Company’s fiscal period during which the Financial Reporting Measure specified in the incentive payment award is attained, even if payment or grant of the incentive payment occurs after the end of that period. Incentive Payments do not include (a) bonuses paid solely at the discretion of the Board or Compensation Committee that are not paid from a bonus pool that is determined by satisfying a Financial Reporting Measure performance goal or solely upon satisfying one or more subjective standards and/or completion of a specified employment period, (b) non-equity incentive plan awards earned solely upon satisfying one or more strategic or operational measures, or (c) equity awards not contingent upon achieving any Financial Reporting Measure performance goal and vesting is contingent solely upon the completion of a specified employment period and/or attaining one or more non-financial reporting measures.</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b w:val="1"/>
          <w:bCs w:val="1"/>
          <w:color w:val="auto"/>
        </w:rPr>
        <w:t xml:space="preserve">“Recovery Period” </w:t>
      </w:r>
      <w:r>
        <w:rPr>
          <w:rFonts w:ascii="Times New Roman" w:cs="Times New Roman" w:eastAsia="Times New Roman" w:hAnsi="Times New Roman"/>
          <w:sz w:val="20"/>
          <w:szCs w:val="20"/>
          <w:color w:val="auto"/>
        </w:rPr>
        <w:t>means the three completed fiscal years preceding the earlier of (a) the date the Board determined or reasonably should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determined that an Accounting Restatement is necessary, or (b) the date a court, regulator, or other legally authorized body directed the Company to prepare an Accounting Restatement. In the event of a change to the Company’s fiscal year, the Recovery Period must also include any transition period of less than nine months within or immediately following those three completed fiscal years.</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lvl w:ilvl="1">
      <w:lvlJc w:val="left"/>
      <w:lvlText w:val="•"/>
      <w:numFmt w:val="bullet"/>
      <w:start w:val="1"/>
    </w:lvl>
  </w:abstractNum>
  <w:abstractNum w:abstractNumId="11">
    <w:nsid w:val="2A487CB0"/>
    <w:multiLevelType w:val="hybridMultilevel"/>
    <w:lvl w:ilvl="0">
      <w:lvlJc w:val="left"/>
      <w:lvlText w:val="•"/>
      <w:numFmt w:val="bullet"/>
      <w:start w:val="1"/>
    </w:lvl>
    <w:lvl w:ilvl="1">
      <w:lvlJc w:val="left"/>
      <w:lvlText w:val="•"/>
      <w:numFmt w:val="bullet"/>
      <w:start w:val="1"/>
    </w:lvl>
  </w:abstractNum>
  <w:abstractNum w:abstractNumId="12">
    <w:nsid w:val="1D4ED43B"/>
    <w:multiLevelType w:val="hybridMultilevel"/>
    <w:lvl w:ilvl="0">
      <w:lvlJc w:val="left"/>
      <w:lvlText w:val="•"/>
      <w:numFmt w:val="bullet"/>
      <w:start w:val="1"/>
    </w:lvl>
    <w:lvl w:ilvl="1">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1)"/>
      <w:numFmt w:val="lowerRoman"/>
      <w:start w:val="3"/>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1)"/>
      <w:numFmt w:val="lowerRoman"/>
      <w:start w:val="2"/>
    </w:lvl>
  </w:abstractNum>
  <w:abstractNum w:abstractNumId="35">
    <w:nsid w:val="23F9C13C"/>
    <w:multiLevelType w:val="hybridMultilevel"/>
    <w:lvl w:ilvl="0">
      <w:lvlJc w:val="left"/>
      <w:lvlText w:val="(%1)"/>
      <w:numFmt w:val="decimal"/>
      <w:start w:val="1"/>
    </w:lvl>
  </w:abstractNum>
  <w:abstractNum w:abstractNumId="36">
    <w:nsid w:val="649BB77C"/>
    <w:multiLevelType w:val="hybridMultilevel"/>
    <w:lvl w:ilvl="0">
      <w:lvlJc w:val="left"/>
      <w:lvlText w:val="(%1)"/>
      <w:numFmt w:val="decimal"/>
      <w:start w:val="2"/>
    </w:lvl>
  </w:abstractNum>
  <w:abstractNum w:abstractNumId="37">
    <w:nsid w:val="275AC794"/>
    <w:multiLevelType w:val="hybridMultilevel"/>
    <w:lvl w:ilvl="0">
      <w:lvlJc w:val="left"/>
      <w:lvlText w:val="(%1)"/>
      <w:numFmt w:val="lowerRoman"/>
      <w:start w:val="2"/>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2"/>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1)"/>
      <w:numFmt w:val="decimal"/>
      <w:start w:val="1"/>
    </w:lvl>
  </w:abstractNum>
  <w:abstractNum w:abstractNumId="42">
    <w:nsid w:val="47398C89"/>
    <w:multiLevelType w:val="hybridMultilevel"/>
    <w:lvl w:ilvl="0">
      <w:lvlJc w:val="left"/>
      <w:lvlText w:val="(%1)"/>
      <w:numFmt w:val="lowerLetter"/>
      <w:start w:val="1"/>
    </w:lvl>
  </w:abstractNum>
  <w:abstractNum w:abstractNumId="43">
    <w:nsid w:val="354FE9F9"/>
    <w:multiLevelType w:val="hybridMultilevel"/>
    <w:lvl w:ilvl="0">
      <w:lvlJc w:val="left"/>
      <w:lvlText w:val="(%1)"/>
      <w:numFmt w:val="lowerLetter"/>
      <w:start w:val="3"/>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1)"/>
      <w:numFmt w:val="lowerLetter"/>
      <w:start w:val="4"/>
    </w:lvl>
  </w:abstractNum>
  <w:abstractNum w:abstractNumId="47">
    <w:nsid w:val="10233C99"/>
    <w:multiLevelType w:val="hybridMultilevel"/>
    <w:lvl w:ilvl="0">
      <w:lvlJc w:val="left"/>
      <w:lvlText w:val="(%1)"/>
      <w:numFmt w:val="lowerLetter"/>
      <w:start w:val="5"/>
    </w:lvl>
    <w:lvl w:ilvl="1">
      <w:lvlJc w:val="left"/>
      <w:lvlText w:val="%2."/>
      <w:numFmt w:val="lowerRoman"/>
      <w:start w:val="3"/>
    </w:lvl>
    <w:lvl w:ilvl="2">
      <w:lvlJc w:val="left"/>
      <w:lvlText w:val="%3."/>
      <w:numFmt w:val="lowerRoman"/>
      <w:start w:val="1"/>
    </w:lvl>
  </w:abstractNum>
  <w:abstractNum w:abstractNumId="48">
    <w:nsid w:val="3F6AB60F"/>
    <w:multiLevelType w:val="hybridMultilevel"/>
    <w:lvl w:ilvl="0">
      <w:lvlJc w:val="left"/>
      <w:lvlText w:val="(%1)"/>
      <w:numFmt w:val="lowerLetter"/>
      <w:start w:val="6"/>
    </w:lvl>
  </w:abstractNum>
  <w:abstractNum w:abstractNumId="49">
    <w:nsid w:val="61574095"/>
    <w:multiLevelType w:val="hybridMultilevel"/>
    <w:lvl w:ilvl="0">
      <w:lvlJc w:val="left"/>
      <w:lvlText w:val="(%1)"/>
      <w:numFmt w:val="lowerLetter"/>
      <w:start w:val="7"/>
    </w:lvl>
  </w:abstractNum>
  <w:abstractNum w:abstractNumId="50">
    <w:nsid w:val="7E0C57B1"/>
    <w:multiLevelType w:val="hybridMultilevel"/>
    <w:lvl w:ilvl="0">
      <w:lvlJc w:val="left"/>
      <w:lvlText w:val="%1."/>
      <w:numFmt w:val="decimal"/>
      <w:start w:val="7"/>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11"/>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lvl w:ilvl="1">
      <w:lvlJc w:val="left"/>
      <w:lvlText w:val="(%2)"/>
      <w:numFmt w:val="decimal"/>
      <w:start w:val="1"/>
    </w:lvl>
  </w:abstractNum>
  <w:abstractNum w:abstractNumId="55">
    <w:nsid w:val="2F305DEF"/>
    <w:multiLevelType w:val="hybridMultilevel"/>
    <w:lvl w:ilvl="0">
      <w:lvlJc w:val="left"/>
      <w:lvlText w:val="%1."/>
      <w:numFmt w:val="decimal"/>
      <w:start w:val="13"/>
    </w:lvl>
    <w:lvl w:ilvl="1">
      <w:lvlJc w:val="left"/>
      <w:lvlText w:val="%2"/>
      <w:numFmt w:val="decimal"/>
      <w:start w:val="1"/>
    </w:lvl>
  </w:abstractNum>
  <w:abstractNum w:abstractNumId="56">
    <w:nsid w:val="25A70BF7"/>
    <w:multiLevelType w:val="hybridMultilevel"/>
    <w:lvl w:ilvl="0">
      <w:lvlJc w:val="left"/>
      <w:lvlText w:val="%1)"/>
      <w:numFmt w:val="lowerLetter"/>
      <w:start w:val="1"/>
    </w:lvl>
    <w:lvl w:ilvl="1">
      <w:lvlJc w:val="left"/>
      <w:lvlText w:val="(%2)"/>
      <w:numFmt w:val="decimal"/>
      <w:start w:val="1"/>
    </w:lvl>
  </w:abstractNum>
  <w:abstractNum w:abstractNumId="57">
    <w:nsid w:val="1DBABF00"/>
    <w:multiLevelType w:val="hybridMultilevel"/>
    <w:lvl w:ilvl="0">
      <w:lvlJc w:val="left"/>
      <w:lvlText w:val="%1"/>
      <w:numFmt w:val="decimal"/>
      <w:start w:val="21"/>
    </w:lvl>
  </w:abstractNum>
  <w:abstractNum w:abstractNumId="58">
    <w:nsid w:val="4AD084E9"/>
    <w:multiLevelType w:val="hybridMultilevel"/>
    <w:lvl w:ilvl="0">
      <w:lvlJc w:val="left"/>
      <w:lvlText w:val="%1"/>
      <w:numFmt w:val="decimal"/>
      <w:start w:val="23"/>
    </w:lvl>
  </w:abstractNum>
  <w:abstractNum w:abstractNumId="59">
    <w:nsid w:val="1F48EAA1"/>
    <w:multiLevelType w:val="hybridMultilevel"/>
    <w:lvl w:ilvl="0">
      <w:lvlJc w:val="left"/>
      <w:lvlText w:val="%1"/>
      <w:numFmt w:val="decimal"/>
      <w:start w:val="32"/>
    </w:lvl>
  </w:abstractNum>
  <w:abstractNum w:abstractNumId="60">
    <w:nsid w:val="1381823A"/>
    <w:multiLevelType w:val="hybridMultilevel"/>
    <w:lvl w:ilvl="0">
      <w:lvlJc w:val="left"/>
      <w:lvlText w:val="%1"/>
      <w:numFmt w:val="decimal"/>
      <w:start w:val="104"/>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1."/>
      <w:numFmt w:val="upperLetter"/>
      <w:start w:val="2"/>
    </w:lvl>
    <w:lvl w:ilvl="1">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1."/>
      <w:numFmt w:val="decimal"/>
      <w:start w:val="1"/>
    </w:lvl>
    <w:lvl w:ilvl="1">
      <w:lvlJc w:val="left"/>
      <w:lvlText w:val="(%2)"/>
      <w:numFmt w:val="lowerLetter"/>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lowerLetter"/>
      <w:start w:val="3"/>
    </w:lvl>
  </w:abstractNum>
  <w:abstractNum w:abstractNumId="67">
    <w:nsid w:val="799D024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68">
    <w:nsid w:val="6B94764"/>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1."/>
      <w:numFmt w:val="decimal"/>
      <w:start w:val="6"/>
    </w:lvl>
  </w:abstractNum>
  <w:abstractNum w:abstractNumId="71">
    <w:nsid w:val="1EBA5D23"/>
    <w:multiLevelType w:val="hybridMultilevel"/>
    <w:lvl w:ilvl="0">
      <w:lvlJc w:val="left"/>
      <w:lvlText w:val="%1."/>
      <w:numFmt w:val="decimal"/>
      <w:start w:val="7"/>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1" Type="http://schemas.openxmlformats.org/officeDocument/2006/relationships/image" Target="media/image142.png"/><Relationship Id="rId154" Type="http://schemas.openxmlformats.org/officeDocument/2006/relationships/image" Target="media/image143.png"/><Relationship Id="rId158" Type="http://schemas.openxmlformats.org/officeDocument/2006/relationships/image" Target="media/image144.png"/><Relationship Id="rId161" Type="http://schemas.openxmlformats.org/officeDocument/2006/relationships/image" Target="media/image145.png"/><Relationship Id="rId163" Type="http://schemas.openxmlformats.org/officeDocument/2006/relationships/image" Target="media/image146.png"/><Relationship Id="rId166" Type="http://schemas.openxmlformats.org/officeDocument/2006/relationships/image" Target="media/image147.png"/><Relationship Id="rId168" Type="http://schemas.openxmlformats.org/officeDocument/2006/relationships/image" Target="media/image148.png"/><Relationship Id="rId171" Type="http://schemas.openxmlformats.org/officeDocument/2006/relationships/image" Target="media/image149.png"/><Relationship Id="rId174" Type="http://schemas.openxmlformats.org/officeDocument/2006/relationships/image" Target="media/image150.png"/><Relationship Id="rId177" Type="http://schemas.openxmlformats.org/officeDocument/2006/relationships/image" Target="media/image151.png"/><Relationship Id="rId180" Type="http://schemas.openxmlformats.org/officeDocument/2006/relationships/image" Target="media/image152.png"/><Relationship Id="rId183" Type="http://schemas.openxmlformats.org/officeDocument/2006/relationships/image" Target="media/image153.png"/><Relationship Id="rId186" Type="http://schemas.openxmlformats.org/officeDocument/2006/relationships/image" Target="media/image154.png"/><Relationship Id="rId189" Type="http://schemas.openxmlformats.org/officeDocument/2006/relationships/image" Target="media/image155.png"/><Relationship Id="rId192" Type="http://schemas.openxmlformats.org/officeDocument/2006/relationships/image" Target="media/image156.png"/><Relationship Id="rId195" Type="http://schemas.openxmlformats.org/officeDocument/2006/relationships/image" Target="media/image157.png"/><Relationship Id="rId198" Type="http://schemas.openxmlformats.org/officeDocument/2006/relationships/image" Target="media/image158.png"/><Relationship Id="rId201" Type="http://schemas.openxmlformats.org/officeDocument/2006/relationships/image" Target="media/image159.png"/><Relationship Id="rId204" Type="http://schemas.openxmlformats.org/officeDocument/2006/relationships/image" Target="media/image160.png"/><Relationship Id="rId207" Type="http://schemas.openxmlformats.org/officeDocument/2006/relationships/image" Target="media/image161.png"/><Relationship Id="rId208" Type="http://schemas.openxmlformats.org/officeDocument/2006/relationships/image" Target="media/image162.png"/><Relationship Id="rId211" Type="http://schemas.openxmlformats.org/officeDocument/2006/relationships/image" Target="media/image163.png"/><Relationship Id="rId214" Type="http://schemas.openxmlformats.org/officeDocument/2006/relationships/image" Target="media/image164.png"/><Relationship Id="rId217" Type="http://schemas.openxmlformats.org/officeDocument/2006/relationships/image" Target="media/image165.png"/><Relationship Id="rId219"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149" Type="http://schemas.openxmlformats.org/officeDocument/2006/relationships/hyperlink" Target="https://www.sec.gov/Archives/edgar/data/812011/000110465913045415/a13-13329_1ex2d1.htm" TargetMode="External"/><Relationship Id="rId150" Type="http://schemas.openxmlformats.org/officeDocument/2006/relationships/hyperlink" Target="https://www.sec.gov/Archives/edgar/data/812011/000081201114000028/exhibit212015-q1.htm" TargetMode="External"/><Relationship Id="rId152" Type="http://schemas.openxmlformats.org/officeDocument/2006/relationships/hyperlink" Target="https://www.sec.gov/Archives/edgar/data/812011/000081201116000098/exhibit21-arrangementagree.htm" TargetMode="External"/><Relationship Id="rId153" Type="http://schemas.openxmlformats.org/officeDocument/2006/relationships/hyperlink" Target="https://www.sec.gov/Archives/edgar/data/812011/000081201119000043/mergeragreement.htm" TargetMode="External"/><Relationship Id="rId155" Type="http://schemas.openxmlformats.org/officeDocument/2006/relationships/hyperlink" Target="https://www.sec.gov/Archives/edgar/data/812011/000081201105000010/exhibit3.htm" TargetMode="External"/><Relationship Id="rId156" Type="http://schemas.openxmlformats.org/officeDocument/2006/relationships/hyperlink" Target="https://www.sec.gov/Archives/edgar/data/812011/000110465911068271/a11-31184_1ex3d1.htm" TargetMode="External"/><Relationship Id="rId157" Type="http://schemas.openxmlformats.org/officeDocument/2006/relationships/hyperlink" Target="https://www.sec.gov/Archives/edgar/data/812011/000110465916150413/a16-20037_1ex3d1.htm" TargetMode="External"/><Relationship Id="rId159" Type="http://schemas.openxmlformats.org/officeDocument/2006/relationships/hyperlink" Target="https://www.sec.gov/Archives/edgar/data/812011/000081201124000006/exhibit31-secondamendedand.htm" TargetMode="External"/><Relationship Id="rId160" Type="http://schemas.openxmlformats.org/officeDocument/2006/relationships/hyperlink" Target="https://www.sec.gov/Archives/edgar/data/812011/000081201124000050/vailresorts-indenture2024.htm" TargetMode="External"/><Relationship Id="rId162" Type="http://schemas.openxmlformats.org/officeDocument/2006/relationships/hyperlink" Target="https://www.sec.gov/Archives/edgar/data/812011/000081201120000134/exhibit41-convertinden.htm" TargetMode="External"/><Relationship Id="rId164" Type="http://schemas.openxmlformats.org/officeDocument/2006/relationships/hyperlink" Target="https://www.sec.gov/Archives/edgar/data/812011/000081201120000123/exhibit41descriptionof.htm" TargetMode="External"/><Relationship Id="rId165" Type="http://schemas.openxmlformats.org/officeDocument/2006/relationships/hyperlink" Target="https://www.sec.gov/Archives/edgar/data/812011/000081201117000079/ex1012017-q4.htm" TargetMode="External"/><Relationship Id="rId167" Type="http://schemas.openxmlformats.org/officeDocument/2006/relationships/hyperlink" Target="https://www.sec.gov/Archives/edgar/data/812011/000081201102000023/exhibit992a.htm" TargetMode="External"/><Relationship Id="rId169" Type="http://schemas.openxmlformats.org/officeDocument/2006/relationships/hyperlink" Target="https://www.sec.gov/Archives/edgar/data/812011/000081201102000023/exhibit992b.htm" TargetMode="External"/><Relationship Id="rId170" Type="http://schemas.openxmlformats.org/officeDocument/2006/relationships/hyperlink" Target="https://www.sec.gov/Archives/edgar/data/812011/000081201105000035/exhibit103c.htm" TargetMode="External"/><Relationship Id="rId172" Type="http://schemas.openxmlformats.org/officeDocument/2006/relationships/hyperlink" Target="https://www.sec.gov/Archives/edgar/data/812011/000081201105000035/exhibit103d.htm" TargetMode="External"/><Relationship Id="rId173" Type="http://schemas.openxmlformats.org/officeDocument/2006/relationships/hyperlink" Target="https://www.sec.gov/Archives/edgar/data/812011/000081201105000035/exhibit103e.htm" TargetMode="External"/><Relationship Id="rId175" Type="http://schemas.openxmlformats.org/officeDocument/2006/relationships/hyperlink" Target="https://www.sec.gov/Archives/edgar/data/812011/000081201102000023/exhibit993a.htm" TargetMode="External"/><Relationship Id="rId176" Type="http://schemas.openxmlformats.org/officeDocument/2006/relationships/hyperlink" Target="https://www.sec.gov/Archives/edgar/data/812011/000081201102000023/exhibit993b.htm" TargetMode="External"/><Relationship Id="rId178" Type="http://schemas.openxmlformats.org/officeDocument/2006/relationships/hyperlink" Target="https://www.sec.gov/Archives/edgar/data/812011/000081201105000035/exhibit104c.htm" TargetMode="External"/><Relationship Id="rId179" Type="http://schemas.openxmlformats.org/officeDocument/2006/relationships/hyperlink" Target="https://www.sec.gov/Archives/edgar/data/812011/000081201105000035/exhibit104d.htm" TargetMode="External"/><Relationship Id="rId181" Type="http://schemas.openxmlformats.org/officeDocument/2006/relationships/hyperlink" Target="https://www.sec.gov/Archives/edgar/data/812011/000081201105000035/exhibit104e.htm" TargetMode="External"/><Relationship Id="rId182" Type="http://schemas.openxmlformats.org/officeDocument/2006/relationships/hyperlink" Target="https://www.sec.gov/Archives/edgar/data/812011/000081201106000008/exhibit104f.htm" TargetMode="External"/><Relationship Id="rId184" Type="http://schemas.openxmlformats.org/officeDocument/2006/relationships/hyperlink" Target="https://www.sec.gov/Archives/edgar/data/812011/000081201102000023/exhibit994a.htm" TargetMode="External"/><Relationship Id="rId185" Type="http://schemas.openxmlformats.org/officeDocument/2006/relationships/hyperlink" Target="https://www.sec.gov/Archives/edgar/data/812011/000081201102000023/exhibit994b.htm" TargetMode="External"/><Relationship Id="rId187" Type="http://schemas.openxmlformats.org/officeDocument/2006/relationships/hyperlink" Target="https://www.sec.gov/Archives/edgar/data/812011/000081201105000035/exhibit105c.htm" TargetMode="External"/><Relationship Id="rId188" Type="http://schemas.openxmlformats.org/officeDocument/2006/relationships/hyperlink" Target="https://www.sec.gov/Archives/edgar/data/812011/000081201105000035/exhibit105d.htm" TargetMode="External"/><Relationship Id="rId190" Type="http://schemas.openxmlformats.org/officeDocument/2006/relationships/hyperlink" Target="https://www.sec.gov/Archives/edgar/data/812011/000081201105000035/exhibit105e.htm" TargetMode="External"/><Relationship Id="rId191" Type="http://schemas.openxmlformats.org/officeDocument/2006/relationships/hyperlink" Target="https://www.sec.gov/Archives/edgar/data/812011/000081201108000026/exhibit10_4f.htm" TargetMode="External"/><Relationship Id="rId193" Type="http://schemas.openxmlformats.org/officeDocument/2006/relationships/hyperlink" Target="https://www.sec.gov/Archives/edgar/data/812011/000081201102000023/exhibit995a.htm" TargetMode="External"/><Relationship Id="rId194" Type="http://schemas.openxmlformats.org/officeDocument/2006/relationships/hyperlink" Target="https://www.sec.gov/Archives/edgar/data/812011/000081201102000023/exhibit995b.htm" TargetMode="External"/><Relationship Id="rId196" Type="http://schemas.openxmlformats.org/officeDocument/2006/relationships/hyperlink" Target="https://www.sec.gov/Archives/edgar/data/812011/000081201102000023/exhibit995c.htm" TargetMode="External"/><Relationship Id="rId197" Type="http://schemas.openxmlformats.org/officeDocument/2006/relationships/hyperlink" Target="https://www.sec.gov/Archives/edgar/data/812011/000081201105000035/exhibit106d.htm" TargetMode="External"/><Relationship Id="rId199" Type="http://schemas.openxmlformats.org/officeDocument/2006/relationships/hyperlink" Target="https://www.sec.gov/Archives/edgar/data/812011/000081201105000035/exhibit106e.htm" TargetMode="External"/><Relationship Id="rId200" Type="http://schemas.openxmlformats.org/officeDocument/2006/relationships/hyperlink" Target="https://www.sec.gov/Archives/edgar/data/812011/000081201109000036/exhibit99_1.htm" TargetMode="External"/><Relationship Id="rId202" Type="http://schemas.openxmlformats.org/officeDocument/2006/relationships/hyperlink" Target="https://www.sec.gov/Archives/edgar/data/812011/000081201109000030/exhibit10_22.htm" TargetMode="External"/><Relationship Id="rId203" Type="http://schemas.openxmlformats.org/officeDocument/2006/relationships/hyperlink" Target="https://www.sec.gov/Archives/edgar/data/812011/000081201121000128/lynchemploymentagreement.htm" TargetMode="External"/><Relationship Id="rId205" Type="http://schemas.openxmlformats.org/officeDocument/2006/relationships/hyperlink" Target="https://www.sec.gov/Archives/edgar/data/812011/000081201121000118/formofindemnificationagree.htm" TargetMode="External"/><Relationship Id="rId206" Type="http://schemas.openxmlformats.org/officeDocument/2006/relationships/hyperlink" Target="https://www.sec.gov/Archives/edgar/data/812011/000110465913045415/a13-13329_1ex10d1.htm" TargetMode="External"/><Relationship Id="rId209" Type="http://schemas.openxmlformats.org/officeDocument/2006/relationships/hyperlink" Target="https://www.sec.gov/Archives/edgar/data/812011/000110465913045415/a13-13329_1ex10d2.htm" TargetMode="External"/><Relationship Id="rId210" Type="http://schemas.openxmlformats.org/officeDocument/2006/relationships/hyperlink" Target="https://www.sec.gov/Archives/edgar/data/812011/000081201123000062/exhibit102managementincent.htm" TargetMode="External"/><Relationship Id="rId212" Type="http://schemas.openxmlformats.org/officeDocument/2006/relationships/hyperlink" Target="https://www.sec.gov/Archives/edgar/data/812011/000110465915083185/a15-24404_2ex10d1.htm" TargetMode="External"/><Relationship Id="rId213" Type="http://schemas.openxmlformats.org/officeDocument/2006/relationships/hyperlink" Target="https://www.sec.gov/Archives/edgar/data/812011/000081201120000059/exhibit1017.htm" TargetMode="External"/><Relationship Id="rId215" Type="http://schemas.openxmlformats.org/officeDocument/2006/relationships/hyperlink" Target="https://www.sec.gov/Archives/edgar/data/812011/000081201120000059/exhibit1018.htm" TargetMode="External"/><Relationship Id="rId216" Type="http://schemas.openxmlformats.org/officeDocument/2006/relationships/hyperlink" Target="https://www.sec.gov/Archives/edgar/data/812011/000081201124000060/exhibit101ninthamendedandr.htm" TargetMode="External"/><Relationship Id="rId218" Type="http://schemas.openxmlformats.org/officeDocument/2006/relationships/hyperlink" Target="https://www.sec.gov/Archives/edgar/data/812011/000081201123000036/whistler-secondamendedandr.htm" TargetMode="External"/><Relationship Id="rId220" Type="http://schemas.openxmlformats.org/officeDocument/2006/relationships/hyperlink" Target="https://www.sec.gov/Archives/edgar/data/812011/000081201117000006/exhibit101whistlermda.htm" TargetMode="External"/><Relationship Id="rId221" Type="http://schemas.openxmlformats.org/officeDocument/2006/relationships/hyperlink" Target="https://www.sec.gov/Archives/edgar/data/812011/000081201117000006/exhibit102blackcombmda.htm" TargetMode="External"/><Relationship Id="rId222" Type="http://schemas.openxmlformats.org/officeDocument/2006/relationships/hyperlink" Target="https://www.sec.gov/Archives/edgar/data/812011/000081201123000062/exhibit101ryanbennettseve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2024-09-26T15:45:45Z</dcterms:created>
  <dcterms:modified xsi:type="dcterms:W3CDTF">2024-09-26T15:45:45Z</dcterms:modified>
</cp:coreProperties>
</file>