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6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63"/>
          <w:szCs w:val="63"/>
          <w:color w:val="auto"/>
          <w:vertAlign w:val="subscript"/>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October 31, 2019</w:t>
      </w:r>
    </w:p>
    <w:p>
      <w:pPr>
        <w:spacing w:after="0" w:line="16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63"/>
          <w:szCs w:val="63"/>
          <w:color w:val="auto"/>
          <w:vertAlign w:val="subscript"/>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57"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8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right"/>
              <w:ind w:right="1421"/>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48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150"/>
        </w:trPr>
        <w:tc>
          <w:tcPr>
            <w:tcW w:w="5820" w:type="dxa"/>
            <w:vAlign w:val="bottom"/>
            <w:gridSpan w:val="2"/>
          </w:tcPr>
          <w:p>
            <w:pPr>
              <w:jc w:val="center"/>
              <w:ind w:right="980"/>
              <w:spacing w:after="0" w:line="151" w:lineRule="exact"/>
              <w:rPr>
                <w:sz w:val="20"/>
                <w:szCs w:val="20"/>
                <w:color w:val="auto"/>
              </w:rPr>
            </w:pPr>
            <w:r>
              <w:rPr>
                <w:rFonts w:ascii="Arial" w:cs="Arial" w:eastAsia="Arial" w:hAnsi="Arial"/>
                <w:sz w:val="14"/>
                <w:szCs w:val="14"/>
                <w:color w:val="auto"/>
                <w:w w:val="94"/>
              </w:rPr>
              <w:t>(State or Other Jurisdiction of</w:t>
            </w:r>
          </w:p>
        </w:tc>
        <w:tc>
          <w:tcPr>
            <w:tcW w:w="3860" w:type="dxa"/>
            <w:vAlign w:val="bottom"/>
          </w:tcPr>
          <w:p>
            <w:pPr>
              <w:jc w:val="center"/>
              <w:spacing w:after="0" w:line="151" w:lineRule="exact"/>
              <w:rPr>
                <w:sz w:val="20"/>
                <w:szCs w:val="20"/>
                <w:color w:val="auto"/>
              </w:rPr>
            </w:pPr>
            <w:r>
              <w:rPr>
                <w:rFonts w:ascii="Arial" w:cs="Arial" w:eastAsia="Arial" w:hAnsi="Arial"/>
                <w:sz w:val="14"/>
                <w:szCs w:val="14"/>
                <w:color w:val="auto"/>
                <w:w w:val="95"/>
              </w:rPr>
              <w:t>(I.R.S. Employer</w:t>
            </w:r>
          </w:p>
        </w:tc>
      </w:tr>
      <w:tr>
        <w:trPr>
          <w:trHeight w:val="182"/>
        </w:trPr>
        <w:tc>
          <w:tcPr>
            <w:tcW w:w="5820" w:type="dxa"/>
            <w:vAlign w:val="bottom"/>
            <w:gridSpan w:val="2"/>
          </w:tcPr>
          <w:p>
            <w:pPr>
              <w:jc w:val="center"/>
              <w:ind w:right="980"/>
              <w:spacing w:after="0"/>
              <w:rPr>
                <w:sz w:val="20"/>
                <w:szCs w:val="20"/>
                <w:color w:val="auto"/>
              </w:rPr>
            </w:pPr>
            <w:r>
              <w:rPr>
                <w:rFonts w:ascii="Arial" w:cs="Arial" w:eastAsia="Arial" w:hAnsi="Arial"/>
                <w:sz w:val="14"/>
                <w:szCs w:val="14"/>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r>
        <w:trPr>
          <w:trHeight w:val="525"/>
        </w:trPr>
        <w:tc>
          <w:tcPr>
            <w:tcW w:w="58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0"/>
              </w:rPr>
              <w:t>390 Interlocken Crescent</w:t>
            </w:r>
          </w:p>
        </w:tc>
        <w:tc>
          <w:tcPr>
            <w:tcW w:w="3860" w:type="dxa"/>
            <w:vAlign w:val="bottom"/>
          </w:tcPr>
          <w:p>
            <w:pPr>
              <w:spacing w:after="0"/>
              <w:rPr>
                <w:sz w:val="24"/>
                <w:szCs w:val="24"/>
                <w:color w:val="auto"/>
              </w:rPr>
            </w:pPr>
          </w:p>
        </w:tc>
      </w:tr>
      <w:tr>
        <w:trPr>
          <w:trHeight w:val="270"/>
        </w:trPr>
        <w:tc>
          <w:tcPr>
            <w:tcW w:w="5820" w:type="dxa"/>
            <w:vAlign w:val="bottom"/>
            <w:gridSpan w:val="2"/>
          </w:tcPr>
          <w:p>
            <w:pPr>
              <w:ind w:left="1500"/>
              <w:spacing w:after="0"/>
              <w:rPr>
                <w:sz w:val="20"/>
                <w:szCs w:val="20"/>
                <w:color w:val="auto"/>
              </w:rPr>
            </w:pPr>
            <w:r>
              <w:rPr>
                <w:rFonts w:ascii="Arial" w:cs="Arial" w:eastAsia="Arial" w:hAnsi="Arial"/>
                <w:sz w:val="18"/>
                <w:szCs w:val="18"/>
                <w:b w:val="1"/>
                <w:bCs w:val="1"/>
                <w:color w:val="auto"/>
              </w:rPr>
              <w:t>Broomfield, Colorado</w:t>
            </w:r>
          </w:p>
        </w:tc>
        <w:tc>
          <w:tcPr>
            <w:tcW w:w="3860" w:type="dxa"/>
            <w:vAlign w:val="bottom"/>
          </w:tcPr>
          <w:p>
            <w:pPr>
              <w:jc w:val="right"/>
              <w:ind w:right="1641"/>
              <w:spacing w:after="0"/>
              <w:rPr>
                <w:sz w:val="20"/>
                <w:szCs w:val="20"/>
                <w:color w:val="auto"/>
              </w:rPr>
            </w:pPr>
            <w:r>
              <w:rPr>
                <w:rFonts w:ascii="Arial" w:cs="Arial" w:eastAsia="Arial" w:hAnsi="Arial"/>
                <w:sz w:val="18"/>
                <w:szCs w:val="18"/>
                <w:b w:val="1"/>
                <w:bCs w:val="1"/>
                <w:color w:val="auto"/>
              </w:rPr>
              <w:t>80021</w:t>
            </w:r>
          </w:p>
        </w:tc>
      </w:tr>
      <w:tr>
        <w:trPr>
          <w:trHeight w:val="27"/>
        </w:trPr>
        <w:tc>
          <w:tcPr>
            <w:tcW w:w="48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184"/>
        </w:trPr>
        <w:tc>
          <w:tcPr>
            <w:tcW w:w="5820" w:type="dxa"/>
            <w:vAlign w:val="bottom"/>
            <w:gridSpan w:val="2"/>
          </w:tcPr>
          <w:p>
            <w:pPr>
              <w:jc w:val="center"/>
              <w:ind w:right="980"/>
              <w:spacing w:after="0"/>
              <w:rPr>
                <w:sz w:val="20"/>
                <w:szCs w:val="20"/>
                <w:color w:val="auto"/>
              </w:rPr>
            </w:pPr>
            <w:r>
              <w:rPr>
                <w:rFonts w:ascii="Arial" w:cs="Arial" w:eastAsia="Arial" w:hAnsi="Arial"/>
                <w:sz w:val="14"/>
                <w:szCs w:val="14"/>
                <w:color w:val="auto"/>
                <w:w w:val="95"/>
              </w:rPr>
              <w:t>(Address of Principal Executive Offices)</w:t>
            </w:r>
          </w:p>
        </w:tc>
        <w:tc>
          <w:tcPr>
            <w:tcW w:w="386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14"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31750</wp:posOffset>
            </wp:positionV>
            <wp:extent cx="2813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0" w:lineRule="exact"/>
        <w:rPr>
          <w:sz w:val="24"/>
          <w:szCs w:val="24"/>
          <w:color w:val="auto"/>
        </w:rPr>
      </w:pPr>
    </w:p>
    <w:tbl>
      <w:tblPr>
        <w:tblLayout w:type="fixed"/>
        <w:tblInd w:w="40" w:type="dxa"/>
        <w:tblCellMar>
          <w:top w:w="0" w:type="dxa"/>
          <w:left w:w="0" w:type="dxa"/>
          <w:bottom w:w="0" w:type="dxa"/>
          <w:right w:w="0" w:type="dxa"/>
        </w:tblCellMar>
      </w:tblPr>
      <w:tr>
        <w:trPr>
          <w:trHeight w:val="339"/>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504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4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504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73"/>
        </w:trPr>
        <w:tc>
          <w:tcPr>
            <w:tcW w:w="20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4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6" w:lineRule="exact"/>
        <w:rPr>
          <w:sz w:val="24"/>
          <w:szCs w:val="24"/>
          <w:color w:val="auto"/>
        </w:rPr>
      </w:pPr>
    </w:p>
    <w:p>
      <w:pPr>
        <w:ind w:right="4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7" w:lineRule="exact"/>
        <w:rPr>
          <w:sz w:val="24"/>
          <w:szCs w:val="24"/>
          <w:color w:val="auto"/>
        </w:rPr>
      </w:pPr>
    </w:p>
    <w:p>
      <w:pPr>
        <w:ind w:right="1880"/>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December 5, 2019, 40,257,530 shares of the registrant’s common stock were outstanding.</w:t>
      </w:r>
    </w:p>
    <w:p>
      <w:pPr>
        <w:sectPr>
          <w:pgSz w:w="11900" w:h="16838" w:orient="portrait"/>
          <w:cols w:equalWidth="0" w:num="1">
            <w:col w:w="11440"/>
          </w:cols>
          <w:pgMar w:left="240" w:top="706" w:right="219" w:bottom="55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7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7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78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October 31, 2019, July 31, 2019 and October 31, 2018</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Months Ended October 31, 2019 and 2018</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spacing w:after="0"/>
              <w:rPr>
                <w:sz w:val="17"/>
                <w:szCs w:val="17"/>
                <w:color w:val="auto"/>
              </w:rPr>
            </w:pPr>
          </w:p>
        </w:tc>
        <w:tc>
          <w:tcPr>
            <w:tcW w:w="9780" w:type="dxa"/>
            <w:vAlign w:val="bottom"/>
            <w:gridSpan w:val="1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Loss for the Three Months Ended October 31, 2019 and 2018</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spacing w:after="0"/>
              <w:rPr>
                <w:sz w:val="21"/>
                <w:szCs w:val="21"/>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Three Months Ended October 31, 2019 and 2018</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80" w:type="dxa"/>
            <w:vAlign w:val="bottom"/>
            <w:tcBorders>
              <w:top w:val="single" w:sz="8" w:color="CCEEFF"/>
            </w:tcBorders>
          </w:tcPr>
          <w:p>
            <w:pPr>
              <w:spacing w:after="0"/>
              <w:rPr>
                <w:sz w:val="17"/>
                <w:szCs w:val="17"/>
                <w:color w:val="auto"/>
              </w:rPr>
            </w:pPr>
          </w:p>
        </w:tc>
        <w:tc>
          <w:tcPr>
            <w:tcW w:w="8480" w:type="dxa"/>
            <w:vAlign w:val="bottom"/>
            <w:tcBorders>
              <w:top w:val="single" w:sz="8" w:color="0000EE"/>
            </w:tcBorders>
            <w:gridSpan w:val="14"/>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Three Months Ended October 31, 2019 and 2018</w:t>
              </w:r>
            </w:hyperlink>
          </w:p>
        </w:tc>
        <w:tc>
          <w:tcPr>
            <w:tcW w:w="1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5420" w:type="dxa"/>
            <w:vAlign w:val="bottom"/>
            <w:gridSpan w:val="6"/>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420" w:type="dxa"/>
            <w:vAlign w:val="bottom"/>
            <w:gridSpan w:val="6"/>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780" w:type="dxa"/>
            <w:vAlign w:val="bottom"/>
            <w:gridSpan w:val="15"/>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8880" w:type="dxa"/>
            <w:vAlign w:val="bottom"/>
            <w:gridSpan w:val="13"/>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Defaults Upon Senior Securities</w:t>
              </w:r>
            </w:hyperlink>
          </w:p>
        </w:tc>
        <w:tc>
          <w:tcPr>
            <w:tcW w:w="7460" w:type="dxa"/>
            <w:vAlign w:val="bottom"/>
            <w:gridSpan w:val="9"/>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7460" w:type="dxa"/>
            <w:vAlign w:val="bottom"/>
            <w:gridSpan w:val="9"/>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780" w:type="dxa"/>
            <w:vAlign w:val="bottom"/>
            <w:gridSpan w:val="15"/>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480" w:type="dxa"/>
            <w:vAlign w:val="bottom"/>
            <w:gridSpan w:val="12"/>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October 31, 2019</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2019</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October 31, 2018</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136,326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108,850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141,031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14,027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9,539</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12,005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87,301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270,896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127,859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96,539</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114,984</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62,821</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42,116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50,752</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428,334</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527,940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393,012</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8)</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2,280,089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1,842,500</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1,825,982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96,938</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101,021</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101,743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8)</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1,757,463</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1,608,206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1,543,941</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324,178</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306,173</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307,268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right-of-use assets (Note 4)</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229,709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41,036</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40,237</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43,976</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5,157,747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4,426,077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4,215,922</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Accounts payable and accrued liabilities (Note 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856,934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607,857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703,633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50,759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62,760</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Long-term debt due within one year (Note 6)</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63,807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48,516</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48,482</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971,500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719,133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790,418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Long-term debt, net (Note 6)</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2,005,057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1,527,744</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1,486,968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(Note 4)</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231,182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8)</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238,964</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283,601</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273,566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188,608</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168,759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115,169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3,635,311</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2,699,237</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2,666,121</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46,257, 46,190</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46,097 shares issued, respectively</w:t>
            </w:r>
          </w:p>
        </w:tc>
        <w:tc>
          <w:tcPr>
            <w:tcW w:w="32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461</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Exchangeable shares, $0.01 par value, 55, 56 and 57 shares issued and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1,126,492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1,130,083</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1,130,855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(31,730)</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582,235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759,801</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551,863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6,000, 5,905, and 5,750 shares, respectively (Note 12)</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(379,433)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(357,989)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(322,989)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1,302,488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1,500,627</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1,339,595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219,948</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226,213</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210,206</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1,522,436</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1,726,840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1,549,801</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5,157,747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4,426,077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4,215,922</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53"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8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180,031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144,022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83,559</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75,884</w:t>
            </w:r>
          </w:p>
        </w:tc>
      </w:tr>
      <w:tr>
        <w:trPr>
          <w:trHeight w:val="237"/>
        </w:trPr>
        <w:tc>
          <w:tcPr>
            <w:tcW w:w="81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263,590</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219,906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4,180</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37"/>
        </w:trPr>
        <w:tc>
          <w:tcPr>
            <w:tcW w:w="81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267,770</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220,004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 (exclusive of depreciation and amortization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228,710</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194,112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37,735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34,876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75,055</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64,379</w:t>
            </w:r>
          </w:p>
        </w:tc>
      </w:tr>
      <w:tr>
        <w:trPr>
          <w:trHeight w:val="27"/>
        </w:trPr>
        <w:tc>
          <w:tcPr>
            <w:tcW w:w="8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341,500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293,367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Real Estate operating expense</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5,293</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1,370</w:t>
            </w:r>
          </w:p>
        </w:tc>
      </w:tr>
      <w:tr>
        <w:trPr>
          <w:trHeight w:val="27"/>
        </w:trPr>
        <w:tc>
          <w:tcPr>
            <w:tcW w:w="8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346,793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(57,845)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 of contingent consideration (Note 9)</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2,267</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8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(135,530)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(127,595)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Mountain equity investment income, net</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1,191</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Foreign currency gain (loss) on intercompany loans (Note 6)</w:t>
            </w:r>
          </w:p>
        </w:tc>
        <w:tc>
          <w:tcPr>
            <w:tcW w:w="3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(18,638)</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(156,392)</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(147,131)</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46,563</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36,405</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(109,829)</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(110,726)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3,354</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(106,475)</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(107,795)</w:t>
            </w:r>
          </w:p>
        </w:tc>
      </w:tr>
      <w:tr>
        <w:trPr>
          <w:trHeight w:val="67"/>
        </w:trPr>
        <w:tc>
          <w:tcPr>
            <w:tcW w:w="8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5):</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Basic net loss per share attributable to Vail Resorts,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net loss per share attributable to Vail Resorts, Inc.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13335</wp:posOffset>
            </wp:positionV>
            <wp:extent cx="2092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(110,726)</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and other, net of tax</w:t>
            </w:r>
          </w:p>
        </w:tc>
        <w:tc>
          <w:tcPr>
            <w:tcW w:w="20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5,323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(22,636)</w:t>
            </w:r>
          </w:p>
        </w:tc>
      </w:tr>
      <w:tr>
        <w:trPr>
          <w:trHeight w:val="27"/>
        </w:trPr>
        <w:tc>
          <w:tcPr>
            <w:tcW w:w="6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(133,362)</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Comprehensive loss attributable to noncontrolling interests</w:t>
            </w:r>
          </w:p>
        </w:tc>
        <w:tc>
          <w:tcPr>
            <w:tcW w:w="20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2,492</w:t>
            </w:r>
          </w:p>
        </w:tc>
        <w:tc>
          <w:tcPr>
            <w:tcW w:w="4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7,198</w:t>
            </w:r>
          </w:p>
        </w:tc>
      </w:tr>
      <w:tr>
        <w:trPr>
          <w:trHeight w:val="27"/>
        </w:trPr>
        <w:tc>
          <w:tcPr>
            <w:tcW w:w="6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Vail Resorts, Inc.</w:t>
            </w:r>
          </w:p>
        </w:tc>
        <w:tc>
          <w:tcPr>
            <w:tcW w:w="2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(102,014)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(126,164)</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Loss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$ 1,137,467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$ 726,722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1,589,434</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$ 1,811,663</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(107,795)</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(107,795)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(110,726)</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(18,369)</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(18,369)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(4,267)</w:t>
            </w:r>
          </w:p>
        </w:tc>
        <w:tc>
          <w:tcPr>
            <w:tcW w:w="900" w:type="dxa"/>
            <w:vAlign w:val="bottom"/>
          </w:tcPr>
          <w:p>
            <w:pPr>
              <w:jc w:val="right"/>
              <w:spacing w:after="0"/>
              <w:rPr>
                <w:sz w:val="20"/>
                <w:szCs w:val="20"/>
                <w:color w:val="auto"/>
              </w:rPr>
            </w:pPr>
            <w:r>
              <w:rPr>
                <w:rFonts w:ascii="Arial" w:cs="Arial" w:eastAsia="Arial" w:hAnsi="Arial"/>
                <w:sz w:val="16"/>
                <w:szCs w:val="16"/>
                <w:color w:val="auto"/>
              </w:rPr>
              <w:t>(22,636)</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(126,164)</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(133,362)</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4,753</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4,753</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4,753</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Cumulative effect for adoption of revenue standard</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(11,365)</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(11,364)</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(11,364)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12)</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Dividends (Note 5)</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(59,547)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(59,547)</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(59,547)</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r>
      <w:tr>
        <w:trPr>
          <w:trHeight w:val="21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October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461</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$ 1,130,855</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(20,596)</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$ 551,863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$(322,989)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1,339,595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210,206</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$ 1,549,801</w:t>
            </w:r>
          </w:p>
        </w:tc>
      </w:tr>
      <w:tr>
        <w:trPr>
          <w:trHeight w:val="73"/>
        </w:trPr>
        <w:tc>
          <w:tcPr>
            <w:tcW w:w="34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305"/>
        </w:trPr>
        <w:tc>
          <w:tcPr>
            <w:tcW w:w="3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Balance, July 31,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461</w:t>
            </w:r>
          </w:p>
        </w:tc>
        <w:tc>
          <w:tcPr>
            <w:tcW w:w="560" w:type="dxa"/>
            <w:vAlign w:val="bottom"/>
          </w:tcPr>
          <w:p>
            <w:pPr>
              <w:ind w:lef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w w:val="94"/>
              </w:rPr>
              <w:t>$ 1,130,083</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(31,730)</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$ 759,801</w:t>
            </w:r>
          </w:p>
        </w:tc>
        <w:tc>
          <w:tcPr>
            <w:tcW w:w="800" w:type="dxa"/>
            <w:vAlign w:val="bottom"/>
          </w:tcPr>
          <w:p>
            <w:pPr>
              <w:jc w:val="right"/>
              <w:spacing w:after="0"/>
              <w:rPr>
                <w:sz w:val="20"/>
                <w:szCs w:val="20"/>
                <w:color w:val="auto"/>
              </w:rPr>
            </w:pPr>
            <w:r>
              <w:rPr>
                <w:rFonts w:ascii="Arial" w:cs="Arial" w:eastAsia="Arial" w:hAnsi="Arial"/>
                <w:sz w:val="16"/>
                <w:szCs w:val="16"/>
                <w:color w:val="auto"/>
                <w:w w:val="95"/>
              </w:rPr>
              <w:t>$(357,989)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1,500,627</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226,213</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2"/>
              </w:rPr>
              <w:t>$ 1,726,840</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4"/>
        </w:trPr>
        <w:tc>
          <w:tcPr>
            <w:tcW w:w="34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(106,475)</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(106,475)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(3,354)</w:t>
            </w:r>
          </w:p>
        </w:tc>
        <w:tc>
          <w:tcPr>
            <w:tcW w:w="900" w:type="dxa"/>
            <w:vAlign w:val="bottom"/>
          </w:tcPr>
          <w:p>
            <w:pPr>
              <w:jc w:val="right"/>
              <w:spacing w:after="0"/>
              <w:rPr>
                <w:sz w:val="20"/>
                <w:szCs w:val="20"/>
                <w:color w:val="auto"/>
              </w:rPr>
            </w:pPr>
            <w:r>
              <w:rPr>
                <w:rFonts w:ascii="Arial" w:cs="Arial" w:eastAsia="Arial" w:hAnsi="Arial"/>
                <w:sz w:val="16"/>
                <w:szCs w:val="16"/>
                <w:color w:val="auto"/>
              </w:rPr>
              <w:t>(109,829)</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Foreign currency translation adjustments and</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4,461</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4,461</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5,323</w:t>
            </w:r>
          </w:p>
        </w:tc>
      </w:tr>
      <w:tr>
        <w:trPr>
          <w:trHeight w:val="217"/>
        </w:trPr>
        <w:tc>
          <w:tcPr>
            <w:tcW w:w="3400" w:type="dxa"/>
            <w:vAlign w:val="bottom"/>
          </w:tcPr>
          <w:p>
            <w:pPr>
              <w:ind w:left="280"/>
              <w:spacing w:after="0"/>
              <w:rPr>
                <w:sz w:val="20"/>
                <w:szCs w:val="20"/>
                <w:color w:val="auto"/>
              </w:rPr>
            </w:pPr>
            <w:r>
              <w:rPr>
                <w:rFonts w:ascii="Arial" w:cs="Arial" w:eastAsia="Arial" w:hAnsi="Arial"/>
                <w:sz w:val="16"/>
                <w:szCs w:val="16"/>
                <w:color w:val="auto"/>
              </w:rPr>
              <w:t>Total comprehensive loss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(102,014)</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(104,506)</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5,251</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5,251</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5,251</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(8,842)</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(8,841)</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(8,841)</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12)</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(21,444)</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Dividends (Note 5)</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(71,091)</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(71,091)</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(71,091)</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r>
      <w:tr>
        <w:trPr>
          <w:trHeight w:val="21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October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462</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$ 1,126,492</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(27,269)</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$ 582,235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$(379,433)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1,302,488</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219,948</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$ 1,522,436</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(109,829)</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(110,726)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57,845</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51,043</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5,251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(43,979)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(31,823)</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(income)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184,821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157,759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(27,967)</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(26,011)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(26,505)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194,597</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167,727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 - other</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(9,405)</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(7,421)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and liabilities,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(12,158)</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(10,319)</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209,339</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177,081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(52,621)</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(47,881)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(327,581)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(292,878)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investing activities, net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3,448</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(376,754)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(340,663)</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492,625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335,625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7,667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(7,529)</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(71,091)</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(59,547)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financing activities,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(10,279)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(6,486)</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198,440</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135,895</w:t>
            </w:r>
          </w:p>
        </w:tc>
      </w:tr>
      <w:tr>
        <w:trPr>
          <w:trHeight w:val="231"/>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939</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31,964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118,389</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185,040</w:t>
            </w:r>
          </w:p>
        </w:tc>
      </w:tr>
      <w:tr>
        <w:trPr>
          <w:trHeight w:val="231"/>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End of period</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150,353</w:t>
            </w:r>
          </w:p>
        </w:tc>
        <w:tc>
          <w:tcPr>
            <w:tcW w:w="5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153,036</w:t>
            </w:r>
          </w:p>
        </w:tc>
      </w:tr>
      <w:tr>
        <w:trPr>
          <w:trHeight w:val="73"/>
        </w:trPr>
        <w:tc>
          <w:tcPr>
            <w:tcW w:w="77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Accrued capital expenditures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32,038</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33,051</w:t>
            </w:r>
          </w:p>
        </w:tc>
      </w:tr>
      <w:tr>
        <w:trPr>
          <w:trHeight w:val="230"/>
        </w:trPr>
        <w:tc>
          <w:tcPr>
            <w:tcW w:w="9540" w:type="dxa"/>
            <w:vAlign w:val="bottom"/>
            <w:gridSpan w:val="3"/>
          </w:tcPr>
          <w:p>
            <w:pPr>
              <w:ind w:left="216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48985" cy="385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from their respective local markets.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resorts,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resorts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operating season at the Company’s Australian resorts, NPS concessionaire properties and golf courses generally occurs from June to early October.</w:t>
      </w:r>
    </w:p>
    <w:p>
      <w:pPr>
        <w:spacing w:after="0" w:line="17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2019.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2019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The recorded amounts for cash and cash equivalents, receivables, other current assets and accounts payable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liabilities approximate fair value due to their short-term nature. The fair value of amounts outstanding under the Company’s credit agreements and the Employee Housing Bonds (as defined in Note 6, Long-Term Debt) approximate book value due to the variable nature of the interest rate, which is a market rate, associated with the debt. The recorded amounts outstanding under the Company’s EPR Secured Notes and EB-5 Development Notes (each as defined in Note 6, Long-Term Debt), which were assumed by the Company during the three months ended October 31, 2019, approximate fair value as the debt obligations were recorded at fair value in conjunction with the preliminary purchase accounting for the Peak Resorts acquisition (see Note 7, Acquisitions).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 The Company determines if an arrangement is or contains a lease at inception or modification of the arrangement. An arrangement is or contains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the future minimum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supersedes “Leases (Topic 840).” The standard requires lessees to recognize the assets and liabilities arising from all leases on the balance sheet, including those classified as operating leases under previous accounting guidance, and to disclose key information about leasing arrangements. The standard also allows for an accounting policy election not to recognize on the balance sheet lease assets and liabilities for leases with a term of 12 months or less. Under the new guidance, lessees are required to recognize a lease liability and an ROU asset on their balance sheets, while lessor accounting is largely unchanged. In July 2018, the FASB released ASU No. 2018-11, “Leases (Topic 842): Targeted Improvements” which, among other items, provided an additional and optional transition method. Under this method, an entity initially applies the standard 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73"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adoption date, including the election of certain transition reliefs, and recognizes a cumulative effect adjustment to the opening balance of retained earnings in the period of adoption.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adopted ASU No. 2016-02 on August 1, 2019 using the modified retrospective transition method as provided by the standard. In accordance with this transition method, results for reporting periods beginning on August 1, 2019 are presented under the new standard, while prior periods were not adjusted and continue to be reported in accordance with the previously applicable accounting guidance. The Company has elected the package of practical expedients permitted under the transition guidance which allowed the Company to not reassess: (i) whether any existing or expired contracts are or contain leases; (ii) lease classification of any expired or existing leases; or (iii) initial direct costs for any existing leases. The Company has made an accounting policy election to not record leases on the balance sheet with an initial term of 12 months or less. The Company will recognize those lease payments in the Consolidated Condensed Statements of Operations on a straight-line basis over the lease term. Additionally, the Company has elected the practical expedient to not evaluate existing or expired land easements that were not previously accounted for as leases. At adoption, the Company was not able to determine the interest rate implicit in its leases; therefore, for existing operating leases, the lease liability was measured using the Company’s estimated incremental borrowing rate. For existing leases, the incremental borrowing rate used was based on the remaining lease term at the adoption date. For leases with minimum lease payments adjusted periodically for inflation, the lease liability was measured using the minimum lease payments adjusted by the inflation index at the adoption date.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 2019, as a result of adopting the standard, the Company recorded $225.6 million of operating ROU assets and $258.0 million of related total operating lease liabilities in the Consolidated Condensed Balance Sheet (of which $223.1 million was recorded to operating lease liabilities and $34.9 million was recorded to accounts payable and accrued liabilities). As a result of the adoption, the Company reclassified $32.4 million of unfavorable lease obligations, deferred rent credits and other similar amounts to the operating ROU assets balance, primarily from other long-term liabilities, which reduced the amount recognized as operating ROU assets to $225.6 million. The adoption of the new lease standard did not result in a cumulative effect adjustment to beginning retained earnings, and did not materially affect the Company’s Consolidated Condensed Statement of Operations or Consolidated Condensed Statement of Cash Flows for the three months ended October 31, 2019. The Company’s Canyons finance lease was not affected by the implementation of this standard as the arrangement is classified and recorded as a finance lease arrangement under both the previous and new accounting guidance.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10" w:name="page11"/>
    <w:bookmarkEnd w:id="10"/>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months ended October 31, 2019 and 2018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8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41,829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24,685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8,534</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21,629</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18,292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47,915</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43,342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60,925</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54,415</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180,832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145,006</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19,946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14,740</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11,118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18,143</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2,351</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2,474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10,221</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14,166</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12,777</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79,567</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71,247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3,191</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3,653</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82,758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74,900</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263,590</w:t>
            </w:r>
          </w:p>
        </w:tc>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219,906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4,180</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37"/>
        </w:trPr>
        <w:tc>
          <w:tcPr>
            <w:tcW w:w="8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267,770</w:t>
            </w:r>
          </w:p>
        </w:tc>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220,004</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Deferred revenue balances of a short-term nature were $549.1 million and $335.7 million as of October 31, 2019 and July 31, 2019, respectively. Deferred revenue balances of a long-term nature, comprised primarily of long-term private club initiation fee revenue, were $125.3 million and $124.3 million as of October 31, 2019 and July 31, 2019, respectively. For the three months ended October 31, 2019, the Company recognized approximately $34.6 million of revenue that was included in the deferred revenue balance as of July 31, 2019. As of October 31, 2019, the weighted average remaining period over which revenue for unsatisfied performance obligations on long-term private club contracts will be recognized was approximately 16 years. Trade receivable balances were $87.3 million and $270.9 million as of October 31, 2019 and July 31,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October 31, 2019, $11.1 million of costs to obtain contracts with customers were recorded within other current assets on the Company’s Consolidated Condensed Balance Sheet. The amounts capitalized will be subject to amortization generally beginning in the second quarter of fiscal 2020, commensurate with the revenue recognized for skier visits, and will be recorded within Mountain and Lodging operating expenses on the Company’s Consolidated Condensed Statement of Operations</w:t>
      </w:r>
      <w:r>
        <w:rPr>
          <w:rFonts w:ascii="Arial" w:cs="Arial" w:eastAsia="Arial" w:hAnsi="Arial"/>
          <w:sz w:val="19"/>
          <w:szCs w:val="19"/>
          <w:color w:val="auto"/>
        </w:rPr>
        <w:t>.</w:t>
      </w:r>
    </w:p>
    <w:p>
      <w:pPr>
        <w:spacing w:after="0" w:line="16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3" w:right="2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Condensed Statements of Operations in the same line item as the expense arising from fixed lease payments. The Company’s lease agreements may also include non-lease components, such as common area maintenance and insurance, which are accounted for separately as non-lease components. Future lease payments that are contingent and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October 31, 2019,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60" w:type="dxa"/>
            <w:vAlign w:val="bottom"/>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60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October 31, 2019</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3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Amortization of the finance ROU assets</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2,438</w:t>
            </w:r>
          </w:p>
        </w:tc>
      </w:tr>
      <w:tr>
        <w:trPr>
          <w:trHeight w:val="27"/>
        </w:trPr>
        <w:tc>
          <w:tcPr>
            <w:tcW w:w="6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3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33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expense</w:t>
            </w:r>
          </w:p>
        </w:tc>
        <w:tc>
          <w:tcPr>
            <w:tcW w:w="3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10,037</w:t>
            </w:r>
          </w:p>
        </w:tc>
      </w:tr>
      <w:tr>
        <w:trPr>
          <w:trHeight w:val="283"/>
        </w:trPr>
        <w:tc>
          <w:tcPr>
            <w:tcW w:w="6060" w:type="dxa"/>
            <w:vAlign w:val="bottom"/>
          </w:tcPr>
          <w:p>
            <w:pPr>
              <w:ind w:left="180"/>
              <w:spacing w:after="0" w:line="283"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2,353</w:t>
            </w: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Variable lease expense</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0" w:hanging="92"/>
        <w:spacing w:after="0" w:line="189" w:lineRule="auto"/>
        <w:tabs>
          <w:tab w:leader="none" w:pos="10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Short-term lease expense is attributable to leases with terms of 12 months or less which are not included within the Company’s Consolidated Condensed Balance Sheet.</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supplemental cash flow information associated with the Company’s leasing activities for the three months ended October 31, 2019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00" w:type="dxa"/>
            <w:vAlign w:val="bottom"/>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55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October 31, 2019</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supplemental information:</w:t>
            </w:r>
          </w:p>
        </w:tc>
        <w:tc>
          <w:tcPr>
            <w:tcW w:w="38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Operating cash outflows for operating leases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5"/>
              <w:spacing w:after="0"/>
              <w:rPr>
                <w:sz w:val="20"/>
                <w:szCs w:val="20"/>
                <w:color w:val="auto"/>
              </w:rPr>
            </w:pPr>
            <w:r>
              <w:rPr>
                <w:rFonts w:ascii="Arial" w:cs="Arial" w:eastAsia="Arial" w:hAnsi="Arial"/>
                <w:sz w:val="18"/>
                <w:szCs w:val="18"/>
                <w:color w:val="auto"/>
              </w:rPr>
              <w:t>11,218</w:t>
            </w:r>
          </w:p>
        </w:tc>
      </w:tr>
      <w:tr>
        <w:trPr>
          <w:trHeight w:val="27"/>
        </w:trPr>
        <w:tc>
          <w:tcPr>
            <w:tcW w:w="5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for finance leases</w:t>
            </w:r>
          </w:p>
        </w:tc>
        <w:tc>
          <w:tcPr>
            <w:tcW w:w="3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Financing cash outflows for finance leases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5"/>
              <w:spacing w:after="0"/>
              <w:rPr>
                <w:sz w:val="20"/>
                <w:szCs w:val="20"/>
                <w:color w:val="auto"/>
              </w:rPr>
            </w:pPr>
            <w:r>
              <w:rPr>
                <w:rFonts w:ascii="Arial" w:cs="Arial" w:eastAsia="Arial" w:hAnsi="Arial"/>
                <w:sz w:val="18"/>
                <w:szCs w:val="18"/>
                <w:color w:val="auto"/>
              </w:rPr>
              <w:t>5,387</w:t>
            </w:r>
          </w:p>
        </w:tc>
      </w:tr>
      <w:tr>
        <w:trPr>
          <w:trHeight w:val="594"/>
        </w:trPr>
        <w:tc>
          <w:tcPr>
            <w:tcW w:w="5500" w:type="dxa"/>
            <w:vAlign w:val="bottom"/>
          </w:tcPr>
          <w:p>
            <w:pPr>
              <w:spacing w:after="0"/>
              <w:rPr>
                <w:sz w:val="20"/>
                <w:szCs w:val="20"/>
                <w:color w:val="auto"/>
              </w:rPr>
            </w:pPr>
            <w:r>
              <w:rPr>
                <w:rFonts w:ascii="Arial" w:cs="Arial" w:eastAsia="Arial" w:hAnsi="Arial"/>
                <w:sz w:val="18"/>
                <w:szCs w:val="18"/>
                <w:color w:val="auto"/>
                <w:w w:val="91"/>
              </w:rPr>
              <w:t>Weighted-average remaining lease terms and discount rates are as follows:</w:t>
            </w:r>
          </w:p>
        </w:tc>
        <w:tc>
          <w:tcPr>
            <w:tcW w:w="38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34"/>
        </w:trPr>
        <w:tc>
          <w:tcPr>
            <w:tcW w:w="5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As of October 31, 2019</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8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820" w:type="dxa"/>
            <w:vAlign w:val="bottom"/>
          </w:tcPr>
          <w:p>
            <w:pPr>
              <w:spacing w:after="0"/>
              <w:rPr>
                <w:sz w:val="21"/>
                <w:szCs w:val="21"/>
                <w:color w:val="auto"/>
              </w:rPr>
            </w:pPr>
          </w:p>
        </w:tc>
        <w:tc>
          <w:tcPr>
            <w:tcW w:w="2100" w:type="dxa"/>
            <w:vAlign w:val="bottom"/>
          </w:tcPr>
          <w:p>
            <w:pPr>
              <w:jc w:val="right"/>
              <w:ind w:right="95"/>
              <w:spacing w:after="0"/>
              <w:rPr>
                <w:sz w:val="20"/>
                <w:szCs w:val="20"/>
                <w:color w:val="auto"/>
              </w:rPr>
            </w:pPr>
            <w:r>
              <w:rPr>
                <w:rFonts w:ascii="Arial" w:cs="Arial" w:eastAsia="Arial" w:hAnsi="Arial"/>
                <w:sz w:val="18"/>
                <w:szCs w:val="18"/>
                <w:color w:val="auto"/>
              </w:rPr>
              <w:t>10.9</w:t>
            </w:r>
          </w:p>
        </w:tc>
      </w:tr>
      <w:tr>
        <w:trPr>
          <w:trHeight w:val="27"/>
        </w:trPr>
        <w:tc>
          <w:tcPr>
            <w:tcW w:w="5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8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43.6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38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810"/>
        </w:trPr>
        <w:tc>
          <w:tcPr>
            <w:tcW w:w="5500" w:type="dxa"/>
            <w:vAlign w:val="bottom"/>
          </w:tcPr>
          <w:p>
            <w:pPr>
              <w:spacing w:after="0"/>
              <w:rPr>
                <w:sz w:val="24"/>
                <w:szCs w:val="24"/>
                <w:color w:val="auto"/>
              </w:rPr>
            </w:pPr>
          </w:p>
        </w:tc>
        <w:tc>
          <w:tcPr>
            <w:tcW w:w="3820" w:type="dxa"/>
            <w:vAlign w:val="bottom"/>
          </w:tcPr>
          <w:p>
            <w:pPr>
              <w:jc w:val="right"/>
              <w:ind w:right="3430"/>
              <w:spacing w:after="0"/>
              <w:rPr>
                <w:sz w:val="20"/>
                <w:szCs w:val="20"/>
                <w:color w:val="auto"/>
              </w:rPr>
            </w:pPr>
            <w:r>
              <w:rPr>
                <w:rFonts w:ascii="Arial" w:cs="Arial" w:eastAsia="Arial" w:hAnsi="Arial"/>
                <w:sz w:val="18"/>
                <w:szCs w:val="18"/>
                <w:color w:val="auto"/>
              </w:rPr>
              <w:t>11</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Future minimum lease payments for operating and finance leases as of October 31, 2019 reflected by fiscal year (August 1 through July 31)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(November 2019 through July 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44,188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28,818</w:t>
            </w: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36,656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29,982</w:t>
            </w: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165,267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1,805,047</w:t>
            </w: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1,945,013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(92,331)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(1,603,309)</w:t>
            </w: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266,318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341,704</w:t>
            </w:r>
          </w:p>
        </w:tc>
      </w:tr>
      <w:tr>
        <w:trPr>
          <w:trHeight w:val="20"/>
        </w:trPr>
        <w:tc>
          <w:tcPr>
            <w:tcW w:w="6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in accordance with Topic 840 as of July 31, 2019, reflected by fiscal year,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6"/>
                <w:szCs w:val="16"/>
                <w:color w:val="auto"/>
              </w:rPr>
            </w:pPr>
          </w:p>
        </w:tc>
        <w:tc>
          <w:tcPr>
            <w:tcW w:w="1960" w:type="dxa"/>
            <w:vAlign w:val="bottom"/>
          </w:tcPr>
          <w:p>
            <w:pPr>
              <w:jc w:val="right"/>
              <w:ind w:right="6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42,512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34,840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142,526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1,805,048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335,138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1,952,077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(1,611,816)</w:t>
            </w: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future minimum lease payments</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340,261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portion of operating lease liabilities of approximately $35.1 million as of October 31, 2019 is recorded within accounts payables and accrued liabilities in the Consolidated Condensed Balance Sheet. Finance lease liabilities are recorded within long-term debt, net in the Consolidated Condensed Balance Sheets.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Canyons finance lease obligation represents the only material finance lease entered into by the Company as of October 31, 2019. As of October 31, 2019, the Company has recorded $125.1 million of finance lease ROU assets in connection with the Canyons lease, net of $58.5 million of accumulated amortization, which is included within property, plant and equipment in the Company’s Consolidated Condensed Balance Sheet.</w:t>
      </w:r>
    </w:p>
    <w:p>
      <w:pPr>
        <w:spacing w:after="0" w:line="16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Presented below is basic and diluted EPS for the three months ended October 31, 2019 and 2018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w w:val="99"/>
              </w:rPr>
              <w:t>Three Months Ended October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(106,475)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(107,795)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(107,795)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40,286</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40,286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40,447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40,447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40,342</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40,342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40,505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40,342</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40,342</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40,505</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0.7 million and 1.0 million for the three months ended October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paid cash dividends of $1.76 and $1.47 per share ($71.1 million and $59.5 million in the aggregate) during the three months ended October 31, 2019 and 2018, respectively. On December 5, 2019, the Company’s Board of Directors declared a quarterly cash dividend of $1.76 per share, for Vail Shares, payable on January 9, 2020 to stockholders of record as of December 26, 2019. Additionally, a Canadian dollar equivalent dividend on the Exchangeco Shares will be payable on January 9, 2020 to the shareholders of record on December 26, 2019.</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October 31, 2019, July 31, 2019 and October 31, 2018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October 31, 2019</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October 31, 2018</w:t>
            </w: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1,250,000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914,375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950,000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190,000</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208,000</w:t>
            </w: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120,000</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37,962</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45,454</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72,170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EPR Secured Notes (c)</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2034-2036</w:t>
            </w: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114,162</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EB-5 Development Notes (d)</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52,000</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52,575</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341,704</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340,261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335,947</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2020-2032</w:t>
            </w: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19,583</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19,465</w:t>
            </w: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8,821</w:t>
            </w: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2,057,986</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1,580,130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1,539,513</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w w:val="94"/>
              </w:rPr>
              <w:t>Less: Unamortized premiums, discounts and debt issuance costs</w:t>
            </w: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(10,878)</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3,870</w:t>
            </w: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4,063</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63,807</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48,516</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48,482</w:t>
            </w:r>
          </w:p>
        </w:tc>
      </w:tr>
      <w:tr>
        <w:trPr>
          <w:trHeight w:val="237"/>
        </w:trPr>
        <w:tc>
          <w:tcPr>
            <w:tcW w:w="4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1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2,005,057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1,527,744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1,486,968</w:t>
            </w: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40" w:hanging="316"/>
        <w:spacing w:after="0" w:line="273"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September 23, 2019, in order to fund the acquisition of Peak Resorts, Inc. (“Peak Resorts”), which included the prepayment of certain portions of the outstanding debt and lease obligations of Peak Resorts contemporaneous with the closing of the transaction (see Note 7, Acquisitions), the Company’s wholly-owned subsidiary, Vail Holdings, Inc. (“VHI”), entered into the Second Amendment to the Eighth Amended and Restated Credit Agreement (the “Vail Holdings Credit Agreement”), with Bank of America, N.A., as administrative agent, and other lenders named therein, through which those lenders agreed to provide an additional $335.6 million in incremental term loans and agreed, on behalf of all lenders, to extend the maturity date for the outstanding term loans and revolver facility under the Vail Holdings Credit Agreement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4" w:name="page15"/>
    <w:bookmarkEnd w:id="14"/>
    <w:p>
      <w:pPr>
        <w:jc w:val="both"/>
        <w:ind w:left="320"/>
        <w:spacing w:after="0" w:line="268" w:lineRule="auto"/>
        <w:rPr>
          <w:sz w:val="20"/>
          <w:szCs w:val="20"/>
          <w:color w:val="auto"/>
        </w:rPr>
      </w:pPr>
      <w:r>
        <w:rPr>
          <w:rFonts w:ascii="Arial" w:cs="Arial" w:eastAsia="Arial" w:hAnsi="Arial"/>
          <w:sz w:val="17"/>
          <w:szCs w:val="17"/>
          <w:color w:val="auto"/>
        </w:rPr>
        <w:t>September 23, 2024. No other material terms of the Vail Holdings Credit Agreement were altered under the amendment. As of October 31, 2019, the Vail Holdings Credit Agreement consists of a $500.0 million revolving credit facility and a $1.25 billion term loan facility. The term loan facility is subject to quarterly amortization of principal of approximately $15.6 million, which will begin on January 31, 2020, in equal installments, for a total of five percent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October 31, 2019 (3.04% as of October 31, 2019).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October 31, 2019). During the three months ended October 31, 2019, the Company entered into an interest rate swap agreement to hedge the cash flows of $100.0 million in principal amount of its Vail Holdings Credit Agreement.</w:t>
      </w:r>
    </w:p>
    <w:p>
      <w:pPr>
        <w:spacing w:after="0" w:line="25" w:lineRule="exact"/>
        <w:rPr>
          <w:sz w:val="20"/>
          <w:szCs w:val="20"/>
          <w:color w:val="auto"/>
        </w:rPr>
      </w:pPr>
    </w:p>
    <w:p>
      <w:pPr>
        <w:jc w:val="both"/>
        <w:ind w:left="320" w:hanging="316"/>
        <w:spacing w:after="0" w:line="254"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October 31, 2019, all borrowings under the Whistler Credit Agreement were made in Canadian dollars and by way of the issuance of bankers’ acceptances plus 1.75% (approximately 3.76% as of October 31, 2019). The Whistler Credit Agreement also includes a quarterly unused commitment fee based on the Consolidated Total Leverage Ratio, which as of October 31, 2019 is equal to 0.3937% per annum.</w:t>
      </w:r>
    </w:p>
    <w:p>
      <w:pPr>
        <w:spacing w:after="0" w:line="30" w:lineRule="exact"/>
        <w:rPr>
          <w:rFonts w:ascii="Arial" w:cs="Arial" w:eastAsia="Arial" w:hAnsi="Arial"/>
          <w:sz w:val="18"/>
          <w:szCs w:val="18"/>
          <w:color w:val="auto"/>
        </w:rPr>
      </w:pPr>
    </w:p>
    <w:p>
      <w:pPr>
        <w:jc w:val="both"/>
        <w:ind w:left="320" w:hanging="316"/>
        <w:spacing w:after="0" w:line="286"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October 31, 2019, interest on this note accrued at a rate of 11.04%.</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October 31, 2019, interest on this note accrued at a rate of 10.75%.</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 its</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on December 1, 2034. As of October 31, 2019, interest on this note accrued at a rate of 10.75%.</w:t>
      </w:r>
    </w:p>
    <w:p>
      <w:pPr>
        <w:spacing w:after="0" w:line="8" w:lineRule="exact"/>
        <w:rPr>
          <w:rFonts w:ascii="Arial" w:cs="Arial" w:eastAsia="Arial" w:hAnsi="Arial"/>
          <w:sz w:val="18"/>
          <w:szCs w:val="18"/>
          <w:color w:val="auto"/>
        </w:rPr>
      </w:pPr>
    </w:p>
    <w:p>
      <w:pPr>
        <w:ind w:left="980" w:right="2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October 31, 2019, interest on this note accrued at a rate of 11.61%.</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5, 2036. As of October 31, 2019, interest on this note accrued at a rate of 8.43%.</w:t>
      </w:r>
    </w:p>
    <w:p>
      <w:pPr>
        <w:spacing w:after="0" w:line="62" w:lineRule="exact"/>
        <w:rPr>
          <w:sz w:val="20"/>
          <w:szCs w:val="20"/>
          <w:color w:val="auto"/>
        </w:rPr>
      </w:pPr>
    </w:p>
    <w:p>
      <w:pPr>
        <w:jc w:val="both"/>
        <w:ind w:left="320"/>
        <w:spacing w:after="0" w:line="288" w:lineRule="auto"/>
        <w:rPr>
          <w:sz w:val="20"/>
          <w:szCs w:val="20"/>
          <w:color w:val="auto"/>
        </w:rPr>
      </w:pPr>
      <w:r>
        <w:rPr>
          <w:rFonts w:ascii="Arial" w:cs="Arial" w:eastAsia="Arial" w:hAnsi="Arial"/>
          <w:sz w:val="16"/>
          <w:szCs w:val="16"/>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w:t>
      </w: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460" w:top="557" w:right="239" w:bottom="1440" w:gutter="0" w:footer="0" w:header="0"/>
        </w:sectPr>
      </w:pPr>
    </w:p>
    <w:bookmarkStart w:id="15" w:name="page16"/>
    <w:bookmarkEnd w:id="15"/>
    <w:p>
      <w:pPr>
        <w:jc w:val="both"/>
        <w:ind w:left="540"/>
        <w:spacing w:after="0" w:line="268" w:lineRule="auto"/>
        <w:rPr>
          <w:sz w:val="20"/>
          <w:szCs w:val="20"/>
          <w:color w:val="auto"/>
        </w:rPr>
      </w:pPr>
      <w:r>
        <w:rPr>
          <w:rFonts w:ascii="Arial" w:cs="Arial" w:eastAsia="Arial" w:hAnsi="Arial"/>
          <w:sz w:val="17"/>
          <w:szCs w:val="17"/>
          <w:color w:val="auto"/>
        </w:rPr>
        <w:t>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and as such their respective carrying values approximate fair value as of October 31, 2019. The EPR Agreements grant EPR certain other rights including (i)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 (ii) a right of first refusal through 2021, subject to certain conditions, to provide all or a portion of the financing associated with any purchase, ground lease, sale/leaseback, management or financing transaction contemplated by Peak Resorts with respect to any new or existing ski resort properties; and (iii) a right of first refusal through 2021 to purchase the Company’s Attitash ski resort in the event the Company were to desire to sell the Attitash ski resort. To date, EPR has not exercised any such purchase options.</w:t>
      </w:r>
    </w:p>
    <w:p>
      <w:pPr>
        <w:spacing w:after="0" w:line="23" w:lineRule="exact"/>
        <w:rPr>
          <w:sz w:val="20"/>
          <w:szCs w:val="20"/>
          <w:color w:val="auto"/>
        </w:rPr>
      </w:pPr>
    </w:p>
    <w:p>
      <w:pPr>
        <w:jc w:val="both"/>
        <w:ind w:left="540"/>
        <w:spacing w:after="0" w:line="286" w:lineRule="auto"/>
        <w:rPr>
          <w:sz w:val="20"/>
          <w:szCs w:val="20"/>
          <w:color w:val="auto"/>
        </w:rPr>
      </w:pPr>
      <w:r>
        <w:rPr>
          <w:rFonts w:ascii="Arial" w:cs="Arial" w:eastAsia="Arial" w:hAnsi="Arial"/>
          <w:sz w:val="17"/>
          <w:szCs w:val="17"/>
          <w:color w:val="auto"/>
        </w:rPr>
        <w:t>In addition, Peak Resorts is required to, maintain a debt service reserve account which amounts are applied to fund interest payments and other amounts due and payable to EPR. As of October 31, 2019 the Company had funded the debt service reserve account in an amount equal to approximately $2.5 million, which was included in other current assets in the Company’s Consolidated Condensed Balance Sheet.</w:t>
      </w:r>
    </w:p>
    <w:p>
      <w:pPr>
        <w:spacing w:after="0" w:line="3" w:lineRule="exact"/>
        <w:rPr>
          <w:sz w:val="20"/>
          <w:szCs w:val="20"/>
          <w:color w:val="auto"/>
        </w:rPr>
      </w:pPr>
    </w:p>
    <w:p>
      <w:pPr>
        <w:jc w:val="both"/>
        <w:ind w:left="540" w:hanging="316"/>
        <w:spacing w:after="0" w:line="28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Peak Resorts serves as the general partner for two limited partnerships, Carinthia Group 1, LP and Carinthia Group 2, LP (together, the “Carinthia Partnerships”), which were formed to raise $52.0 million through the Immigrant Investor Program administered by the U.S. Citizenship and Immigration Services (“USCIS”), pursuant to the Immigration and Nationality Act (the “EB-5 Program”). The EB-5 Program was created to stimulate the U.S. economy through the creation of jobs and capital investments in U.S. companies by foreign investors. The program allocates immigrant visas to qualified individuals (“EB-5 Investors”) seeking lawful permanent resident status based on their investment in a U.S commercial enterprise. On December 27, 2016, Peak Resorts borrowed $52.0 million from the Carinthia Partnerships to fund two capital projects at Mount Snow. The amounts were borrowed through two loan agreements, which provided $30.0 million and $22.0 million (together, the “EB-5 Development Notes”). Amounts outstanding under the EB-5 Development Notes accrue simple interest at a fixed rate of 1.0% per annum until the maturity date, which is December 27, 2021, subject to an extension of up to two additional years at the option of the borrowers, with lender consent. If the maturity date is extended, amounts outstanding under the EB-5 Development Notes will accrue simple interest at a fixed rate of 7.0% per annum during the first year of extension and a fixed rate of 10.0% per annum during the second year of extension. Upon an event of default (as defined), amounts outstanding under the EB-5 Development Notes shall bear interest at the rate of 5.0% per annum, subject to the extension increases. While the EB-5 Development Notes are outstanding, Peak Resorts is restricted from taking certain actions without the consent of the lenders, including, but not limited to, transferring or disposing of the properties or assets financed with loan proceeds. In addition, Peak Resorts is prohibited from prepaying outstanding amounts owed if such prepayment would jeopardize any of the EB-5 Investors from being admitted to the U.S. via the EB-5 Program.</w:t>
      </w:r>
    </w:p>
    <w:p>
      <w:pPr>
        <w:spacing w:after="0" w:line="6"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October 31, 2019 reflected by fiscal year (August 1 through July 31)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(November 2019 through July 2020)</w:t>
            </w:r>
          </w:p>
        </w:tc>
        <w:tc>
          <w:tcPr>
            <w:tcW w:w="3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2021</w:t>
            </w:r>
          </w:p>
        </w:tc>
        <w:tc>
          <w:tcPr>
            <w:tcW w:w="36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63,640</w:t>
            </w:r>
          </w:p>
        </w:tc>
      </w:tr>
      <w:tr>
        <w:trPr>
          <w:trHeight w:val="27"/>
        </w:trPr>
        <w:tc>
          <w:tcPr>
            <w:tcW w:w="6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115,919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2023</w:t>
            </w:r>
          </w:p>
        </w:tc>
        <w:tc>
          <w:tcPr>
            <w:tcW w:w="36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63,719</w:t>
            </w:r>
          </w:p>
        </w:tc>
      </w:tr>
      <w:tr>
        <w:trPr>
          <w:trHeight w:val="27"/>
        </w:trPr>
        <w:tc>
          <w:tcPr>
            <w:tcW w:w="6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101,756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1,659,123</w:t>
            </w:r>
          </w:p>
        </w:tc>
      </w:tr>
      <w:tr>
        <w:trPr>
          <w:trHeight w:val="27"/>
        </w:trPr>
        <w:tc>
          <w:tcPr>
            <w:tcW w:w="6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3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2,057,986</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gross interest expense of $22.7 million and $18.6 million for the three months ended October 31, 2019 and 2018, respectively, of which $0.4 million and $0.3 million, respectively, were amortization of deferred financing costs.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Company was in compliance with all of its financial and operating covenants required to be maintained under its debt instruments for all periods presented.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$0.4 million and ($2.3 million), respectively, of non-cash foreign currency gain (loss) on the intercompany loan to Whistler Blackcomb for the three months ended October 31, 2019 and 2018 on the Company’s Consolidated Condensed Statements of Operations.</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6,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18,976</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425,604</w:t>
            </w:r>
          </w:p>
        </w:tc>
      </w:tr>
      <w:tr>
        <w:trPr>
          <w:trHeight w:val="27"/>
        </w:trPr>
        <w:tc>
          <w:tcPr>
            <w:tcW w:w="5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146,361</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8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19,219</w:t>
            </w:r>
          </w:p>
        </w:tc>
      </w:tr>
      <w:tr>
        <w:trPr>
          <w:trHeight w:val="27"/>
        </w:trPr>
        <w:tc>
          <w:tcPr>
            <w:tcW w:w="5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8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(181,714)</w:t>
            </w:r>
          </w:p>
        </w:tc>
      </w:tr>
      <w:tr>
        <w:trPr>
          <w:trHeight w:val="27"/>
        </w:trPr>
        <w:tc>
          <w:tcPr>
            <w:tcW w:w="5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(110,525)</w:t>
            </w:r>
          </w:p>
        </w:tc>
      </w:tr>
      <w:tr>
        <w:trPr>
          <w:trHeight w:val="237"/>
        </w:trPr>
        <w:tc>
          <w:tcPr>
            <w:tcW w:w="59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334,730</w:t>
            </w:r>
          </w:p>
        </w:tc>
      </w:tr>
      <w:tr>
        <w:trPr>
          <w:trHeight w:val="27"/>
        </w:trPr>
        <w:tc>
          <w:tcPr>
            <w:tcW w:w="59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Identifiable intangible assets acquired in the transaction were primarily related to trade names and property management contracts.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recognized $3.2 million of acquisition related expenses associated with the transaction within Mountain and Lodging operating expense in its Consolidated Condensed Statement of Operations for the three months ended October 31, 2019. The operating results of Peak Resorts are reported within the Mountain and Lodging segments prospectively from the date of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6,986</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54,889</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71,538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5,833</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7"/>
        </w:trPr>
        <w:tc>
          <w:tcPr>
            <w:tcW w:w="64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127,352</w:t>
            </w:r>
          </w:p>
        </w:tc>
      </w:tr>
      <w:tr>
        <w:trPr>
          <w:trHeight w:val="27"/>
        </w:trPr>
        <w:tc>
          <w:tcPr>
            <w:tcW w:w="64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operating results of Falls Creek and Hotham are reported within the Mountain segment prospectively from the date of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6,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64,032</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Mountain and Lodging operating expense in its Consolidated Condensed Statement of Operations for the three months ended October 31, 2018. The operating results of Stevens Pass are reported within the Mountain segment prospectively from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 Peaks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6,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27,360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(18,098)</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 Statement of Operations for the three months ended October 31, 2018. The operating results of Triple Peaks are reported within the Mountain and Lodging segments prospectively from the date of acquisition.</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estimated fair values of assets acquired and liabilities assumed in the acquisitions of Peak Resorts, Falls Creek and Hotham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respective acquisition 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presents the unaudited pro forma consolidated financial information of the Company as if the acquisitions of Peak Resorts, Falls Creek &amp; Hotham, Triple Peaks and Stevens Pass were completed at the beginning of the fiscal year preceding the fiscal year in which each respective acquisition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operations or the results that would have occurred had the transaction taken place on August 1, 2018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Three Months Ended October 31,</w:t>
            </w:r>
          </w:p>
        </w:tc>
        <w:tc>
          <w:tcPr>
            <w:tcW w:w="880" w:type="dxa"/>
            <w:vAlign w:val="bottom"/>
            <w:tcBorders>
              <w:bottom w:val="single" w:sz="8" w:color="auto"/>
            </w:tcBorders>
          </w:tcPr>
          <w:p>
            <w:pPr>
              <w:spacing w:after="0"/>
              <w:rPr>
                <w:sz w:val="16"/>
                <w:szCs w:val="16"/>
                <w:color w:val="auto"/>
              </w:rPr>
            </w:pPr>
          </w:p>
        </w:tc>
      </w:tr>
      <w:tr>
        <w:trPr>
          <w:trHeight w:val="250"/>
        </w:trPr>
        <w:tc>
          <w:tcPr>
            <w:tcW w:w="68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1"/>
                <w:szCs w:val="2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274,429</w:t>
            </w:r>
          </w:p>
        </w:tc>
        <w:tc>
          <w:tcPr>
            <w:tcW w:w="142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259,887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loss attributable to Vail Resorts, Inc.</w:t>
            </w: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(111,843)</w:t>
            </w:r>
          </w:p>
        </w:tc>
        <w:tc>
          <w:tcPr>
            <w:tcW w:w="1420" w:type="dxa"/>
            <w:vAlign w:val="bottom"/>
          </w:tcPr>
          <w:p>
            <w:pPr>
              <w:jc w:val="right"/>
              <w:ind w:right="119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(118,396)</w:t>
            </w:r>
          </w:p>
        </w:tc>
      </w:tr>
      <w:tr>
        <w:trPr>
          <w:trHeight w:val="27"/>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loss per share attributable to Vail Resorts, Inc.</w:t>
            </w: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2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loss per share attributable to Vail Resorts, Inc.</w:t>
            </w: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1420" w:type="dxa"/>
            <w:vAlign w:val="bottom"/>
          </w:tcPr>
          <w:p>
            <w:pPr>
              <w:jc w:val="right"/>
              <w:ind w:right="119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6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2019</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745,846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619,561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611,155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1,458,465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1,284,438</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1,271,375</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1,189,951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1,160,817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1,054,610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435,663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309,271</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295,128</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118,961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118,815</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113,901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68,662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65,556</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63,346</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113,570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79,282</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106,378</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4,131,118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3,637,740</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3,515,893</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(1,851,029)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(1,795,240)</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(1,689,911)</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2,280,089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1,842,500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1,825,982</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29"/>
        </w:trPr>
        <w:tc>
          <w:tcPr>
            <w:tcW w:w="6240" w:type="dxa"/>
            <w:vAlign w:val="bottom"/>
          </w:tcPr>
          <w:p>
            <w:pPr>
              <w:spacing w:after="0"/>
              <w:rPr>
                <w:sz w:val="20"/>
                <w:szCs w:val="20"/>
                <w:color w:val="auto"/>
              </w:rPr>
            </w:pPr>
            <w:r>
              <w:rPr>
                <w:rFonts w:ascii="Arial" w:cs="Arial" w:eastAsia="Arial" w:hAnsi="Arial"/>
                <w:sz w:val="18"/>
                <w:szCs w:val="18"/>
                <w:color w:val="auto"/>
                <w:w w:val="94"/>
              </w:rPr>
              <w:t>The composition of accounts payable and accrued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141,714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118,648</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549,144</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335,669</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450,300</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22,798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50,318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20,961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38,695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37,797</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30,712</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34,202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32,108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70,381</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55,588</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48,533</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856,934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607,857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703,633</w:t>
            </w:r>
          </w:p>
        </w:tc>
      </w:tr>
      <w:tr>
        <w:trPr>
          <w:trHeight w:val="20"/>
        </w:trPr>
        <w:tc>
          <w:tcPr>
            <w:tcW w:w="6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24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109,011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109,749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112,669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1,651</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19,017</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21,100</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128,302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154,835</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139,797</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238,964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283,601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273,566</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45"/>
        </w:trPr>
        <w:tc>
          <w:tcPr>
            <w:tcW w:w="6240" w:type="dxa"/>
            <w:vAlign w:val="bottom"/>
          </w:tcPr>
          <w:p>
            <w:pPr>
              <w:ind w:left="56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three months ended October 31, 2019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Mountain</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Goodwill, net</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1,540,307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1,608,206</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Acquisitions (including measurement period adjustments)</w:t>
            </w:r>
          </w:p>
        </w:tc>
        <w:tc>
          <w:tcPr>
            <w:tcW w:w="1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146,470</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146,470</w:t>
            </w: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2,787</w:t>
            </w:r>
          </w:p>
        </w:tc>
      </w:tr>
      <w:tr>
        <w:trPr>
          <w:trHeight w:val="237"/>
        </w:trPr>
        <w:tc>
          <w:tcPr>
            <w:tcW w:w="5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Balance at October 31, 2019</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1,689,564</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1,757,463</w:t>
            </w:r>
          </w:p>
        </w:tc>
      </w:tr>
      <w:tr>
        <w:trPr>
          <w:trHeight w:val="27"/>
        </w:trPr>
        <w:tc>
          <w:tcPr>
            <w:tcW w:w="5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and Contingent Consideration measured at estimated fair value (all other assets and liabilities measured at fair value are immaterial)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October 31, 2019</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3,047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3,047</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7,932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7,932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July 31, 2019</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3,043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3,043</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7,871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7,871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27,200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October 31, 2018</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3,026</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3,026</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10,836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10,836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23,033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23,033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57" w:right="239" w:bottom="1440" w:gutter="0" w:footer="0" w:header="0"/>
          <w:type w:val="continuous"/>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Company’s cash equivalents and other current assets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three months ended October 31, 2019 and 2018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2019 and 2018, respectively</w:t>
            </w:r>
          </w:p>
        </w:tc>
        <w:tc>
          <w:tcPr>
            <w:tcW w:w="25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r>
      <w:tr>
        <w:trPr>
          <w:trHeight w:val="243"/>
        </w:trPr>
        <w:tc>
          <w:tcPr>
            <w:tcW w:w="58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1,136</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October 31, 2019 and 2018, respectively</w:t>
            </w:r>
          </w:p>
        </w:tc>
        <w:tc>
          <w:tcPr>
            <w:tcW w:w="2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21,900</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23,033</w:t>
            </w:r>
          </w:p>
        </w:tc>
      </w:tr>
      <w:tr>
        <w:trPr>
          <w:trHeight w:val="27"/>
        </w:trPr>
        <w:tc>
          <w:tcPr>
            <w:tcW w:w="5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11.15%,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$3.9 million to $5.6 million.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three months ended October 31, 2019, the Company made a payment to the landlord for Contingent Consideration of approximately $6.4 million and recorded an increase of approximately $1.1 million primarily related to the estimated Contingent Consideration payment for the fiscal year ending July 31, 2019. These changes resulted in an estimated fair value of the Contingent Consideration of approximately $21.9 million, which is reflected in other long-term liabilities in the Company’s Consolidated Condensed Balance Sheet.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October 31, 2019, July 31, 2019 and October 31, 2018,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October 31, 2019, the Company had various letters of credit outstanding totaling $73.0 million, consisting of $53.4 million to support the Employee Housing Bonds and $19.6 million primarily for workers’ compensation, a wind energy purchase agreement and insurance-related deductibles. The Company also had surety bonds of $10.6 million as of October 31, 2019, primarily to provide collateral for its U.S. workers compensation self-insurance programs.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October 31, 2019, July 31, 2019 and October 31, 2018, the accruals for the above loss contingencies were not material individually or in the aggregate.</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Consolidated Condensed Financial Statements as indicators of financial performance or liquidity.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50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Lift</w:t>
            </w:r>
          </w:p>
        </w:tc>
        <w:tc>
          <w:tcPr>
            <w:tcW w:w="3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41,829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24,685</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8,534</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Dining</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21,629</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18,292</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47,915</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43,342</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60,925</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54,415</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180,832</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145,006</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82,758</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74,900</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263,590</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219,906</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4,180</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267,770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220,004</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262,008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222,363</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79,492</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71,004</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341,500</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293,367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 net</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5,293</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1,370</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346,793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294,737</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3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3,266</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3,896</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(76,719)</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(72,511)</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(77,625)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(73,783)</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96,938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101,743</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loss attributable to Vail Resorts, Inc.:</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3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(77,625)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(73,783)</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(57,845)</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(51,043)</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(1,136)</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2,267</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277</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5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gain (loss) on intercompany loans</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360</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(22,690)</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(18,638)</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(156,392)</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(147,131)</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Benefit from income taxes</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46,563</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36,405</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(109,829)</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(110,726)</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2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3,354</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2,931</w:t>
            </w:r>
          </w:p>
        </w:tc>
      </w:tr>
      <w:tr>
        <w:trPr>
          <w:trHeight w:val="27"/>
        </w:trPr>
        <w:tc>
          <w:tcPr>
            <w:tcW w:w="5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3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(106,475)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(107,795)</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5060" w:type="dxa"/>
            <w:vAlign w:val="bottom"/>
          </w:tcPr>
          <w:p>
            <w:pPr>
              <w:spacing w:after="0"/>
              <w:rPr>
                <w:sz w:val="24"/>
                <w:szCs w:val="24"/>
                <w:color w:val="auto"/>
              </w:rPr>
            </w:pPr>
          </w:p>
        </w:tc>
        <w:tc>
          <w:tcPr>
            <w:tcW w:w="2840" w:type="dxa"/>
            <w:vAlign w:val="bottom"/>
          </w:tcPr>
          <w:p>
            <w:pPr>
              <w:jc w:val="right"/>
              <w:ind w:right="201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5" w:name="page26"/>
    <w:bookmarkEnd w:id="25"/>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95,618 Vail Shares (at a total cost of approximately $21.4 million) during the three months ended October 31, 2019. The Company repurchased 197,896 Vail Shares (at a total cost of $50.0 million) during the three months ended October 31, 2018. Since inception of its share repurchase program through October 31, 2019, the Company has repurchased 6,000,341 Vail Shares for approximately $379.4 million. As of October 31, 2019, 1,499,659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October 31, 2019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2019 (“Form 10-K”) and the Consolidated Condensed Financial Statements as of October 31, 2019 and 2018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26, 2019.</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loss attributable to Vail Resorts, Inc. and Net Debt to long-term debt, net.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48985" cy="385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from their respective local markets.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operate ancillary services, primarily including ski school, dining and retail/rental operations, and for our Australian resorts, including lodging and transportation operations. Mountain segment revenue is seasonal, with the majority of revenue earned from our North American mountain resorts and ski areas occurring in our second and third fiscal quarters and the majority of revenue earned from our Australian resorts occurring in our first and fourth fiscal quarters. Our North American mountain resorts are generally open for business from mid-November through mid-April, which is the peak operating season for the Mountain segment, and our Australian resorts are typically open for business from June to early October. Consequently, our first fiscal quarter is a seasonally low period as our North American ski operations are generally not open for business until our second fiscal quarter, while the activity of our Australian resorts’ peak season and our North American summer operating results are not sufficient to offset the losses incurred during the seasonally low periods at our North American mountain resorts and ski areas. Revenue of the Mountain segment during the first and fourth fiscal quarters is primarily generated from summer and group related visitation at our North American mountain resorts, retail/rental operations and peak season Australian resort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a Colorado resort ground transportation company; and (v) mountain resort golf courses.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do not affect our Lodging Reported EBITDA, which we use to evaluate Lodging 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89"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regards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Through December 2, 2019, sales of North American ski season pass products increased approximately 22% in units and 17% in sales dollars as compared to the prior year period ended December 3, 2018, including Military Pass sales and Peak Resorts pass sales in both periods and adjusted to eliminate the impact of foreign currency by applying an exchange rate of $0.75 between the Canadian dollar and U.S. dollar in both periods for Whistler Blackcomb pass sales. Excluding sales of Military Passes, sales of pass products increased approximately 22% in units and 16% in sales dollars over the comparable prior year period. We cannot predict the ultimate impact that sales of our pass products will have on total lift revenue or effective ticket price for the 2019/2020 North American ski season.</w:t>
      </w:r>
    </w:p>
    <w:p>
      <w:pPr>
        <w:spacing w:after="0" w:line="166" w:lineRule="exact"/>
        <w:rPr>
          <w:rFonts w:ascii="Arial" w:cs="Arial" w:eastAsia="Arial" w:hAnsi="Arial"/>
          <w:sz w:val="16"/>
          <w:szCs w:val="16"/>
          <w:color w:val="auto"/>
        </w:rPr>
      </w:pPr>
    </w:p>
    <w:p>
      <w:pPr>
        <w:jc w:val="both"/>
        <w:ind w:left="640" w:hanging="321"/>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through calendar year 2019,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of the overall North American or global economy will be on overall travel and leisure spending or more specifically, on our guest visitation, guest spending or other related trends for the upcoming 2019/2020 North American ski season.</w:t>
      </w:r>
    </w:p>
    <w:p>
      <w:pPr>
        <w:spacing w:after="0" w:line="193"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October 31, 2019, we had $231.4 million available under the revolver component of our Eighth Amended and Restated Credit Agreement, dated as of August 15, 2018 and as amended most recently on September 23, 2019 (the “Vail Holdings Credit Agreement”), which represents the total commitment of $500.0 million less outstanding borrowings of $190.0 million and certain letters of credit outstanding of $78.6 million. Additionally, we have a credit facility which supports the liquidity needs of Whistler Blackcomb (the “Whistler Credit Agreement”). As of October 31, 2019, we had C$249.1 million ($189.1 million) available under the revolver component of the Whistler Credit Agreement (which represents the total commitment of C$300.0 million ($227.8 million) less outstanding borrowings of C$50.0 million ($38.0 million) and a letter of credit outstanding of C$0.9 million ($0.7 million)).</w:t>
      </w:r>
    </w:p>
    <w:p>
      <w:pPr>
        <w:spacing w:after="0" w:line="189" w:lineRule="exact"/>
        <w:rPr>
          <w:rFonts w:ascii="Arial" w:cs="Arial" w:eastAsia="Arial" w:hAnsi="Arial"/>
          <w:sz w:val="18"/>
          <w:szCs w:val="18"/>
          <w:color w:val="auto"/>
        </w:rPr>
      </w:pPr>
    </w:p>
    <w:p>
      <w:pPr>
        <w:jc w:val="both"/>
        <w:ind w:left="640"/>
        <w:spacing w:after="0" w:line="257" w:lineRule="auto"/>
        <w:rPr>
          <w:rFonts w:ascii="Arial" w:cs="Arial" w:eastAsia="Arial" w:hAnsi="Arial"/>
          <w:sz w:val="18"/>
          <w:szCs w:val="18"/>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8" w:name="page29"/>
    <w:bookmarkEnd w:id="28"/>
    <w:p>
      <w:pPr>
        <w:jc w:val="both"/>
        <w:ind w:left="640" w:hanging="321"/>
        <w:spacing w:after="0" w:line="287"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September 24, 2019, through a wholly-owned subsidiary, we acquired 100 percent of the outstanding stock of Peak Resorts, Inc. (“Peak Resorts”) at a purchase price of $11.00 per share or approximately $264.5 million. In addition, contemporaneous with the closing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we borrowed approximately $335.6 million under the Vail Holdings Credit Agreement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acquisition included the mountain operations of the resorts, including base area skier services (food and beverage, retail and rental, lift ticket offices and ski and snowboard school facilities), as well as lodging operations at certain resorts. We expect that the acquisition of Peak Resorts will positively contribute to our annual results of operations; however we cannot predict the ultimate impact the new resorts will have on our future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months ended October 31, 2019, compared to the three months ended October 31, 2018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(79,985)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3,266</w:t>
            </w:r>
          </w:p>
        </w:tc>
        <w:tc>
          <w:tcPr>
            <w:tcW w:w="4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3,896</w:t>
            </w:r>
          </w:p>
        </w:tc>
      </w:tr>
      <w:tr>
        <w:trPr>
          <w:trHeight w:val="27"/>
        </w:trPr>
        <w:tc>
          <w:tcPr>
            <w:tcW w:w="7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(76,719)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(906)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(156,392)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(106,475)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(107,795)</w:t>
            </w:r>
          </w:p>
        </w:tc>
      </w:tr>
      <w:tr>
        <w:trPr>
          <w:trHeight w:val="27"/>
        </w:trPr>
        <w:tc>
          <w:tcPr>
            <w:tcW w:w="7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Peak Resorts (acquired September 24, 2019), Falls Creek and Hotham (acquired April 4, 2019), Triple Peaks (acquired September 27, 2018) and Stevens Pass (acquired August 15, 2018), prospectively from their respective dates of acquisition.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 compared to the three months ended October 31, 2018</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Mountain segment operating results for the three months ended October 31, 2019 and 2018 are presented by category as follows (in thousands, except effective ticket price (“ETP”)). ETP is calculated as lift revenue divided by total skier visits for each applicable period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41,829</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24,685</w:t>
            </w:r>
          </w:p>
        </w:tc>
        <w:tc>
          <w:tcPr>
            <w:tcW w:w="2040" w:type="dxa"/>
            <w:vAlign w:val="bottom"/>
          </w:tcPr>
          <w:p>
            <w:pPr>
              <w:jc w:val="right"/>
              <w:spacing w:after="0"/>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8,534</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21,629</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18,292</w:t>
            </w:r>
          </w:p>
        </w:tc>
        <w:tc>
          <w:tcPr>
            <w:tcW w:w="204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47,915</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60,925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54,415</w:t>
            </w:r>
          </w:p>
        </w:tc>
        <w:tc>
          <w:tcPr>
            <w:tcW w:w="204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180,832</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145,006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91,475</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76,250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23,279</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22,416</w:t>
            </w:r>
          </w:p>
        </w:tc>
        <w:tc>
          <w:tcPr>
            <w:tcW w:w="20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64,669</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82,585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68,994</w:t>
            </w:r>
          </w:p>
        </w:tc>
        <w:tc>
          <w:tcPr>
            <w:tcW w:w="204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262,008</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222,363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1,191</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204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(79,985)</w:t>
            </w:r>
          </w:p>
        </w:tc>
        <w:tc>
          <w:tcPr>
            <w:tcW w:w="116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(76,407)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934</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ETP</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44.78</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48.69</w:t>
            </w:r>
          </w:p>
        </w:tc>
        <w:tc>
          <w:tcPr>
            <w:tcW w:w="20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$4.4 million and $3.9 million of stock-based compensation expense for the three months ended October 31, 2019 and 2018,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first fiscal quarter historically results in negative Mountain Reported EBITDA, as our North American mountain resorts and ski areas generally do not open for ski operations until our second fiscal quarter, which begins in November (with the exception of Keystone, which opened in October in current year). The first fiscal quarter generally consists of operating and administrative expenses, summer activities (including dining), retail/rental operations and the operations of our Australian resorts, for which the winter operating season generally occurs from June through early October.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Mountain Reported EBITDA decreased by $3.6 million, or 4.7%, reflecting incremental off-season losses from Peak Resorts, Triple Peaks and Stevens Pass (acquired in September 2019, September 2018 and August 2018, respectively) and an increase in general and administrative expense, partially offset by the incremental ski season operations of Falls Creek and Hotham (acquired in April 2019) and improved summer operations results at Whistler Blackcomb. Operating results from Perisher, which are translated from Australian dollars to U.S. dollars, were adversely affected by a decrease in the Australian dollar exchange rates relative to the U.S. dollar as compared to prior year, resulting in a decline in Mountain Reported EBITDA of approximately $2 million, which the Company calculated on a constant currency basis by applying current period foreign exchange rates to the prior period results. Additionally, Mountain segment results include $9.0 million and $6.6 million of acquisition and integration related expenses for the three months ended October 31, 2019 and 2018, respectively, which are recorded within Mountain other operating expense.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Lift revenue increased $17.1 million, or 69.5%, and ski school revenue increased $4.3 million, or 99.8%, primarily as a result of incremental revenue from Falls Creek and Hotham, as well as the early ski season opening of Keystone in October as a result of our recent investments in snowmaking. Dining revenue increased $3.3 million, or 18.2%, primarily due to incremental revenue from Peak Resorts, Falls Creek and Hotham, as well as increases in revenue at our western U.S. resorts.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Retail/rental revenue increased $4.6 million, or 10.6%, primarily as a result of incremental revenue from Falls Creek and Hotham as well as increases in revenue at our Colorado stores. 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w:t>
      </w:r>
    </w:p>
    <w:p>
      <w:pPr>
        <w:sectPr>
          <w:pgSz w:w="11900" w:h="16838" w:orient="portrait"/>
          <w:cols w:equalWidth="0" w:num="1">
            <w:col w:w="11420"/>
          </w:cols>
          <w:pgMar w:left="240" w:top="557"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57" w:right="239" w:bottom="1440" w:gutter="0" w:footer="0" w:header="0"/>
          <w:type w:val="continuous"/>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other recreation activity revenue. Other revenue is also comprised of Australian resort lodging and transportation revenue. Other revenue increased $6.5 million, or 12.0%, primarily as a result of incremental revenue from Falls Creek and Hotham, Triple Peaks and Peak Resorts, as well as increases in summer activities revenue at Whistler Blackcomb and at our western U.S. resorts.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increased $39.6 million, or 17.8%, which was primarily attributable to the incremental post-acquisition operating expenses from Falls Creek and Hotham, Peak Resorts, Triple Peaks and Stevens Pass. Additionally, operating expense includes $9.0 million and $6.6 million of acquisition and integration related expenses for the three months ended October 31, 2019 and 2018,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Labor and labor-related benefits increased 20.0% primarily due to incremental expenses from Falls Creek and Hotham, Triple Peaks and Peak Resorts, as well as normal wage adjustments. Retail cost of sales increased 3.8% compared to an increase in retail sales of 5.7%. General and administrative expense increased 18.2% primarily due to an increase in allocated corporate overhead costs primarily associated with marketing, human resources, legal and information technology, as well as incremental expenses from Falls Creek, Hotham and Peak Resorts. Other expense increased 19.7%, primarily due to incremental operating expenses from Peak Resorts, Falls Creek and Hotham and Triple Peaks, as well as an increase in acquisition and integration related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 compared to the three months ended October 31,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2019 and 2018 are presented by category as follows (in thousands, except average daily rates (“ADR”) and revenue per available room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October 31,</w:t>
            </w:r>
          </w:p>
        </w:tc>
        <w:tc>
          <w:tcPr>
            <w:tcW w:w="182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2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19,946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19,599</w:t>
            </w:r>
          </w:p>
        </w:tc>
        <w:tc>
          <w:tcPr>
            <w:tcW w:w="18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18,143</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16,129</w:t>
            </w:r>
          </w:p>
        </w:tc>
        <w:tc>
          <w:tcPr>
            <w:tcW w:w="182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10,221</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9,150</w:t>
            </w:r>
          </w:p>
        </w:tc>
        <w:tc>
          <w:tcPr>
            <w:tcW w:w="182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14,166</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79,567</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71,247</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82,758</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74,900</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37,615</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33,451</w:t>
            </w:r>
          </w:p>
        </w:tc>
        <w:tc>
          <w:tcPr>
            <w:tcW w:w="182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28,300</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24,224</w:t>
            </w:r>
          </w:p>
        </w:tc>
        <w:tc>
          <w:tcPr>
            <w:tcW w:w="182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76,301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67,351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3,191</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3,653</w:t>
            </w:r>
          </w:p>
        </w:tc>
        <w:tc>
          <w:tcPr>
            <w:tcW w:w="18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79,492</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71,004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3,896</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7"/>
        </w:trPr>
        <w:tc>
          <w:tcPr>
            <w:tcW w:w="6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238.49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163.61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161.96</w:t>
            </w:r>
          </w:p>
        </w:tc>
        <w:tc>
          <w:tcPr>
            <w:tcW w:w="18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189.22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188.92</w:t>
            </w:r>
          </w:p>
        </w:tc>
        <w:tc>
          <w:tcPr>
            <w:tcW w:w="182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79.18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82.44</w:t>
            </w: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Lodging Reported EBITDA includes $0.8 million of stock-based compensation expense for both the three months ended October 31, 2019 and 2018. Lodging Reported EBITDA decreased $0.6 million, or 16.2%, primarily due to an increase in expenses across our lodging properties, partially offset by the benefit of the incremental operations of Peak Resorts (acquired in September 2019).</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managed condominium rooms increased $3.6 million, or 32.6%, primarily due to incremental revenue from our managed lodging properties at Crested Butte, Okemo and Tahoe. Dining revenue increased $2.0 million, or 12.5%, primarily due to incremental revenue from our Peak Resorts, Crested Butte and Okemo lodging properties, as well as increased dining revenue at our Park City lodging properties. Golf revenue increased $1.1 million, or 11.7%, primarily due to incremental revenue from our Okemo and Peak Resorts golf operations. Other revenue increased $1.4 million, or 10.9%, primarily due to a business interruption insurance recovery related to a closed event facility in Breckenridge, as well as incremental revenue from our lodging properties at Okemo, Crested Butte and Peak Resorts.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(excluding reimbursed payroll costs) increased 13.3%. Labor and labor related benefits increased 12.4% primarily due to incremental labor expenses from Okemo, Crested Butte and Peak Resorts, as well as normal wage increases. General and administrative expense increased 7.3% due to higher corporate overhead costs. Other expenses increased 16.8%</w:t>
      </w:r>
    </w:p>
    <w:p>
      <w:pPr>
        <w:sectPr>
          <w:pgSz w:w="11900" w:h="16838" w:orient="portrait"/>
          <w:cols w:equalWidth="0" w:num="1">
            <w:col w:w="11420"/>
          </w:cols>
          <w:pgMar w:left="240" w:top="557"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57" w:right="23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primarily due to incremental expenses from Okemo, Crested Butte, and Peak Resorts, as well as increases in variable operating expenses associated with increases in revenue.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 compared to the three months ended October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2019 and 2018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10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 October 31,</w:t>
            </w:r>
          </w:p>
        </w:tc>
        <w:tc>
          <w:tcPr>
            <w:tcW w:w="660" w:type="dxa"/>
            <w:vAlign w:val="bottom"/>
          </w:tcPr>
          <w:p>
            <w:pPr>
              <w:spacing w:after="0"/>
              <w:rPr>
                <w:sz w:val="14"/>
                <w:szCs w:val="14"/>
                <w:color w:val="auto"/>
              </w:rPr>
            </w:pPr>
          </w:p>
        </w:tc>
        <w:tc>
          <w:tcPr>
            <w:tcW w:w="200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4,180</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3,932</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1,361</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2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5,293</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October 31, 2019, we closed on the sale of a development land parcel for $4.1 million which was recorded within Real Estate net revenue, with a corresponding cost of sale (including sales commission) of $3.9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months ended October 31,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October 31,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1"/>
        </w:trPr>
        <w:tc>
          <w:tcPr>
            <w:tcW w:w="5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vMerge w:val="restart"/>
          </w:tcPr>
          <w:p>
            <w:pPr>
              <w:jc w:val="right"/>
              <w:ind w:right="717"/>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6"/>
                <w:szCs w:val="6"/>
                <w:color w:val="auto"/>
              </w:rPr>
            </w:pPr>
          </w:p>
        </w:tc>
        <w:tc>
          <w:tcPr>
            <w:tcW w:w="110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(57,845)</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(51,043)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Foreign currency gain (loss) on intercompany loans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7"/>
              <w:spacing w:after="0"/>
              <w:rPr>
                <w:sz w:val="20"/>
                <w:szCs w:val="20"/>
                <w:color w:val="auto"/>
              </w:rPr>
            </w:pPr>
            <w:r>
              <w:rPr>
                <w:rFonts w:ascii="Arial" w:cs="Arial" w:eastAsia="Arial" w:hAnsi="Arial"/>
                <w:sz w:val="18"/>
                <w:szCs w:val="18"/>
                <w:color w:val="auto"/>
              </w:rPr>
              <w:t>360</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(2,311)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(22,690)</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(18,638)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7"/>
              <w:spacing w:after="0"/>
              <w:rPr>
                <w:sz w:val="20"/>
                <w:szCs w:val="20"/>
                <w:color w:val="auto"/>
              </w:rPr>
            </w:pPr>
            <w:r>
              <w:rPr>
                <w:rFonts w:ascii="Arial" w:cs="Arial" w:eastAsia="Arial" w:hAnsi="Arial"/>
                <w:sz w:val="18"/>
                <w:szCs w:val="18"/>
                <w:color w:val="auto"/>
              </w:rPr>
              <w:t>46,563</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36,405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 benefit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29.8%</w:t>
            </w: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5.1 pts</w:t>
            </w:r>
          </w:p>
        </w:tc>
        <w:tc>
          <w:tcPr>
            <w:tcW w:w="0" w:type="dxa"/>
            <w:vAlign w:val="bottom"/>
          </w:tcPr>
          <w:p>
            <w:pPr>
              <w:spacing w:after="0"/>
              <w:rPr>
                <w:sz w:val="1"/>
                <w:szCs w:val="1"/>
                <w:color w:val="auto"/>
              </w:rPr>
            </w:pPr>
          </w:p>
        </w:tc>
      </w:tr>
      <w:tr>
        <w:trPr>
          <w:trHeight w:val="27"/>
        </w:trPr>
        <w:tc>
          <w:tcPr>
            <w:tcW w:w="5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for the three months ended October 31, 2019 increased $6.8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the prior year, primarily due to assets acquired in the Peak Resorts, Falls Creek and Hotham, Triple Peaks and Stevens Pass acquisitions.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297" w:lineRule="auto"/>
        <w:rPr>
          <w:sz w:val="20"/>
          <w:szCs w:val="20"/>
          <w:color w:val="auto"/>
        </w:rPr>
      </w:pPr>
      <w:r>
        <w:rPr>
          <w:rFonts w:ascii="Arial" w:cs="Arial" w:eastAsia="Arial" w:hAnsi="Arial"/>
          <w:sz w:val="16"/>
          <w:szCs w:val="16"/>
          <w:i w:val="1"/>
          <w:iCs w:val="1"/>
          <w:color w:val="auto"/>
        </w:rPr>
        <w:t xml:space="preserve">Foreign currency gain on intercompany loans. </w:t>
      </w:r>
      <w:r>
        <w:rPr>
          <w:rFonts w:ascii="Arial" w:cs="Arial" w:eastAsia="Arial" w:hAnsi="Arial"/>
          <w:sz w:val="16"/>
          <w:szCs w:val="16"/>
          <w:color w:val="auto"/>
        </w:rPr>
        <w:t>Foreign currency gain on intercompany loans for the three months ended October 31, 2019 increased $2.7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a result of the Canadian dollar strengthening relative to the U.S. dollar compared to the same period in the prior year, and was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months ended October 31, 2019 increased $4.1 million, compared to the same period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primarily due to interest expense associated with incremental term loan borrowings under the Vail Holdings Credit Agreement of $335.6 million, which were used to fund the Peak Resorts acquisition, as well as incremental interest expense associated with debt obligations assumed in the Peak Resorts acquisition.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The effective tax rate benefit for the three months ended October 31, 2019 was 29.8%, compared to 24.7%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October 31, 2018. The interim period effective tax rate is primarily driven by (i) anticipated pre-tax book income for the full fiscal year, adjusted for items that are deductible/non-deductible for tax purposes only (i.e., permanent items); (ii) excess tax benefits from employee share awards and enacted tax legislation, which are both recorded as discrete items; (iii) taxable income generated by state and foreign jurisdictions that varies from anticipated consolidated pre-tax book loss and (iv) the amount of net loss attributable to noncontrolling interests.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the effective tax rate benefit during the three months ended October 31, 2019 compared to the three months ended October 31, 2018 was primarily due to the U.S. federal tax reform rate reduction impact on the lapse in the statute of limitations for an uncertain tax position, partially offset by a decrease in excess tax benefits from employee share awards that were exercised (stock appreciation rights) and that vested (restricted stock awards), which are recorded within benefit from income taxes on the Company’s Consolidated Condensed Statements of Operations. Excess tax benefits totaled $2.5 million and $4.6 million, respectively, for the three months ended October 31, 2019 and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7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loss attributable to Vail Resorts, Inc.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(79,985)</w:t>
            </w:r>
          </w:p>
        </w:tc>
        <w:tc>
          <w:tcPr>
            <w:tcW w:w="6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3,266</w:t>
            </w:r>
          </w:p>
        </w:tc>
        <w:tc>
          <w:tcPr>
            <w:tcW w:w="6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3,896</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(76,719)</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(906)</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(77,625)</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(57,845)</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(51,043)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 of fixed assets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2,267</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(1,136)</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277</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Foreign currency gain (loss) on intercompany loans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360</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(22,690)</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(18,638)</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(156,392)</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(147,131)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46,563</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36,405</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(109,829)</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(110,726)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3,354</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2,931</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(106,475)</w:t>
            </w:r>
          </w:p>
        </w:tc>
        <w:tc>
          <w:tcPr>
            <w:tcW w:w="60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(107,795)</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9"/>
        </w:trPr>
        <w:tc>
          <w:tcPr>
            <w:tcW w:w="7900" w:type="dxa"/>
            <w:vAlign w:val="bottom"/>
          </w:tcPr>
          <w:p>
            <w:pPr>
              <w:spacing w:after="0"/>
              <w:rPr>
                <w:sz w:val="20"/>
                <w:szCs w:val="20"/>
                <w:color w:val="auto"/>
              </w:rPr>
            </w:pPr>
            <w:r>
              <w:rPr>
                <w:rFonts w:ascii="Arial" w:cs="Arial" w:eastAsia="Arial" w:hAnsi="Arial"/>
                <w:sz w:val="18"/>
                <w:szCs w:val="18"/>
                <w:color w:val="auto"/>
              </w:rPr>
              <w:t>The following table reconciles Net Debt to long-term debt, net (in thousands):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1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773"/>
              <w:spacing w:after="0"/>
              <w:rPr>
                <w:sz w:val="20"/>
                <w:szCs w:val="20"/>
                <w:color w:val="auto"/>
              </w:rPr>
            </w:pPr>
            <w:r>
              <w:rPr>
                <w:rFonts w:ascii="Arial" w:cs="Arial" w:eastAsia="Arial" w:hAnsi="Arial"/>
                <w:sz w:val="14"/>
                <w:szCs w:val="14"/>
                <w:b w:val="1"/>
                <w:bCs w:val="1"/>
                <w:color w:val="auto"/>
                <w:w w:val="93"/>
              </w:rPr>
              <w:t>October 31,</w:t>
            </w:r>
          </w:p>
        </w:tc>
        <w:tc>
          <w:tcPr>
            <w:tcW w:w="1140" w:type="dxa"/>
            <w:vAlign w:val="bottom"/>
            <w:tcBorders>
              <w:bottom w:val="single" w:sz="8" w:color="auto"/>
            </w:tcBorders>
          </w:tcPr>
          <w:p>
            <w:pPr>
              <w:spacing w:after="0"/>
              <w:rPr>
                <w:sz w:val="24"/>
                <w:szCs w:val="24"/>
                <w:color w:val="auto"/>
              </w:rPr>
            </w:pPr>
          </w:p>
        </w:tc>
      </w:tr>
      <w:tr>
        <w:trPr>
          <w:trHeight w:val="264"/>
        </w:trPr>
        <w:tc>
          <w:tcPr>
            <w:tcW w:w="7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2,005,057</w:t>
            </w:r>
          </w:p>
        </w:tc>
        <w:tc>
          <w:tcPr>
            <w:tcW w:w="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1,486,968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63,807</w:t>
            </w:r>
          </w:p>
        </w:tc>
        <w:tc>
          <w:tcPr>
            <w:tcW w:w="6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48,482</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2,068,864</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1,535,450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136,326</w:t>
            </w:r>
          </w:p>
        </w:tc>
        <w:tc>
          <w:tcPr>
            <w:tcW w:w="6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141,031</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1,932,538</w:t>
            </w:r>
          </w:p>
        </w:tc>
        <w:tc>
          <w:tcPr>
            <w:tcW w:w="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1,394,419</w:t>
            </w:r>
          </w:p>
        </w:tc>
      </w:tr>
      <w:tr>
        <w:trPr>
          <w:trHeight w:val="20"/>
        </w:trPr>
        <w:tc>
          <w:tcPr>
            <w:tcW w:w="7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three months ended October 31, 2019 and 2018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209,339</w:t>
            </w:r>
          </w:p>
        </w:tc>
        <w:tc>
          <w:tcPr>
            <w:tcW w:w="11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177,081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0"/>
              </w:rPr>
              <w:t>(376,754)</w:t>
            </w:r>
          </w:p>
        </w:tc>
        <w:tc>
          <w:tcPr>
            <w:tcW w:w="112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(340,663)</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198,440</w:t>
            </w:r>
          </w:p>
        </w:tc>
        <w:tc>
          <w:tcPr>
            <w:tcW w:w="112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135,895</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our operations generate seasonally low operating cash flow in the first fiscal quarter given that the first and the prior year’s fourth fiscal quarters have limited North American Mountain segment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 compared to the three months ended October 31, 2018</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generated $209.3 million of cash from operating activities during the three months ended October 31, 2019, an increase of $32.2 million compared to $177.1 million of cash generated during the three months ended October 31, 2018. The increase in operating cash flows was primarily a result of an increase in season pass accounts receivable collections combined with increased</w:t>
      </w:r>
    </w:p>
    <w:p>
      <w:pPr>
        <w:sectPr>
          <w:pgSz w:w="11900" w:h="16838" w:orient="portrait"/>
          <w:cols w:equalWidth="0" w:num="1">
            <w:col w:w="11420"/>
          </w:cols>
          <w:pgMar w:left="240" w:top="557"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57" w:right="239" w:bottom="1440" w:gutter="0" w:footer="0" w:header="0"/>
          <w:type w:val="continuous"/>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season pass sales during the three months ended October 31, 2019 compared to the prior year. These increases were partially offset by decreased Mountain and Lodging operating results during the three months ended October 31, 2019 compared to the prior year, as well as a decrease in accounts payable (excluding accounts payable assumed through acquisitions) and an increase in cash interest payments primarily associated with incremental term loan borrowings under our Vail Holdings Credit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three months ended October 31, 2019 increased by $36.1 million primarily due to cash payments of $327.6 million, net of cash acquired, related to the acquisition of Peak Resorts during the three months ended October 31, 2019, as compared to cash payments of $292.9 million, net of cash acquired, related to the acquisitions of Triple Peaks and Stevens Pass during the three months ended October 31, 2018. In addition, cash used in investing activities increased due to additional capital expenditures of $4.7 million during the three months ended October 31, 2019 compared to the three months ended October 31,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financing activities increased by $62.5 million during the three months ended October 31, 2019 compared to the three months ended October 31, 2018, primarily due to an increase in proceeds from incremental borrowings under the term loan portion of our Vail Holdings Credit Agreement from $265.6 million during the three months ended October 31, 2018, which were used to fund the Triple Peaks and Stevens Pass acquisitions, to $335.6 million during the three months ended October 31, 2019, which were used to fund the Peak Resorts acquisition. Additionally, repurchases of common stock decreased by $28.6 million and employee taxes paid related to exercises of share awards decreased by $2.5 million. These increases in cash provided by financing activities were partially offset by (i) an increase of $15.2 million in net payments on borrowings under our Whistler Credit Agreement, (ii) an increase of $8.0 million in net payments on borrowings under the revolver component of our Vail Holdings Credit Agreement, (iii) an increase in dividends paid of $11.5 million and (iv) a payment for contingent consideration with regard to our lease for Park City.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$136.3 million of cash and cash equivalents as of October 31, 2019, compared to $141.0 million as of October 31, 2018.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$136.3 million of cash and cash equivalents at October 31, 2019, we had $231.4 million available under the revolver component of our Vail Holdings Credit Agreement as of October 31, 2019 (which represents the total commitment of $500.0 million less outstanding borrowings of $190.0 million and certain letters of credit outstanding of $78.6 million). Additionally, we had C$249.1 million ($189.1 million) available under the revolver component of our Whistler Credit Agreement (which represents the total commitment of C$300.0 million ($227.8 million) less outstanding borrowings of C$50.0 million ($38.0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1.50% and Bankers Acceptance Rate plus 1.75%,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 We currently anticipate we will spend approximately $139 million to $143 million on resort capital expenditures during calendar year 2019, excluding one-time items associated with integrations, the one-time Triple Peaks and Stevens Pass transformation plan, summer capital, real estate related capital and reimbursable investments. We expect that our total capital plan will be approximately $190 million to $195 million, including items noted above for integration and acquisitions, summer capital, real estate related projects and approximately $18 million of reimbursable investments associated with insurance recoveries and tenant improvements. Included in these estimated capital expenditures are approximately $85 million to $90 million of maintenance capital expenditures, which are necessary to maintain appearance and level of service appropriate to our resort operations. Discretionary expenditures for calendar year 2019 include, among other projects, significant investments in our snowmaking systems in Colorado that have transformed the early-season terrain experience at Vail, Keystone and Beaver Creek; technology investments to increase lift ticket express fulfillment capacity through new mobile technology across many of our North American resorts to allow skiers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6"/>
          <w:szCs w:val="16"/>
          <w:color w:val="auto"/>
        </w:rPr>
        <w:t>snowboarders who purchased tickets in advance to bypass the ticket window entirely; and a new permanent Tombstone BBQ restaurant at Park City. We also made significant one-time investments across the recently acquired resorts of Crested Butte, Okemo, Mount Sunapee and Stevens Pass, which will include replacing and upgrading the Daisy and Brooks lifts at Stevens Pass and the Teocalli Lift at Crested Butte and on-mountain restaurant upgrades at Okemo. We invested approximately $14 million in the first phase of a two-year, $35 million investment program for these newly acquired resorts. Additionally, we plan to spend approximately $7 million in capital for the integration of Triple Peaks and Stevens Pass, $2 million in capital for the integration of Peak Resorts and $1 million in capital for the integration of Falls Creek and Hotham. The calendar year 2019 capital plan also includes $3 million of investment related to our sustainability commitment focused on energy efficiency opportunities in snowmaking as well as other electrical and lighting applications.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Approximately $131 million was spent for capital expenditures in calendar year 2019 as of October 31, 2019, leaving approximately $59 million to $64 million to spend in the remainder of calendar year 2019, including anticipated investments for integration and acquisitions, summer capital, real estate related projects and reimbursable investments associated with insurance recoveries and tenant improvements.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that our capital plan for calendar 2020 will be approximately $155 million to $160 million, excluding one-time items associated with integrations, the one-time Triple Peaks and Stevens Pass transformation plan, one-time Peak Resorts capital improvements, real estate related capital and reimbursable investments associated with insurance recoveries that we had originally expected to occur in calendar 2019. We expect that our total capital plan will be approximately $210 million to $215 million, including items noted above for integration and acquisitions, summer capital, real estate related projects and approximately $4 million of reimbursable investments associated with insurance recoveries. We currently plan to utilize cash on hand, borrowings available under our credit agreements and/or cash flow generated from future operations to provide the cash necessary to complete our capital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Peak Resorts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2019, we entered into an amendment to our Vail Holdings Credit Agreement in which the term loan was increased by approximately $335.6 million, and we utilized the proceeds to fund the acquisition of 100 percent of the outstanding stock of Peak Resorts on September 24, 2019 at a purchase price of $11.00 per share or approximately $264.5 million, and to prepay certain portions of Peak Resorts outstanding debt and lease obligations that were required to be paid in order to complete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October 31, 2019, principal payments on the majority of our long-term debt ($1,760.9 million of the total $2,058.0 million debt outstanding as of October 31, 2019) are not due until fiscal 2024 and beyond. As of October 31, 2019 and 2018, total long-term debt, net (including long-term debt due within one year) was $2,068.9 million and $1,535.5 million, respectively. Net Debt (defined as long-term debt, net plus long-term debt due within one year less cash and cash equivalents) increased from $1,394.4 million as of October 31, 2018 to $1,932.5 million as of October 31, 2019, primarily due to $335.6 million in incremental term loans, as discussed above, resulting from the September 23, 2019 amendment of our Vail Holdings Credit Agreement. Additionally, in conjunction with the acquisition of Peak Resorts, we assumed certain debt obligations of Peak Resorts, which have maturities ranging from 2021 through 2036 and were recorded at their estimated fair values of approximately $181.7 million. See Notes to the Consolidated Condensed Financial Statements for additional information.</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Vail Holdings Credit Agreement provides for (i) a revolving loan facility in an aggregate principal amount of $500.0 million and (ii) a term loan facility of $1.25 billion. We expect that our liquidity needs in the near term will be met by continued use of operating cash flows and borrowings under both the Vail Holdings Credit Agreement and Whistler Credit Agreement.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debt service requirements can be impacted by changing interest rates as we had approximately $1.4 billion of variable-rate debt outstanding as of October 31, 2019. A 100-basis point change in our borrowing rates would cause our annual interest payments to change by approximately $14.3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2019, our Board of Directors approved a 20% increase to our quarterly cash dividend to $1.76 per share (or approximately $70.9 million per quarter based upon shares outstanding as of October 31, 2019). For the three months ended October 31, 2019, we paid cash dividends of $1.76 per share ($71.1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three months ended October 31, 2019, we repurchased 95,618 Vail Shares (at a total cost of approximately $21.4 million). During the three months ended October 31, 2018, we repurchased 197,896 Vail Shares at a total cost of $50.0 million. Since inception of this stock repurchase program through October 31, 2019, we have repurchased 6,000,341 Vail Shares at a cost of approximately $379.4 million. As of October 31, 2019, 1,499,659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October 31, 2019. We expect that we will meet all applicable financial maintenance covenants in our credit agreements throughout the fiscal year ending July 31, 2020.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Hotham, Falls Creek, Peak Resorts or future acquisitions;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 and</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October 31, 2019, we had approximately $1.4 billion of variable rate indebtedness, representing approximately 69.3% of our total debt outstanding, at an average interest rate during the three months ended October 31, 2019 of 3.4%. Based on variable-rate borrowings outstanding as of October 31, 2019, a 100-basis point (or 1.0%) change in our borrowing rates would result in our annual interest payments changing by approximately $14.3 million. Our market risk exposure fluctuates based on changes in underlying interest rates.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months ended October 31, 2019, we entered into an interest rate swap agreement to fix the interest rate on a portion of our Vail Holdings Credit Agreement, which has the effect of fixing the underlying floating interest rate component of $100.0 million of the principal amount outstanding.</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and other, net of tax, representing gains (losses), and foreign currency gain (loss) on intercompany loans recognized, in comprehensive loss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and other, net of tax</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5,323</w:t>
            </w:r>
          </w:p>
        </w:tc>
        <w:tc>
          <w:tcPr>
            <w:tcW w:w="12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(22,636)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gain (loss) on intercompany loans</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20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34"/>
        </w:trPr>
        <w:tc>
          <w:tcPr>
            <w:tcW w:w="7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October 31, 2019, the Company implemented certain internal controls in connection with its adoption of the new lease accounting standard. There were no other changes in the Company’s internal control over financial reporting that occurred during its most recent fiscal quarter that have materially affected, or are reasonably likely to materially affect, the Company’s internal control over financial reporting.</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was completed in 2019. No further remediation work is expected.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26, 2019, as of and for the year ended July 31, 2019.</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55"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October 31, 2019, 55,409 Exchangeco Shares had not yet been exchanged into Vail Shares.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first quarter of fiscal 2020:</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600" w:type="dxa"/>
            <w:vAlign w:val="bottom"/>
          </w:tcPr>
          <w:p>
            <w:pPr>
              <w:jc w:val="right"/>
              <w:ind w:right="1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4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Period</w:t>
            </w:r>
          </w:p>
        </w:tc>
        <w:tc>
          <w:tcPr>
            <w:tcW w:w="242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6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Plans or Programs (1)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2019 - August 31, 2019</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1,595,277</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September 1, 2019 - September 30, 2019</w:t>
            </w:r>
          </w:p>
        </w:tc>
        <w:tc>
          <w:tcPr>
            <w:tcW w:w="24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1,595,277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2019 - October 31, 2019</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95,618</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224.28</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95,618</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1,499,659</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95,618</w:t>
            </w:r>
          </w:p>
        </w:tc>
        <w:tc>
          <w:tcPr>
            <w:tcW w:w="4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224.28</w:t>
            </w:r>
          </w:p>
        </w:tc>
        <w:tc>
          <w:tcPr>
            <w:tcW w:w="16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95,618</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1,499,659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60" w:hanging="451"/>
        <w:spacing w:after="0" w:line="255"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and 1,500,000 Vail Shares (December 4, 2015), for a total authorization to repurchase up to 7,500,000 Vail Shares. As of October 31, 2019, 1,499,659 Vail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63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4"/>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Second Amendment to the Eighth Amended and Restated Credit Agreement, dated as of September 23, 2019, among Vail Holdings,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1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as borrower, and Bank of America, N.A., as administrative agent, on its own behalf and on behalf of the Lenders party thereto.</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4"/>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73">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20" w:right="20" w:hanging="1385"/>
        <w:spacing w:after="0" w:line="277" w:lineRule="auto"/>
        <w:tabs>
          <w:tab w:leader="none" w:pos="1420" w:val="left"/>
        </w:tabs>
        <w:numPr>
          <w:ilvl w:val="0"/>
          <w:numId w:val="17"/>
        </w:numPr>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906 of the Sarbanes-Oxley Act of 2002.</w:t>
        </w:r>
      </w:hyperlink>
    </w:p>
    <w:p>
      <w:pPr>
        <w:spacing w:after="0" w:line="17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tcPr>
          <w:p>
            <w:pPr>
              <w:ind w:left="360"/>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as its XBRL tags are embedded within the</w:t>
            </w:r>
          </w:p>
        </w:tc>
      </w:tr>
      <w:tr>
        <w:trPr>
          <w:trHeight w:val="230"/>
        </w:trPr>
        <w:tc>
          <w:tcPr>
            <w:tcW w:w="1020" w:type="dxa"/>
            <w:vAlign w:val="bottom"/>
          </w:tcPr>
          <w:p>
            <w:pPr>
              <w:spacing w:after="0"/>
              <w:rPr>
                <w:sz w:val="20"/>
                <w:szCs w:val="20"/>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rFonts w:ascii="Arial" w:cs="Arial" w:eastAsia="Arial" w:hAnsi="Arial"/>
          <w:sz w:val="18"/>
          <w:szCs w:val="18"/>
          <w:color w:val="auto"/>
        </w:rPr>
      </w:pPr>
    </w:p>
    <w:p>
      <w:pPr>
        <w:ind w:left="5620" w:right="3840" w:hanging="5585"/>
        <w:spacing w:after="0" w:line="810" w:lineRule="auto"/>
        <w:tabs>
          <w:tab w:leader="none" w:pos="14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42</w:t>
      </w:r>
    </w:p>
    <w:p>
      <w:pPr>
        <w:sectPr>
          <w:pgSz w:w="11900" w:h="16838" w:orient="portrait"/>
          <w:cols w:equalWidth="0" w:num="1">
            <w:col w:w="11400"/>
          </w:cols>
          <w:pgMar w:left="240" w:top="553" w:right="259" w:bottom="1440" w:gutter="0" w:footer="0" w:header="0"/>
        </w:sectPr>
      </w:pPr>
    </w:p>
    <w:bookmarkStart w:id="43" w:name="page44"/>
    <w:bookmarkEnd w:id="4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December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December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553"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EIGHTH AMENDED AND RESTATED CREDIT AGREEMENT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SECOND AMENDMENT TO EIGHTH AMENDED AND RESTATED CREDIT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is dated as of September 23, 2019, but effective as of the Effective Date (hereinafter defined), among </w:t>
      </w:r>
      <w:r>
        <w:rPr>
          <w:rFonts w:ascii="Arial" w:cs="Arial" w:eastAsia="Arial" w:hAnsi="Arial"/>
          <w:sz w:val="20"/>
          <w:szCs w:val="20"/>
          <w:b w:val="1"/>
          <w:bCs w:val="1"/>
          <w:color w:val="auto"/>
        </w:rPr>
        <w:t>VAIL HOLDINGS, INC.</w:t>
      </w:r>
      <w:r>
        <w:rPr>
          <w:rFonts w:ascii="Arial" w:cs="Arial" w:eastAsia="Arial" w:hAnsi="Arial"/>
          <w:sz w:val="20"/>
          <w:szCs w:val="20"/>
          <w:color w:val="auto"/>
        </w:rPr>
        <w:t>, a Colorado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the </w:t>
      </w:r>
      <w:r>
        <w:rPr>
          <w:rFonts w:ascii="Arial" w:cs="Arial" w:eastAsia="Arial" w:hAnsi="Arial"/>
          <w:sz w:val="20"/>
          <w:szCs w:val="20"/>
          <w:b w:val="1"/>
          <w:bCs w:val="1"/>
          <w:color w:val="auto"/>
        </w:rPr>
        <w:t>LENDERS</w:t>
      </w:r>
      <w:r>
        <w:rPr>
          <w:rFonts w:ascii="Arial" w:cs="Arial" w:eastAsia="Arial" w:hAnsi="Arial"/>
          <w:sz w:val="20"/>
          <w:szCs w:val="20"/>
          <w:color w:val="auto"/>
        </w:rPr>
        <w:t xml:space="preserve"> (as defined in the Credit Agreement referenced below) party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(hereinafter defined).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44" w:lineRule="exact"/>
        <w:rPr>
          <w:sz w:val="20"/>
          <w:szCs w:val="20"/>
          <w:color w:val="auto"/>
        </w:rPr>
      </w:pPr>
    </w:p>
    <w:p>
      <w:pPr>
        <w:jc w:val="both"/>
        <w:ind w:firstLine="656"/>
        <w:spacing w:after="0" w:line="311" w:lineRule="auto"/>
        <w:tabs>
          <w:tab w:leader="none" w:pos="10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Company has entered into that certain Eighth Amended and Restated Credit Agreement dated as of </w:t>
      </w:r>
      <w:r>
        <w:rPr>
          <w:rFonts w:ascii="Arial" w:cs="Arial" w:eastAsia="Arial" w:hAnsi="Arial"/>
          <w:sz w:val="19"/>
          <w:szCs w:val="19"/>
          <w:color w:val="auto"/>
        </w:rPr>
        <w:t>August 15, 2018</w:t>
      </w:r>
      <w:r>
        <w:rPr>
          <w:rFonts w:ascii="Arial" w:cs="Arial" w:eastAsia="Arial" w:hAnsi="Arial"/>
          <w:sz w:val="18"/>
          <w:szCs w:val="18"/>
          <w:color w:val="auto"/>
        </w:rPr>
        <w:t>, with Bank of America, N.A., as Administrative Agent (in such capacity,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and certain other agents and lenders party thereto (as amended by that certain First Amendment to Eighth Amended and Restated Credit Agreement dated as of April 15, 2019, and as further amended, restated,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capitalized terms used but not defined herein have the meanings set forth in the Credit Agreement), providing for a term loan, revolving credit loans, letters of credit, and swing line loans.</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has requested certain amendments to the Credit Agreement.</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Subject to the terms and conditions set forth herein, the Company, the Lenders party hereto, the Guarantors (by execution of the attached Guarantors’ Consent and Agreement), and Administrative Agent agree as follows:</w:t>
      </w:r>
    </w:p>
    <w:p>
      <w:pPr>
        <w:spacing w:after="0" w:line="184"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to the Credit Agreement</w:t>
      </w:r>
      <w:r>
        <w:rPr>
          <w:rFonts w:ascii="Arial" w:cs="Arial" w:eastAsia="Arial" w:hAnsi="Arial"/>
          <w:sz w:val="20"/>
          <w:szCs w:val="20"/>
          <w:color w:val="auto"/>
        </w:rPr>
        <w:t>. Effective as of the Effective Date, the parties hereto agree that:</w:t>
      </w:r>
    </w:p>
    <w:p>
      <w:pPr>
        <w:spacing w:after="0" w:line="235" w:lineRule="exact"/>
        <w:rPr>
          <w:rFonts w:ascii="Arial" w:cs="Arial" w:eastAsia="Arial" w:hAnsi="Arial"/>
          <w:sz w:val="20"/>
          <w:szCs w:val="20"/>
          <w:b w:val="1"/>
          <w:bCs w:val="1"/>
          <w:color w:val="auto"/>
        </w:rPr>
      </w:pPr>
    </w:p>
    <w:p>
      <w:pPr>
        <w:ind w:left="1080" w:hanging="424"/>
        <w:spacing w:after="0"/>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1.1</w:t>
      </w:r>
      <w:r>
        <w:rPr>
          <w:rFonts w:ascii="Arial" w:cs="Arial" w:eastAsia="Arial" w:hAnsi="Arial"/>
          <w:sz w:val="18"/>
          <w:szCs w:val="18"/>
          <w:color w:val="auto"/>
        </w:rPr>
        <w:t xml:space="preserve"> of the Credit Agreement is amended by inserting the following new definitions alphabetically to read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Peak Resorts</w:t>
      </w:r>
      <w:r>
        <w:rPr>
          <w:rFonts w:ascii="Arial" w:cs="Arial" w:eastAsia="Arial" w:hAnsi="Arial"/>
          <w:sz w:val="20"/>
          <w:szCs w:val="20"/>
          <w:color w:val="auto"/>
        </w:rPr>
        <w:t xml:space="preserve"> means Peak Resorts, Inc., a corporation existing under the Laws of the State of Missouri.”</w:t>
      </w:r>
    </w:p>
    <w:p>
      <w:pPr>
        <w:spacing w:after="0" w:line="216" w:lineRule="exact"/>
        <w:rPr>
          <w:sz w:val="20"/>
          <w:szCs w:val="20"/>
          <w:color w:val="auto"/>
        </w:rPr>
      </w:pPr>
    </w:p>
    <w:p>
      <w:pPr>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Peak Resorts Acquisition</w:t>
      </w:r>
      <w:r>
        <w:rPr>
          <w:rFonts w:ascii="Arial" w:cs="Arial" w:eastAsia="Arial" w:hAnsi="Arial"/>
          <w:sz w:val="18"/>
          <w:szCs w:val="18"/>
          <w:color w:val="auto"/>
        </w:rPr>
        <w:t xml:space="preserve"> means the acquisition of the Peak Resorts Acquisition Subsidiaries by the Company pursuant to the Peak Resorts Acquisition Agreement and repayment of certain indebtedness of the Peak Resorts Acquisition Subsidiaries.”</w:t>
      </w:r>
    </w:p>
    <w:p>
      <w:pPr>
        <w:spacing w:after="0" w:line="130"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Peak Resorts Acquisition Agreement</w:t>
      </w:r>
      <w:r>
        <w:rPr>
          <w:rFonts w:ascii="Arial" w:cs="Arial" w:eastAsia="Arial" w:hAnsi="Arial"/>
          <w:sz w:val="20"/>
          <w:szCs w:val="20"/>
          <w:color w:val="auto"/>
        </w:rPr>
        <w:t xml:space="preserve"> means the Agreement and Plan of Merger, dated as of July 20, 2019, by and among the Company, VRAD Holdings, Inc., Peak Resorts and, solely with respect to Section 9.14 thereof, VRI.”</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Peak Resorts Acquisition Subsidiaries</w:t>
      </w:r>
      <w:r>
        <w:rPr>
          <w:rFonts w:ascii="Arial" w:cs="Arial" w:eastAsia="Arial" w:hAnsi="Arial"/>
          <w:sz w:val="20"/>
          <w:szCs w:val="20"/>
          <w:color w:val="auto"/>
        </w:rPr>
        <w:t xml:space="preserve"> means, collectively, Peak Resorts and any direct or indirect Subsidiary of Peak Resorts existing on the Second Amendment Closing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Second Amendment Closing Date</w:t>
      </w:r>
      <w:r>
        <w:rPr>
          <w:rFonts w:ascii="Arial" w:cs="Arial" w:eastAsia="Arial" w:hAnsi="Arial"/>
          <w:sz w:val="20"/>
          <w:szCs w:val="20"/>
          <w:color w:val="auto"/>
        </w:rPr>
        <w:t xml:space="preserve"> means September 23, 2019.”</w:t>
      </w:r>
    </w:p>
    <w:p>
      <w:pPr>
        <w:sectPr>
          <w:pgSz w:w="11900" w:h="16838" w:orient="portrait"/>
          <w:cols w:equalWidth="0" w:num="1">
            <w:col w:w="11420"/>
          </w:cols>
          <w:pgMar w:left="240" w:top="132" w:right="239" w:bottom="1440" w:gutter="0" w:footer="0" w:header="0"/>
        </w:sectPr>
      </w:pPr>
    </w:p>
    <w:bookmarkStart w:id="45" w:name="page46"/>
    <w:bookmarkEnd w:id="45"/>
    <w:p>
      <w:pPr>
        <w:ind w:firstLine="656"/>
        <w:spacing w:after="0" w:line="260" w:lineRule="auto"/>
        <w:tabs>
          <w:tab w:leader="none" w:pos="1077"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Amendment to Definitions</w:t>
      </w:r>
      <w:r>
        <w:rPr>
          <w:rFonts w:ascii="Arial" w:cs="Arial" w:eastAsia="Arial" w:hAnsi="Arial"/>
          <w:sz w:val="20"/>
          <w:szCs w:val="20"/>
          <w:color w:val="auto"/>
        </w:rPr>
        <w:t xml:space="preserve">. The following definitions set forth in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are amended and restated in their entirety as follows:</w:t>
      </w:r>
    </w:p>
    <w:p>
      <w:pPr>
        <w:spacing w:after="0" w:line="19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Critical Assets</w:t>
      </w:r>
      <w:r>
        <w:rPr>
          <w:rFonts w:ascii="Arial" w:cs="Arial" w:eastAsia="Arial" w:hAnsi="Arial"/>
          <w:sz w:val="20"/>
          <w:szCs w:val="20"/>
          <w:color w:val="auto"/>
        </w:rPr>
        <w:t xml:space="preserve"> means all improvements, assets, and Rights essential to ski resort operations owned or acquired by any Company;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assets of the Whistler Acquisition Subsidiaries and the Peak Resorts Acquisition Subsidiaries shall not be deemed ‘Critical Assets’.”</w:t>
      </w:r>
    </w:p>
    <w:p>
      <w:pPr>
        <w:spacing w:after="0" w:line="18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Fee Letter</w:t>
      </w:r>
      <w:r>
        <w:rPr>
          <w:rFonts w:ascii="Arial" w:cs="Arial" w:eastAsia="Arial" w:hAnsi="Arial"/>
          <w:sz w:val="20"/>
          <w:szCs w:val="20"/>
          <w:color w:val="auto"/>
        </w:rPr>
        <w:t xml:space="preserve"> means the letter agreement dated August 15, 2018, among Borrower, Administrative Agent and BofA Securities, Inc., as successor to Merrill Lynch, Pierce, Fenner &amp; Smith Incorporated.”</w:t>
      </w:r>
    </w:p>
    <w:p>
      <w:pPr>
        <w:spacing w:after="0" w:line="177"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Joint Lead Arrangers</w:t>
      </w:r>
      <w:r>
        <w:rPr>
          <w:rFonts w:ascii="Arial" w:cs="Arial" w:eastAsia="Arial" w:hAnsi="Arial"/>
          <w:sz w:val="20"/>
          <w:szCs w:val="20"/>
          <w:color w:val="auto"/>
        </w:rPr>
        <w:t xml:space="preserve"> means BofA Securities, Inc., U.S. Bank National Association and Wells Fargo Securities, LLC, in their respective capacities as joint lead arrangers and joint bookrunners.”</w:t>
      </w:r>
    </w:p>
    <w:p>
      <w:pPr>
        <w:spacing w:after="0" w:line="177"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Facility Amount</w:t>
      </w:r>
      <w:r>
        <w:rPr>
          <w:rFonts w:ascii="Arial" w:cs="Arial" w:eastAsia="Arial" w:hAnsi="Arial"/>
          <w:sz w:val="18"/>
          <w:szCs w:val="18"/>
          <w:color w:val="auto"/>
        </w:rPr>
        <w:t xml:space="preserve"> means, on any date of determination, the greater of (a) $1,500,000,000, and (b) the product of (i) 2.75 and (ii) Adjusted EBITDA for the four fiscal quarters ending on the last day of the immediately preceding fiscal quarter.”</w:t>
      </w:r>
    </w:p>
    <w:p>
      <w:pPr>
        <w:spacing w:after="0" w:line="130"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xml:space="preserve"> means (a) for purposes of the Revolver Facility, the earlier of (i) September 23, 2024; and (ii) the effective date upon which Revolver Lenders’ Revolver Commitments are otherwise canceled or terminated, and (b) for purposes of the Term Loan Facility, (i) the earlier of September 23, 2024, and (ii) the effective date of any other termination, cancellation or acceleration of the Term Loan Facility.”</w:t>
      </w:r>
    </w:p>
    <w:p>
      <w:pPr>
        <w:spacing w:after="0" w:line="205" w:lineRule="exact"/>
        <w:rPr>
          <w:sz w:val="20"/>
          <w:szCs w:val="20"/>
          <w:color w:val="auto"/>
        </w:rPr>
      </w:pPr>
    </w:p>
    <w:p>
      <w:pPr>
        <w:ind w:firstLine="656"/>
        <w:spacing w:after="0" w:line="260" w:lineRule="auto"/>
        <w:tabs>
          <w:tab w:leader="none" w:pos="1079"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Amendment to Definitions</w:t>
      </w:r>
      <w:r>
        <w:rPr>
          <w:rFonts w:ascii="Arial" w:cs="Arial" w:eastAsia="Arial" w:hAnsi="Arial"/>
          <w:sz w:val="20"/>
          <w:szCs w:val="20"/>
          <w:color w:val="auto"/>
        </w:rPr>
        <w:t>. The first sentence following the table set forth in the definition of “</w:t>
      </w:r>
      <w:r>
        <w:rPr>
          <w:rFonts w:ascii="Arial" w:cs="Arial" w:eastAsia="Arial" w:hAnsi="Arial"/>
          <w:sz w:val="20"/>
          <w:szCs w:val="20"/>
          <w:i w:val="1"/>
          <w:iCs w:val="1"/>
          <w:color w:val="auto"/>
        </w:rPr>
        <w:t>Applicable Margin</w:t>
      </w:r>
      <w:r>
        <w:rPr>
          <w:rFonts w:ascii="Arial" w:cs="Arial" w:eastAsia="Arial" w:hAnsi="Arial"/>
          <w:sz w:val="20"/>
          <w:szCs w:val="20"/>
          <w:color w:val="auto"/>
        </w:rPr>
        <w:t xml:space="preserve">” in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is amended and restated as follows:</w:t>
      </w:r>
    </w:p>
    <w:p>
      <w:pPr>
        <w:spacing w:after="0" w:line="190"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“Prior to Administrative Agent’s receipt of the Companies’ consolidated Financial Statements for the Companies’ fiscal quarter ended October 31, 2019, the ratio of Net Funded Debt to Adjusted EBITDA shall be fixed at Level III.”</w:t>
      </w:r>
    </w:p>
    <w:p>
      <w:pPr>
        <w:spacing w:after="0" w:line="190" w:lineRule="exact"/>
        <w:rPr>
          <w:sz w:val="20"/>
          <w:szCs w:val="20"/>
          <w:color w:val="auto"/>
        </w:rPr>
      </w:pPr>
    </w:p>
    <w:p>
      <w:pPr>
        <w:ind w:firstLine="656"/>
        <w:spacing w:after="0" w:line="260" w:lineRule="auto"/>
        <w:tabs>
          <w:tab w:leader="none" w:pos="1117"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 to Definitions</w:t>
      </w:r>
      <w:r>
        <w:rPr>
          <w:rFonts w:ascii="Arial" w:cs="Arial" w:eastAsia="Arial" w:hAnsi="Arial"/>
          <w:sz w:val="20"/>
          <w:szCs w:val="20"/>
          <w:color w:val="auto"/>
        </w:rPr>
        <w:t xml:space="preserve">. </w:t>
      </w:r>
      <w:r>
        <w:rPr>
          <w:rFonts w:ascii="Arial" w:cs="Arial" w:eastAsia="Arial" w:hAnsi="Arial"/>
          <w:sz w:val="20"/>
          <w:szCs w:val="20"/>
          <w:i w:val="1"/>
          <w:iCs w:val="1"/>
          <w:color w:val="auto"/>
        </w:rPr>
        <w:t>Clause (g)</w:t>
      </w:r>
      <w:r>
        <w:rPr>
          <w:rFonts w:ascii="Arial" w:cs="Arial" w:eastAsia="Arial" w:hAnsi="Arial"/>
          <w:sz w:val="20"/>
          <w:szCs w:val="20"/>
          <w:color w:val="auto"/>
        </w:rPr>
        <w:t xml:space="preserve"> of the definition of “</w:t>
      </w:r>
      <w:r>
        <w:rPr>
          <w:rFonts w:ascii="Arial" w:cs="Arial" w:eastAsia="Arial" w:hAnsi="Arial"/>
          <w:sz w:val="20"/>
          <w:szCs w:val="20"/>
          <w:i w:val="1"/>
          <w:iCs w:val="1"/>
          <w:color w:val="auto"/>
        </w:rPr>
        <w:t>Permitted Debt</w:t>
      </w:r>
      <w:r>
        <w:rPr>
          <w:rFonts w:ascii="Arial" w:cs="Arial" w:eastAsia="Arial" w:hAnsi="Arial"/>
          <w:sz w:val="20"/>
          <w:szCs w:val="20"/>
          <w:color w:val="auto"/>
        </w:rPr>
        <w:t xml:space="preserve">” in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is amended and restated as follows:</w:t>
      </w:r>
    </w:p>
    <w:p>
      <w:pPr>
        <w:spacing w:after="0" w:line="19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 xml:space="preserve">“(g) (i) Non-Recourse Debt of Unrestricted Subsidiaries, and (ii) other Debt of Unrestricted Subsidiaries, whether or not recourse to the Restricted Companies, so long as any guaranties or other contingent obligations of the Restricted Companies in respect of such Debt is permitted pursuant to </w:t>
      </w:r>
      <w:r>
        <w:rPr>
          <w:rFonts w:ascii="Arial" w:cs="Arial" w:eastAsia="Arial" w:hAnsi="Arial"/>
          <w:sz w:val="20"/>
          <w:szCs w:val="20"/>
          <w:b w:val="1"/>
          <w:bCs w:val="1"/>
          <w:i w:val="1"/>
          <w:iCs w:val="1"/>
          <w:color w:val="auto"/>
        </w:rPr>
        <w:t>clause (h)(ii)</w:t>
      </w:r>
      <w:r>
        <w:rPr>
          <w:rFonts w:ascii="Arial" w:cs="Arial" w:eastAsia="Arial" w:hAnsi="Arial"/>
          <w:sz w:val="20"/>
          <w:szCs w:val="20"/>
          <w:color w:val="auto"/>
        </w:rPr>
        <w:t xml:space="preserve"> below;”</w:t>
      </w:r>
    </w:p>
    <w:p>
      <w:pPr>
        <w:spacing w:after="0" w:line="200"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 to Definitions</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1.1</w:t>
      </w:r>
      <w:r>
        <w:rPr>
          <w:rFonts w:ascii="Arial" w:cs="Arial" w:eastAsia="Arial" w:hAnsi="Arial"/>
          <w:sz w:val="18"/>
          <w:szCs w:val="18"/>
          <w:color w:val="auto"/>
        </w:rPr>
        <w:t xml:space="preserve"> of the Credit Agreement is amended by deleting the definition of “</w:t>
      </w:r>
      <w:r>
        <w:rPr>
          <w:rFonts w:ascii="Arial" w:cs="Arial" w:eastAsia="Arial" w:hAnsi="Arial"/>
          <w:sz w:val="18"/>
          <w:szCs w:val="18"/>
          <w:i w:val="1"/>
          <w:iCs w:val="1"/>
          <w:color w:val="auto"/>
        </w:rPr>
        <w:t>MLPF&amp;S</w:t>
      </w:r>
      <w:r>
        <w:rPr>
          <w:rFonts w:ascii="Arial" w:cs="Arial" w:eastAsia="Arial" w:hAnsi="Arial"/>
          <w:sz w:val="18"/>
          <w:szCs w:val="18"/>
          <w:color w:val="auto"/>
        </w:rPr>
        <w:t>” therefrom.</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 of Section 1.8</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1.8</w:t>
      </w:r>
      <w:r>
        <w:rPr>
          <w:rFonts w:ascii="Arial" w:cs="Arial" w:eastAsia="Arial" w:hAnsi="Arial"/>
          <w:sz w:val="20"/>
          <w:szCs w:val="20"/>
          <w:color w:val="auto"/>
        </w:rPr>
        <w:t xml:space="preserve"> of the Credit Agreement is amended and restated as follows:</w:t>
      </w:r>
    </w:p>
    <w:p>
      <w:pPr>
        <w:spacing w:after="0" w:line="229" w:lineRule="exact"/>
        <w:rPr>
          <w:sz w:val="20"/>
          <w:szCs w:val="20"/>
          <w:color w:val="auto"/>
        </w:rPr>
      </w:pPr>
    </w:p>
    <w:p>
      <w:pPr>
        <w:jc w:val="both"/>
        <w:ind w:left="660" w:right="20" w:firstLine="648"/>
        <w:spacing w:after="0" w:line="250"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Whistler Acquisition Subsidiaries and Peak Acquisition Subsidiaries</w:t>
      </w:r>
      <w:r>
        <w:rPr>
          <w:rFonts w:ascii="Arial" w:cs="Arial" w:eastAsia="Arial" w:hAnsi="Arial"/>
          <w:sz w:val="20"/>
          <w:szCs w:val="20"/>
          <w:color w:val="auto"/>
        </w:rPr>
        <w:t>. Notwithstanding any requirement to the contrary in this Agreement, the Whistler Acquisition Subsidiaries and the Peak Resorts Acquisition Subsidiaries shall be deemed “</w:t>
      </w:r>
      <w:r>
        <w:rPr>
          <w:rFonts w:ascii="Arial" w:cs="Arial" w:eastAsia="Arial" w:hAnsi="Arial"/>
          <w:sz w:val="20"/>
          <w:szCs w:val="20"/>
          <w:i w:val="1"/>
          <w:iCs w:val="1"/>
          <w:color w:val="auto"/>
        </w:rPr>
        <w:t>Unrestricted</w:t>
      </w:r>
      <w:r>
        <w:rPr>
          <w:rFonts w:ascii="Arial" w:cs="Arial" w:eastAsia="Arial" w:hAnsi="Arial"/>
          <w:sz w:val="20"/>
          <w:szCs w:val="20"/>
          <w:color w:val="auto"/>
        </w:rPr>
        <w:t xml:space="preserve"> </w:t>
      </w:r>
      <w:r>
        <w:rPr>
          <w:rFonts w:ascii="Arial" w:cs="Arial" w:eastAsia="Arial" w:hAnsi="Arial"/>
          <w:sz w:val="20"/>
          <w:szCs w:val="20"/>
          <w:i w:val="1"/>
          <w:iCs w:val="1"/>
          <w:color w:val="auto"/>
        </w:rPr>
        <w:t>Subsidiaries</w:t>
      </w:r>
      <w:r>
        <w:rPr>
          <w:rFonts w:ascii="Arial" w:cs="Arial" w:eastAsia="Arial" w:hAnsi="Arial"/>
          <w:sz w:val="20"/>
          <w:szCs w:val="20"/>
          <w:color w:val="auto"/>
        </w:rPr>
        <w:t>”; provided that the Whistler Acquisition Subsidiaries and the Peak Resorts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46" w:name="page47"/>
    <w:bookmarkEnd w:id="46"/>
    <w:p>
      <w:pPr>
        <w:jc w:val="both"/>
        <w:spacing w:after="0" w:line="276" w:lineRule="auto"/>
        <w:rPr>
          <w:sz w:val="20"/>
          <w:szCs w:val="20"/>
          <w:color w:val="auto"/>
        </w:rPr>
      </w:pPr>
      <w:r>
        <w:rPr>
          <w:rFonts w:ascii="Arial" w:cs="Arial" w:eastAsia="Arial" w:hAnsi="Arial"/>
          <w:sz w:val="18"/>
          <w:szCs w:val="18"/>
          <w:color w:val="auto"/>
        </w:rPr>
        <w:t>Subsidiaries shall be treated as “</w:t>
      </w:r>
      <w:r>
        <w:rPr>
          <w:rFonts w:ascii="Arial" w:cs="Arial" w:eastAsia="Arial" w:hAnsi="Arial"/>
          <w:sz w:val="18"/>
          <w:szCs w:val="18"/>
          <w:i w:val="1"/>
          <w:iCs w:val="1"/>
          <w:color w:val="auto"/>
        </w:rPr>
        <w:t>Restricted Subsidiaries</w:t>
      </w:r>
      <w:r>
        <w:rPr>
          <w:rFonts w:ascii="Arial" w:cs="Arial" w:eastAsia="Arial" w:hAnsi="Arial"/>
          <w:sz w:val="18"/>
          <w:szCs w:val="18"/>
          <w:color w:val="auto"/>
        </w:rPr>
        <w:t xml:space="preserve">” for the purposes of the definition of Adjusted EBITDA for all purposes under this Agreement and Net Funded Debt and interest on Funded Debt attributable to the Whistler Acquisition Subsidiaries and the Peak Resorts Acquisition Subsidiaries shall be included in the calculation of the financial covenants set forth in </w:t>
      </w:r>
      <w:r>
        <w:rPr>
          <w:rFonts w:ascii="Arial" w:cs="Arial" w:eastAsia="Arial" w:hAnsi="Arial"/>
          <w:sz w:val="18"/>
          <w:szCs w:val="18"/>
          <w:b w:val="1"/>
          <w:bCs w:val="1"/>
          <w:i w:val="1"/>
          <w:iCs w:val="1"/>
          <w:color w:val="auto"/>
        </w:rPr>
        <w:t>Sections 11.1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11.2</w:t>
      </w:r>
      <w:r>
        <w:rPr>
          <w:rFonts w:ascii="Arial" w:cs="Arial" w:eastAsia="Arial" w:hAnsi="Arial"/>
          <w:sz w:val="18"/>
          <w:szCs w:val="18"/>
          <w:color w:val="auto"/>
        </w:rPr>
        <w:t xml:space="preserve"> (provided, in each case, only Borrower’s equity ownership percentage of Adjusted EBITDA, Net Funded Debt and interest on Funded Debt attributable to the Whistler Acquisition Subsidiaries shall be included in such calculation). Borrower shall pledge 65% of the Equity Interest of VHF B.V. and 100% of the Equity Interests of Peak Resorts to Administrative Agent, for the benefit of Lenders.”</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u w:val="single" w:color="auto"/>
          <w:color w:val="auto"/>
        </w:rPr>
        <w:t>Amendment of Article 1</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Article 1</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Credit Agreement is amended to add a new</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Section 1.10</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read as follows: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Interest Rates</w:t>
      </w:r>
      <w:r>
        <w:rPr>
          <w:rFonts w:ascii="Arial" w:cs="Arial" w:eastAsia="Arial" w:hAnsi="Arial"/>
          <w:sz w:val="18"/>
          <w:szCs w:val="18"/>
          <w:color w:val="auto"/>
        </w:rPr>
        <w:t>. Administrative Agent does not warrant, nor accept responsibility, nor shall Administrative Agent have any liability with respect to the administration, submission or any other matter related to the rates in the definition of “Eurocurrency Rate” or with respect to any rate that is an alternative or replacement for successor to any of such rate (including, without limitation, any LIBOR Successor Rate) or the effect of any of the foregoing, or of any LIBOR Successor Rate Conforming Changes.”</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u w:val="single" w:color="auto"/>
          <w:color w:val="auto"/>
        </w:rPr>
        <w:t>Amendment of Section 2.1(b)</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2.1(b)</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and restated as follows: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“(b) Term Loan Lenders made Term Loans to Borrower on May 1, 2015, October 14, 2016, and during the Delayed Draw Availability Period. Subject to and in reliance upon the terms, conditions, representations, and warranties in the Loan Papers, each Term Loan Lender severally, but not jointly, agrees to make one or more Term Loans in Dollars to Borrower on the Second Amendment Closing Date, in an aggregate amount together with the Term Loans made on May 1, 2015, October 14, 2016, and during the Delayed Draw Availability Period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Arial" w:cs="Arial" w:eastAsia="Arial" w:hAnsi="Arial"/>
          <w:sz w:val="20"/>
          <w:szCs w:val="20"/>
          <w:b w:val="1"/>
          <w:bCs w:val="1"/>
          <w:i w:val="1"/>
          <w:iCs w:val="1"/>
          <w:color w:val="auto"/>
        </w:rPr>
        <w:t>Section 2.1(b)</w:t>
      </w:r>
      <w:r>
        <w:rPr>
          <w:rFonts w:ascii="Arial" w:cs="Arial" w:eastAsia="Arial" w:hAnsi="Arial"/>
          <w:sz w:val="20"/>
          <w:szCs w:val="20"/>
          <w:color w:val="auto"/>
        </w:rPr>
        <w:t xml:space="preserve"> and repaid or prepaid may not be reborrowed.”</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u w:val="single" w:color="auto"/>
          <w:color w:val="auto"/>
        </w:rPr>
        <w:t>Amendment of Section 3.2(c)</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3.2(c)</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and restated as follows:</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“(c) Borrower shall repay the outstanding principal amount of each Swing Line Loan on the earlier to occur of (i) the date that is fifteen (15) Business Days after such Swing Line Loan is made, and (ii) the Termination Date for the Revolver Facility.”</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6"/>
          <w:szCs w:val="16"/>
          <w:u w:val="single" w:color="auto"/>
          <w:color w:val="auto"/>
        </w:rPr>
        <w:t>Amendment of Section 3.2(d)</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3.2(d)</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and restated as follows: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 The Term Loan Principal Debt is due and payable in equal quarterly installments, such that five percent (5%) of the Term Loan Principal Debt outstanding on the Second Amendment Closing Date is repaid in each consecutive period of four (4) Quarterly Dates, with the first such payment due on January 31, 2020, and continuing on each consecutive Quarterly Date thereafter. A final payment is due on the Termination Date for the Term Loan Facility in an amount equal to all Term Loan Principal Debt then outstanding.”</w:t>
      </w: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95" w:right="239" w:bottom="1440" w:gutter="0" w:footer="0" w:header="0"/>
        </w:sectPr>
      </w:pPr>
    </w:p>
    <w:bookmarkStart w:id="47" w:name="page48"/>
    <w:bookmarkEnd w:id="47"/>
    <w:p>
      <w:pPr>
        <w:ind w:left="660"/>
        <w:spacing w:after="0"/>
        <w:tabs>
          <w:tab w:leader="none" w:pos="106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6"/>
          <w:szCs w:val="16"/>
          <w:u w:val="single" w:color="auto"/>
          <w:color w:val="auto"/>
        </w:rPr>
        <w:t>Amendment of Section 9.2</w:t>
      </w:r>
      <w:r>
        <w:rPr>
          <w:rFonts w:ascii="Arial" w:cs="Arial" w:eastAsia="Arial" w:hAnsi="Arial"/>
          <w:sz w:val="16"/>
          <w:szCs w:val="16"/>
          <w:color w:val="auto"/>
        </w:rPr>
        <w:t>. The first sentence in</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9.2</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and restated as follows:</w:t>
      </w:r>
    </w:p>
    <w:p>
      <w:pPr>
        <w:spacing w:after="0" w:line="229"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 xml:space="preserve">“Borrower will use all of the proceeds of (a) Revolving Loans, L/Cs, and L/C Borrowings for working capital, to make advances and other investments permitted by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to make acquisitions permitted under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to make capital expenditures permitted under </w:t>
      </w:r>
      <w:r>
        <w:rPr>
          <w:rFonts w:ascii="Arial" w:cs="Arial" w:eastAsia="Arial" w:hAnsi="Arial"/>
          <w:sz w:val="20"/>
          <w:szCs w:val="20"/>
          <w:b w:val="1"/>
          <w:bCs w:val="1"/>
          <w:i w:val="1"/>
          <w:iCs w:val="1"/>
          <w:color w:val="auto"/>
        </w:rPr>
        <w:t>Section 10.18</w:t>
      </w:r>
      <w:r>
        <w:rPr>
          <w:rFonts w:ascii="Arial" w:cs="Arial" w:eastAsia="Arial" w:hAnsi="Arial"/>
          <w:sz w:val="20"/>
          <w:szCs w:val="20"/>
          <w:color w:val="auto"/>
        </w:rPr>
        <w:t>, and for other general corporate purposes, and (b) Term Loans to redeem the 2019 VRI Subordinated Notes and the Vail Bonds and to consummate the Whistler Acquisition, the 2018 Acquisitions and the Peak Resorts Acquisition.”</w:t>
      </w:r>
    </w:p>
    <w:p>
      <w:pPr>
        <w:spacing w:after="0" w:line="195" w:lineRule="exact"/>
        <w:rPr>
          <w:sz w:val="20"/>
          <w:szCs w:val="20"/>
          <w:color w:val="auto"/>
        </w:rPr>
      </w:pPr>
    </w:p>
    <w:p>
      <w:pPr>
        <w:ind w:firstLine="656"/>
        <w:spacing w:after="0" w:line="260" w:lineRule="auto"/>
        <w:tabs>
          <w:tab w:leader="none" w:pos="1073"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Amendment of Section 9.7(b)</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9.7(b)</w:t>
      </w:r>
      <w:r>
        <w:rPr>
          <w:rFonts w:ascii="Arial" w:cs="Arial" w:eastAsia="Arial" w:hAnsi="Arial"/>
          <w:sz w:val="20"/>
          <w:szCs w:val="20"/>
          <w:color w:val="auto"/>
        </w:rPr>
        <w:t xml:space="preserve"> of the Credit Agreement is amended to replace each reference to “10%” therein to read as “7.5%”.</w:t>
      </w:r>
    </w:p>
    <w:p>
      <w:pPr>
        <w:spacing w:after="0" w:line="190" w:lineRule="exact"/>
        <w:rPr>
          <w:rFonts w:ascii="Arial" w:cs="Arial" w:eastAsia="Arial" w:hAnsi="Arial"/>
          <w:sz w:val="20"/>
          <w:szCs w:val="20"/>
          <w:color w:val="auto"/>
        </w:rPr>
      </w:pPr>
    </w:p>
    <w:p>
      <w:pPr>
        <w:ind w:left="1140" w:hanging="484"/>
        <w:spacing w:after="0"/>
        <w:tabs>
          <w:tab w:leader="none" w:pos="11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Amendment of Section 10.08(u)</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10.08(u)</w:t>
      </w:r>
      <w:r>
        <w:rPr>
          <w:rFonts w:ascii="Arial" w:cs="Arial" w:eastAsia="Arial" w:hAnsi="Arial"/>
          <w:sz w:val="19"/>
          <w:szCs w:val="19"/>
          <w:color w:val="auto"/>
        </w:rPr>
        <w:t xml:space="preserve"> of the Credit Agreement is amended and restated to read as follows:</w:t>
      </w:r>
    </w:p>
    <w:p>
      <w:pPr>
        <w:spacing w:after="0" w:line="241"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“(u) (i) loans, advances, investments in the Whistler Acquisition Subsidiaries required to consummate the Whistler Acquisition and (ii) loans, advances, investments in the Peak Resorts Acquisition Subsidiaries to consummate the Peak Resorts Acquisition;”</w:t>
      </w:r>
    </w:p>
    <w:p>
      <w:pPr>
        <w:spacing w:after="0" w:line="20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(n)</w:t>
      </w:r>
      <w:r>
        <w:rPr>
          <w:sz w:val="20"/>
          <w:szCs w:val="20"/>
          <w:color w:val="auto"/>
        </w:rPr>
        <w:tab/>
      </w:r>
      <w:r>
        <w:rPr>
          <w:rFonts w:ascii="Arial" w:cs="Arial" w:eastAsia="Arial" w:hAnsi="Arial"/>
          <w:sz w:val="16"/>
          <w:szCs w:val="16"/>
          <w:u w:val="single" w:color="auto"/>
          <w:color w:val="auto"/>
        </w:rPr>
        <w:t>Amendment of Section 10.11(a)</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10.11(a)</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to add a new</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clause (iv)</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read as follows:</w:t>
      </w:r>
    </w:p>
    <w:p>
      <w:pPr>
        <w:spacing w:after="0" w:line="229"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“(iv) the Company, VRAD Holdings, Inc. and the Peak Resorts Acquisition Subsidiaries may consummate the Peak Resorts Acquisition.”</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(o)</w:t>
      </w:r>
      <w:r>
        <w:rPr>
          <w:sz w:val="20"/>
          <w:szCs w:val="20"/>
          <w:color w:val="auto"/>
        </w:rPr>
        <w:tab/>
      </w:r>
      <w:r>
        <w:rPr>
          <w:rFonts w:ascii="Arial" w:cs="Arial" w:eastAsia="Arial" w:hAnsi="Arial"/>
          <w:sz w:val="16"/>
          <w:szCs w:val="16"/>
          <w:u w:val="single" w:color="auto"/>
          <w:color w:val="auto"/>
        </w:rPr>
        <w:t>Amendment of Section 10.11</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10.11</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to add a new</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clause (c)</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read as follows:</w:t>
      </w:r>
    </w:p>
    <w:p>
      <w:pPr>
        <w:spacing w:after="0" w:line="22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“(c) No limited liability company organized or formed under the laws of the State of Delaware (a “Delaware LLC”) shall divide into two or more Delaware LLCs pursuant to Section 18-217 of the Delaware Limited Liability Company Act without giving Administrative Agent prior written notice of such division.”</w:t>
      </w:r>
    </w:p>
    <w:p>
      <w:pPr>
        <w:spacing w:after="0" w:line="186" w:lineRule="exact"/>
        <w:rPr>
          <w:sz w:val="20"/>
          <w:szCs w:val="20"/>
          <w:color w:val="auto"/>
        </w:rPr>
      </w:pPr>
    </w:p>
    <w:p>
      <w:pPr>
        <w:jc w:val="center"/>
        <w:ind w:right="60"/>
        <w:spacing w:after="0"/>
        <w:tabs>
          <w:tab w:leader="none" w:pos="180" w:val="left"/>
        </w:tabs>
        <w:rPr>
          <w:sz w:val="20"/>
          <w:szCs w:val="20"/>
          <w:color w:val="auto"/>
        </w:rPr>
      </w:pPr>
      <w:r>
        <w:rPr>
          <w:rFonts w:ascii="Arial" w:cs="Arial" w:eastAsia="Arial" w:hAnsi="Arial"/>
          <w:sz w:val="20"/>
          <w:szCs w:val="20"/>
          <w:color w:val="auto"/>
        </w:rPr>
        <w:t>(p)</w:t>
      </w:r>
      <w:r>
        <w:rPr>
          <w:sz w:val="20"/>
          <w:szCs w:val="20"/>
          <w:color w:val="auto"/>
        </w:rPr>
        <w:tab/>
      </w:r>
      <w:r>
        <w:rPr>
          <w:rFonts w:ascii="Arial" w:cs="Arial" w:eastAsia="Arial" w:hAnsi="Arial"/>
          <w:sz w:val="16"/>
          <w:szCs w:val="16"/>
          <w:u w:val="single" w:color="auto"/>
          <w:color w:val="auto"/>
        </w:rPr>
        <w:t>Amendment of Section 15</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15</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Credit Agreement is amended to add a new</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Section 15.25</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read as follows:</w:t>
      </w:r>
    </w:p>
    <w:p>
      <w:pPr>
        <w:spacing w:after="0" w:line="22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color w:val="auto"/>
        </w:rPr>
        <w:t xml:space="preserve">“15.25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Papers provide support, through a guarantee or otherwise, for any Financial Hedge or any other agreement or instrument that is a QFC (such support, “</w:t>
      </w:r>
      <w:r>
        <w:rPr>
          <w:rFonts w:ascii="Arial" w:cs="Arial" w:eastAsia="Arial" w:hAnsi="Arial"/>
          <w:sz w:val="19"/>
          <w:szCs w:val="19"/>
          <w:b w:val="1"/>
          <w:bCs w:val="1"/>
          <w:i w:val="1"/>
          <w:iCs w:val="1"/>
          <w:color w:val="auto"/>
        </w:rPr>
        <w:t>QFC Credit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Support</w:t>
      </w:r>
      <w:r>
        <w:rPr>
          <w:rFonts w:ascii="Arial" w:cs="Arial" w:eastAsia="Arial" w:hAnsi="Arial"/>
          <w:sz w:val="19"/>
          <w:szCs w:val="19"/>
          <w:color w:val="auto"/>
        </w:rPr>
        <w:t>”, and each such QFC, a “</w:t>
      </w:r>
      <w:r>
        <w:rPr>
          <w:rFonts w:ascii="Arial" w:cs="Arial" w:eastAsia="Arial" w:hAnsi="Arial"/>
          <w:sz w:val="19"/>
          <w:szCs w:val="19"/>
          <w:b w:val="1"/>
          <w:bCs w:val="1"/>
          <w:i w:val="1"/>
          <w:iCs w:val="1"/>
          <w:color w:val="auto"/>
        </w:rPr>
        <w:t>Supported QFC</w:t>
      </w:r>
      <w:r>
        <w:rPr>
          <w:rFonts w:ascii="Arial" w:cs="Arial" w:eastAsia="Arial" w:hAnsi="Arial"/>
          <w:sz w:val="19"/>
          <w:szCs w:val="19"/>
          <w:color w:val="auto"/>
        </w:rPr>
        <w:t>”), the parties acknowledge and agree as follows with respect to the resolution power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of the Federal Deposit Insurance Corporation under the Federal Deposit Insurance Act and </w:t>
      </w:r>
      <w:r>
        <w:rPr>
          <w:rFonts w:ascii="Arial" w:cs="Arial" w:eastAsia="Arial" w:hAnsi="Arial"/>
          <w:sz w:val="19"/>
          <w:szCs w:val="19"/>
          <w:i w:val="1"/>
          <w:iCs w:val="1"/>
          <w:color w:val="auto"/>
        </w:rPr>
        <w:t>Title II</w:t>
      </w:r>
      <w:r>
        <w:rPr>
          <w:rFonts w:ascii="Arial" w:cs="Arial" w:eastAsia="Arial" w:hAnsi="Arial"/>
          <w:sz w:val="19"/>
          <w:szCs w:val="19"/>
          <w:color w:val="auto"/>
        </w:rPr>
        <w:t xml:space="preserve"> of the Dodd-Frank Wall Street Reform and Consumer Protection Act (together with the regulations promulgated thereunder, the “</w:t>
      </w:r>
      <w:r>
        <w:rPr>
          <w:rFonts w:ascii="Arial" w:cs="Arial" w:eastAsia="Arial" w:hAnsi="Arial"/>
          <w:sz w:val="19"/>
          <w:szCs w:val="19"/>
          <w:b w:val="1"/>
          <w:bCs w:val="1"/>
          <w:i w:val="1"/>
          <w:i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Papers and any Supported QFC may in fact be stated to be governed by the laws of the State of New York and/or of the United States or any other state of the United States):</w:t>
      </w:r>
    </w:p>
    <w:p>
      <w:pPr>
        <w:spacing w:after="0" w:line="181"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b w:val="1"/>
          <w:bCs w:val="1"/>
          <w:i w:val="1"/>
          <w:iCs w:val="1"/>
          <w:color w:val="auto"/>
        </w:rPr>
        <w:t>Covered Party</w:t>
      </w:r>
      <w:r>
        <w:rPr>
          <w:rFonts w:ascii="Arial" w:cs="Arial" w:eastAsia="Arial" w:hAnsi="Arial"/>
          <w:sz w:val="20"/>
          <w:szCs w:val="20"/>
          <w:color w:val="auto"/>
        </w:rPr>
        <w:t>”) becomes subject to a proceeding under a U.S. Special Resolution Regime, the transfer of such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sectPr>
      </w:pPr>
    </w:p>
    <w:bookmarkStart w:id="48" w:name="page49"/>
    <w:bookmarkEnd w:id="48"/>
    <w:p>
      <w:pPr>
        <w:jc w:val="both"/>
        <w:ind w:left="660"/>
        <w:spacing w:after="0" w:line="271" w:lineRule="auto"/>
        <w:rPr>
          <w:sz w:val="20"/>
          <w:szCs w:val="20"/>
          <w:color w:val="auto"/>
        </w:rPr>
      </w:pPr>
      <w:r>
        <w:rPr>
          <w:rFonts w:ascii="Arial" w:cs="Arial" w:eastAsia="Arial" w:hAnsi="Arial"/>
          <w:sz w:val="18"/>
          <w:szCs w:val="18"/>
          <w:color w:val="auto"/>
        </w:rPr>
        <w:t>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Papers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Papers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b w:val="1"/>
          <w:bCs w:val="1"/>
          <w:i w:val="1"/>
          <w:iCs w:val="1"/>
          <w:color w:val="auto"/>
        </w:rPr>
        <w:t>Section 15.25</w:t>
      </w:r>
      <w:r>
        <w:rPr>
          <w:rFonts w:ascii="Arial" w:cs="Arial" w:eastAsia="Arial" w:hAnsi="Arial"/>
          <w:sz w:val="20"/>
          <w:szCs w:val="20"/>
          <w:color w:val="auto"/>
        </w:rPr>
        <w:t>, the following terms have the following meanings:</w:t>
      </w:r>
    </w:p>
    <w:p>
      <w:pPr>
        <w:spacing w:after="0" w:line="216"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w:t>
      </w:r>
      <w:r>
        <w:rPr>
          <w:rFonts w:ascii="Arial" w:cs="Arial" w:eastAsia="Arial" w:hAnsi="Arial"/>
          <w:sz w:val="20"/>
          <w:szCs w:val="20"/>
          <w:i w:val="1"/>
          <w:iCs w:val="1"/>
          <w:color w:val="auto"/>
        </w:rPr>
        <w:t>affiliate</w:t>
      </w:r>
      <w:r>
        <w:rPr>
          <w:rFonts w:ascii="Arial" w:cs="Arial" w:eastAsia="Arial" w:hAnsi="Arial"/>
          <w:sz w:val="20"/>
          <w:szCs w:val="20"/>
          <w:color w:val="auto"/>
        </w:rPr>
        <w:t>” (as such term is defined under, and interpreted in accordance with, 12 U.S.C. 1841(k)) of such party.</w:t>
      </w:r>
    </w:p>
    <w:p>
      <w:pPr>
        <w:spacing w:after="0" w:line="177"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w:t>
      </w:r>
      <w:r>
        <w:rPr>
          <w:rFonts w:ascii="Arial" w:cs="Arial" w:eastAsia="Arial" w:hAnsi="Arial"/>
          <w:sz w:val="18"/>
          <w:szCs w:val="18"/>
          <w:i w:val="1"/>
          <w:iCs w:val="1"/>
          <w:color w:val="auto"/>
        </w:rPr>
        <w:t>covered entity</w:t>
      </w:r>
      <w:r>
        <w:rPr>
          <w:rFonts w:ascii="Arial" w:cs="Arial" w:eastAsia="Arial" w:hAnsi="Arial"/>
          <w:sz w:val="18"/>
          <w:szCs w:val="18"/>
          <w:color w:val="auto"/>
        </w:rPr>
        <w:t>” as that term is defined in, and interpreted in accordance with, 12 C.F.R. §252.82(b); (ii) a “</w:t>
      </w:r>
      <w:r>
        <w:rPr>
          <w:rFonts w:ascii="Arial" w:cs="Arial" w:eastAsia="Arial" w:hAnsi="Arial"/>
          <w:sz w:val="18"/>
          <w:szCs w:val="18"/>
          <w:i w:val="1"/>
          <w:iCs w:val="1"/>
          <w:color w:val="auto"/>
        </w:rPr>
        <w:t>covered bank</w:t>
      </w:r>
      <w:r>
        <w:rPr>
          <w:rFonts w:ascii="Arial" w:cs="Arial" w:eastAsia="Arial" w:hAnsi="Arial"/>
          <w:sz w:val="18"/>
          <w:szCs w:val="18"/>
          <w:color w:val="auto"/>
        </w:rPr>
        <w:t>” as that term is defined in, and interpreted in accordance with, 12 C.F.R. §47.3(b); or (iii) a “</w:t>
      </w:r>
      <w:r>
        <w:rPr>
          <w:rFonts w:ascii="Arial" w:cs="Arial" w:eastAsia="Arial" w:hAnsi="Arial"/>
          <w:sz w:val="18"/>
          <w:szCs w:val="18"/>
          <w:i w:val="1"/>
          <w:iCs w:val="1"/>
          <w:color w:val="auto"/>
        </w:rPr>
        <w:t>covered FSI</w:t>
      </w:r>
      <w:r>
        <w:rPr>
          <w:rFonts w:ascii="Arial" w:cs="Arial" w:eastAsia="Arial" w:hAnsi="Arial"/>
          <w:sz w:val="18"/>
          <w:szCs w:val="18"/>
          <w:color w:val="auto"/>
        </w:rPr>
        <w:t>” as that term is defined in, and interpreted in accordance with, 12 C.F.R. §382.2(b).</w:t>
      </w:r>
    </w:p>
    <w:p>
      <w:pPr>
        <w:spacing w:after="0" w:line="15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§§252.81, 47.2 or 382.1, as applicable.</w:t>
      </w:r>
    </w:p>
    <w:p>
      <w:pPr>
        <w:spacing w:after="0" w:line="200" w:lineRule="exact"/>
        <w:rPr>
          <w:sz w:val="20"/>
          <w:szCs w:val="20"/>
          <w:color w:val="auto"/>
        </w:rPr>
      </w:pPr>
    </w:p>
    <w:p>
      <w:pPr>
        <w:jc w:val="both"/>
        <w:ind w:left="130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firstLine="656"/>
        <w:spacing w:after="0" w:line="260" w:lineRule="auto"/>
        <w:tabs>
          <w:tab w:leader="none" w:pos="1117"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Amendment to Schedule 1</w:t>
      </w:r>
      <w:r>
        <w:rPr>
          <w:rFonts w:ascii="Arial" w:cs="Arial" w:eastAsia="Arial" w:hAnsi="Arial"/>
          <w:sz w:val="20"/>
          <w:szCs w:val="20"/>
          <w:color w:val="auto"/>
        </w:rPr>
        <w:t>. The “</w:t>
      </w:r>
      <w:r>
        <w:rPr>
          <w:rFonts w:ascii="Arial" w:cs="Arial" w:eastAsia="Arial" w:hAnsi="Arial"/>
          <w:sz w:val="20"/>
          <w:szCs w:val="20"/>
          <w:i w:val="1"/>
          <w:iCs w:val="1"/>
          <w:color w:val="auto"/>
        </w:rPr>
        <w:t>Lenders and Commitments</w:t>
      </w:r>
      <w:r>
        <w:rPr>
          <w:rFonts w:ascii="Arial" w:cs="Arial" w:eastAsia="Arial" w:hAnsi="Arial"/>
          <w:sz w:val="20"/>
          <w:szCs w:val="20"/>
          <w:color w:val="auto"/>
        </w:rPr>
        <w:t xml:space="preserve">” table set forth on </w:t>
      </w:r>
      <w:r>
        <w:rPr>
          <w:rFonts w:ascii="Arial" w:cs="Arial" w:eastAsia="Arial" w:hAnsi="Arial"/>
          <w:sz w:val="20"/>
          <w:szCs w:val="20"/>
          <w:i w:val="1"/>
          <w:iCs w:val="1"/>
          <w:color w:val="auto"/>
        </w:rPr>
        <w:t>Schedule 1</w:t>
      </w:r>
      <w:r>
        <w:rPr>
          <w:rFonts w:ascii="Arial" w:cs="Arial" w:eastAsia="Arial" w:hAnsi="Arial"/>
          <w:sz w:val="20"/>
          <w:szCs w:val="20"/>
          <w:color w:val="auto"/>
        </w:rPr>
        <w:t xml:space="preserve"> to the Credit Agreement is amended and restated in its entirety as set forth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attached hereto.</w:t>
      </w:r>
    </w:p>
    <w:p>
      <w:pPr>
        <w:spacing w:after="0" w:line="190" w:lineRule="exact"/>
        <w:rPr>
          <w:rFonts w:ascii="Arial" w:cs="Arial" w:eastAsia="Arial" w:hAnsi="Arial"/>
          <w:sz w:val="20"/>
          <w:szCs w:val="20"/>
          <w:color w:val="auto"/>
        </w:rPr>
      </w:pPr>
    </w:p>
    <w:p>
      <w:pPr>
        <w:ind w:firstLine="656"/>
        <w:spacing w:after="0" w:line="260" w:lineRule="auto"/>
        <w:tabs>
          <w:tab w:leader="none" w:pos="1044"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Amendment to Schedule 8.2</w:t>
      </w:r>
      <w:r>
        <w:rPr>
          <w:rFonts w:ascii="Arial" w:cs="Arial" w:eastAsia="Arial" w:hAnsi="Arial"/>
          <w:sz w:val="20"/>
          <w:szCs w:val="20"/>
          <w:color w:val="auto"/>
        </w:rPr>
        <w:t xml:space="preserve">. </w:t>
      </w:r>
      <w:r>
        <w:rPr>
          <w:rFonts w:ascii="Arial" w:cs="Arial" w:eastAsia="Arial" w:hAnsi="Arial"/>
          <w:sz w:val="20"/>
          <w:szCs w:val="20"/>
          <w:i w:val="1"/>
          <w:iCs w:val="1"/>
          <w:color w:val="auto"/>
        </w:rPr>
        <w:t>Schedule 8.2</w:t>
      </w:r>
      <w:r>
        <w:rPr>
          <w:rFonts w:ascii="Arial" w:cs="Arial" w:eastAsia="Arial" w:hAnsi="Arial"/>
          <w:sz w:val="20"/>
          <w:szCs w:val="20"/>
          <w:color w:val="auto"/>
        </w:rPr>
        <w:t xml:space="preserve"> to the Credit Agreement is amended and restated in its entirety as set forth on </w:t>
      </w:r>
      <w:r>
        <w:rPr>
          <w:rFonts w:ascii="Arial" w:cs="Arial" w:eastAsia="Arial" w:hAnsi="Arial"/>
          <w:sz w:val="20"/>
          <w:szCs w:val="20"/>
          <w:b w:val="1"/>
          <w:bCs w:val="1"/>
          <w:i w:val="1"/>
          <w:iCs w:val="1"/>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8.2 </w:t>
      </w:r>
      <w:r>
        <w:rPr>
          <w:rFonts w:ascii="Arial" w:cs="Arial" w:eastAsia="Arial" w:hAnsi="Arial"/>
          <w:sz w:val="20"/>
          <w:szCs w:val="20"/>
          <w:color w:val="auto"/>
        </w:rPr>
        <w:t>attached hereto.</w:t>
      </w:r>
    </w:p>
    <w:p>
      <w:pPr>
        <w:spacing w:after="0" w:line="184" w:lineRule="exact"/>
        <w:rPr>
          <w:rFonts w:ascii="Arial" w:cs="Arial" w:eastAsia="Arial" w:hAnsi="Arial"/>
          <w:sz w:val="20"/>
          <w:szCs w:val="20"/>
          <w:color w:val="auto"/>
        </w:rPr>
      </w:pPr>
    </w:p>
    <w:p>
      <w:pPr>
        <w:jc w:val="both"/>
        <w:ind w:firstLine="8"/>
        <w:spacing w:after="0" w:line="257" w:lineRule="auto"/>
        <w:tabs>
          <w:tab w:leader="none" w:pos="495"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As a material inducement to the Lenders and Administrative Agent to execute and deliver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the Company represents and warrants to the Lenders and Administrative Agent (with the knowledge and intent that Administrative Agent and the Lenders party hereto are relying upon the same in entering into this Amendment) that: (a) the Company and the 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entities; (b) upon execution and delivery by the Company, the Guarantors, Administrative Agent, and the Lenders party hereto, this Amendment will constitute the legal and binding obligation of each of the Company, and the Guarantors, enforceable against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5" w:right="239" w:bottom="1440" w:gutter="0" w:footer="0" w:header="0"/>
        </w:sectPr>
      </w:pPr>
    </w:p>
    <w:bookmarkStart w:id="49" w:name="page50"/>
    <w:bookmarkEnd w:id="49"/>
    <w:p>
      <w:pPr>
        <w:jc w:val="both"/>
        <w:spacing w:after="0" w:line="278" w:lineRule="auto"/>
        <w:rPr>
          <w:sz w:val="20"/>
          <w:szCs w:val="20"/>
          <w:color w:val="auto"/>
        </w:rPr>
      </w:pPr>
      <w:r>
        <w:rPr>
          <w:rFonts w:ascii="Arial" w:cs="Arial" w:eastAsia="Arial" w:hAnsi="Arial"/>
          <w:sz w:val="18"/>
          <w:szCs w:val="18"/>
          <w:color w:val="auto"/>
        </w:rPr>
        <w:t xml:space="preserve">such entities in accordance with the terms of this Amendment,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that enforceability may be limited by general principles of equity or by bankruptcy or insolvency laws or similar laws affecting creditors’ rights generally; (c) before and after giving effect to this Amendment, all representations and warranties in the Loan Papers are true and correct as though made on the date hereof,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that any of them speak to a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173" w:lineRule="exact"/>
        <w:rPr>
          <w:sz w:val="20"/>
          <w:szCs w:val="20"/>
          <w:color w:val="auto"/>
        </w:rPr>
      </w:pPr>
    </w:p>
    <w:p>
      <w:pPr>
        <w:ind w:firstLine="8"/>
        <w:spacing w:after="0" w:line="267" w:lineRule="auto"/>
        <w:tabs>
          <w:tab w:leader="none" w:pos="576"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Precedent to Effective Date</w:t>
      </w:r>
      <w:r>
        <w:rPr>
          <w:rFonts w:ascii="Arial" w:cs="Arial" w:eastAsia="Arial" w:hAnsi="Arial"/>
          <w:sz w:val="20"/>
          <w:szCs w:val="20"/>
          <w:color w:val="auto"/>
        </w:rPr>
        <w:t>. This Amendment shall be effective on the date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upon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receives each of the following items:</w:t>
      </w:r>
    </w:p>
    <w:p>
      <w:pPr>
        <w:spacing w:after="0" w:line="183" w:lineRule="exact"/>
        <w:rPr>
          <w:rFonts w:ascii="Arial" w:cs="Arial" w:eastAsia="Arial" w:hAnsi="Arial"/>
          <w:sz w:val="20"/>
          <w:szCs w:val="20"/>
          <w:b w:val="1"/>
          <w:bCs w:val="1"/>
          <w:color w:val="auto"/>
        </w:rPr>
      </w:pPr>
    </w:p>
    <w:p>
      <w:pPr>
        <w:ind w:left="1080" w:hanging="424"/>
        <w:spacing w:after="0"/>
        <w:tabs>
          <w:tab w:leader="none" w:pos="10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counterparts of this Amendment executed by the Company, Administrative Agent, and the Lenders;</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restated Revolver Note payable to each Revolver Lender that so requests;</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restated Term Loan Note payable to each Term Loan Lender that so requests;</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Guarantors’ Consent and Agreement executed by each Guarantor;</w:t>
      </w:r>
    </w:p>
    <w:p>
      <w:pPr>
        <w:spacing w:after="0" w:line="229" w:lineRule="exact"/>
        <w:rPr>
          <w:rFonts w:ascii="Arial" w:cs="Arial" w:eastAsia="Arial" w:hAnsi="Arial"/>
          <w:sz w:val="20"/>
          <w:szCs w:val="20"/>
          <w:color w:val="auto"/>
        </w:rPr>
      </w:pPr>
    </w:p>
    <w:p>
      <w:pPr>
        <w:ind w:firstLine="656"/>
        <w:spacing w:after="0" w:line="260" w:lineRule="auto"/>
        <w:tabs>
          <w:tab w:leader="none" w:pos="1074" w:val="left"/>
        </w:tabs>
        <w:numPr>
          <w:ilvl w:val="1"/>
          <w:numId w:val="28"/>
        </w:numPr>
        <w:rPr>
          <w:rFonts w:ascii="Arial" w:cs="Arial" w:eastAsia="Arial" w:hAnsi="Arial"/>
          <w:sz w:val="20"/>
          <w:szCs w:val="20"/>
          <w:color w:val="auto"/>
        </w:rPr>
      </w:pPr>
      <w:r>
        <w:rPr>
          <w:rFonts w:ascii="Arial" w:cs="Arial" w:eastAsia="Arial" w:hAnsi="Arial"/>
          <w:sz w:val="20"/>
          <w:szCs w:val="20"/>
          <w:color w:val="auto"/>
        </w:rPr>
        <w:t>payment of all fees payable on or prior to the Effective Date pursuant to the Credit Agreement and Fee Letter (as amended by that certain Fee Letter Amendment dated of even date hereof);</w:t>
      </w:r>
    </w:p>
    <w:p>
      <w:pPr>
        <w:spacing w:after="0" w:line="190" w:lineRule="exact"/>
        <w:rPr>
          <w:rFonts w:ascii="Arial" w:cs="Arial" w:eastAsia="Arial" w:hAnsi="Arial"/>
          <w:sz w:val="20"/>
          <w:szCs w:val="20"/>
          <w:color w:val="auto"/>
        </w:rPr>
      </w:pPr>
    </w:p>
    <w:p>
      <w:pPr>
        <w:jc w:val="both"/>
        <w:ind w:firstLine="656"/>
        <w:spacing w:after="0" w:line="259" w:lineRule="auto"/>
        <w:tabs>
          <w:tab w:leader="none" w:pos="1055"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a certificate of each Company dated as of the Effective Date signed by a Responsible Officer of Borrower and each Guarantor (A) certifying and attaching the resolutions adopted by each such entity approving or consenting to this Amendment, and (B) in the case of Borrower, certifying that, before and after giving effect to this Amendment, (1) the representations and warranties contained in </w:t>
      </w:r>
      <w:r>
        <w:rPr>
          <w:rFonts w:ascii="Arial" w:cs="Arial" w:eastAsia="Arial" w:hAnsi="Arial"/>
          <w:sz w:val="19"/>
          <w:szCs w:val="19"/>
          <w:i w:val="1"/>
          <w:iCs w:val="1"/>
          <w:color w:val="auto"/>
        </w:rPr>
        <w:t>Section 8</w:t>
      </w:r>
      <w:r>
        <w:rPr>
          <w:rFonts w:ascii="Arial" w:cs="Arial" w:eastAsia="Arial" w:hAnsi="Arial"/>
          <w:sz w:val="19"/>
          <w:szCs w:val="19"/>
          <w:color w:val="auto"/>
        </w:rPr>
        <w:t xml:space="preserve"> of the Credit Agreement and the other Loan Papers are true and correct on and as of the Effective Date, except to the extent that such representations and warranties specifically refer to an earlier date, in which case they are true and correct as of such earlier date, and (2) no Default or Potential Default exists or would result from this Amendment;</w:t>
      </w:r>
    </w:p>
    <w:p>
      <w:pPr>
        <w:spacing w:after="0" w:line="192" w:lineRule="exact"/>
        <w:rPr>
          <w:rFonts w:ascii="Arial" w:cs="Arial" w:eastAsia="Arial" w:hAnsi="Arial"/>
          <w:sz w:val="19"/>
          <w:szCs w:val="19"/>
          <w:color w:val="auto"/>
        </w:rPr>
      </w:pPr>
    </w:p>
    <w:p>
      <w:pPr>
        <w:ind w:right="20" w:firstLine="656"/>
        <w:spacing w:after="0" w:line="260" w:lineRule="auto"/>
        <w:tabs>
          <w:tab w:leader="none" w:pos="1082" w:val="left"/>
        </w:tabs>
        <w:numPr>
          <w:ilvl w:val="1"/>
          <w:numId w:val="28"/>
        </w:numPr>
        <w:rPr>
          <w:rFonts w:ascii="Arial" w:cs="Arial" w:eastAsia="Arial" w:hAnsi="Arial"/>
          <w:sz w:val="20"/>
          <w:szCs w:val="20"/>
          <w:color w:val="auto"/>
        </w:rPr>
      </w:pPr>
      <w:r>
        <w:rPr>
          <w:rFonts w:ascii="Arial" w:cs="Arial" w:eastAsia="Arial" w:hAnsi="Arial"/>
          <w:sz w:val="20"/>
          <w:szCs w:val="20"/>
          <w:color w:val="auto"/>
        </w:rPr>
        <w:t>Legal opinions of in-house counsel to the Restricted Companies and Gibson, Dunn &amp; Crutcher, LLP, special New York counsel to the Restricted Companies, each in form and substance satisfactory to Administrative Agent; and</w:t>
      </w:r>
    </w:p>
    <w:p>
      <w:pPr>
        <w:spacing w:after="0" w:line="203" w:lineRule="exact"/>
        <w:rPr>
          <w:rFonts w:ascii="Arial" w:cs="Arial" w:eastAsia="Arial" w:hAnsi="Arial"/>
          <w:sz w:val="20"/>
          <w:szCs w:val="20"/>
          <w:color w:val="auto"/>
        </w:rPr>
      </w:pPr>
    </w:p>
    <w:p>
      <w:pPr>
        <w:jc w:val="both"/>
        <w:ind w:firstLine="656"/>
        <w:spacing w:after="0" w:line="314" w:lineRule="auto"/>
        <w:tabs>
          <w:tab w:leader="none" w:pos="126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evidence that all conditions precedent to the consummation of the Peak Resorts Acquisition other than the payment of consideration thereunder using the proceeds of the Term Loans and such other conditions that can only be satisfied substantially concurrently with the closing of the Peak Resorts Acquisition have been satisfied, together with executed copies of the Peak Resorts Acquisition Agreement and any material agreement related thereto, in each case, in form and substance satisfactory to Administrative Agent and its counsel.</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u w:val="single" w:color="auto"/>
          <w:color w:val="auto"/>
        </w:rPr>
        <w:t>New Lender; Assignment and Reallocation of Commitments</w:t>
      </w:r>
      <w:r>
        <w:rPr>
          <w:rFonts w:ascii="Arial" w:cs="Arial" w:eastAsia="Arial" w:hAnsi="Arial"/>
          <w:sz w:val="16"/>
          <w:szCs w:val="16"/>
          <w:color w:val="auto"/>
        </w:rPr>
        <w:t>.</w:t>
      </w:r>
    </w:p>
    <w:p>
      <w:pPr>
        <w:spacing w:after="0" w:line="235" w:lineRule="exact"/>
        <w:rPr>
          <w:sz w:val="20"/>
          <w:szCs w:val="20"/>
          <w:color w:val="auto"/>
        </w:rPr>
      </w:pPr>
    </w:p>
    <w:p>
      <w:pPr>
        <w:jc w:val="both"/>
        <w:ind w:firstLine="656"/>
        <w:spacing w:after="0" w:line="291" w:lineRule="auto"/>
        <w:tabs>
          <w:tab w:leader="none" w:pos="10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Effective Date, each of the banks and financial institutions party to this Amendment and identified on the signature pages hereto as New Lenders (each a “</w:t>
      </w:r>
      <w:r>
        <w:rPr>
          <w:rFonts w:ascii="Arial" w:cs="Arial" w:eastAsia="Arial" w:hAnsi="Arial"/>
          <w:sz w:val="18"/>
          <w:szCs w:val="18"/>
          <w:b w:val="1"/>
          <w:bCs w:val="1"/>
          <w:i w:val="1"/>
          <w:iCs w:val="1"/>
          <w:color w:val="auto"/>
        </w:rPr>
        <w:t>New Lender</w:t>
      </w:r>
      <w:r>
        <w:rPr>
          <w:rFonts w:ascii="Arial" w:cs="Arial" w:eastAsia="Arial" w:hAnsi="Arial"/>
          <w:sz w:val="18"/>
          <w:szCs w:val="18"/>
          <w:color w:val="auto"/>
        </w:rPr>
        <w:t>”) (i) shall be deemed automatically to have become a party to the Credit Agreement and have all the rights and obligations of a “Lender ” under the Credit Agreement as if it were an original signatory thereto and (ii) agrees to be bound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50" w:name="page51"/>
    <w:bookmarkEnd w:id="50"/>
    <w:p>
      <w:pPr>
        <w:jc w:val="both"/>
        <w:spacing w:after="0" w:line="242" w:lineRule="auto"/>
        <w:rPr>
          <w:sz w:val="20"/>
          <w:szCs w:val="20"/>
          <w:color w:val="auto"/>
        </w:rPr>
      </w:pPr>
      <w:r>
        <w:rPr>
          <w:rFonts w:ascii="Arial" w:cs="Arial" w:eastAsia="Arial" w:hAnsi="Arial"/>
          <w:sz w:val="20"/>
          <w:szCs w:val="20"/>
          <w:color w:val="auto"/>
        </w:rPr>
        <w:t>by the terms and conditions set forth in the Credit Agreement as if it were an original signatory thereto. Each New Lender hereby confirms that it has received a copy of the Loan Papers and the exhibits related thereto, together with copies of the documents which were required to be delivered under the Credit Agreement as a condition to the making of the Loans and other extensions of credit thereunder. Each New Lender acknowledges and agrees that it has made and will continue to make, independently and without reliance upon Administrative Agent or any other Lender and based on such documents and information as it has deemed appropriate, its own credit analysis and decisions relating to the Credit Agreement. Each New Lender further acknowledges and agrees that Administrative Agent has not made any representations or warranties about the credit worthiness of Borrower or any of its Subsidiaries or any other party to the Credit Agreement or any other Loan Paper or with respect to the legality, validity, sufficiency or enforceability of the Credit Agreement or any other Loan Paper or the value of any security therefor.</w:t>
      </w:r>
    </w:p>
    <w:p>
      <w:pPr>
        <w:spacing w:after="0" w:line="209" w:lineRule="exact"/>
        <w:rPr>
          <w:sz w:val="20"/>
          <w:szCs w:val="20"/>
          <w:color w:val="auto"/>
        </w:rPr>
      </w:pPr>
    </w:p>
    <w:p>
      <w:pPr>
        <w:jc w:val="both"/>
        <w:ind w:firstLine="656"/>
        <w:spacing w:after="0" w:line="242" w:lineRule="auto"/>
        <w:tabs>
          <w:tab w:leader="none" w:pos="1077" w:val="left"/>
        </w:tabs>
        <w:numPr>
          <w:ilvl w:val="1"/>
          <w:numId w:val="30"/>
        </w:numPr>
        <w:rPr>
          <w:rFonts w:ascii="Arial" w:cs="Arial" w:eastAsia="Arial" w:hAnsi="Arial"/>
          <w:sz w:val="20"/>
          <w:szCs w:val="20"/>
          <w:color w:val="auto"/>
        </w:rPr>
      </w:pPr>
      <w:r>
        <w:rPr>
          <w:rFonts w:ascii="Arial" w:cs="Arial" w:eastAsia="Arial" w:hAnsi="Arial"/>
          <w:sz w:val="20"/>
          <w:szCs w:val="20"/>
          <w:color w:val="auto"/>
        </w:rPr>
        <w:t xml:space="preserve">On the Effective Date, each Lender (including each New Lender) hereby sells, assigns, transfers and conveys to the other Lenders, and each Lender hereby purchases and accepts, so much of the Revolver Commitment, the outstanding Revolver Commitment Usage, the Term Loan Principal Debt, LC Exposure and Swing Line Borrowings under the Credit Agreement such that immediately after giving effect to this Amendment, the Revolver Commitment and the Term Loan Commitment of each Lender shall be as set forth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hereto. The foregoing assignments, transfers and conveyances are without recourse to any Lender and without warranties whatsoever by Administrative Agent, L/C Issuer or Swing Line Lender as to title, enforceability, collectability, documentation or freedom from liens and encumbrances, in whole or in part, other than the warranty or any such assigning Lender that it has not previously sold, transferred, conveyed, encumbered or assigned such interests.</w:t>
      </w:r>
    </w:p>
    <w:p>
      <w:pPr>
        <w:spacing w:after="0" w:line="205" w:lineRule="exact"/>
        <w:rPr>
          <w:rFonts w:ascii="Arial" w:cs="Arial" w:eastAsia="Arial" w:hAnsi="Arial"/>
          <w:sz w:val="20"/>
          <w:szCs w:val="20"/>
          <w:color w:val="auto"/>
        </w:rPr>
      </w:pPr>
    </w:p>
    <w:p>
      <w:pPr>
        <w:jc w:val="both"/>
        <w:ind w:firstLine="8"/>
        <w:spacing w:after="0" w:line="273" w:lineRule="auto"/>
        <w:tabs>
          <w:tab w:leader="none" w:pos="409"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Designation of Unrestricted Subsidiaries</w:t>
      </w:r>
      <w:r>
        <w:rPr>
          <w:rFonts w:ascii="Arial" w:cs="Arial" w:eastAsia="Arial" w:hAnsi="Arial"/>
          <w:sz w:val="19"/>
          <w:szCs w:val="19"/>
          <w:color w:val="auto"/>
        </w:rPr>
        <w:t>. Pursuant to</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Section 9.11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Credit Agreement, the Company hereby designates the entities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listed on </w:t>
      </w:r>
      <w:r>
        <w:rPr>
          <w:rFonts w:ascii="Arial" w:cs="Arial" w:eastAsia="Arial" w:hAnsi="Arial"/>
          <w:sz w:val="19"/>
          <w:szCs w:val="19"/>
          <w:b w:val="1"/>
          <w:bCs w:val="1"/>
          <w:i w:val="1"/>
          <w:iCs w:val="1"/>
          <w:color w:val="auto"/>
        </w:rPr>
        <w:t>Annex A</w:t>
      </w:r>
      <w:r>
        <w:rPr>
          <w:rFonts w:ascii="Arial" w:cs="Arial" w:eastAsia="Arial" w:hAnsi="Arial"/>
          <w:sz w:val="19"/>
          <w:szCs w:val="19"/>
          <w:color w:val="auto"/>
        </w:rPr>
        <w:t xml:space="preserve"> attached hereto as Unrestricted Subsidiaries and hereby confirms that such designation satisfies the requirements set forth in </w:t>
      </w:r>
      <w:r>
        <w:rPr>
          <w:rFonts w:ascii="Arial" w:cs="Arial" w:eastAsia="Arial" w:hAnsi="Arial"/>
          <w:sz w:val="19"/>
          <w:szCs w:val="19"/>
          <w:i w:val="1"/>
          <w:iCs w:val="1"/>
          <w:color w:val="auto"/>
        </w:rPr>
        <w:t xml:space="preserve">Section 9.11 </w:t>
      </w:r>
      <w:r>
        <w:rPr>
          <w:rFonts w:ascii="Arial" w:cs="Arial" w:eastAsia="Arial" w:hAnsi="Arial"/>
          <w:sz w:val="19"/>
          <w:szCs w:val="19"/>
          <w:color w:val="auto"/>
        </w:rPr>
        <w:t>of the Credit Agreement, except as provided in</w:t>
      </w:r>
      <w:r>
        <w:rPr>
          <w:rFonts w:ascii="Arial" w:cs="Arial" w:eastAsia="Arial" w:hAnsi="Arial"/>
          <w:sz w:val="19"/>
          <w:szCs w:val="19"/>
          <w:i w:val="1"/>
          <w:iCs w:val="1"/>
          <w:color w:val="auto"/>
        </w:rPr>
        <w:t xml:space="preserve"> Section 1.8 </w:t>
      </w:r>
      <w:r>
        <w:rPr>
          <w:rFonts w:ascii="Arial" w:cs="Arial" w:eastAsia="Arial" w:hAnsi="Arial"/>
          <w:sz w:val="19"/>
          <w:szCs w:val="19"/>
          <w:color w:val="auto"/>
        </w:rPr>
        <w:t>of the Credit Agreement.</w:t>
      </w:r>
    </w:p>
    <w:p>
      <w:pPr>
        <w:spacing w:after="0" w:line="172" w:lineRule="exact"/>
        <w:rPr>
          <w:rFonts w:ascii="Arial" w:cs="Arial" w:eastAsia="Arial" w:hAnsi="Arial"/>
          <w:sz w:val="19"/>
          <w:szCs w:val="19"/>
          <w:b w:val="1"/>
          <w:bCs w:val="1"/>
          <w:color w:val="auto"/>
        </w:rPr>
      </w:pPr>
    </w:p>
    <w:p>
      <w:pPr>
        <w:jc w:val="both"/>
        <w:ind w:firstLine="8"/>
        <w:spacing w:after="0" w:line="253" w:lineRule="auto"/>
        <w:tabs>
          <w:tab w:leader="none" w:pos="34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color w:val="auto"/>
        </w:rPr>
        <w:t>. The Company shall pay all reasonable out-of-pocket fees and expenses paid or incurred by Administrative Agent incident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including, without limitation, the reasonable fees and expenses of Administrative Agent’s counsel in connection with the negotiation, preparation, delivery, and execution of this Amendment and any related documents.</w:t>
      </w:r>
    </w:p>
    <w:p>
      <w:pPr>
        <w:spacing w:after="0" w:line="191" w:lineRule="exact"/>
        <w:rPr>
          <w:rFonts w:ascii="Arial" w:cs="Arial" w:eastAsia="Arial" w:hAnsi="Arial"/>
          <w:sz w:val="20"/>
          <w:szCs w:val="20"/>
          <w:b w:val="1"/>
          <w:bCs w:val="1"/>
          <w:color w:val="auto"/>
        </w:rPr>
      </w:pPr>
    </w:p>
    <w:p>
      <w:pPr>
        <w:jc w:val="both"/>
        <w:ind w:firstLine="8"/>
        <w:spacing w:after="0" w:line="259" w:lineRule="auto"/>
        <w:tabs>
          <w:tab w:leader="none" w:pos="387"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Ratifications</w:t>
      </w:r>
      <w:r>
        <w:rPr>
          <w:rFonts w:ascii="Arial" w:cs="Arial" w:eastAsia="Arial" w:hAnsi="Arial"/>
          <w:sz w:val="19"/>
          <w:szCs w:val="19"/>
          <w:color w:val="auto"/>
        </w:rPr>
        <w:t>. The Company and each Guarantor (by executing the Guarantors’ Consent and Agreement attached hereto) (a) ratifies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all 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 Obligations to Administrative Agent and the Lenders; and (c) 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86" w:lineRule="exact"/>
        <w:rPr>
          <w:rFonts w:ascii="Arial" w:cs="Arial" w:eastAsia="Arial" w:hAnsi="Arial"/>
          <w:sz w:val="19"/>
          <w:szCs w:val="19"/>
          <w:b w:val="1"/>
          <w:bCs w:val="1"/>
          <w:color w:val="auto"/>
        </w:rPr>
      </w:pPr>
    </w:p>
    <w:p>
      <w:pPr>
        <w:jc w:val="both"/>
        <w:ind w:firstLine="8"/>
        <w:spacing w:after="0" w:line="245" w:lineRule="auto"/>
        <w:tabs>
          <w:tab w:leader="none" w:pos="441"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Unless stated otherwise herein, (a) the singular number includes the plural, and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vice versa</w:t>
      </w:r>
      <w:r>
        <w:rPr>
          <w:rFonts w:ascii="Arial" w:cs="Arial" w:eastAsia="Arial" w:hAnsi="Arial"/>
          <w:sz w:val="20"/>
          <w:szCs w:val="20"/>
          <w:color w:val="auto"/>
        </w:rPr>
        <w:t>, and words of any gender</w:t>
      </w:r>
      <w:r>
        <w:rPr>
          <w:rFonts w:ascii="Arial" w:cs="Arial" w:eastAsia="Arial" w:hAnsi="Arial"/>
          <w:sz w:val="20"/>
          <w:szCs w:val="20"/>
          <w:b w:val="1"/>
          <w:bCs w:val="1"/>
          <w:color w:val="auto"/>
        </w:rPr>
        <w:t xml:space="preserve"> </w:t>
      </w:r>
      <w:r>
        <w:rPr>
          <w:rFonts w:ascii="Arial" w:cs="Arial" w:eastAsia="Arial" w:hAnsi="Arial"/>
          <w:sz w:val="20"/>
          <w:szCs w:val="20"/>
          <w:color w:val="auto"/>
        </w:rPr>
        <w:t>include each other gender, in each case, as appropriate, (b) headings and captions shall not be construed in interpreting provisions of this Amendment, (c)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9"/>
          <w:szCs w:val="19"/>
          <w:color w:val="auto"/>
        </w:rPr>
        <w:t>constitute the same document and facsimile and electronic (e.g. pdf) signatures shall constitute originals for all intents and purposes hereof, (f) this Amendment is a “</w:t>
      </w:r>
      <w:r>
        <w:rPr>
          <w:rFonts w:ascii="Arial" w:cs="Arial" w:eastAsia="Arial" w:hAnsi="Arial"/>
          <w:sz w:val="19"/>
          <w:szCs w:val="19"/>
          <w:i w:val="1"/>
          <w:iCs w:val="1"/>
          <w:color w:val="auto"/>
        </w:rPr>
        <w:t>Loan Paper</w:t>
      </w:r>
      <w:r>
        <w:rPr>
          <w:rFonts w:ascii="Arial" w:cs="Arial" w:eastAsia="Arial" w:hAnsi="Arial"/>
          <w:sz w:val="19"/>
          <w:szCs w:val="19"/>
          <w:color w:val="auto"/>
        </w:rPr>
        <w:t xml:space="preserve">” referred to in the Credit Agreement, and the provisions relating to Loan Papers in </w:t>
      </w:r>
      <w:r>
        <w:rPr>
          <w:rFonts w:ascii="Arial" w:cs="Arial" w:eastAsia="Arial" w:hAnsi="Arial"/>
          <w:sz w:val="19"/>
          <w:szCs w:val="19"/>
          <w:i w:val="1"/>
          <w:iCs w:val="1"/>
          <w:color w:val="auto"/>
        </w:rPr>
        <w:t>Section 15</w:t>
      </w:r>
      <w:r>
        <w:rPr>
          <w:rFonts w:ascii="Arial" w:cs="Arial" w:eastAsia="Arial" w:hAnsi="Arial"/>
          <w:sz w:val="19"/>
          <w:szCs w:val="19"/>
          <w:color w:val="auto"/>
        </w:rPr>
        <w:t xml:space="preserve"> of the Credit Agreement are incorporated herein by reference, (g)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186" w:lineRule="exact"/>
        <w:rPr>
          <w:sz w:val="20"/>
          <w:szCs w:val="20"/>
          <w:color w:val="auto"/>
        </w:rPr>
      </w:pPr>
    </w:p>
    <w:p>
      <w:pPr>
        <w:ind w:firstLine="8"/>
        <w:spacing w:after="0" w:line="267" w:lineRule="auto"/>
        <w:tabs>
          <w:tab w:leader="none" w:pos="4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This Amendment binds and inures to the benefit of the Company, the Guarantors, Administrative Agent, the Lenders,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have executed this Amendment in multiple counterparts as of the date first above written.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5" w:right="239" w:bottom="1440" w:gutter="0" w:footer="0" w:header="0"/>
        </w:sectPr>
      </w:pPr>
    </w:p>
    <w:bookmarkStart w:id="52" w:name="page53"/>
    <w:bookmarkEnd w:id="52"/>
    <w:p>
      <w:pPr>
        <w:jc w:val="right"/>
        <w:ind w:right="1219"/>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34925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Executive Vice President &amp;</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53" w:name="page54"/>
    <w:bookmarkEnd w:id="53"/>
    <w:p>
      <w:pPr>
        <w:jc w:val="right"/>
        <w:ind w:right="479"/>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34925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Scott Blackman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54" w:name="page55"/>
    <w:bookmarkEnd w:id="54"/>
    <w:p>
      <w:pPr>
        <w:ind w:left="434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60" w:lineRule="exact"/>
        <w:rPr>
          <w:sz w:val="20"/>
          <w:szCs w:val="20"/>
          <w:color w:val="auto"/>
        </w:rPr>
      </w:pPr>
    </w:p>
    <w:p>
      <w:pPr>
        <w:ind w:left="4340"/>
        <w:spacing w:after="0" w:line="260" w:lineRule="auto"/>
        <w:rPr>
          <w:sz w:val="20"/>
          <w:szCs w:val="20"/>
          <w:color w:val="auto"/>
        </w:rPr>
      </w:pPr>
      <w:r>
        <w:rPr>
          <w:rFonts w:ascii="Arial" w:cs="Arial" w:eastAsia="Arial" w:hAnsi="Arial"/>
          <w:sz w:val="20"/>
          <w:szCs w:val="20"/>
          <w:color w:val="auto"/>
        </w:rPr>
        <w:t>as an L/C issuer, a Swing Line Lender, a Revolver Lender and a Term Loan Lender</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34925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Scott Blackman</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860"/>
          </w:cols>
          <w:pgMar w:left="1440" w:top="751" w:right="599" w:bottom="1440" w:gutter="0" w:footer="0" w:header="0"/>
        </w:sectPr>
      </w:pPr>
    </w:p>
    <w:bookmarkStart w:id="55" w:name="page56"/>
    <w:bookmarkEnd w:id="55"/>
    <w:p>
      <w:pPr>
        <w:ind w:left="4340"/>
        <w:spacing w:after="0"/>
        <w:rPr>
          <w:sz w:val="20"/>
          <w:szCs w:val="20"/>
          <w:color w:val="auto"/>
        </w:rPr>
      </w:pPr>
      <w:r>
        <w:rPr>
          <w:rFonts w:ascii="Arial" w:cs="Arial" w:eastAsia="Arial" w:hAnsi="Arial"/>
          <w:sz w:val="20"/>
          <w:szCs w:val="20"/>
          <w:b w:val="1"/>
          <w:bCs w:val="1"/>
          <w:color w:val="auto"/>
        </w:rPr>
        <w:t>U.S. BANK NATIONAL ASSOCIATION,</w:t>
      </w:r>
    </w:p>
    <w:p>
      <w:pPr>
        <w:spacing w:after="0" w:line="6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Greg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34925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Greg Blanchard</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780"/>
          </w:cols>
          <w:pgMar w:left="1440" w:top="751" w:right="679" w:bottom="1440" w:gutter="0" w:footer="0" w:header="0"/>
        </w:sectPr>
      </w:pPr>
    </w:p>
    <w:bookmarkStart w:id="56" w:name="page57"/>
    <w:bookmarkEnd w:id="56"/>
    <w:p>
      <w:pPr>
        <w:ind w:left="492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60"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as an L/C Issuer,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41910</wp:posOffset>
            </wp:positionV>
            <wp:extent cx="31045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Jason Weston</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760"/>
          </w:cols>
          <w:pgMar w:left="1440" w:top="751" w:right="699" w:bottom="1440" w:gutter="0" w:footer="0" w:header="0"/>
        </w:sectPr>
      </w:pPr>
    </w:p>
    <w:bookmarkStart w:id="57" w:name="page58"/>
    <w:bookmarkEnd w:id="57"/>
    <w:p>
      <w:pPr>
        <w:ind w:left="4920"/>
        <w:spacing w:after="0"/>
        <w:rPr>
          <w:sz w:val="20"/>
          <w:szCs w:val="20"/>
          <w:color w:val="auto"/>
        </w:rPr>
      </w:pPr>
      <w:r>
        <w:rPr>
          <w:rFonts w:ascii="Arial" w:cs="Arial" w:eastAsia="Arial" w:hAnsi="Arial"/>
          <w:sz w:val="20"/>
          <w:szCs w:val="20"/>
          <w:b w:val="1"/>
          <w:bCs w:val="1"/>
          <w:color w:val="auto"/>
        </w:rPr>
        <w:t>SUNTRUST BANK</w:t>
      </w:r>
    </w:p>
    <w:p>
      <w:pPr>
        <w:spacing w:after="0" w:line="60"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Justin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34925</wp:posOffset>
            </wp:positionV>
            <wp:extent cx="31045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Justin Lien</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58" w:name="page59"/>
    <w:bookmarkEnd w:id="58"/>
    <w:p>
      <w:pPr>
        <w:ind w:left="4920"/>
        <w:spacing w:after="0"/>
        <w:rPr>
          <w:sz w:val="20"/>
          <w:szCs w:val="20"/>
          <w:color w:val="auto"/>
        </w:rPr>
      </w:pPr>
      <w:r>
        <w:rPr>
          <w:rFonts w:ascii="Arial" w:cs="Arial" w:eastAsia="Arial" w:hAnsi="Arial"/>
          <w:sz w:val="20"/>
          <w:szCs w:val="20"/>
          <w:b w:val="1"/>
          <w:bCs w:val="1"/>
          <w:color w:val="auto"/>
        </w:rPr>
        <w:t>BANK OF THE WEST,</w:t>
      </w:r>
    </w:p>
    <w:p>
      <w:pPr>
        <w:spacing w:after="0" w:line="60"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Robert Likos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34925</wp:posOffset>
            </wp:positionV>
            <wp:extent cx="31045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Robert Likos</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59" w:name="page60"/>
    <w:bookmarkEnd w:id="59"/>
    <w:p>
      <w:pPr>
        <w:ind w:left="4920"/>
        <w:spacing w:after="0"/>
        <w:rPr>
          <w:sz w:val="20"/>
          <w:szCs w:val="20"/>
          <w:color w:val="auto"/>
        </w:rPr>
      </w:pPr>
      <w:r>
        <w:rPr>
          <w:rFonts w:ascii="Arial" w:cs="Arial" w:eastAsia="Arial" w:hAnsi="Arial"/>
          <w:sz w:val="20"/>
          <w:szCs w:val="20"/>
          <w:b w:val="1"/>
          <w:bCs w:val="1"/>
          <w:color w:val="auto"/>
        </w:rPr>
        <w:t>BOKF, NA DBA BOK FINANCIAL</w:t>
      </w:r>
    </w:p>
    <w:p>
      <w:pPr>
        <w:spacing w:after="0" w:line="60"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Chris Golec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34925</wp:posOffset>
            </wp:positionV>
            <wp:extent cx="31045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Name: Chris Golec</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60" w:name="page61"/>
    <w:bookmarkEnd w:id="60"/>
    <w:p>
      <w:pPr>
        <w:ind w:left="4340"/>
        <w:spacing w:after="0"/>
        <w:rPr>
          <w:sz w:val="20"/>
          <w:szCs w:val="20"/>
          <w:color w:val="auto"/>
        </w:rPr>
      </w:pPr>
      <w:r>
        <w:rPr>
          <w:rFonts w:ascii="Arial" w:cs="Arial" w:eastAsia="Arial" w:hAnsi="Arial"/>
          <w:sz w:val="20"/>
          <w:szCs w:val="20"/>
          <w:b w:val="1"/>
          <w:bCs w:val="1"/>
          <w:color w:val="auto"/>
        </w:rPr>
        <w:t>BMO HARRIS BANK N.A.,</w:t>
      </w:r>
    </w:p>
    <w:p>
      <w:pPr>
        <w:spacing w:after="0" w:line="6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Terry Switz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41910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Terry Switz</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61" w:name="page62"/>
    <w:bookmarkEnd w:id="61"/>
    <w:p>
      <w:pPr>
        <w:ind w:left="4900"/>
        <w:spacing w:after="0"/>
        <w:rPr>
          <w:sz w:val="20"/>
          <w:szCs w:val="20"/>
          <w:color w:val="auto"/>
        </w:rPr>
      </w:pPr>
      <w:r>
        <w:rPr>
          <w:rFonts w:ascii="Arial" w:cs="Arial" w:eastAsia="Arial" w:hAnsi="Arial"/>
          <w:sz w:val="19"/>
          <w:szCs w:val="19"/>
          <w:b w:val="1"/>
          <w:bCs w:val="1"/>
          <w:color w:val="auto"/>
        </w:rPr>
        <w:t>HSBC BANK USA, NATIONAL ASSOCIATION,</w:t>
      </w:r>
    </w:p>
    <w:p>
      <w:pPr>
        <w:spacing w:after="0" w:line="71"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Ross Fleck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34925</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9"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Ross Fleck</w:t>
      </w:r>
    </w:p>
    <w:p>
      <w:pPr>
        <w:spacing w:after="0" w:line="54"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 Global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120"/>
          </w:cols>
          <w:pgMar w:left="1440" w:top="752" w:right="1339" w:bottom="1440" w:gutter="0" w:footer="0" w:header="0"/>
        </w:sectPr>
      </w:pPr>
    </w:p>
    <w:bookmarkStart w:id="62" w:name="page63"/>
    <w:bookmarkEnd w:id="62"/>
    <w:p>
      <w:pPr>
        <w:ind w:left="4340"/>
        <w:spacing w:after="0"/>
        <w:rPr>
          <w:sz w:val="20"/>
          <w:szCs w:val="20"/>
          <w:color w:val="auto"/>
        </w:rPr>
      </w:pPr>
      <w:r>
        <w:rPr>
          <w:rFonts w:ascii="Arial" w:cs="Arial" w:eastAsia="Arial" w:hAnsi="Arial"/>
          <w:sz w:val="19"/>
          <w:szCs w:val="19"/>
          <w:b w:val="1"/>
          <w:bCs w:val="1"/>
          <w:color w:val="auto"/>
        </w:rPr>
        <w:t>PNC BANK, NATIONAL ASSOCIATION,</w:t>
      </w:r>
    </w:p>
    <w:p>
      <w:pPr>
        <w:spacing w:after="0" w:line="7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a New Lender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Piper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41910</wp:posOffset>
            </wp:positionV>
            <wp:extent cx="3473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Sean Piper</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1" w:right="1440" w:bottom="1440" w:gutter="0" w:footer="0" w:header="0"/>
        </w:sectPr>
      </w:pPr>
    </w:p>
    <w:bookmarkStart w:id="63" w:name="page64"/>
    <w:bookmarkEnd w:id="63"/>
    <w:p>
      <w:pPr>
        <w:ind w:left="4340"/>
        <w:spacing w:after="0"/>
        <w:rPr>
          <w:sz w:val="20"/>
          <w:szCs w:val="20"/>
          <w:color w:val="auto"/>
        </w:rPr>
      </w:pPr>
      <w:r>
        <w:rPr>
          <w:rFonts w:ascii="Arial" w:cs="Arial" w:eastAsia="Arial" w:hAnsi="Arial"/>
          <w:sz w:val="20"/>
          <w:szCs w:val="20"/>
          <w:b w:val="1"/>
          <w:bCs w:val="1"/>
          <w:color w:val="auto"/>
        </w:rPr>
        <w:t>HSBC BANK AUSTRALIA LIMITED,</w:t>
      </w:r>
    </w:p>
    <w:p>
      <w:pPr>
        <w:spacing w:after="0" w:line="6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a New Lender</w:t>
      </w:r>
    </w:p>
    <w:p>
      <w:pPr>
        <w:spacing w:after="0" w:line="390" w:lineRule="exact"/>
        <w:rPr>
          <w:sz w:val="20"/>
          <w:szCs w:val="20"/>
          <w:color w:val="auto"/>
        </w:rPr>
      </w:pPr>
    </w:p>
    <w:p>
      <w:pPr>
        <w:jc w:val="both"/>
        <w:ind w:left="4780"/>
        <w:spacing w:after="0" w:line="266" w:lineRule="auto"/>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HSBC BANK USA, NATIONAL ASSOCIATION,</w:t>
      </w:r>
      <w:r>
        <w:rPr>
          <w:rFonts w:ascii="Arial" w:cs="Arial" w:eastAsia="Arial" w:hAnsi="Arial"/>
          <w:sz w:val="18"/>
          <w:szCs w:val="18"/>
          <w:color w:val="auto"/>
        </w:rPr>
        <w:t xml:space="preserve"> its duly authorized attorney pursuant to a power of attorney in the presence of</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Nadia Ladak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34925</wp:posOffset>
            </wp:positionV>
            <wp:extent cx="347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Nadia Ladak</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Attorney</w:t>
      </w:r>
    </w:p>
    <w:p>
      <w:pPr>
        <w:spacing w:after="0" w:line="37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Weng Hang Lei Christie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 Weng Hang Lei Christie</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10180"/>
          </w:cols>
          <w:pgMar w:left="1440" w:top="751" w:right="279" w:bottom="1440" w:gutter="0" w:footer="0" w:header="0"/>
        </w:sectPr>
      </w:pPr>
    </w:p>
    <w:bookmarkStart w:id="64" w:name="page65"/>
    <w:bookmarkEnd w:id="64"/>
    <w:p>
      <w:pPr>
        <w:ind w:left="3880"/>
        <w:spacing w:after="0"/>
        <w:rPr>
          <w:sz w:val="20"/>
          <w:szCs w:val="20"/>
          <w:color w:val="auto"/>
        </w:rPr>
      </w:pPr>
      <w:r>
        <w:rPr>
          <w:rFonts w:ascii="Arial" w:cs="Arial" w:eastAsia="Arial" w:hAnsi="Arial"/>
          <w:sz w:val="20"/>
          <w:szCs w:val="20"/>
          <w:b w:val="1"/>
          <w:bCs w:val="1"/>
          <w:u w:val="single" w:color="auto"/>
          <w:color w:val="auto"/>
        </w:rPr>
        <w:t>GUARANTORS’ CONSENT AND AGREEMENT</w:t>
      </w:r>
    </w:p>
    <w:p>
      <w:pPr>
        <w:spacing w:after="0" w:line="3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an inducement to Administrative Agent and Lenders to execute, and in consideration of and as a condition to Administrative Agent’s and Lenders’ execution of the foregoing Second Amendment to Eighth Amended and Restated Credit Agreement (the “</w:t>
      </w:r>
      <w:r>
        <w:rPr>
          <w:rFonts w:ascii="Arial" w:cs="Arial" w:eastAsia="Arial" w:hAnsi="Arial"/>
          <w:sz w:val="18"/>
          <w:szCs w:val="18"/>
          <w:b w:val="1"/>
          <w:bCs w:val="1"/>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the undersigned hereby consent to the Second Amendment, and agree that (a) the Second Amendment shall in no way release,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Arial" w:cs="Arial" w:eastAsia="Arial" w:hAnsi="Arial"/>
          <w:sz w:val="18"/>
          <w:szCs w:val="18"/>
          <w:i w:val="1"/>
          <w:iCs w:val="1"/>
          <w:color w:val="auto"/>
        </w:rPr>
        <w:t>Guaranteed Debt</w:t>
      </w:r>
      <w:r>
        <w:rPr>
          <w:rFonts w:ascii="Arial" w:cs="Arial" w:eastAsia="Arial" w:hAnsi="Arial"/>
          <w:sz w:val="18"/>
          <w:szCs w:val="18"/>
          <w:color w:val="auto"/>
        </w:rPr>
        <w:t>” (as defined in each Guaranty) includes, without limitation, the “</w:t>
      </w:r>
      <w:r>
        <w:rPr>
          <w:rFonts w:ascii="Arial" w:cs="Arial" w:eastAsia="Arial" w:hAnsi="Arial"/>
          <w:sz w:val="18"/>
          <w:szCs w:val="18"/>
          <w:i w:val="1"/>
          <w:iCs w:val="1"/>
          <w:color w:val="auto"/>
        </w:rPr>
        <w:t>Obligations</w:t>
      </w:r>
      <w:r>
        <w:rPr>
          <w:rFonts w:ascii="Arial" w:cs="Arial" w:eastAsia="Arial" w:hAnsi="Arial"/>
          <w:sz w:val="18"/>
          <w:szCs w:val="18"/>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33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Vail Resorts,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2006 Cimarron,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All Media Associates,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All Media Holdings,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Arrabelle at Vail Square,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Beaver Creek Associates,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Beaver Creek Consultants,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Beaver Creek Food Services,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Booth Creek Ski Holdings,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BCRP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Breckenridge Resort Properties,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CB Commercial Properties '07,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Colorado Mountain Express,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Colter Bay Café Court,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Colter Bay Convenience Store,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Colter Bay Corporation</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Colter Bay General Store,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Colter Bay Marina,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Crested Butte, LLC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Crystal Peak Lodge of Breckenridge, Inc.</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DTPC, LLC</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Rockresorts International, LLC</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Eighth Amended and Restated Credit Agreement</w:t>
      </w:r>
    </w:p>
    <w:p>
      <w:pPr>
        <w:sectPr>
          <w:pgSz w:w="11900" w:h="16838" w:orient="portrait"/>
          <w:cols w:equalWidth="0" w:num="1">
            <w:col w:w="11420"/>
          </w:cols>
          <w:pgMar w:left="240" w:top="589" w:right="239" w:bottom="1440" w:gutter="0" w:footer="0" w:header="0"/>
        </w:sectPr>
      </w:pPr>
    </w:p>
    <w:bookmarkStart w:id="65" w:name="page66"/>
    <w:bookmarkEnd w:id="65"/>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EpicSki, Inc.</w:t>
      </w:r>
    </w:p>
    <w:p>
      <w:pPr>
        <w:spacing w:after="0" w:line="18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Flagg Ranch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Gillett Broadcasting,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Grand Teton Lodge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Heavenly Valley, Limited Partnership</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HVLP Kirkwood Services,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Heavenly Valley, Limited Partnership</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Jackson Hole Golf and Tennis Club,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Jackson Hole Golf &amp; Tennis Club Snack Shack, LLC</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Jackson Lake Lodge Corporation</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Jenny Lake Lodge,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Jenny Lake Store,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JHL&amp;S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Teton Hospitality Services,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Keystone Conference Services,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Keystone Development Sales,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Keystone Food &amp; Beverage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Keystone Resort Property Management Company</w:t>
      </w:r>
    </w:p>
    <w:p>
      <w:pPr>
        <w:spacing w:after="0" w:line="65"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Keystone Ranch Water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Lake Tahoe Lodging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Lodge Properties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Lodge Realty,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La Posada Beverage Service, Inc.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Mt. CB Real Estate,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National Park Hospitality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Northstar Group Commercial Properties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Northstar Group Restaurant Properties,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Okemo Limited Liability Company</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Triple Peaks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NE Holdings, LLC</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By: VR US Holdings, LLC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Okemo Mountain Food and Beverage,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One Ski Hill Place,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Property Management Acquisition Corp., Inc.</w:t>
      </w:r>
    </w:p>
    <w:p>
      <w:pPr>
        <w:sectPr>
          <w:pgSz w:w="11900" w:h="16838" w:orient="portrait"/>
          <w:cols w:equalWidth="0" w:num="1">
            <w:col w:w="9019"/>
          </w:cols>
          <w:pgMar w:left="1440" w:top="75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7" w:right="1440" w:bottom="1440" w:gutter="0" w:footer="0" w:header="0"/>
          <w:type w:val="continuous"/>
        </w:sectPr>
      </w:pPr>
    </w:p>
    <w:bookmarkStart w:id="66" w:name="page67"/>
    <w:bookmarkEnd w:id="66"/>
    <w:p>
      <w:pPr>
        <w:ind w:left="4440"/>
        <w:spacing w:after="0"/>
        <w:rPr>
          <w:sz w:val="20"/>
          <w:szCs w:val="20"/>
          <w:color w:val="auto"/>
        </w:rPr>
      </w:pPr>
      <w:r>
        <w:rPr>
          <w:rFonts w:ascii="Arial" w:cs="Arial" w:eastAsia="Arial" w:hAnsi="Arial"/>
          <w:sz w:val="20"/>
          <w:szCs w:val="20"/>
          <w:color w:val="auto"/>
        </w:rPr>
        <w:t>RCR Vail,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By: Vail Resorts Development Company</w:t>
      </w:r>
    </w:p>
    <w:p>
      <w:pPr>
        <w:spacing w:after="0" w:line="20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Arrabelle,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Rockresorts Cordillera Lodge Company, LLC</w:t>
      </w:r>
    </w:p>
    <w:p>
      <w:pPr>
        <w:spacing w:after="0" w:line="6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DR,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Equinox, LLC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Hotel Jerome,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International,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Rockresorts International Management Company</w:t>
      </w:r>
    </w:p>
    <w:p>
      <w:pPr>
        <w:spacing w:after="0" w:line="100"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Ski Tip,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Rockresorts Wyoming,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Soho Development,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Vail Associates Holdings, Ltd.</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SSI Venture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SSV Online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SSV Online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SSV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Stampede Canteen,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Teton Hospitality Services,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The Chalets at the Lodge at Vail,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By: Vail Resorts Development Company</w:t>
      </w:r>
    </w:p>
    <w:p>
      <w:pPr>
        <w:spacing w:after="0" w:line="65"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The Sunapee Difference,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Triple Peaks,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NE Holdings, LLC</w:t>
      </w:r>
    </w:p>
    <w:p>
      <w:pPr>
        <w:sectPr>
          <w:pgSz w:w="11900" w:h="16838" w:orient="portrait"/>
          <w:cols w:equalWidth="0" w:num="1">
            <w:col w:w="9019"/>
          </w:cols>
          <w:pgMar w:left="1440" w:top="75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7" w:right="1440" w:bottom="1440" w:gutter="0" w:footer="0" w:header="0"/>
          <w:type w:val="continuous"/>
        </w:sectPr>
      </w:pPr>
    </w:p>
    <w:bookmarkStart w:id="67" w:name="page68"/>
    <w:bookmarkEnd w:id="67"/>
    <w:p>
      <w:pPr>
        <w:ind w:left="558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The Village at Breckenridge Acquisition Corp., Inc.</w:t>
      </w:r>
    </w:p>
    <w:p>
      <w:pPr>
        <w:spacing w:after="0" w:line="7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Trimont Land Company</w:t>
      </w:r>
    </w:p>
    <w:p>
      <w:pPr>
        <w:spacing w:after="0" w:line="18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Triple Peaks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NE Holdings, LLC</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 Rancho Mirage 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 Rancho Mirage II,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 Rancho Mirage Resort, L.P.</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VA Rancho Mirage 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Vail/Arrowhead,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Associates Holdings, Ltd.</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Associates Investments,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Associates Real Estate,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Vail/Beaver Creek Resort Properties,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Food Services,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Hotel Management Company,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Resorts Development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Resorts Lodging Company</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RR,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Summit Resorts,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Vail Trademarks,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VAMHC,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Acquisition,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CPC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CPC Services, LLC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Heavenly Concessions,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Heavenly 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Heavenly II,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US Holdings II,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WM Holdings,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NE Holdings, LLC</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VR NW Holdings, Inc.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757" w:right="1440" w:bottom="1440" w:gutter="0" w:footer="0" w:header="0"/>
        </w:sectPr>
      </w:pPr>
    </w:p>
    <w:bookmarkStart w:id="68" w:name="page69"/>
    <w:bookmarkEnd w:id="68"/>
    <w:p>
      <w:pPr>
        <w:ind w:left="43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Ryan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27305</wp:posOffset>
            </wp:positionV>
            <wp:extent cx="31045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4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Ryan Siurek</w:t>
      </w:r>
    </w:p>
    <w:p>
      <w:pPr>
        <w:spacing w:after="0" w:line="54" w:lineRule="exact"/>
        <w:rPr>
          <w:sz w:val="20"/>
          <w:szCs w:val="20"/>
          <w:color w:val="auto"/>
        </w:rPr>
      </w:pPr>
    </w:p>
    <w:p>
      <w:pPr>
        <w:jc w:val="right"/>
        <w:ind w:right="119"/>
        <w:spacing w:after="0"/>
        <w:rPr>
          <w:sz w:val="20"/>
          <w:szCs w:val="20"/>
          <w:color w:val="auto"/>
        </w:rPr>
      </w:pPr>
      <w:r>
        <w:rPr>
          <w:rFonts w:ascii="Arial" w:cs="Arial" w:eastAsia="Arial" w:hAnsi="Arial"/>
          <w:sz w:val="20"/>
          <w:szCs w:val="20"/>
          <w:color w:val="auto"/>
        </w:rPr>
        <w:t>Title: Senior Vice President, Controller and Chief</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Eighth Amended and Restated Credit Agreement</w:t>
      </w:r>
    </w:p>
    <w:p>
      <w:pPr>
        <w:sectPr>
          <w:pgSz w:w="11900" w:h="16838" w:orient="portrait"/>
          <w:cols w:equalWidth="0" w:num="1">
            <w:col w:w="9019"/>
          </w:cols>
          <w:pgMar w:left="1440" w:top="1082" w:right="1440" w:bottom="1440" w:gutter="0" w:footer="0" w:header="0"/>
        </w:sectPr>
      </w:pPr>
    </w:p>
    <w:bookmarkStart w:id="69" w:name="page70"/>
    <w:bookmarkEnd w:id="69"/>
    <w:p>
      <w:pPr>
        <w:jc w:val="center"/>
        <w:ind w:right="-1200"/>
        <w:spacing w:after="0"/>
        <w:rPr>
          <w:sz w:val="20"/>
          <w:szCs w:val="20"/>
          <w:color w:val="auto"/>
        </w:rPr>
      </w:pPr>
      <w:r>
        <w:rPr>
          <w:rFonts w:ascii="Arial" w:cs="Arial" w:eastAsia="Arial" w:hAnsi="Arial"/>
          <w:sz w:val="22"/>
          <w:szCs w:val="22"/>
          <w:b w:val="1"/>
          <w:bCs w:val="1"/>
          <w:color w:val="auto"/>
        </w:rPr>
        <w:t>Annex A</w:t>
      </w:r>
    </w:p>
    <w:p>
      <w:pPr>
        <w:spacing w:after="0" w:line="260" w:lineRule="exact"/>
        <w:rPr>
          <w:sz w:val="20"/>
          <w:szCs w:val="20"/>
          <w:color w:val="auto"/>
        </w:rPr>
      </w:pPr>
    </w:p>
    <w:p>
      <w:pPr>
        <w:jc w:val="right"/>
        <w:ind w:right="3339"/>
        <w:spacing w:after="0"/>
        <w:rPr>
          <w:sz w:val="20"/>
          <w:szCs w:val="20"/>
          <w:color w:val="auto"/>
        </w:rPr>
      </w:pPr>
      <w:r>
        <w:rPr>
          <w:rFonts w:ascii="Arial" w:cs="Arial" w:eastAsia="Arial" w:hAnsi="Arial"/>
          <w:sz w:val="22"/>
          <w:szCs w:val="22"/>
          <w:b w:val="1"/>
          <w:bCs w:val="1"/>
          <w:u w:val="single" w:color="auto"/>
          <w:color w:val="auto"/>
        </w:rPr>
        <w:t>Unrestricted Subsidiaries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Peak Resorts,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BLC Operators,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Mills Ski Resort,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Brandywine Ski Resort,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Crotched Mountain Properties,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Deltrecs,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Hidden Valley Golf and Ski,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JFBB Ski Areas,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L.B.O. Holding,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Mad River Mountain,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Mount Snow,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Paoli Peaks,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Resort Holdings,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SNH Development,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Snow Creek,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Sycamore Lake,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WC Acquisition Corp.</w:t>
      </w:r>
    </w:p>
    <w:p>
      <w:pPr>
        <w:sectPr>
          <w:pgSz w:w="11900" w:h="16838" w:orient="portrait"/>
          <w:cols w:equalWidth="0" w:num="1">
            <w:col w:w="10219"/>
          </w:cols>
          <w:pgMar w:left="240" w:top="598" w:right="1440"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22"/>
          <w:szCs w:val="22"/>
          <w:b w:val="1"/>
          <w:bCs w:val="1"/>
          <w:color w:val="auto"/>
        </w:rPr>
        <w:t>Schedule 1</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640" w:type="dxa"/>
            <w:vAlign w:val="bottom"/>
            <w:tcBorders>
              <w:top w:val="single" w:sz="8" w:color="auto"/>
              <w:left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COMMITMENT</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LETTER OF</w:t>
            </w:r>
          </w:p>
        </w:tc>
        <w:tc>
          <w:tcPr>
            <w:tcW w:w="144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COMMITMENT</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REVOLVER</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PERCENTAGE</w:t>
            </w:r>
          </w:p>
        </w:tc>
        <w:tc>
          <w:tcPr>
            <w:tcW w:w="15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SWING LOAN</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TERM LOAN</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PERCENTAGE</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LENDER</w:t>
            </w:r>
          </w:p>
        </w:tc>
        <w:tc>
          <w:tcPr>
            <w:tcW w:w="160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CREDIT</w:t>
            </w:r>
          </w:p>
        </w:tc>
        <w:tc>
          <w:tcPr>
            <w:tcW w:w="14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COMMITMENT</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(REVOLVER</w:t>
            </w:r>
          </w:p>
        </w:tc>
        <w:tc>
          <w:tcPr>
            <w:tcW w:w="15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line="229" w:lineRule="exact"/>
              <w:rPr>
                <w:sz w:val="20"/>
                <w:szCs w:val="20"/>
                <w:color w:val="auto"/>
              </w:rPr>
            </w:pPr>
            <w:r>
              <w:rPr>
                <w:rFonts w:ascii="Arial" w:cs="Arial" w:eastAsia="Arial" w:hAnsi="Arial"/>
                <w:sz w:val="20"/>
                <w:szCs w:val="20"/>
                <w:b w:val="1"/>
                <w:bCs w:val="1"/>
                <w:color w:val="auto"/>
              </w:rPr>
              <w:t>SUBLIMIT</w:t>
            </w:r>
            <w:r>
              <w:rPr>
                <w:rFonts w:ascii="Arial" w:cs="Arial" w:eastAsia="Arial" w:hAnsi="Arial"/>
                <w:sz w:val="25"/>
                <w:szCs w:val="25"/>
                <w:b w:val="1"/>
                <w:bCs w:val="1"/>
                <w:color w:val="FF0000"/>
                <w:vertAlign w:val="superscript"/>
              </w:rPr>
              <w:t>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COMMITMENT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(TERM LOAN</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SUBLIMIT</w:t>
            </w:r>
          </w:p>
        </w:tc>
        <w:tc>
          <w:tcPr>
            <w:tcW w:w="14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FACILITY)</w:t>
            </w:r>
          </w:p>
        </w:tc>
        <w:tc>
          <w:tcPr>
            <w:tcW w:w="150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FACILITY)</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Bank of America,</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$121,100,000.00</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24.220000000%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$125,000,000</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$75,000,000</w:t>
            </w:r>
            <w:r>
              <w:rPr>
                <w:rFonts w:ascii="Arial" w:cs="Arial" w:eastAsia="Arial" w:hAnsi="Arial"/>
                <w:sz w:val="25"/>
                <w:szCs w:val="25"/>
                <w:color w:val="FF0000"/>
                <w:w w:val="87"/>
                <w:vertAlign w:val="superscript"/>
              </w:rPr>
              <w:t>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$302,712,500.00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24.217000000%</w:t>
            </w:r>
          </w:p>
        </w:tc>
        <w:tc>
          <w:tcPr>
            <w:tcW w:w="0" w:type="dxa"/>
            <w:vAlign w:val="bottom"/>
          </w:tcPr>
          <w:p>
            <w:pPr>
              <w:spacing w:after="0"/>
              <w:rPr>
                <w:sz w:val="1"/>
                <w:szCs w:val="1"/>
                <w:color w:val="auto"/>
              </w:rPr>
            </w:pPr>
          </w:p>
        </w:tc>
      </w:tr>
      <w:tr>
        <w:trPr>
          <w:trHeight w:val="19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N.A.</w:t>
            </w:r>
          </w:p>
        </w:tc>
        <w:tc>
          <w:tcPr>
            <w:tcW w:w="1600" w:type="dxa"/>
            <w:vAlign w:val="bottom"/>
            <w:tcBorders>
              <w:right w:val="single" w:sz="8" w:color="auto"/>
            </w:tcBorders>
            <w:vMerge w:val="continue"/>
          </w:tcPr>
          <w:p>
            <w:pPr>
              <w:spacing w:after="0"/>
              <w:rPr>
                <w:sz w:val="16"/>
                <w:szCs w:val="16"/>
                <w:color w:val="auto"/>
              </w:rPr>
            </w:pPr>
          </w:p>
        </w:tc>
        <w:tc>
          <w:tcPr>
            <w:tcW w:w="196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vMerge w:val="continue"/>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640" w:type="dxa"/>
            <w:vAlign w:val="bottom"/>
            <w:tcBorders>
              <w:left w:val="single" w:sz="8" w:color="auto"/>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U.S. Bank</w:t>
            </w:r>
          </w:p>
        </w:tc>
        <w:tc>
          <w:tcPr>
            <w:tcW w:w="16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National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$107,150,000.00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21.430000000%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87"/>
              </w:rPr>
              <w:t>$75,000,000</w:t>
            </w:r>
            <w:r>
              <w:rPr>
                <w:rFonts w:ascii="Arial" w:cs="Arial" w:eastAsia="Arial" w:hAnsi="Arial"/>
                <w:sz w:val="25"/>
                <w:szCs w:val="25"/>
                <w:color w:val="FF0000"/>
                <w:w w:val="87"/>
                <w:vertAlign w:val="superscript"/>
              </w:rPr>
              <w:t>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$267,850,000.00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21.428000000%</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Association</w:t>
            </w:r>
          </w:p>
        </w:tc>
        <w:tc>
          <w:tcPr>
            <w:tcW w:w="160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Wells Fargo Bank,</w:t>
            </w:r>
          </w:p>
        </w:tc>
        <w:tc>
          <w:tcPr>
            <w:tcW w:w="16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National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$107,150,000.00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21.430000000%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$75,000,000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$267,850,000.00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21.428000000%</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Association</w:t>
            </w:r>
          </w:p>
        </w:tc>
        <w:tc>
          <w:tcPr>
            <w:tcW w:w="160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SunTrust Bank</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$57,025,000.00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11.405000000%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$142,587,500.00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11.407000000%</w:t>
            </w: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PNC Bank,</w:t>
            </w:r>
          </w:p>
        </w:tc>
        <w:tc>
          <w:tcPr>
            <w:tcW w:w="16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National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$28,575,000.00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5.715000000%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$71,425,000.00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5.714000000%</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Association</w:t>
            </w:r>
          </w:p>
        </w:tc>
        <w:tc>
          <w:tcPr>
            <w:tcW w:w="160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Bank of the West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$22,850,000.00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4.570000000%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$57,150,000.00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4.572000000%</w:t>
            </w: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BMO Harris Bank</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$20,000,000.00</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4.000000000%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$50,000,000.00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4.000000000%</w:t>
            </w:r>
          </w:p>
        </w:tc>
        <w:tc>
          <w:tcPr>
            <w:tcW w:w="0" w:type="dxa"/>
            <w:vAlign w:val="bottom"/>
          </w:tcPr>
          <w:p>
            <w:pPr>
              <w:spacing w:after="0"/>
              <w:rPr>
                <w:sz w:val="1"/>
                <w:szCs w:val="1"/>
                <w:color w:val="auto"/>
              </w:rPr>
            </w:pPr>
          </w:p>
        </w:tc>
      </w:tr>
      <w:tr>
        <w:trPr>
          <w:trHeight w:val="12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N.A.</w:t>
            </w:r>
          </w:p>
        </w:tc>
        <w:tc>
          <w:tcPr>
            <w:tcW w:w="160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HSBC Bank USA,</w:t>
            </w:r>
          </w:p>
        </w:tc>
        <w:tc>
          <w:tcPr>
            <w:tcW w:w="16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National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$20,000,000.00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4.000000000%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$38,000,000.00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3.040000000%</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Association</w:t>
            </w:r>
          </w:p>
        </w:tc>
        <w:tc>
          <w:tcPr>
            <w:tcW w:w="160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HSBC Bank</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$0.00</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0.000000000%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$12,000,000.00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0.960000000%</w:t>
            </w:r>
          </w:p>
        </w:tc>
        <w:tc>
          <w:tcPr>
            <w:tcW w:w="0" w:type="dxa"/>
            <w:vAlign w:val="bottom"/>
          </w:tcPr>
          <w:p>
            <w:pPr>
              <w:spacing w:after="0"/>
              <w:rPr>
                <w:sz w:val="1"/>
                <w:szCs w:val="1"/>
                <w:color w:val="auto"/>
              </w:rPr>
            </w:pPr>
          </w:p>
        </w:tc>
      </w:tr>
      <w:tr>
        <w:trPr>
          <w:trHeight w:val="12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Australia Limited</w:t>
            </w:r>
          </w:p>
        </w:tc>
        <w:tc>
          <w:tcPr>
            <w:tcW w:w="160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BOKF, N.A. dba</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$16,150,000.00</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3.230000000%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$40,425,000.00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3.234000000%</w:t>
            </w:r>
          </w:p>
        </w:tc>
        <w:tc>
          <w:tcPr>
            <w:tcW w:w="0" w:type="dxa"/>
            <w:vAlign w:val="bottom"/>
          </w:tcPr>
          <w:p>
            <w:pPr>
              <w:spacing w:after="0"/>
              <w:rPr>
                <w:sz w:val="1"/>
                <w:szCs w:val="1"/>
                <w:color w:val="auto"/>
              </w:rPr>
            </w:pPr>
          </w:p>
        </w:tc>
      </w:tr>
      <w:tr>
        <w:trPr>
          <w:trHeight w:val="12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BOK Financial</w:t>
            </w:r>
          </w:p>
        </w:tc>
        <w:tc>
          <w:tcPr>
            <w:tcW w:w="160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6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Totals</w:t>
            </w:r>
          </w:p>
        </w:tc>
        <w:tc>
          <w:tcPr>
            <w:tcW w:w="16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$500,000,000.00</w:t>
            </w:r>
          </w:p>
        </w:tc>
        <w:tc>
          <w:tcPr>
            <w:tcW w:w="19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100.000000000%</w:t>
            </w: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$200,000,000.00</w:t>
            </w:r>
          </w:p>
        </w:tc>
        <w:tc>
          <w:tcPr>
            <w:tcW w:w="14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$75,000,000.00</w:t>
            </w:r>
          </w:p>
        </w:tc>
        <w:tc>
          <w:tcPr>
            <w:tcW w:w="16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$1,250,000,000.00</w:t>
            </w:r>
          </w:p>
        </w:tc>
        <w:tc>
          <w:tcPr>
            <w:tcW w:w="1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100.000000000%</w:t>
            </w:r>
          </w:p>
        </w:tc>
        <w:tc>
          <w:tcPr>
            <w:tcW w:w="0" w:type="dxa"/>
            <w:vAlign w:val="bottom"/>
          </w:tcPr>
          <w:p>
            <w:pPr>
              <w:spacing w:after="0"/>
              <w:rPr>
                <w:sz w:val="1"/>
                <w:szCs w:val="1"/>
                <w:color w:val="auto"/>
              </w:rPr>
            </w:pPr>
          </w:p>
        </w:tc>
      </w:tr>
      <w:tr>
        <w:trPr>
          <w:trHeight w:val="20"/>
        </w:trPr>
        <w:tc>
          <w:tcPr>
            <w:tcW w:w="1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hanging="92"/>
        <w:spacing w:after="0"/>
        <w:tabs>
          <w:tab w:leader="none" w:pos="100" w:val="left"/>
        </w:tabs>
        <w:numPr>
          <w:ilvl w:val="0"/>
          <w:numId w:val="33"/>
        </w:numPr>
        <w:rPr>
          <w:rFonts w:ascii="Arial" w:cs="Arial" w:eastAsia="Arial" w:hAnsi="Arial"/>
          <w:sz w:val="13"/>
          <w:szCs w:val="13"/>
          <w:color w:val="FF0000"/>
        </w:rPr>
      </w:pPr>
      <w:r>
        <w:rPr>
          <w:rFonts w:ascii="Arial" w:cs="Arial" w:eastAsia="Arial" w:hAnsi="Arial"/>
          <w:sz w:val="20"/>
          <w:szCs w:val="20"/>
          <w:color w:val="auto"/>
        </w:rPr>
        <w:t>Part of, and not in addition to, the Revolver Commitment.</w:t>
      </w:r>
    </w:p>
    <w:p>
      <w:pPr>
        <w:ind w:left="100" w:hanging="92"/>
        <w:spacing w:after="0"/>
        <w:tabs>
          <w:tab w:leader="none" w:pos="100" w:val="left"/>
        </w:tabs>
        <w:numPr>
          <w:ilvl w:val="0"/>
          <w:numId w:val="34"/>
        </w:numPr>
        <w:rPr>
          <w:rFonts w:ascii="Arial" w:cs="Arial" w:eastAsia="Arial" w:hAnsi="Arial"/>
          <w:sz w:val="13"/>
          <w:szCs w:val="13"/>
          <w:color w:val="FF0000"/>
        </w:rPr>
      </w:pPr>
      <w:r>
        <w:rPr>
          <w:rFonts w:ascii="Arial" w:cs="Arial" w:eastAsia="Arial" w:hAnsi="Arial"/>
          <w:sz w:val="20"/>
          <w:szCs w:val="20"/>
          <w:color w:val="auto"/>
        </w:rPr>
        <w:t>Each Swing Line Lender has a limit of $75,000,000 with an aggregate limit among all Swing Line Lenders of $75,000,000.</w:t>
      </w:r>
    </w:p>
    <w:p>
      <w:pPr>
        <w:sectPr>
          <w:pgSz w:w="11900" w:h="16838" w:orient="portrait"/>
          <w:cols w:equalWidth="0" w:num="1">
            <w:col w:w="11440"/>
          </w:cols>
          <w:pgMar w:left="240" w:top="598"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6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2019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bullet"/>
      <w:start w:val="1"/>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2"/>
    </w:lvl>
    <w:lvl w:ilvl="1">
      <w:lvlJc w:val="left"/>
      <w:lvlText w:val="%2."/>
      <w:numFmt w:val="lowerRoman"/>
      <w:start w:val="1"/>
    </w:lvl>
  </w:abstractNum>
  <w:abstractNum w:abstractNumId="10">
    <w:nsid w:val="6763845E"/>
    <w:multiLevelType w:val="hybridMultilevel"/>
    <w:lvl w:ilvl="0">
      <w:lvlJc w:val="left"/>
      <w:lvlText w:val="(%1)"/>
      <w:numFmt w:val="lowerLetter"/>
      <w:start w:val="4"/>
    </w:lvl>
  </w:abstractNum>
  <w:abstractNum w:abstractNumId="11">
    <w:nsid w:val="75A2A8D4"/>
    <w:multiLevelType w:val="hybridMultilevel"/>
    <w:lvl w:ilvl="0">
      <w:lvlJc w:val="left"/>
      <w:lvlText w:val="%1."/>
      <w:numFmt w:val="decimal"/>
      <w:start w:val="1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32"/>
    </w:lvl>
  </w:abstractNum>
  <w:abstractNum w:abstractNumId="17">
    <w:nsid w:val="54E49EB4"/>
    <w:multiLevelType w:val="hybridMultilevel"/>
    <w:lvl w:ilvl="0">
      <w:lvlJc w:val="left"/>
      <w:lvlText w:val="%1"/>
      <w:numFmt w:val="decimal"/>
      <w:start w:val="104"/>
    </w:lvl>
  </w:abstractNum>
  <w:abstractNum w:abstractNumId="18">
    <w:nsid w:val="71F32454"/>
    <w:multiLevelType w:val="hybridMultilevel"/>
    <w:lvl w:ilvl="0">
      <w:lvlJc w:val="left"/>
      <w:lvlText w:val="%1."/>
      <w:numFmt w:val="upperLetter"/>
      <w:start w:val="1"/>
    </w:lvl>
  </w:abstractNum>
  <w:abstractNum w:abstractNumId="19">
    <w:nsid w:val="2CA88611"/>
    <w:multiLevelType w:val="hybridMultilevel"/>
    <w:lvl w:ilvl="0">
      <w:lvlJc w:val="left"/>
      <w:lvlText w:val="%1."/>
      <w:numFmt w:val="decimal"/>
      <w:start w:val="1"/>
    </w:lvl>
    <w:lvl w:ilvl="1">
      <w:lvlJc w:val="left"/>
      <w:lvlText w:val="(%2)"/>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3"/>
    </w:lvl>
  </w:abstractNum>
  <w:abstractNum w:abstractNumId="22">
    <w:nsid w:val="3A95F874"/>
    <w:multiLevelType w:val="hybridMultilevel"/>
    <w:lvl w:ilvl="0">
      <w:lvlJc w:val="left"/>
      <w:lvlText w:val="(%1)"/>
      <w:numFmt w:val="lowerLetter"/>
      <w:start w:val="4"/>
    </w:lvl>
  </w:abstractNum>
  <w:abstractNum w:abstractNumId="23">
    <w:nsid w:val="8138641"/>
    <w:multiLevelType w:val="hybridMultilevel"/>
    <w:lvl w:ilvl="0">
      <w:lvlJc w:val="left"/>
      <w:lvlText w:val="(%1)"/>
      <w:numFmt w:val="lowerLetter"/>
      <w:start w:val="5"/>
    </w:lvl>
  </w:abstractNum>
  <w:abstractNum w:abstractNumId="24">
    <w:nsid w:val="1E7FF521"/>
    <w:multiLevelType w:val="hybridMultilevel"/>
    <w:lvl w:ilvl="0">
      <w:lvlJc w:val="left"/>
      <w:lvlText w:val="(%1)"/>
      <w:numFmt w:val="lowerLetter"/>
      <w:start w:val="12"/>
    </w:lvl>
  </w:abstractNum>
  <w:abstractNum w:abstractNumId="25">
    <w:nsid w:val="7C3DBD3D"/>
    <w:multiLevelType w:val="hybridMultilevel"/>
    <w:lvl w:ilvl="0">
      <w:lvlJc w:val="left"/>
      <w:lvlText w:val="%1"/>
      <w:numFmt w:val="decimal"/>
      <w:start w:val="1"/>
    </w:lvl>
    <w:lvl w:ilvl="1">
      <w:lvlJc w:val="left"/>
      <w:lvlText w:val="(%2)"/>
      <w:numFmt w:val="lowerLetter"/>
      <w:start w:val="17"/>
    </w:lvl>
  </w:abstractNum>
  <w:abstractNum w:abstractNumId="26">
    <w:nsid w:val="737B8DDC"/>
    <w:multiLevelType w:val="hybridMultilevel"/>
    <w:lvl w:ilvl="0">
      <w:lvlJc w:val="left"/>
      <w:lvlText w:val="%1."/>
      <w:numFmt w:val="decimal"/>
      <w:start w:val="2"/>
    </w:lvl>
    <w:lvl w:ilvl="1">
      <w:lvlJc w:val="left"/>
      <w:lvlText w:val="%2"/>
      <w:numFmt w:val="lowerLetter"/>
      <w:start w:val="1"/>
    </w:lvl>
  </w:abstractNum>
  <w:abstractNum w:abstractNumId="27">
    <w:nsid w:val="6CEAF087"/>
    <w:multiLevelType w:val="hybridMultilevel"/>
    <w:lvl w:ilvl="0">
      <w:lvlJc w:val="left"/>
      <w:lvlText w:val="%1."/>
      <w:numFmt w:val="decimal"/>
      <w:start w:val="3"/>
    </w:lvl>
    <w:lvl w:ilvl="1">
      <w:lvlJc w:val="left"/>
      <w:lvlText w:val="(%2)"/>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
    </w:lvl>
    <w:lvl w:ilvl="1">
      <w:lvlJc w:val="left"/>
      <w:lvlText w:val="(%2)"/>
      <w:numFmt w:val="lowerLetter"/>
      <w:start w:val="2"/>
    </w:lvl>
  </w:abstractNum>
  <w:abstractNum w:abstractNumId="30">
    <w:nsid w:val="3006C83E"/>
    <w:multiLevelType w:val="hybridMultilevel"/>
    <w:lvl w:ilvl="0">
      <w:lvlJc w:val="left"/>
      <w:lvlText w:val="%1."/>
      <w:numFmt w:val="decimal"/>
      <w:start w:val="5"/>
    </w:lvl>
    <w:lvl w:ilvl="1">
      <w:lvlJc w:val="left"/>
      <w:lvlText w:val="%2"/>
      <w:numFmt w:val="lowerLetter"/>
      <w:start w:val="1"/>
    </w:lvl>
  </w:abstractNum>
  <w:abstractNum w:abstractNumId="31">
    <w:nsid w:val="614FD4A1"/>
    <w:multiLevelType w:val="hybridMultilevel"/>
    <w:lvl w:ilvl="0">
      <w:lvlJc w:val="left"/>
      <w:lvlText w:val="%1."/>
      <w:numFmt w:val="decimal"/>
      <w:start w:val="9"/>
    </w:lvl>
  </w:abstractNum>
  <w:abstractNum w:abstractNumId="32">
    <w:nsid w:val="419AC241"/>
    <w:multiLevelType w:val="hybridMultilevel"/>
    <w:lvl w:ilvl="0">
      <w:lvlJc w:val="left"/>
      <w:lvlText w:val="1"/>
      <w:numFmt w:val="bullet"/>
      <w:start w:val="1"/>
    </w:lvl>
  </w:abstractNum>
  <w:abstractNum w:abstractNumId="33">
    <w:nsid w:val="5577F8E1"/>
    <w:multiLevelType w:val="hybridMultilevel"/>
    <w:lvl w:ilvl="0">
      <w:lvlJc w:val="left"/>
      <w:lvlText w:val="2"/>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2019-12-28T01:04:42Z</dcterms:created>
  <dcterms:modified xsi:type="dcterms:W3CDTF">2019-12-28T01:04:42Z</dcterms:modified>
</cp:coreProperties>
</file>