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January 31, 2018</w:t>
      </w:r>
    </w:p>
    <w:p>
      <w:pPr>
        <w:spacing w:after="0" w:line="26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83185</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8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390"/>
        </w:trPr>
        <w:tc>
          <w:tcPr>
            <w:tcW w:w="246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204"/>
        </w:trPr>
        <w:tc>
          <w:tcPr>
            <w:tcW w:w="2460" w:type="dxa"/>
            <w:vAlign w:val="bottom"/>
          </w:tcPr>
          <w:p>
            <w:pPr>
              <w:spacing w:after="0"/>
              <w:rPr>
                <w:sz w:val="17"/>
                <w:szCs w:val="17"/>
                <w:color w:val="auto"/>
              </w:rPr>
            </w:pPr>
          </w:p>
        </w:tc>
        <w:tc>
          <w:tcPr>
            <w:tcW w:w="5380" w:type="dxa"/>
            <w:vAlign w:val="bottom"/>
          </w:tcPr>
          <w:p>
            <w:pPr>
              <w:jc w:val="right"/>
              <w:ind w:right="1900"/>
              <w:spacing w:after="0"/>
              <w:rPr>
                <w:sz w:val="20"/>
                <w:szCs w:val="20"/>
                <w:color w:val="auto"/>
              </w:rPr>
            </w:pPr>
            <w:r>
              <w:rPr>
                <w:rFonts w:ascii="Arial" w:cs="Arial" w:eastAsia="Arial" w:hAnsi="Arial"/>
                <w:sz w:val="14"/>
                <w:szCs w:val="14"/>
                <w:b w:val="1"/>
                <w:bCs w:val="1"/>
                <w:color w:val="auto"/>
                <w:w w:val="92"/>
              </w:rPr>
              <w:t>(Registrant’s Telephone Number, Including Area Code)</w:t>
            </w:r>
          </w:p>
        </w:tc>
      </w:tr>
    </w:tbl>
    <w:p>
      <w:pPr>
        <w:spacing w:after="0" w:line="11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340" w:type="dxa"/>
            <w:vAlign w:val="bottom"/>
          </w:tcPr>
          <w:p>
            <w:pPr>
              <w:ind w:left="9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March 5, 2018, 40,422,047 shares of the registrant’s common stock were outstanding.</w:t>
      </w:r>
    </w:p>
    <w:p>
      <w:pPr>
        <w:sectPr>
          <w:pgSz w:w="11900" w:h="16838" w:orient="portrait"/>
          <w:cols w:equalWidth="0" w:num="1">
            <w:col w:w="11420"/>
          </w:cols>
          <w:pgMar w:left="240" w:top="7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66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January 31, 2018, July 31, 2017 and January 31, 2017</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Condensed Statements of Operations for the Three and Six Months Ended January 31, 2018 and 2017</w:t>
              </w:r>
            </w:hyperlink>
          </w:p>
        </w:tc>
        <w:tc>
          <w:tcPr>
            <w:tcW w:w="1340" w:type="dxa"/>
            <w:vAlign w:val="bottom"/>
            <w:tcBorders>
              <w:bottom w:val="single" w:sz="8" w:color="CCEEFF"/>
            </w:tcBorders>
            <w:gridSpan w:val="2"/>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Condensed Statements of Comprehensive Income for the Three and Six Months Ended January 31, 2018 and 2017</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spacing w:after="0"/>
              <w:rPr>
                <w:sz w:val="21"/>
                <w:szCs w:val="21"/>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Stockholders’ Equity for the Six Months Ended January 31, 2018 and 2017</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1080" w:type="dxa"/>
            <w:vAlign w:val="bottom"/>
            <w:tcBorders>
              <w:top w:val="single" w:sz="8" w:color="CCEEFF"/>
            </w:tcBorders>
          </w:tcPr>
          <w:p>
            <w:pPr>
              <w:spacing w:after="0"/>
              <w:rPr>
                <w:sz w:val="17"/>
                <w:szCs w:val="17"/>
                <w:color w:val="auto"/>
              </w:rPr>
            </w:pPr>
          </w:p>
        </w:tc>
        <w:tc>
          <w:tcPr>
            <w:tcW w:w="8280" w:type="dxa"/>
            <w:vAlign w:val="bottom"/>
            <w:tcBorders>
              <w:top w:val="single" w:sz="8" w:color="0000EE"/>
            </w:tcBorders>
            <w:gridSpan w:val="13"/>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Condensed Statements of Cash Flows for the Six Months Ended January 31, 2018 and 2017</w:t>
              </w:r>
            </w:hyperlink>
          </w:p>
        </w:tc>
        <w:tc>
          <w:tcPr>
            <w:tcW w:w="1380" w:type="dxa"/>
            <w:vAlign w:val="bottom"/>
            <w:tcBorders>
              <w:top w:val="single" w:sz="8" w:color="CCEEFF"/>
            </w:tcBorders>
            <w:gridSpan w:val="3"/>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530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530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8"/>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Risk Factors</w:t>
              </w:r>
            </w:hyperlink>
          </w:p>
        </w:tc>
        <w:tc>
          <w:tcPr>
            <w:tcW w:w="8760" w:type="dxa"/>
            <w:vAlign w:val="bottom"/>
            <w:gridSpan w:val="14"/>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7340" w:type="dxa"/>
            <w:vAlign w:val="bottom"/>
            <w:gridSpan w:val="10"/>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7340" w:type="dxa"/>
            <w:vAlign w:val="bottom"/>
            <w:gridSpan w:val="10"/>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360" w:type="dxa"/>
            <w:vAlign w:val="bottom"/>
            <w:gridSpan w:val="13"/>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January 31, 2018</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July 31, 2017</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January 31, 2017</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235,460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117,389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140,909</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23,566</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10,273</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17,132</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85,428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186,913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80,758</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8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97,480</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84,814</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93,396</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39,075</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33,681</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41,519</w:t>
            </w:r>
          </w:p>
        </w:tc>
      </w:tr>
      <w:tr>
        <w:trPr>
          <w:trHeight w:val="237"/>
        </w:trPr>
        <w:tc>
          <w:tcPr>
            <w:tcW w:w="5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481,009</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433,070</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373,714</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1,702,213</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1,714,154</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1,694,746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8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103,212</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103,405</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112,633</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1,533,980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1,519,743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1,469,756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293,149</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294,932</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289,208</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43,243</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45,414</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42,410</w:t>
            </w:r>
          </w:p>
        </w:tc>
      </w:tr>
      <w:tr>
        <w:trPr>
          <w:trHeight w:val="237"/>
        </w:trPr>
        <w:tc>
          <w:tcPr>
            <w:tcW w:w="5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4,156,806</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4,110,718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3,982,467</w:t>
            </w:r>
          </w:p>
        </w:tc>
      </w:tr>
      <w:tr>
        <w:trPr>
          <w:trHeight w:val="67"/>
        </w:trPr>
        <w:tc>
          <w:tcPr>
            <w:tcW w:w="59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 (Note 6)</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588,563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467,669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541,335</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32,497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98,491</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51,056</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 (Note 4)</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38,433</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38,397</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38,379</w:t>
            </w:r>
          </w:p>
        </w:tc>
      </w:tr>
      <w:tr>
        <w:trPr>
          <w:trHeight w:val="237"/>
        </w:trPr>
        <w:tc>
          <w:tcPr>
            <w:tcW w:w="5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659,493</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604,557</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630,770</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(Note 4)</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1,182,349</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1,234,024</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1,216,721</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38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289,793</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301,736</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271,935</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 (Note 2)</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144,393</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171,442</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182,472</w:t>
            </w:r>
          </w:p>
        </w:tc>
      </w:tr>
      <w:tr>
        <w:trPr>
          <w:trHeight w:val="237"/>
        </w:trPr>
        <w:tc>
          <w:tcPr>
            <w:tcW w:w="5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2,276,028</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2,311,759</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2,301,898</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Preferred stock, $0.01 par value, 25,000 shares authorized, no shares issued</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280"/>
              <w:spacing w:after="0"/>
              <w:rPr>
                <w:sz w:val="20"/>
                <w:szCs w:val="20"/>
                <w:color w:val="auto"/>
              </w:rPr>
            </w:pPr>
            <w:r>
              <w:rPr>
                <w:rFonts w:ascii="Arial" w:cs="Arial" w:eastAsia="Arial" w:hAnsi="Arial"/>
                <w:sz w:val="18"/>
                <w:szCs w:val="18"/>
                <w:color w:val="auto"/>
                <w:w w:val="92"/>
              </w:rPr>
              <w:t>Common stock, $0.01 par value, 100,000 shares authorized, 45,857, 45,448</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920" w:type="dxa"/>
            <w:vAlign w:val="bottom"/>
          </w:tcPr>
          <w:p>
            <w:pPr>
              <w:ind w:left="280"/>
              <w:spacing w:after="0"/>
              <w:rPr>
                <w:sz w:val="20"/>
                <w:szCs w:val="20"/>
                <w:color w:val="auto"/>
              </w:rPr>
            </w:pPr>
            <w:r>
              <w:rPr>
                <w:rFonts w:ascii="Arial" w:cs="Arial" w:eastAsia="Arial" w:hAnsi="Arial"/>
                <w:sz w:val="18"/>
                <w:szCs w:val="18"/>
                <w:color w:val="auto"/>
              </w:rPr>
              <w:t>and 45,419 shares issued, respectively</w:t>
            </w:r>
          </w:p>
        </w:tc>
        <w:tc>
          <w:tcPr>
            <w:tcW w:w="38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458</w:t>
            </w:r>
          </w:p>
        </w:tc>
        <w:tc>
          <w:tcPr>
            <w:tcW w:w="36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454</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Exchangeable shares, $0.01 par value, 60, 69 and 73 shares issued and</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5)</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1,160,243</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1,222,510</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1,214,064</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58,750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44,395</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673,065</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550,985</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511,487</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5,436 shares (Note 10)</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(247,189)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(247,189)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(247,189)</w:t>
            </w:r>
          </w:p>
        </w:tc>
      </w:tr>
      <w:tr>
        <w:trPr>
          <w:trHeight w:val="237"/>
        </w:trPr>
        <w:tc>
          <w:tcPr>
            <w:tcW w:w="5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1,645,328</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1,571,156</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1,477,903</w:t>
            </w:r>
          </w:p>
        </w:tc>
      </w:tr>
      <w:tr>
        <w:trPr>
          <w:trHeight w:val="27"/>
        </w:trPr>
        <w:tc>
          <w:tcPr>
            <w:tcW w:w="5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235,450</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227,803</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202,666</w:t>
            </w:r>
          </w:p>
        </w:tc>
      </w:tr>
      <w:tr>
        <w:trPr>
          <w:trHeight w:val="237"/>
        </w:trPr>
        <w:tc>
          <w:tcPr>
            <w:tcW w:w="5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1,880,778</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1,798,959</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1,680,569</w:t>
            </w:r>
          </w:p>
        </w:tc>
      </w:tr>
      <w:tr>
        <w:trPr>
          <w:trHeight w:val="27"/>
        </w:trPr>
        <w:tc>
          <w:tcPr>
            <w:tcW w:w="5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4,156,806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4,110,718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3,982,467</w:t>
            </w:r>
          </w:p>
        </w:tc>
      </w:tr>
      <w:tr>
        <w:trPr>
          <w:trHeight w:val="20"/>
        </w:trPr>
        <w:tc>
          <w:tcPr>
            <w:tcW w:w="5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92"/>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January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January 31,</w:t>
            </w:r>
          </w:p>
        </w:tc>
        <w:tc>
          <w:tcPr>
            <w:tcW w:w="86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594,372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570,640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737,720</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685,326</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140,069</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216,935</w:t>
            </w: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212,826</w:t>
            </w:r>
          </w:p>
        </w:tc>
      </w:tr>
      <w:tr>
        <w:trPr>
          <w:trHeight w:val="237"/>
        </w:trPr>
        <w:tc>
          <w:tcPr>
            <w:tcW w:w="5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734,441</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719,983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954,655</w:t>
            </w:r>
          </w:p>
        </w:tc>
        <w:tc>
          <w:tcPr>
            <w:tcW w:w="6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898,152</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134</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770</w:t>
            </w: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5,311</w:t>
            </w:r>
          </w:p>
        </w:tc>
      </w:tr>
      <w:tr>
        <w:trPr>
          <w:trHeight w:val="237"/>
        </w:trPr>
        <w:tc>
          <w:tcPr>
            <w:tcW w:w="5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734,575</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725,198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955,425</w:t>
            </w:r>
          </w:p>
        </w:tc>
        <w:tc>
          <w:tcPr>
            <w:tcW w:w="6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903,463</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Operating expense (exclusive of depreciation and amortization shown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297,503</w:t>
            </w: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478,779</w:t>
            </w:r>
          </w:p>
        </w:tc>
        <w:tc>
          <w:tcPr>
            <w:tcW w:w="6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435,540</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 cost of products sold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57,237</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92,916</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89,749</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70,736</w:t>
            </w: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128,599</w:t>
            </w:r>
          </w:p>
        </w:tc>
        <w:tc>
          <w:tcPr>
            <w:tcW w:w="6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121,966</w:t>
            </w:r>
          </w:p>
        </w:tc>
      </w:tr>
      <w:tr>
        <w:trPr>
          <w:trHeight w:val="27"/>
        </w:trPr>
        <w:tc>
          <w:tcPr>
            <w:tcW w:w="5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425,476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700,294</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647,255</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1,207</w:t>
            </w: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2,898</w:t>
            </w:r>
          </w:p>
        </w:tc>
        <w:tc>
          <w:tcPr>
            <w:tcW w:w="6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7,326</w:t>
            </w:r>
          </w:p>
        </w:tc>
      </w:tr>
      <w:tr>
        <w:trPr>
          <w:trHeight w:val="27"/>
        </w:trPr>
        <w:tc>
          <w:tcPr>
            <w:tcW w:w="5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426,683</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420,763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703,192</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654,581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(51,404)</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(100,028)</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(90,207)</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515</w:t>
            </w:r>
          </w:p>
        </w:tc>
        <w:tc>
          <w:tcPr>
            <w:tcW w:w="5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515</w:t>
            </w:r>
          </w:p>
        </w:tc>
        <w:tc>
          <w:tcPr>
            <w:tcW w:w="6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6,466</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Change in estimated fair value of contingent consideration (Note 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Gain (loss) on disposal of fixed assets and other, net</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538</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1,105</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7"/>
        </w:trPr>
        <w:tc>
          <w:tcPr>
            <w:tcW w:w="5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257,541</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153,825</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161,760</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Mountain equity investment (loss) income,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487</w:t>
            </w:r>
          </w:p>
        </w:tc>
        <w:tc>
          <w:tcPr>
            <w:tcW w:w="6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989</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397</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780</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5,671</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Foreign currency gain on intercompany loans (Note 4)</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10,337</w:t>
            </w: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2,991</w:t>
            </w:r>
          </w:p>
        </w:tc>
        <w:tc>
          <w:tcPr>
            <w:tcW w:w="6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5,166</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(31,147)</w:t>
            </w: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(26,178)</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252,267</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244,535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126,936</w:t>
            </w:r>
          </w:p>
        </w:tc>
        <w:tc>
          <w:tcPr>
            <w:tcW w:w="6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147,408</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from income taxes (Note 2)</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89,810</w:t>
            </w: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(51,298)</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248,673</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159,728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216,746</w:t>
            </w:r>
          </w:p>
        </w:tc>
        <w:tc>
          <w:tcPr>
            <w:tcW w:w="6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96,110</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(9,518)</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235,691</w:t>
            </w:r>
          </w:p>
        </w:tc>
        <w:tc>
          <w:tcPr>
            <w:tcW w:w="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149,179</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207,306</w:t>
            </w:r>
          </w:p>
        </w:tc>
        <w:tc>
          <w:tcPr>
            <w:tcW w:w="6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86,592</w:t>
            </w:r>
          </w:p>
        </w:tc>
      </w:tr>
      <w:tr>
        <w:trPr>
          <w:trHeight w:val="67"/>
        </w:trPr>
        <w:tc>
          <w:tcPr>
            <w:tcW w:w="55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3):</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Basic net income per share attributable to Vail Resorts,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5.82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5.14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net income per share attributable to Vail Resorts, Inc.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4.97</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1.053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2.106</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76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248,673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159,728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216,746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96,110</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26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65,008</w:t>
            </w:r>
          </w:p>
        </w:tc>
        <w:tc>
          <w:tcPr>
            <w:tcW w:w="4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25,650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19,603</w:t>
            </w:r>
          </w:p>
        </w:tc>
        <w:tc>
          <w:tcPr>
            <w:tcW w:w="4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1,238</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313,681</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185,378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236,349</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97,348</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(29,831)</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(14,688)</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(10,120)</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283,850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168,049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221,661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87,228</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796"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140" w:type="dxa"/>
            <w:vAlign w:val="bottom"/>
          </w:tcPr>
          <w:p>
            <w:pPr>
              <w:spacing w:after="0"/>
              <w:rPr>
                <w:sz w:val="11"/>
                <w:szCs w:val="11"/>
                <w:color w:val="auto"/>
              </w:rPr>
            </w:pPr>
          </w:p>
        </w:tc>
        <w:tc>
          <w:tcPr>
            <w:tcW w:w="1020" w:type="dxa"/>
            <w:vAlign w:val="bottom"/>
          </w:tcPr>
          <w:p>
            <w:pPr>
              <w:jc w:val="right"/>
              <w:ind w:right="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jc w:val="right"/>
              <w:ind w:right="60"/>
              <w:spacing w:after="0" w:line="135" w:lineRule="exact"/>
              <w:rPr>
                <w:sz w:val="20"/>
                <w:szCs w:val="20"/>
                <w:color w:val="auto"/>
              </w:rPr>
            </w:pPr>
            <w:r>
              <w:rPr>
                <w:rFonts w:ascii="Arial" w:cs="Arial" w:eastAsia="Arial" w:hAnsi="Arial"/>
                <w:sz w:val="13"/>
                <w:szCs w:val="13"/>
                <w:b w:val="1"/>
                <w:bCs w:val="1"/>
                <w:color w:val="auto"/>
              </w:rPr>
              <w:t>Retained</w:t>
            </w:r>
          </w:p>
        </w:tc>
        <w:tc>
          <w:tcPr>
            <w:tcW w:w="800" w:type="dxa"/>
            <w:vAlign w:val="bottom"/>
          </w:tcPr>
          <w:p>
            <w:pPr>
              <w:jc w:val="right"/>
              <w:ind w:right="8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9"/>
              </w:rPr>
              <w:t>in Capital</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2"/>
              </w:rPr>
              <w:t>(Loss) Income</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Earnings</w:t>
            </w: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4"/>
        </w:trPr>
        <w:tc>
          <w:tcPr>
            <w:tcW w:w="3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6"/>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416</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635,986</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$ 486,667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$(246,979)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874,540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888,466</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86,592</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86,592</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9,518</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96,110</w:t>
            </w: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636</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636</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602</w:t>
            </w: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1,238</w:t>
            </w: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87,228</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97,348</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9,151</w:t>
            </w:r>
          </w:p>
        </w:tc>
        <w:tc>
          <w:tcPr>
            <w:tcW w:w="1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9,151</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9,151</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for acquisition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574,608</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574,645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574,645</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Exchangeable shares transfers</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employee taxes</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(12,975)</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(12,975)</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Tax benefit from share award plans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7,296</w:t>
            </w:r>
          </w:p>
        </w:tc>
        <w:tc>
          <w:tcPr>
            <w:tcW w:w="1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7,296</w:t>
            </w: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7,296</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10)</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Dividends (Note 3)</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(61,772)</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(61,772)</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(61,772)</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noncontrolling interest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182,579</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182,579</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(3,959)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(3,959)</w:t>
            </w:r>
          </w:p>
        </w:tc>
      </w:tr>
      <w:tr>
        <w:trPr>
          <w:trHeight w:val="33"/>
        </w:trPr>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1,214,064</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$ 511,487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1,477,903</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202,666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1,680,569</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1,222,510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44,395</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$ 550,985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1,571,156</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227,803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1,798,959</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207,306</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207,306</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9,440</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216,746</w:t>
            </w: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14,355</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14,355</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5,248</w:t>
            </w: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19,603</w:t>
            </w: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221,661</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14,688</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236,349</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9,412</w:t>
            </w:r>
          </w:p>
        </w:tc>
        <w:tc>
          <w:tcPr>
            <w:tcW w:w="1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9,412</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9,412</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Measurement period adjustment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20"/>
        </w:trPr>
        <w:tc>
          <w:tcPr>
            <w:tcW w:w="338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(71,679)</w:t>
            </w:r>
          </w:p>
        </w:tc>
        <w:tc>
          <w:tcPr>
            <w:tcW w:w="14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(71,675)</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(71,675)</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3)</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(85,226)</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(85,226)</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(85,226)</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(5,265)</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(5,265)</w:t>
            </w:r>
          </w:p>
        </w:tc>
      </w:tr>
      <w:tr>
        <w:trPr>
          <w:trHeight w:val="33"/>
        </w:trPr>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458</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1,160,243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58,750</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$ 673,065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1,645,328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235,450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1,880,778</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216,746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96,110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100,028</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90,207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real estate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9,412</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9,151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(36,728)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51,298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gain on intercompany loans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non-cash income, net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(3,967)</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(7,678)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(12,843)</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(4,695)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103,691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68,554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(11,541)</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73,148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52,240</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43,333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 - excess tax benefit from share award exercises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(53,081)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Income taxes payable - other</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(12,623)</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(43,407)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37"/>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420,905</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329,893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(87,367)</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(93,436)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(512,348)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Cash received from the sale of real property</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515</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7,692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6,443</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6,271</w:t>
            </w:r>
          </w:p>
        </w:tc>
      </w:tr>
      <w:tr>
        <w:trPr>
          <w:trHeight w:val="237"/>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(81,765)</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(591,821)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Proceeds from borrowings under Vail Holdings Credit Agreement</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95,000</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619,375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under Whistler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11,920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Repayments of borrowings under Vail Holdings Credit Agreement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(133,750)</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(194,375)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under Whistler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(29,140)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Employee taxes paid for share award exercises</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(71,675)</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(12,975)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paid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(85,226)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financing activities, net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(9,277)</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401</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(222,148)</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335,310</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1,079</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118,071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117,389</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67,897</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End of period</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235,460</w:t>
            </w:r>
          </w:p>
        </w:tc>
        <w:tc>
          <w:tcPr>
            <w:tcW w:w="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140,909</w:t>
            </w:r>
          </w:p>
        </w:tc>
      </w:tr>
      <w:tr>
        <w:trPr>
          <w:trHeight w:val="67"/>
        </w:trPr>
        <w:tc>
          <w:tcPr>
            <w:tcW w:w="77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170"/>
        </w:trPr>
        <w:tc>
          <w:tcPr>
            <w:tcW w:w="7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center"/>
        <w:ind w:left="420" w:right="100"/>
        <w:spacing w:after="0" w:line="309" w:lineRule="auto"/>
        <w:rPr>
          <w:sz w:val="20"/>
          <w:szCs w:val="20"/>
          <w:color w:val="auto"/>
        </w:rPr>
      </w:pPr>
      <w:r>
        <w:rPr>
          <w:rFonts w:ascii="Arial" w:cs="Arial" w:eastAsia="Arial" w:hAnsi="Arial"/>
          <w:sz w:val="18"/>
          <w:szCs w:val="18"/>
          <w:color w:val="auto"/>
        </w:rPr>
        <w:t>Accrued capital expenditures                                                           $           12,097   $            11,102 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eleven world-class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the Mountain segment includes ancillary services, primarily including ski school, dining and retail/rental operations, and for Perisher including lodging and transportation operations. The resorts located in the United States (“U.S.”), except for Northstar, Park City, Stowe and the Urban ski areas,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 Stowe operates on land owned by the Company as well as land it leases from the State of Vermont.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 from June to early October.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2017.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2017 was derived from audited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Condensed Statements of Operations for the three and six months ended January 31, 2017 have been revised to separately disclose revenues and costs from retail and dining operations, as well as general and administrative costs. Retail and dining revenues were previously included within Mountain and Lodging revenues, and the related costs were previously included in Mountain and Lodging operating costs. Management considers the change in presentation of its Consolidated Condensed Statements of Operations to be immaterial to the periods presented. There is no change to previously reported total net revenue, operating expense, income from operations, net income attributable to Vail Resorts, Inc., per share amounts or segment results for either period.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Fair Value Instruments— </w:t>
      </w:r>
      <w:r>
        <w:rPr>
          <w:rFonts w:ascii="Arial" w:cs="Arial" w:eastAsia="Arial" w:hAnsi="Arial"/>
          <w:sz w:val="18"/>
          <w:szCs w:val="18"/>
          <w:color w:val="auto"/>
        </w:rPr>
        <w:t>The recorded amounts for cash and cash equivalents, receivables, other current assets, and accounts payable and accrued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short-term nature. The fair value of amounts outstanding under the Vail Holdings Credit Agreement revolver and term loan, Whistler Credit Agreement revolver and the Employee Housing Bonds (all as defined in Note 4, Long-Term Debt) approximate book value due to the variable nature of the interest rate, which is a market rate, associated with the debt.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On December 22, 2017, the U.S. government enacted comprehensive tax legislation commonly referred to as the Tax Cuts and Jobs Act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Act”). The Tax Act includes broad and complex changes to the U.S. tax code that impacted the Company’s accounting and reporting for income taxes during the three and six months ended January 31, 2018. These changes primarily consist of the following:</w:t>
      </w:r>
    </w:p>
    <w:p>
      <w:pPr>
        <w:spacing w:after="0" w:line="46"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reduction in the U.S. federal corporate income tax rate from 35% to 21%, effective January 1, 2018, which the Company expects will result in a fiscal 2018 U.S. blended federal statutory income tax rate for the Company of approximately 27%, and then will be reduced to 21% in fiscal 2019 and thereafter.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remeasurement of U.S. net deferred tax liabilities as of the effective date utilizing the new U.S. federal corporate income tax rate of 21%.</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territorial tax regime resulting in a one-time transitional repatriation tax on unremitted foreign earnings (“Transition Tax”), which may be paid over an eight-year period.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elimination of the domestic production activities deduction as well as revised limitations on certain business expenses and executive compensation deductions.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Securities and Exchange Commission (“SEC”) staff issued Staff Accounting Bulletin No. 118 (“SAB 118”) to provide guidance that companies should apply each reporting period related to the income tax effects of the Tax Act. SAB 118 provides that companies (i) should record the effects of the changes from the Tax Act for which the accounting is complete (not provisional), (ii) should record provisional amounts for the effects of the changes from the Tax Act for which the accounting is not complete, and for which reasonable estimates can be determined, in the period they are identified, and (iii) should not record provisional amounts if reasonable estimates cannot be made for the effects of the changes from the Tax Act, and should continue to apply guidance based on the tax law in effect prior to the enactment on December 22, 2017. In addition, SAB 118 establishes a one-year measurement period (through December 22, 2018) where a provisional amount could be subject to adjustment, and requires certain qualitative and quantitative disclosures related to provisional amounts and accounting during the measurement period.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308" w:lineRule="auto"/>
        <w:rPr>
          <w:sz w:val="20"/>
          <w:szCs w:val="20"/>
          <w:color w:val="auto"/>
        </w:rPr>
      </w:pPr>
      <w:r>
        <w:rPr>
          <w:rFonts w:ascii="Arial" w:cs="Arial" w:eastAsia="Arial" w:hAnsi="Arial"/>
          <w:sz w:val="17"/>
          <w:szCs w:val="17"/>
          <w:color w:val="auto"/>
        </w:rPr>
        <w:t>As a result of the Tax Act, the Company recorded a one-time, provisional net tax benefit of approximately $64.6 million on its Consolidated Condensed Statements of Operations for the three and six months ended January 31, 2018 (or approximately $1.55 per diluted share), as described below.</w:t>
      </w:r>
    </w:p>
    <w:p>
      <w:pPr>
        <w:spacing w:after="0" w:line="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reduction in the U.S. corporate tax rate, the Company remeasured its U.S. net deferred tax liabilities as of the effective date and recognized an estimated provisional benefit of approximately $71.0 million, as a discrete item in the (provision) benefit from income taxes for the three and six months ended January 31, 2018, which is a reduction in net deferred tax liabilities in the accompanying Consolidated Condensed Balance Sheet as of January 31, 2018. The measurement of U.S. net deferred tax liabilities is provisional as the final remeasurement cannot be determined until the underlying temporary differences are known, rather than estimated.</w:t>
      </w:r>
    </w:p>
    <w:p>
      <w:pPr>
        <w:spacing w:after="0" w:line="5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also recorded an estimated provisional charge for the Transition Tax of approximately $6.4 million as a discrete item in the (provision) benefit from income taxes for the three and six months ended January 31, 2018. The Transition Tax recorded is provisional pending the finalization of earnings estimates of the Company’s foreign subsidiaries.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continuing to analyze the impact of the Tax Act. Adjustments to the provisional charges will be recorded as discrete items in the (provision) benefit from income taxes in the period in which those adjustments become reasonably estimable and/or the accounting is complete. Such adjustments may result from, among other things, future guidance, interpretations and regulatory changes from the Internal Revenue Service, the SEC, the FASB and/or various tax jurisdictions. The Company will complete its analysis no later than December 22, 2018 (the end of the one-year measurement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The new guidance requires companies to record all excess tax benefits and tax deficiencies as income tax expense or benefit in the income statement when the awards vest or are settled, as applicable, rather than within additional paid in capital which was required under the previous guidance. The guidance also requires companies to present excess tax benefits as an operating activity and cash paid to a taxing authority to satisfy employee statutory withholding as a financing activity on the statement of cash flows. Additionally, the guidance allows companies to make a policy election to account for forfeitures either upon occurrence or by estimating forfeitures. The Company adopted this standard on August 1, 2017, and is prospectively recording excess tax benefits and deficiencies within the provision or benefit for income taxes on its Consolidated Condensed Statements of Operations when stock-based compensation awards vest or are exercised. The Company expects this will increase volatility of the provision or benefit for income taxes as the amount of excess tax benefits or deficiencies from stock-based compensation awards are dependent on the Company’s stock price at the date the awards vest or are exercised. As a result of adopting this provision of the standard, the Company recorded $1.3 million and $53.1 million, respectively, of excess tax benefits within (provision) benefit from income taxes on its Consolidated Condensed Statements of Operations for the three and six months ended January 31, 2018, (or approximately $0.03 and $1.27, respectively, per diluted share), resulting from vesting or exercises of equity awards during the respective periods. As of August 1, 2017, the Company prospectively presented excess tax benefits as operating activities on its Consolidated Condensed Statement of Cash Flows for the six months ended January 31, 2018. Additionally, the Company has elected to record actual forfeitures for recording stock-based compensation expense when they occur, rather than estimate expected forfeitures, which did not have a material impact to the Consolidated Condensed Statements of Operations for both the three and six months ended January 31, 2018. In accordance with the disclosure provisions of the new guidance, the Company retrospectively adopted the new presentation. Cash paid to taxing authorities on an employee’s behalf was changed to be classified as a financing activity in the Consolidated Condensed Statements of Cash Flows, which resulted in a decrease of approximately $13.0 million to cash provided by financing activities with a corresponding increase to cash provided by operating activities for the six months ended January 31, 2017, as shown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jc w:val="center"/>
              <w:ind w:right="255"/>
              <w:spacing w:after="0"/>
              <w:rPr>
                <w:sz w:val="20"/>
                <w:szCs w:val="20"/>
                <w:color w:val="auto"/>
              </w:rPr>
            </w:pPr>
            <w:r>
              <w:rPr>
                <w:rFonts w:ascii="Arial" w:cs="Arial" w:eastAsia="Arial" w:hAnsi="Arial"/>
                <w:sz w:val="14"/>
                <w:szCs w:val="14"/>
                <w:b w:val="1"/>
                <w:bCs w:val="1"/>
                <w:color w:val="auto"/>
                <w:w w:val="93"/>
              </w:rPr>
              <w:t>Six Months Ended January 31, 2017</w:t>
            </w:r>
          </w:p>
        </w:tc>
      </w:tr>
      <w:tr>
        <w:trPr>
          <w:trHeight w:val="152"/>
        </w:trPr>
        <w:tc>
          <w:tcPr>
            <w:tcW w:w="4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40" w:type="dxa"/>
            <w:vAlign w:val="bottom"/>
            <w:gridSpan w:val="2"/>
          </w:tcPr>
          <w:p>
            <w:pPr>
              <w:jc w:val="right"/>
              <w:ind w:right="33"/>
              <w:spacing w:after="0" w:line="153" w:lineRule="exact"/>
              <w:rPr>
                <w:sz w:val="20"/>
                <w:szCs w:val="20"/>
                <w:color w:val="auto"/>
              </w:rPr>
            </w:pPr>
            <w:r>
              <w:rPr>
                <w:rFonts w:ascii="Arial" w:cs="Arial" w:eastAsia="Arial" w:hAnsi="Arial"/>
                <w:sz w:val="14"/>
                <w:szCs w:val="14"/>
                <w:b w:val="1"/>
                <w:bCs w:val="1"/>
                <w:color w:val="auto"/>
                <w:w w:val="95"/>
              </w:rPr>
              <w:t>Previously Reported</w:t>
            </w:r>
          </w:p>
        </w:tc>
        <w:tc>
          <w:tcPr>
            <w:tcW w:w="240" w:type="dxa"/>
            <w:vAlign w:val="bottom"/>
          </w:tcPr>
          <w:p>
            <w:pPr>
              <w:spacing w:after="0"/>
              <w:rPr>
                <w:sz w:val="13"/>
                <w:szCs w:val="13"/>
                <w:color w:val="auto"/>
              </w:rPr>
            </w:pPr>
          </w:p>
        </w:tc>
        <w:tc>
          <w:tcPr>
            <w:tcW w:w="124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Tax Payments</w:t>
            </w:r>
          </w:p>
        </w:tc>
        <w:tc>
          <w:tcPr>
            <w:tcW w:w="18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0"/>
              </w:rPr>
              <w:t>Revised Reported</w:t>
            </w:r>
          </w:p>
        </w:tc>
      </w:tr>
      <w:tr>
        <w:trPr>
          <w:trHeight w:val="192"/>
        </w:trPr>
        <w:tc>
          <w:tcPr>
            <w:tcW w:w="49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5"/>
              </w:rPr>
              <w:t>(Previous Guidance)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(New Guidance)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25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316,918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12,975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329,893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Cash flows used in investing activities (no change)</w:t>
            </w:r>
          </w:p>
        </w:tc>
        <w:tc>
          <w:tcPr>
            <w:tcW w:w="2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(591,821)</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(591,821)</w:t>
            </w:r>
          </w:p>
        </w:tc>
      </w:tr>
      <w:tr>
        <w:trPr>
          <w:trHeight w:val="27"/>
        </w:trPr>
        <w:tc>
          <w:tcPr>
            <w:tcW w:w="4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financing activities</w:t>
            </w:r>
          </w:p>
        </w:tc>
        <w:tc>
          <w:tcPr>
            <w:tcW w:w="2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348,285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(12,975)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335,310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Effect of exchange rate changes (no change)</w:t>
            </w:r>
          </w:p>
        </w:tc>
        <w:tc>
          <w:tcPr>
            <w:tcW w:w="2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4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 (no change)</w:t>
            </w:r>
          </w:p>
        </w:tc>
        <w:tc>
          <w:tcPr>
            <w:tcW w:w="25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73,012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73,012</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4920" w:type="dxa"/>
            <w:vAlign w:val="bottom"/>
          </w:tcPr>
          <w:p>
            <w:pPr>
              <w:spacing w:after="0"/>
              <w:rPr>
                <w:sz w:val="24"/>
                <w:szCs w:val="24"/>
                <w:color w:val="auto"/>
              </w:rPr>
            </w:pPr>
          </w:p>
        </w:tc>
        <w:tc>
          <w:tcPr>
            <w:tcW w:w="21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(Topic 606),” which supersedes the revenue recognition requirements in Accounting Standards Codification 605, “Revenue Recognition.”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has issued several amendments, which do not change the core principle of the guidance and are intended to clarify and improve understanding of certain topics included within the revenue standard. This standard will be effective for the first interim period within fiscal years beginning after December 15, 2017 (the Company’s first quarter of fiscal 2019), using one of two retrospective application methods. The Company will not early adopt this standard and is evaluating the impacts, if any, the adoption of this accounting standard will have on the Company’s financial position or results of operations and cash flows and related disclosures and is determining the appropriate transition method. The Company has completed the review of revenue streams consisting of (i) season pass sales, (ii) non-season pass lift ticket sales, (iii) retail/rental sales and (iv) dining sales and determined the recognition and measurement shall remain unchanged under the revised standard as compared to the prior guidance. The Company is continuing to evaluate its remaining revenue streams as well as disclosure requirements of the new standard in advance of the required date of adoption.</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 and has selected an information system application that will centralize the Company’s lease information and be utilized for accounting under the new standard.</w:t>
      </w:r>
    </w:p>
    <w:p>
      <w:pPr>
        <w:spacing w:after="0" w:line="17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acquisition of Whistler Blackcomb in October 2016 (see Note 5,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Presented below is basic and diluted EPS for the three months ended January 31, 2018 and 2017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w w:val="99"/>
              </w:rPr>
              <w:t>Three Months Ended January 31,</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2018</w:t>
            </w: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235,691</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235,691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149,179</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149,179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40,414</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40,414</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39,888</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162</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40,475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40,050</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1,119</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1,057</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41,594</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40,050</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41,107</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5.67</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5,000 and 2,000 for the three months ended January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six months ended January 31, 2018 and 2017 (in thousands, except per share amounts):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Six Months Ended January 31,</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2017</w:t>
            </w:r>
          </w:p>
        </w:tc>
        <w:tc>
          <w:tcPr>
            <w:tcW w:w="1080" w:type="dxa"/>
            <w:vAlign w:val="bottom"/>
            <w:tcBorders>
              <w:bottom w:val="single" w:sz="8" w:color="auto"/>
            </w:tcBorders>
          </w:tcPr>
          <w:p>
            <w:pPr>
              <w:spacing w:after="0"/>
              <w:rPr>
                <w:sz w:val="22"/>
                <w:szCs w:val="22"/>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207,306</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207,306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86,592</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86,592</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40,281</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40,281</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38,327</w:t>
            </w:r>
          </w:p>
        </w:tc>
      </w:tr>
      <w:tr>
        <w:trPr>
          <w:trHeight w:val="243"/>
        </w:trPr>
        <w:tc>
          <w:tcPr>
            <w:tcW w:w="5580" w:type="dxa"/>
            <w:vAlign w:val="bottom"/>
          </w:tcPr>
          <w:p>
            <w:pPr>
              <w:ind w:left="26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115</w:t>
            </w:r>
          </w:p>
        </w:tc>
      </w:tr>
      <w:tr>
        <w:trPr>
          <w:trHeight w:val="27"/>
        </w:trPr>
        <w:tc>
          <w:tcPr>
            <w:tcW w:w="5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40,343</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38,442</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1,346</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1,087</w:t>
            </w:r>
          </w:p>
        </w:tc>
      </w:tr>
      <w:tr>
        <w:trPr>
          <w:trHeight w:val="27"/>
        </w:trPr>
        <w:tc>
          <w:tcPr>
            <w:tcW w:w="5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41,689</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39,529</w:t>
            </w:r>
          </w:p>
        </w:tc>
      </w:tr>
      <w:tr>
        <w:trPr>
          <w:trHeight w:val="237"/>
        </w:trPr>
        <w:tc>
          <w:tcPr>
            <w:tcW w:w="5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4.97</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w:t>
            </w:r>
          </w:p>
        </w:tc>
      </w:tr>
      <w:tr>
        <w:trPr>
          <w:trHeight w:val="27"/>
        </w:trPr>
        <w:tc>
          <w:tcPr>
            <w:tcW w:w="5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 based awards excluded from the calculation of diluted EPS because the effect of their inclusion would have been anti-dilutive totaled approximately 5,000 and 1,000 for the six months ended January 31,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and six months ended January 31, 2018, the Company paid cash dividends of $1.053 and $2.106 per share ($42.6 million and $85.2 million, respectively, in the aggregate). During the three and six months ended January 31, 2017, the Company paid cash dividends of $0.81 and $1.62 per share ($32.4 million and $61.8 million, respectively, in the aggregate). On March 7, 2018, the Company’s Board of Directors declared a quarterly cash dividend of $1.47 per share, for Vail Shares, payable on April 11, 2018 to stockholders of record as of March 27, 2018. Additionally, a Canadian dollar equivalent dividend on the Exchangeco Shares will be payable on April 11, 2018 to the shareholders of record on March 27,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January 31, 2018, July 31, 2017 and January 31, 2017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Maturity</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January 31, 2018</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July 31, 2017</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721,875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740,625</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2000" w:type="dxa"/>
            <w:vAlign w:val="bottom"/>
          </w:tcPr>
          <w:p>
            <w:pPr>
              <w:jc w:val="center"/>
              <w:ind w:left="553"/>
              <w:spacing w:after="0"/>
              <w:rPr>
                <w:sz w:val="20"/>
                <w:szCs w:val="20"/>
                <w:color w:val="auto"/>
              </w:rPr>
            </w:pPr>
            <w:r>
              <w:rPr>
                <w:rFonts w:ascii="Arial" w:cs="Arial" w:eastAsia="Arial" w:hAnsi="Arial"/>
                <w:sz w:val="18"/>
                <w:szCs w:val="18"/>
                <w:color w:val="auto"/>
                <w:w w:val="89"/>
              </w:rPr>
              <w:t>2021</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97,571</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113,119</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129,966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52,575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2063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331,647</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328,786</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325,942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2024-2028</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9,590</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10,166</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10,468</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1,224,508</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1,276,521</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1,259,576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3,726</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4,100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4,476</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(c)</w:t>
            </w:r>
          </w:p>
        </w:tc>
        <w:tc>
          <w:tcPr>
            <w:tcW w:w="2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38,433</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38,397</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38,379</w:t>
            </w:r>
          </w:p>
        </w:tc>
      </w:tr>
      <w:tr>
        <w:trPr>
          <w:trHeight w:val="237"/>
        </w:trPr>
        <w:tc>
          <w:tcPr>
            <w:tcW w:w="42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2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1,182,349</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1,234,024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1,216,721</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6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October 14, 2016, in order to finance the cash portion of the consideration and payment of associated fees and expenses of the Whistler Blackcomb acquisition (see Note 5, Acquisitions), the Company’s wholly owned subsidiary, Vail Holdings, Inc. (“VHI”), entered into the Second Amendment to the Seventh Amended and Restated Credit Agreement, dated as of May 1, 2015 (the “Vail Holdings Credit Agreement”), with Bank of America, N.A., as administrative agent, and other lenders named therein, through which these lenders provided an additional $509.4 million in incremental term loans and agreed, on behalf of all lenders, to extend the maturity date for the outstanding term loans and revolver facility under the Vail Holdings Credit Agreement to October 14, 2021 (the “Amendment”). The Vail Holdings Credit Agreement consists of a $400.0 million revolving credit facility and a $750.0 million term loan facility. The other material terms of the Vail Holdings Credit Agreement were not altered by the Amendment. Borrowings under the Vail Holdings Credit Agreement, including the term loan facility, bear interest annually at the rate of LIBOR plus 1.25% (2.82%, as of January 31, 2018), and interest payments are due monthly. Additionally, the term loan facility is subject to quarterly principal payments of approximately $9.4 million, which began on January 31, 2017. Final payment of the remaining principal outstanding plus accrued and unpaid interest is due upon maturity in October 2021. The Vail Holdings Credit Agreement provides for affirmative and negative covenants that restrict, among other things, the Company’s ability to incur indebtedness, dispose of assets, make capital expenditures, make distributions and make investments.</w:t>
      </w:r>
    </w:p>
    <w:p>
      <w:pPr>
        <w:spacing w:after="0" w:line="25" w:lineRule="exact"/>
        <w:rPr>
          <w:rFonts w:ascii="Arial" w:cs="Arial" w:eastAsia="Arial" w:hAnsi="Arial"/>
          <w:sz w:val="17"/>
          <w:szCs w:val="17"/>
          <w:color w:val="auto"/>
        </w:rPr>
      </w:pPr>
    </w:p>
    <w:p>
      <w:pPr>
        <w:jc w:val="both"/>
        <w:ind w:left="540" w:hanging="316"/>
        <w:spacing w:after="0" w:line="284"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WB Partnerships (as defined in Note 5,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and during the six months ended January 31, 2018, the Company exercised its right under the Whistler Credit Agreement, with the consent of the lender parties thereto, to extend the maturity date for the Whistler Credit Agreement from November 12, 2021 to November 12, 2022. No other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January 31, 2018,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January 31, 2018 all borrowings under the Whistler Credit Agreement were made in Canadian dollars and by way of the issuance of bankers’ acceptances plus 1.75% (approximately 3.36%). The Whistler Credit Agreement also includes a quarterly unused commitment fee based on the Consolidated Total Leverage Ratio, which as of January 31, 2018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color w:val="auto"/>
        </w:rPr>
        <w:t>(c)  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January 31, 2018 reflected by fiscal year (August 1 through July 31) are as follows (in thousands):</w:t>
      </w:r>
    </w:p>
    <w:p>
      <w:pPr>
        <w:spacing w:after="0" w:line="28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(February 2018 through July 2018)</w:t>
            </w:r>
          </w:p>
        </w:tc>
        <w:tc>
          <w:tcPr>
            <w:tcW w:w="2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2019</w:t>
            </w:r>
          </w:p>
        </w:tc>
        <w:tc>
          <w:tcPr>
            <w:tcW w:w="2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38,455</w:t>
            </w:r>
          </w:p>
        </w:tc>
      </w:tr>
      <w:tr>
        <w:trPr>
          <w:trHeight w:val="27"/>
        </w:trPr>
        <w:tc>
          <w:tcPr>
            <w:tcW w:w="5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38,516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2021</w:t>
            </w:r>
          </w:p>
        </w:tc>
        <w:tc>
          <w:tcPr>
            <w:tcW w:w="2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38,580</w:t>
            </w:r>
          </w:p>
        </w:tc>
      </w:tr>
      <w:tr>
        <w:trPr>
          <w:trHeight w:val="27"/>
        </w:trPr>
        <w:tc>
          <w:tcPr>
            <w:tcW w:w="5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603,023</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486,865</w:t>
            </w:r>
          </w:p>
        </w:tc>
      </w:tr>
      <w:tr>
        <w:trPr>
          <w:trHeight w:val="27"/>
        </w:trPr>
        <w:tc>
          <w:tcPr>
            <w:tcW w:w="5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1,224,508</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gross interest expense of $16.0 million and $14.2 million for the three months ended January 31, 2018 and 2017, respectively, of which $0.3 million was amortization of deferred financing costs in both periods. The Company recorded gross interest expense of $31.1 million and $26.2 million for the six months ended January 31, 2018 and 2017, respectively, of which $0.6 million and $0.5 million, respectively, were amortization of deferred financing costs. The Company was in compliance with all of its financial and operating covenants required to be maintained under its debt instruments for all periods presented.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$10.3 million and $3.0 million, respectively, of non-cash foreign currency gains on the intercompany loan to Whistler Blackcomb for the three and six months ended January 31, 2018 on the Company’s Consolidated Condensed Statements of Operations. The Company recognized approximately $5.2 million in foreign currency gains on the intercompany loan to Whistler Blackcomb for both the three and six months ended January 31, 2017 on the Company’s Consolidated Condensed Statements of Operations.</w:t>
      </w:r>
    </w:p>
    <w:p>
      <w:pPr>
        <w:spacing w:after="0" w:line="17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7, 2017, the Company, through a wholly-owned subsidiary, acquired Stowe Mountain Resort in Stowe, Vermont, from Mt. Mansfield Company, Inc., a wholly-owned subsidiary of American International Group, Inc., for total cash consideration of $40.7 million. The Company acquired all of the assets related to the mountain operations of the resort, including base area skier services (food and beverage, retail and rental, lift ticket offices and ski and snowboard school facilities). The purchase price was allocated to identifiable tangible and intangible assets acquired based on their estimated fair values at the acquisition date. The Company has completed its preliminary purchase price allocation and has recorded $39.1 million in property, plant and equipment; $3.0 million in intangible assets; $2.3 million in other assets; and $3.7 million of assumed liabilities on the date of acquisition. The operating results of Stowe are reported within the Mountain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through Exchangeco, acquired all of the outstanding common shares of Whistler Blackcomb, for aggregate purchase consideration paid to Whistler Blackcomb shareholders of $1.09 billion. The consideration paid consisted of (i) approximately C$673.8 million ($512.6 million) in cash (or C$17.50 per Whistler Blackcomb share), (ii) 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acquisition. While outstanding, holders of Exchangeco Shares are entitled to cast votes on matters for which holders of Vail Shares are entitled to vote and are entitled to receive dividends economically equivalent to the dividends declared by the Company with respect to the Vail Shares.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Whistler Blackcomb owns a 75% interest in each of Whistler LP and Blackcomb LP (the “WB Partnerships”), which together operate Whistler Blackcomb Resort, a year round mountain resort in British Columbia, Canada with a comprehensive offering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recreational activities, including both snow sports and summer activities. The remaining 25% limited partnership interest in each of the WB Partnerships is owned by Nippon Cable Co. Ltd.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during the six months ended January 31, 2017. The gain on foreign currency is a separate transaction as it primarily benefited the Company and therefore the Company recorded this gain within Investment income and other, net in its Consolidated Condensed Statements of Operations. The estimated fair value of $512.6 million is considered the cash component of the purchase consideration.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shares of Whistler Blackcomb common stock prior to the acquisition and, as such, the acquisition-date estimated fair value of this previously held investment was a component of the purchase consideration. Based on the acquisition-date estimated fair value of this investment of $4.3 million, the Company recorded a gain of $0.8 million within Investment income and other, net in its Consolidated Condensed Statements of Operations during the six months ended January 31, 2017.</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 agreements, the annual distribution rights are non-transferable and transfer of the limited partnership interest is limited to Nippon Cable’s entire interest. Accordingly, the estimate of fair value associated with the noncontrolling interest at the date of acquisition has been determined based on expected underlying cash flows of the WB Partnerships discounted at a rate commensurate with a market participant’s expected rate of return for an equity instrument with these associated restrictions.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estimated fair values of the identifiable assets acquired and liabilities assumed at the date the transaction was effective (in thousands, except exchange ratio and share price):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exchange ratio and share price amounts)</w:t>
            </w:r>
          </w:p>
        </w:tc>
        <w:tc>
          <w:tcPr>
            <w:tcW w:w="120" w:type="dxa"/>
            <w:vAlign w:val="bottom"/>
            <w:vMerge w:val="restart"/>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Acquisition Date Estimated Fair</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Whistler Blackcomb shares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Exchange ratio as of October 14, 2016</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0.097294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Vail Shares issued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Vail Resorts closing share price on October 14, 2016</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value of Vail Shares issued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574,645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cash consideration paid at C$17.50 ($13.31 on October 17, 2016) per Whistler Blackcomb share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512,558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purchase consideration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1,087,203</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Estimated fair value of previously held investment in Whistler Blackcomb</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 of Nippon Cable’s 25% interest in Whistler Blackcomb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180,803</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estimated purchase consideration</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71"/>
        </w:trPr>
        <w:tc>
          <w:tcPr>
            <w:tcW w:w="9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values of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36,820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332,609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956,459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Identifiable intangibles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150,681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(74,358)</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Assumed long-term debt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(144,922)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57"/>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January 31, 2018, the Company recorded adjustments in the measurement period to its purchase price allocation which decreased the estimated fair value of noncontrolling interest and season pass holder relationships intangible asset with a corresponding net decrease to goodwill.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660" w:type="dxa"/>
            <w:vAlign w:val="bottom"/>
          </w:tcPr>
          <w:p>
            <w:pPr>
              <w:spacing w:after="0"/>
              <w:rPr>
                <w:sz w:val="18"/>
                <w:szCs w:val="18"/>
                <w:color w:val="auto"/>
              </w:rPr>
            </w:pPr>
          </w:p>
        </w:tc>
        <w:tc>
          <w:tcPr>
            <w:tcW w:w="182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33"/>
        </w:trPr>
        <w:tc>
          <w:tcPr>
            <w:tcW w:w="7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in thousands)</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 years) </w:t>
            </w:r>
            <w:r>
              <w:rPr>
                <w:rFonts w:ascii="Arial" w:cs="Arial" w:eastAsia="Arial" w:hAnsi="Arial"/>
                <w:sz w:val="21"/>
                <w:szCs w:val="21"/>
                <w:b w:val="1"/>
                <w:bCs w:val="1"/>
                <w:color w:val="auto"/>
                <w:w w:val="88"/>
                <w:vertAlign w:val="superscript"/>
              </w:rPr>
              <w:t>(1)</w:t>
            </w: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Season pass holder relationships</w:t>
            </w:r>
          </w:p>
        </w:tc>
        <w:tc>
          <w:tcPr>
            <w:tcW w:w="5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6,596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7"/>
        </w:trPr>
        <w:tc>
          <w:tcPr>
            <w:tcW w:w="7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management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 acquired identifiable intangible assets</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150,681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Trademarks and trade names and property management contracts are indefinite-lived intangible assets.</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 public company costs as well as other select areas of general and administrative functions, synergies (including utilization of the Company’s yield management strategies at Whistler Blackcomb and increased season pass sales and visitation across the Company’s resort portfolio) the assembled workforce of Whistler Blackcomb and other factors. The goodwill is not expected to be deductible for income tax purposes. The operating results of Whistler Blackcomb, which are primarily recorded in the Mountain segment, contributed $105.5 million of net revenue for the six months ended January 31, 2017, prospectively from the acquisition date</w:t>
      </w:r>
    </w:p>
    <w:p>
      <w:pPr>
        <w:sectPr>
          <w:pgSz w:w="11900" w:h="16838" w:orient="portrait"/>
          <w:cols w:equalWidth="0" w:num="1">
            <w:col w:w="11420"/>
          </w:cols>
          <w:pgMar w:left="240" w:top="584"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4" w:right="239" w:bottom="1440" w:gutter="0" w:footer="0" w:header="0"/>
          <w:type w:val="continuous"/>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(acquired on October 17, 2016). The Company recognized $3.0 million of transaction related expenses in Mountain operating expense in the Consolidated Condensed Statements of Operations for the six months ended January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 Pro Forma Financial Information</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 of Whistler Blackcomb was completed on August 1, 2015. The following unaudited pro forma financial information includes adjustments for (i) depreciation on acquired property, plant and equipment; (ii) amortization of intangible assets recorded at the date of the transactions; (iii) transaction and business integration related costs; (iv) interest expense associated with financing the cash portion of the transaction; and (v) total weighted average shares outstanding related to the acquisition; and excludes the impact of the intercompany loan. This unaudited pro forma financial information is presented for informational purposes only and does not purport to be indicative of the results of future operations or the results that would have occurred had the transaction taken place on August 1, 2015 (in thousands, except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22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w w:val="94"/>
              </w:rPr>
              <w:t>January 31, 2017</w:t>
            </w: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926,127</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85,126</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2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426"/>
        </w:trPr>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5660" w:type="dxa"/>
            <w:vAlign w:val="bottom"/>
          </w:tcPr>
          <w:p>
            <w:pPr>
              <w:ind w:left="440"/>
              <w:spacing w:after="0"/>
              <w:rPr>
                <w:sz w:val="20"/>
                <w:szCs w:val="20"/>
                <w:color w:val="auto"/>
              </w:rPr>
            </w:pPr>
            <w:r>
              <w:rPr>
                <w:rFonts w:ascii="Arial" w:cs="Arial" w:eastAsia="Arial" w:hAnsi="Arial"/>
                <w:sz w:val="18"/>
                <w:szCs w:val="18"/>
                <w:b w:val="1"/>
                <w:bCs w:val="1"/>
                <w:color w:val="auto"/>
              </w:rPr>
              <w:t>Supplementary Balance Sheet Information</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5880" w:type="dxa"/>
            <w:vAlign w:val="bottom"/>
            <w:gridSpan w:val="2"/>
          </w:tcPr>
          <w:p>
            <w:pPr>
              <w:spacing w:after="0"/>
              <w:rPr>
                <w:sz w:val="20"/>
                <w:szCs w:val="20"/>
                <w:color w:val="auto"/>
              </w:rPr>
            </w:pPr>
            <w:r>
              <w:rPr>
                <w:rFonts w:ascii="Arial" w:cs="Arial" w:eastAsia="Arial" w:hAnsi="Arial"/>
                <w:sz w:val="18"/>
                <w:szCs w:val="18"/>
                <w:color w:val="auto"/>
              </w:rPr>
              <w:t>The composition of property, plant and equipment follows (in thousands):</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2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January 31, 2018</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July 31, 2017</w:t>
            </w: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January 31, 2017</w:t>
            </w: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559,135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553,655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535,577</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7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1,206,465</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1,210,864</w:t>
            </w:r>
          </w:p>
        </w:tc>
        <w:tc>
          <w:tcPr>
            <w:tcW w:w="3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1,180,941</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1,046,134</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987,080</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997,225</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7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298,932</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280,292</w:t>
            </w:r>
          </w:p>
        </w:tc>
        <w:tc>
          <w:tcPr>
            <w:tcW w:w="3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302,446</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116,210</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108,048</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114,750</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Vehicles</w:t>
            </w:r>
          </w:p>
        </w:tc>
        <w:tc>
          <w:tcPr>
            <w:tcW w:w="7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62,172</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59,596</w:t>
            </w:r>
          </w:p>
        </w:tc>
        <w:tc>
          <w:tcPr>
            <w:tcW w:w="3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69,723</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7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25,556</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49,359</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23,704</w:t>
            </w:r>
          </w:p>
        </w:tc>
      </w:tr>
      <w:tr>
        <w:trPr>
          <w:trHeight w:val="237"/>
        </w:trPr>
        <w:tc>
          <w:tcPr>
            <w:tcW w:w="220" w:type="dxa"/>
            <w:vAlign w:val="bottom"/>
            <w:tcBorders>
              <w:top w:val="single" w:sz="8" w:color="auto"/>
            </w:tcBorders>
          </w:tcPr>
          <w:p>
            <w:pPr>
              <w:spacing w:after="0"/>
              <w:rPr>
                <w:sz w:val="20"/>
                <w:szCs w:val="20"/>
                <w:color w:val="auto"/>
              </w:rPr>
            </w:pPr>
          </w:p>
        </w:tc>
        <w:tc>
          <w:tcPr>
            <w:tcW w:w="5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Gross property, plant and equipment</w:t>
            </w:r>
          </w:p>
        </w:tc>
        <w:tc>
          <w:tcPr>
            <w:tcW w:w="7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3,314,604</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3,248,894</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3,224,366</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7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(1,612,391)</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(1,534,740)</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(1,529,620)</w:t>
            </w:r>
          </w:p>
        </w:tc>
      </w:tr>
      <w:tr>
        <w:trPr>
          <w:trHeight w:val="237"/>
        </w:trPr>
        <w:tc>
          <w:tcPr>
            <w:tcW w:w="220" w:type="dxa"/>
            <w:vAlign w:val="bottom"/>
            <w:tcBorders>
              <w:top w:val="single" w:sz="8" w:color="auto"/>
            </w:tcBorders>
          </w:tcPr>
          <w:p>
            <w:pPr>
              <w:spacing w:after="0"/>
              <w:rPr>
                <w:sz w:val="20"/>
                <w:szCs w:val="20"/>
                <w:color w:val="auto"/>
              </w:rPr>
            </w:pPr>
          </w:p>
        </w:tc>
        <w:tc>
          <w:tcPr>
            <w:tcW w:w="5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1,702,213</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1,714,154</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1,694,746</w:t>
            </w:r>
          </w:p>
        </w:tc>
      </w:tr>
      <w:tr>
        <w:trPr>
          <w:trHeight w:val="27"/>
        </w:trPr>
        <w:tc>
          <w:tcPr>
            <w:tcW w:w="2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2018</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2017</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94,680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9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292,336</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240,096</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259,212</w:t>
            </w:r>
          </w:p>
        </w:tc>
      </w:tr>
      <w:tr>
        <w:trPr>
          <w:trHeight w:val="27"/>
        </w:trPr>
        <w:tc>
          <w:tcPr>
            <w:tcW w:w="4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9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52,329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44,869</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9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35,109</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32,505</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32,269</w:t>
            </w:r>
          </w:p>
        </w:tc>
      </w:tr>
      <w:tr>
        <w:trPr>
          <w:trHeight w:val="27"/>
        </w:trPr>
        <w:tc>
          <w:tcPr>
            <w:tcW w:w="4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9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43,457</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23,742</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9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70,652</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54,899</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68,093</w:t>
            </w:r>
          </w:p>
        </w:tc>
      </w:tr>
      <w:tr>
        <w:trPr>
          <w:trHeight w:val="27"/>
        </w:trPr>
        <w:tc>
          <w:tcPr>
            <w:tcW w:w="4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588,563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467,669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541,335</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16</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January 31, 2018</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July 31, 2017</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January 31, 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116,726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120,659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82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23,309</w:t>
            </w:r>
          </w:p>
        </w:tc>
        <w:tc>
          <w:tcPr>
            <w:tcW w:w="3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24,664</w:t>
            </w:r>
          </w:p>
        </w:tc>
        <w:tc>
          <w:tcPr>
            <w:tcW w:w="2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25,953</w:t>
            </w:r>
          </w:p>
        </w:tc>
      </w:tr>
      <w:tr>
        <w:trPr>
          <w:trHeight w:val="27"/>
        </w:trPr>
        <w:tc>
          <w:tcPr>
            <w:tcW w:w="4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149,758</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158,655</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125,323</w:t>
            </w:r>
          </w:p>
        </w:tc>
      </w:tr>
      <w:tr>
        <w:trPr>
          <w:trHeight w:val="237"/>
        </w:trPr>
        <w:tc>
          <w:tcPr>
            <w:tcW w:w="4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289,793</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301,736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271,935</w:t>
            </w:r>
          </w:p>
        </w:tc>
      </w:tr>
      <w:tr>
        <w:trPr>
          <w:trHeight w:val="27"/>
        </w:trPr>
        <w:tc>
          <w:tcPr>
            <w:tcW w:w="4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Contingent Consideration and Interest Rate Swap measured at estimated fair value (all other assets and liabilities measured at fair value are immaterial)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3"/>
              </w:rPr>
              <w:t>Estimated Fair Value Measurement as of January 31, 2018</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7,162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23,754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23,754</w:t>
            </w:r>
          </w:p>
        </w:tc>
      </w:tr>
      <w:tr>
        <w:trPr>
          <w:trHeight w:val="527"/>
        </w:trPr>
        <w:tc>
          <w:tcPr>
            <w:tcW w:w="56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480" w:type="dxa"/>
            <w:vAlign w:val="bottom"/>
            <w:tcBorders>
              <w:top w:val="single" w:sz="8" w:color="auto"/>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3"/>
              </w:rPr>
              <w:t>Estimated Fair Value Measurement as of July 31, 2017</w:t>
            </w:r>
          </w:p>
        </w:tc>
        <w:tc>
          <w:tcPr>
            <w:tcW w:w="1000" w:type="dxa"/>
            <w:vAlign w:val="bottom"/>
            <w:tcBorders>
              <w:top w:val="single" w:sz="8" w:color="auto"/>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236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27,400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3"/>
              </w:rPr>
              <w:t>Estimated Fair Value Measurement as of January 31, 2017</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11,700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1,060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1,060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cash equivalents and Interest Rate Swap are measured utilizing quoted market prices or pricing models whereby all significant inputs are either observable or corroborated by observable market data. The Interest Rate Swap was an instrument assumed in the Whistler Blackcomb acquisition that was a C$125.0 million fixed swap on the floating interest rate for the assumed Whistler Credit Agreement, and was originally set to expire in September 2020. However, the Company settled the Interest Rate Swap in September 2017 and therefore no longer utilized an Interest Rate Swap as of January 31, 2018. Interest Rate Swap settlements and changes in estimated fair value were recognized in interest expense, net on the Consolidated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six months ended January 31, 2018 and 2017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2017 and 2016, respectively</w:t>
            </w:r>
          </w:p>
        </w:tc>
        <w:tc>
          <w:tcPr>
            <w:tcW w:w="252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11,100</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5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(3,646)</w:t>
            </w:r>
          </w:p>
        </w:tc>
        <w:tc>
          <w:tcPr>
            <w:tcW w:w="7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January 31, 2018 and 2017, respectively</w:t>
            </w:r>
          </w:p>
        </w:tc>
        <w:tc>
          <w:tcPr>
            <w:tcW w:w="25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23,754</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11,700</w:t>
            </w:r>
          </w:p>
        </w:tc>
      </w:tr>
      <w:tr>
        <w:trPr>
          <w:trHeight w:val="27"/>
        </w:trPr>
        <w:tc>
          <w:tcPr>
            <w:tcW w:w="58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type w:val="continuous"/>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10.2%, volatility of 16.0% and future period Park City EBITDA and capital expenditures,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$4.5 million to $6.5 million.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Contingent Consideration is classified as a liability, which is remeasured to fair value at each reporting date until the contingency is resolved. During the six months ended January 31, 2018, the Company made a payment to the landlord for Contingent Consideration of approximately $3.6 million, resulting in an estimated fair value of the Contingent Consideration of approximately $23.8 million, which is reflected in other long-term liabilities in the Consolidated Condensed Balance Sheet.</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January 31, 2018, July 31, 2017 and January 31, 2017, respectively, with respect to the estimated present value of future RSRMD capital improvement fees. The Company estimates it will make capital improvement fee payments under this arrangement through the fiscal year ending July 31, 2031.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January 31, 2018, the Company had various other letters of credit totaling $64.7 million, consisting of $53.4 million to support the Employee Housing Bonds and $11.3 million for workers’ compensation, general liability construction related deductibles and other activities. The Company also had surety bonds of $9.3 million as of January 31, 2018, primarily to provide collateral for its U.S. workers compensation self-insurance programs.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January 31, 2018, July 31, 2017 and January 31, 2017, the accruals for the above loss contingencies were not material individually or in the aggregate.</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CME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5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5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Lift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381,912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358,251</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407,380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379,677</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80,116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78,119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84,554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81,970</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Dining</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53,910</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54,366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72,212</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67,734</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115,446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123,233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160,853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159,712</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39,518</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40,130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94,028</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75,773</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670,902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654,099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819,027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764,866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63,539</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65,884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135,628</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133,286</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734,441</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719,983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954,655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898,152</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770</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5,311</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734,575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725,198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955,425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903,463</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365,605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355,239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572,689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523,492</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59,871</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59,683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127,605</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123,763</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425,476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700,294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647,255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1,207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5,841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2,898</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7,326</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426,683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420,763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703,192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654,581</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515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515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6,466</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(loss) income,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Reported EBITDA:</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305,262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246,825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242,363</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3,668</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8,023</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9,523</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308,930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305,218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254,848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251,886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(558)</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(1,613)</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4,451</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308,372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304,592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253,235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256,337</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103,212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112,633</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103,212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112,633</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to net income attributable to Vail Resorts, Inc.:</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Total Reported 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308,372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304,592</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253,235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256,337</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(51,404)</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(100,028)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(90,207)</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Change in estimated fair value of contingent consideration</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disposal of fixed assets and other, net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Investment income and other, net</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397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780</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5,671</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gain on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10,337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(15,973)</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(14,214)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(31,147)</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(26,178)</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252,267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244,535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126,936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147,408</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(Provision) benefit from income taxes</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(3,594)</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(84,807)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89,810</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(51,298)</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248,673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159,728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216,746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96,110</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(12,982)</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(9,440)</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(9,518)</w:t>
            </w:r>
          </w:p>
        </w:tc>
      </w:tr>
      <w:tr>
        <w:trPr>
          <w:trHeight w:val="27"/>
        </w:trPr>
        <w:tc>
          <w:tcPr>
            <w:tcW w:w="5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235,691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149,179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207,306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86,592</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6" w:right="239" w:bottom="1440" w:gutter="0" w:footer="0" w:header="0"/>
          <w:type w:val="continuous"/>
        </w:sectPr>
      </w:pPr>
    </w:p>
    <w:bookmarkStart w:id="22" w:name="page23"/>
    <w:bookmarkEnd w:id="22"/>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total shares. The Company did not repurchase any Vail Shares during the three or six months ended January 31, 2018. The Company repurchased 1,317 Vail Shares (at a total cost of $0.2 million) during the three and six months ended January 31, 2017. Since inception of its share repurchase program through January 31, 2018, the Company has repurchased 5,436,294 Vail Shares for $247.2 million. As of January 31, 2018, 2,063,706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periods ended January 31, 2018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2017 (“Form 10-K”) and the Consolidated Condensed Financial Statements as of January 31, 2018 and 2017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2017.</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generally accepted accounting principles (“GAAP”). We utilize segment Reported EBITDA in evaluating our performance and in allocating resources to our segments. Refer to the end of the Results of Operations section for a reconciliation of segment Reported EBITDA to net income attributable to Vail Resorts, Inc. We also believe that Net Debt is an important measurement as it is an indicator of our ability to obtain additional capital resources for our future cash needs. Refer to the end of the Results of Operations section for a reconciliation of Net Debt to long-term debt, net.</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Mountain segment is comprised of the operations of eleven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Perisher, including lodging and transportation operations. Mountain segment revenue is seasonal, with the majority of revenue earned from our North American mountain resorts and ski areas occurring in our second and third fiscal quarters and the majority of revenue earned from Perisher occurring in our first and fourth fiscal quarters. Our North American mountain resorts are typically open for business from mid-November through mid-April, which is the peak operating season for the Mountain segment, and Perisher is typically open for business from June to early October. Consequently, our first fiscal quarter is a seasonally low period as our North American ski operations are generally not open for business until our second fiscal quarter, while the activity of Perisher’s peak season and our North American summer operating results are not sufficient to offset the losses incurred during the seasonally low periods at our North American mountain resorts and ski areas. Revenue of the Mountain segment during the first fiscal quarter is primarily generated from summer and group related visitation at our North American mountain resorts, retail/rental operations and peak season Perisher operations. Our largest source of Mountain segment revenue is the sale of lift tickets (including season passes), which represented approximately 57% and 55% of Mountain net revenue for the three months ended January 31, 2018 and 2017, respectively.</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Lift revenue is driven by volume and pricing. Pricing is impacted by both absolute pricing, as well as the demographic mix of guests, which impacts the price points at which various products are purchased. The demographic mix of guests that visit our U.S. mountain resorts is divided into two primary categories: (i) out-of-state and international (“Destination”) guests and (ii) in-state and local (“Local”) guests. For the three months ended January 31, 2018, Destination guests comprised approximately 59% of our U.S. mountain resort skier visits, while Local guests comprised approximately 41% of our U.S. mountain resort skier visits, which compares to 57% and 43%, respectively, for the three months ended January 31, 2017. 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but may be more impacted by adverse economic conditions or the global geopolitical climate. Local guests tend to be more value-oriented and weather sensitive.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offer a variety of season pass products for all of our mountain resorts and ski areas (collectively, “Resorts”), marketed towards both Destination and Local guests. Our season pass product offerings range from providing access to one or a combination of our Resorts to our Epic Season Pass, which allows pass holders unlimited and unrestricted access to all of our Resorts.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As such, our season pass program drives strong customer loyalty; mitigates exposure to more weather sensitive guests; generates additional ancillary spending; and provides cash flow in advance of winter season operations. In addition, our season pass program attracts new guests to our Resorts. All of our season pass products, including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the Epic Pass, are predominately sold prior to the start of the ski season. Season pass revenue, although primarily collected prior to the ski season, is recognized in the Consolidated Condensed Statements of Operations throughout the ski season.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Lift revenue consists of season pass lift revenue (“pass revenue”) and non-season pass lift revenue (“non-pass revenue”). For the three months ended January 31, 2018 and 2017, approximately 56% and 50%, respectively, of our total lift revenue recognized was comprised of pass revenue. Pass revenue recognized for the quarter represents approximately 53% of our total North American pass sales for both the 2017/2018 and 2016/2017 North American ski seasons, with the remaining North American pass revenue almost entirely recognized as lift revenue in our third fiscal quarter ending April 30.</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proximate to our Colorado and Utah mountain resorts; (ii) ownership/management of non-RockResorts branded hotels and condominiums proximate to our North American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performance of our Lodging segment properties (including managed condominium units) proximate to our mountain resorts as well as CME is closely aligned with the performance of the Mountain segment and generally experiences similar seasonal trends, particularly with respect to visitation by Destination guests. Revenues from such properties represented approximately 93% of Lodging segment revenue (excluding Lodging segment revenue associated with reimbursement of payroll costs) for both the three months ended January 31, 2018 and 2017.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90"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in regards to skier visits and the duration and frequency of guest visitation. To help mitigate this impact, we sell a variety of pass products prior to the beginning of the ski season resulting in a more stabilized stream of lift revenue. Additionally, our pass products provide a compelling value proposition to our guests, which in turn create a guest commitment predominately prior to the start of the ski season. During fiscal year 2017, pass revenue represented approximately 43% of total lift revenue. Due to increased pass sales for the 2017/2018 North American ski season compared to the 2016/2017 North American ski season, pass revenue increased approximately $35.5 million, or 20.0%, for the three months ended January 31, 2018 compared to the same period in the prior year. Additionally, deferred revenue related to North American pass sales was $192.0 million as of January 31, 2018 (compared to $162.0 million as of January 31, 2017), which will be almost entirely recognized as lift revenue during our third fiscal quarter ending April 30, 2018.</w:t>
      </w:r>
    </w:p>
    <w:p>
      <w:pPr>
        <w:spacing w:after="0" w:line="166" w:lineRule="exact"/>
        <w:rPr>
          <w:rFonts w:ascii="Arial" w:cs="Arial" w:eastAsia="Arial" w:hAnsi="Arial"/>
          <w:sz w:val="16"/>
          <w:szCs w:val="16"/>
          <w:color w:val="auto"/>
        </w:rPr>
      </w:pPr>
    </w:p>
    <w:p>
      <w:pPr>
        <w:jc w:val="both"/>
        <w:ind w:left="640" w:hanging="321"/>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experienced at or near historical low snowfall levels across our western U.S. resorts for the first half of the 2017/2018 North American ski season, which had an adverse impact on skier visitation and our results of operations for the three months ended January 31, 2018. For the season to date period through January 31, 2018, conditions across the western U.S. remained challenging, with season to date snowfall in Vail, Beaver Creek and Park City at the lowest levels in over 30 years while Tahoe was more than 50% below the 20-year average. We cannot predict the impact that the historically low snowfall experienced in the first half of the 2017/2018 North American ski season will have on our skier visitation and results of operations for the remainder of the 2017/2018 North American ski season, next season’s pass sales or whether snowfall conditions will improve for the remainder of this season.</w:t>
      </w:r>
    </w:p>
    <w:p>
      <w:pPr>
        <w:spacing w:after="0" w:line="189" w:lineRule="exact"/>
        <w:rPr>
          <w:rFonts w:ascii="Arial" w:cs="Arial" w:eastAsia="Arial" w:hAnsi="Arial"/>
          <w:sz w:val="18"/>
          <w:szCs w:val="18"/>
          <w:color w:val="auto"/>
        </w:rPr>
      </w:pPr>
    </w:p>
    <w:p>
      <w:pPr>
        <w:jc w:val="both"/>
        <w:ind w:left="640" w:hanging="321"/>
        <w:spacing w:after="0" w:line="27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Key U.S. economic indicators have remained steady into 2018, including strong consumer confidence and declines in the unemployment rate. However, the growth in the U.S. economy may be impacted by economic challenges in the U.S. or declining or slowing growth in economies outside of the U.S., accompanied by devaluation of currencies, rising inflation and lower commodity prices. Given these economic uncertainties, we cannot predict what the impact will be on overall travel and leisure spending or more specifically, on our guest visitation, guest spending or other related trends for the remainder of the 2017/2018 North American ski season.</w:t>
      </w:r>
    </w:p>
    <w:p>
      <w:pPr>
        <w:spacing w:after="0" w:line="172" w:lineRule="exact"/>
        <w:rPr>
          <w:rFonts w:ascii="Arial" w:cs="Arial" w:eastAsia="Arial" w:hAnsi="Arial"/>
          <w:sz w:val="17"/>
          <w:szCs w:val="17"/>
          <w:color w:val="auto"/>
        </w:rPr>
      </w:pPr>
    </w:p>
    <w:p>
      <w:pPr>
        <w:jc w:val="both"/>
        <w:ind w:left="640" w:hanging="321"/>
        <w:spacing w:after="0" w:line="286"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transitions the U.S. tax system to a new territorial system and lowers the statutory federal corporate income tax rate from 35% to 21%. The reduction of the statutory federal corporate tax rate to 21% became effective on January 1, 2018. In fiscal 2018, we expect our U.S. blended federal statutory income tax rate to be approximately 27%, which will be reduced to 21% in fiscal 2019 and thereafter. As a result of the Tax Act, we recorded a one-time, provisional net tax benefit of approximately $64.6 million on our Consolidated Condensed Statements of Operations for the three and six months ended January 31, 2018 (or approximately $1.55 per diluted share). Due to the reduction in the federal corporate tax rate, we remeasured our U.S net deferred tax liabilities as of the effective date of the Tax Act. The U.S. net deferred tax liabilities remeasurement resulted in a one-time tax benefit estimated to be approximately $71.0 million and was recorded during the three month period ended January 31, 2018. Also, in transitioning to the new territorial tax system, the Tax Act requires us to include certain foreign earnings of non-U.S. subsidiaries in our fiscal 2018 taxable income. Such foreign earnings are subject to a one-time tax referred to as the “Transition Tax,” which was estimated to be $6.4 million, and was recorded during the three month period ended January 31, 2018. The above-mentioned accounting impacts of the deferred tax remeasurement and Transition Tax are provisional, based on currently available information and technical guidance on the interpretation of the new law. The provisional accounting impacts may change in future reporting periods until the accounting analysis is finalized, which will occur no later than December 22, 2018, as permitted by the SEC. For further discussion related to the Tax Act see “Other Items” within MD&amp;A and Notes to Consolidated Condensed Financial Statements, Note 2, Summary of Significant Accounting Policies - Income Taxes.</w:t>
      </w:r>
    </w:p>
    <w:p>
      <w:pPr>
        <w:spacing w:after="0" w:line="168" w:lineRule="exact"/>
        <w:rPr>
          <w:rFonts w:ascii="Arial" w:cs="Arial" w:eastAsia="Arial" w:hAnsi="Arial"/>
          <w:sz w:val="16"/>
          <w:szCs w:val="16"/>
          <w:color w:val="auto"/>
        </w:rPr>
      </w:pPr>
    </w:p>
    <w:p>
      <w:pPr>
        <w:jc w:val="both"/>
        <w:ind w:left="640" w:hanging="321"/>
        <w:spacing w:after="0" w:line="273"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of January 31, 2018, we had $299.7 million available under the revolver component of our Seventh Amended and Restated Credit Agreement, dated as of May 1, 2015 (the “Vail Holdings Credit Agreement”), which represents the total commitment of $400.0 million less outstanding borrowings of $30.0 million and certain letters of credit outstanding of $70.3 million. Additionally, under our Whistler Blackcomb credit facility (the “Whistler Credit Agreement”), as of January 31, 2018, we had C$179.1 million ($145.6 million) available under the revolver component of the Whistler Credit Agreement (which represents the total commitment of C$300.0 million ($243.9 million) less outstanding borrowings of C$120.0 million ($97.6 million) and a letter of credit outstanding of C$0.9 million ($0.7 million)). During the six months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jc w:val="both"/>
        <w:ind w:left="640" w:right="20"/>
        <w:spacing w:after="0" w:line="324" w:lineRule="auto"/>
        <w:rPr>
          <w:sz w:val="20"/>
          <w:szCs w:val="20"/>
          <w:color w:val="auto"/>
        </w:rPr>
      </w:pPr>
      <w:r>
        <w:rPr>
          <w:rFonts w:ascii="Arial" w:cs="Arial" w:eastAsia="Arial" w:hAnsi="Arial"/>
          <w:sz w:val="18"/>
          <w:szCs w:val="18"/>
          <w:color w:val="auto"/>
        </w:rPr>
        <w:t>ended January 31, 2018, we exercised our right under the Whistler Credit Agreement, with the consent of the lender parties thereto, to extend the maturity date for the Whistler Credit Agreement from November 12, 2021 to November 12, 2022.</w:t>
      </w:r>
    </w:p>
    <w:p>
      <w:pPr>
        <w:spacing w:after="0" w:line="143" w:lineRule="exact"/>
        <w:rPr>
          <w:sz w:val="20"/>
          <w:szCs w:val="20"/>
          <w:color w:val="auto"/>
        </w:rPr>
      </w:pPr>
    </w:p>
    <w:p>
      <w:pPr>
        <w:jc w:val="both"/>
        <w:ind w:left="640"/>
        <w:spacing w:after="0" w:line="293" w:lineRule="auto"/>
        <w:rPr>
          <w:sz w:val="20"/>
          <w:szCs w:val="20"/>
          <w:color w:val="auto"/>
        </w:rPr>
      </w:pPr>
      <w:r>
        <w:rPr>
          <w:rFonts w:ascii="Arial" w:cs="Arial" w:eastAsia="Arial" w:hAnsi="Arial"/>
          <w:sz w:val="16"/>
          <w:szCs w:val="16"/>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 On March 7, 2018 our Board of Directors approved a 40% increase in our regular quarterly cash dividend on our common stock to $1.47 per share (or approximately $59.5 million quarterly based upon shares outstanding as of January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summary of operating results for the three and six months ended January 31, 2018, compared to the three and six months ended January 31, 2017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270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16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305,262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246,825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242,363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3,668</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8,023</w:t>
            </w:r>
          </w:p>
        </w:tc>
        <w:tc>
          <w:tcPr>
            <w:tcW w:w="4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9,523</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308,930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254,848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251,886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4,451</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252,267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126,936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235,691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149,179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207,306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86,592</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2018 compared to the three months ended January 31,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segment operating results for the three months ended January 31, 2018 and 2017 are presented by category as follows (in thousands, except effective ticket price (“ETP”)):</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January 31,</w:t>
            </w:r>
          </w:p>
        </w:tc>
        <w:tc>
          <w:tcPr>
            <w:tcW w:w="720" w:type="dxa"/>
            <w:vAlign w:val="bottom"/>
          </w:tcPr>
          <w:p>
            <w:pPr>
              <w:spacing w:after="0"/>
              <w:rPr>
                <w:sz w:val="14"/>
                <w:szCs w:val="14"/>
                <w:color w:val="auto"/>
              </w:rPr>
            </w:pP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2"/>
              </w:rPr>
              <w:t>381,912</w:t>
            </w:r>
          </w:p>
        </w:tc>
        <w:tc>
          <w:tcPr>
            <w:tcW w:w="116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358,251</w:t>
            </w:r>
          </w:p>
        </w:tc>
        <w:tc>
          <w:tcPr>
            <w:tcW w:w="204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80,116</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78,119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53,910</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54,366</w:t>
            </w:r>
          </w:p>
        </w:tc>
        <w:tc>
          <w:tcPr>
            <w:tcW w:w="20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115,446</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123,233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39,518</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40,130</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670,902</w:t>
            </w:r>
          </w:p>
        </w:tc>
        <w:tc>
          <w:tcPr>
            <w:tcW w:w="1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654,099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144,240</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136,531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40,540</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44,984</w:t>
            </w:r>
          </w:p>
        </w:tc>
        <w:tc>
          <w:tcPr>
            <w:tcW w:w="20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34,257</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59,609</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60,470</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86,959</w:t>
            </w:r>
          </w:p>
        </w:tc>
        <w:tc>
          <w:tcPr>
            <w:tcW w:w="1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78,532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2"/>
              </w:rPr>
              <w:t>365,605</w:t>
            </w: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355,239</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(loss)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2"/>
              </w:rPr>
              <w:t>305,262</w:t>
            </w:r>
          </w:p>
        </w:tc>
        <w:tc>
          <w:tcPr>
            <w:tcW w:w="116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299,017</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5,133</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5,299</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10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74.40</w:t>
            </w:r>
          </w:p>
        </w:tc>
        <w:tc>
          <w:tcPr>
            <w:tcW w:w="116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$4.0 million and $3.7 million of stock-based compensation expense for the three months ended January 31, 2018 and 2017,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Mountain Reported EBITDA increased $6.2 million, or 2.1%. This increase was primarily the result of strong North American pass sales growth for the 2017/2018 North American ski season and incremental operations of Stowe (acquired in June 2017). However, historically low snowfall across our western U.S. resorts adversely impacted our results of operations for the three months ended January 31, 2018 compared to the same period in the prior year. Furthermore, total skier visitation was down 3.1% for the three months ended January 31, 2018 compared to the three months ended January 31, 2017 and was driven by the low snowfall across our western U.S. resorts, which resulted in lower non-pass revenue and ancillary revenue at our western U.S. resorts. Additionally, we recorded $1.4 million and $2.1 million of acquisition and integration related expenses for the three months ended January 31, 2018 and 2017, respectively.</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Lift revenue increased $23.7 million, or 6.6%, primarily due to an increase in pass revenue and incremental revenue from Stowe, partially offset by decreases in non-pass revenue at our western U.S. resorts as a result of lower non-pass skier visitation, which was driven by low snowfall. Pass revenue increased 20.0%, which was driven by a combination of an increase in both pricing and units sold and was also favorably impacted by increased pass sales to Destination guests. Non-pass revenue decreased 6.5%, which was primarily the result of a decrease in non-pass skier visitation to our western U.S. resorts. Total ETP increased $6.79, or 10.0%, due to price increases in both our lift ticket and season pass products, and lower average visitation by season pass holders during the three months ended January 31, 2018 compared to the same period in the prior year.</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Ski school revenue increased $2.0 million, or 2.6%, primarily as a result of an increase in revenue at Whistler Blackcomb and incremental revenue from Stowe, partially offset by decreases in revenue at our western U.S. resorts. Dining revenue decreased $0.5 million, or 0.8%, primarily as a result of delays in the opening of certain on-mountain dining venues and lower skier visitation at our western U.S. resorts, which were impacted by challenging ski season conditions, partially offset by incremental revenue from Stowe and an increase in revenue at Whistler Blackcomb.</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800" w:right="239" w:bottom="1440" w:gutter="0" w:footer="0" w:header="0"/>
          <w:type w:val="continuous"/>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Retail/rental revenue decreased $7.8 million, or 6.3%, for which retail sales decreased $7.5 million, or 8.8%, and rental revenue decreased $0.3 million, or 0.7%. The decrease in both retail revenue and rental revenue was primarily attributable to lower sales volumes at stores proximate to our western U.S. resorts, our other stores in Colorado and our stores in the San Francisco Bay Area, which were also adversely impacted by challenging weather and ski conditions. These decreases were partially offset by incremental revenue from Stowe.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decreased $0.6 million, or 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 increased $10.4 million, or 2.9%, which was primarily attributable to the inclusion of incremental operating expenses from Stowe.</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Labor and labor-related benefits increased 5.6% primarily due to incremental expense from Stowe and normal wage adjustments, partially offset by lower staffing levels at our western U.S. resorts and lower estimated performance-based variable compensation. Retail cost of sales decreased 9.9%, compared to a decrease in retail sales of 8.8%. General and administrative expense decreased 1.4% due to lower corporate overhead costs, primarily driven by lower estimated performance-based variable compensation, partially offset by incremental expenses from Stowe. Other expense increased 10.7% primarily due to incremental expenses from Stowe, as well as higher utilities expense related to increased snowmaking operations, and increases in repairs and maintenance expense, partially offset by a reduction of acquisition and integration related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Mountain equity investment (loss) income, net primarily includes our share of income from the operations of a real estate brokerage joint venture.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2018 compared to the six months ended January 31, 2017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six months ended January 31, 2018 and 2017 are presented by category as follows (in thousands, except ETP):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Six Months Ended January 31,</w:t>
            </w:r>
          </w:p>
        </w:tc>
        <w:tc>
          <w:tcPr>
            <w:tcW w:w="720" w:type="dxa"/>
            <w:vAlign w:val="bottom"/>
          </w:tcPr>
          <w:p>
            <w:pPr>
              <w:spacing w:after="0"/>
              <w:rPr>
                <w:sz w:val="14"/>
                <w:szCs w:val="14"/>
                <w:color w:val="auto"/>
              </w:rPr>
            </w:pP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407,380</w:t>
            </w:r>
          </w:p>
        </w:tc>
        <w:tc>
          <w:tcPr>
            <w:tcW w:w="120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379,677</w:t>
            </w:r>
          </w:p>
        </w:tc>
        <w:tc>
          <w:tcPr>
            <w:tcW w:w="204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84,554</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81,970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72,212</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67,734</w:t>
            </w:r>
          </w:p>
        </w:tc>
        <w:tc>
          <w:tcPr>
            <w:tcW w:w="204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160,853</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159,712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94,028</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75,773</w:t>
            </w:r>
          </w:p>
        </w:tc>
        <w:tc>
          <w:tcPr>
            <w:tcW w:w="2040" w:type="dxa"/>
            <w:vAlign w:val="bottom"/>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819,027</w:t>
            </w:r>
          </w:p>
        </w:tc>
        <w:tc>
          <w:tcPr>
            <w:tcW w:w="1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764,866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217,896</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194,213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63,481</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63,388</w:t>
            </w:r>
          </w:p>
        </w:tc>
        <w:tc>
          <w:tcPr>
            <w:tcW w:w="20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37,383</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108,933</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102,454</w:t>
            </w:r>
          </w:p>
        </w:tc>
        <w:tc>
          <w:tcPr>
            <w:tcW w:w="20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144,996</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126,371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572,689</w:t>
            </w: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523,492</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246,825</w:t>
            </w:r>
          </w:p>
        </w:tc>
        <w:tc>
          <w:tcPr>
            <w:tcW w:w="12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242,363</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5,631</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5,728</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10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72.35</w:t>
            </w:r>
          </w:p>
        </w:tc>
        <w:tc>
          <w:tcPr>
            <w:tcW w:w="12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$7.8 million and $7.5 million of stock-based compensation expense for the six months ended January 31, 2018 and 2017,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Mountain Reported EBITDA increased $4.5 million, or 1.8%. This increase was primarily the result of strong North American pass sales growth for the 2017/2018 North American ski season, improved operating results at Perisher and incremental operations of Stowe (acquired in June 2017). However, historically low snowfall across our western U.S. resorts adversely impacted our results of operations for the six months ended January 31, 2018 compared to the same period in the prior year. Additionally, we recorded $2.2 million and $4.9 million of acquisition and integration related expenses for the six months ended January 31, 2018 and 2017,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our North American resorts opened for ski season operations during our second fiscal quarter, the results of the six months ended January 31, 2018 and 2017 for lift revenue and ski school revenue at our North American resorts are the same as the three months ended January 31, 2018 and 2017, as previously discussed. Additionally, Perisher generated increases of $4.0 million and $0.6 million in lift revenue and ski school revenue, respectively, primarily due to increases in pricing and higher visitation.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Dining revenue increased $4.5 million, or 6.6%, primarily due to incremental revenue from Whistler Blackcomb, reflecting a full quarter of operations for the three months ended October 31, 2017, as compared to prior year period which included operations from the date of acquisition, October 17, 2016, through January 31, 2017. Additionally, dining revenue increased as a result of the inclusion of Stowe operations and an increase in revenue at Perisher. However, these increases were partially offset by lower revenue at our western U.S. resorts, which experienced delays in the opening of certain on-mountain dining venues and lower skier visitation as a result of challenging ski season conditions.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Retail/rental revenue increased $1.1 million, or 0.7%, for which rental revenue increased $1.3 million, or 3.2%, and retail revenue decreased $0.2 million, or 0.2%. Retail/rental revenue was favorably impacted by incremental revenue from Whistler Blackcomb and Stowe, as well as increased rental sales at Perisher. However, these increases were offset by lower sales volumes at stores proximate to our western U.S. resorts, our other stores in Colorado and our stores in the San Francisco Bay Area which were also adversely impacted by challenging weather and ski conditions.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Other revenue increased $18.3 million, or 24.1%, compared to the same period in the prior year, primarily attributable to incremental summer activities and events revenue at Whistler Blackcomb and the inclusion of Stowe operations.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expense increased $49.2 million, or 9.4%, which was primarily attributable to incremental operating expenses from Whistler Blackcomb as a result of reflecting a full quarter of operations for the three months ended October 31, 2017, as compared to prior year period which included operations from the date of acquisition, October 17, 2016, through January 31, 2017, as well as the inclusion of Stowe operations.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Labor and labor-related benefits increased 12.2% primarily due to incremental expense from Whistler Blackcomb and Stowe, normal wage adjustments and increased staffing levels at Perisher during the three months ended October 31, 2017 to support higher visitation, partially offset by lower staffing levels at our western U.S. resorts and lower estimated performance-based variable compensation. Resort related fees increased 0.9% primarily due to incremental expenses from Stowe. General and administrative expense increased 6.3% primarily due to incremental expenses from Whistler Blackcomb and Stowe, as well as higher corporate overhead costs. Other expense increased 14.7% due to incremental expenses from Whistler Blackcomb and Stowe, as well as higher utilities expense related to increased snowmaking operations, and increases in repairs and maintenance and food and beverage cost of sales commensurate with increases in dining revenue, partially offset by a reduction of acquisition and integration related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2018 compared to the three months ended January 31,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January 31, 2018 and 2017 are presented by category as follows (in thousands, except average daily rates (“ADR”) and revenue per available room (“RevPAR”)):</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Three Months Ended January 31,</w:t>
            </w:r>
          </w:p>
        </w:tc>
        <w:tc>
          <w:tcPr>
            <w:tcW w:w="2040" w:type="dxa"/>
            <w:vAlign w:val="bottom"/>
          </w:tcPr>
          <w:p>
            <w:pPr>
              <w:jc w:val="center"/>
              <w:ind w:left="3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38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11,353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12,002</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23,358</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7,869</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8,723</w:t>
            </w:r>
          </w:p>
        </w:tc>
        <w:tc>
          <w:tcPr>
            <w:tcW w:w="20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7,460</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9,914</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9,976</w:t>
            </w:r>
          </w:p>
        </w:tc>
        <w:tc>
          <w:tcPr>
            <w:tcW w:w="20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59,954</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62,034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3,585</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3,850</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63,539</w:t>
            </w:r>
          </w:p>
        </w:tc>
        <w:tc>
          <w:tcPr>
            <w:tcW w:w="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65,884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operating expense: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27,556</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11,127</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10,748</w:t>
            </w:r>
          </w:p>
        </w:tc>
        <w:tc>
          <w:tcPr>
            <w:tcW w:w="204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17,603</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56,286</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55,833</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Reimbursed payroll costs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3,585</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59,871</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59,683</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3,668</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278.82</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289.03</w:t>
            </w:r>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435.15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442.05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166.77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167.14</w:t>
            </w:r>
          </w:p>
        </w:tc>
        <w:tc>
          <w:tcPr>
            <w:tcW w:w="2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389.35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395.58</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168.43</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170.19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$0.8 million of stock-based compensation expense for both the three months ended January 31, 2018 and 2017.</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Lodging Reported EBITDA decreased $2.5 million, or 40.8%, primarily due to a decrease in ADR at our Colorado lodging properties and a reduction in operating results for CME. These decreases were attributable to historically low snowfall at our Colorado resorts, which adversely impacted visitation during the three months ended January 31, 2018 (as discussed in the Mountain segment).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owned hotel rooms decreased $0.6 million, or 5.4%, primarily due to a decrease in transient visitation at our owned lodging properties proximate to our Colorado mountain resorts, as well as a decrease in ADR, partially offset by an increase in group visitation. Revenue from managed condominium rooms increased $0.4 million, or 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Dining revenue decreased $0.9 million, or 9.8%, primarily due to decreased revenue at our Colorado and Park City lodging properties. Transportation revenue decreased $0.9 million, or 10.6%, primarily due to decreased passenger volume.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 (excluding reimbursed payroll costs) increased 0.8%. General and administrative expenses increased 3.5% due to higher corporate overhead costs.</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4" w:right="239" w:bottom="1440" w:gutter="0" w:footer="0" w:header="0"/>
          <w:type w:val="continuous"/>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2018 compared to the six months ended January 31, 2017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six months ended January 31, 2018 and 2017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auto"/>
              </w:rPr>
              <w:t>Six Months Ended January 31,</w:t>
            </w:r>
          </w:p>
        </w:tc>
        <w:tc>
          <w:tcPr>
            <w:tcW w:w="2040" w:type="dxa"/>
            <w:vAlign w:val="bottom"/>
          </w:tcPr>
          <w:p>
            <w:pPr>
              <w:jc w:val="center"/>
              <w:ind w:left="3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vMerge w:val="restart"/>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38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30,988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30,065</w:t>
            </w:r>
          </w:p>
        </w:tc>
        <w:tc>
          <w:tcPr>
            <w:tcW w:w="204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33,529</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23,749</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24,060</w:t>
            </w:r>
          </w:p>
        </w:tc>
        <w:tc>
          <w:tcPr>
            <w:tcW w:w="2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10,013</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Golf</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8,767</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8,729</w:t>
            </w:r>
          </w:p>
        </w:tc>
        <w:tc>
          <w:tcPr>
            <w:tcW w:w="204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21,688</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128,734</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126,359</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6,894</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135,628</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133,286</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59,648</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57,311</w:t>
            </w:r>
          </w:p>
        </w:tc>
        <w:tc>
          <w:tcPr>
            <w:tcW w:w="204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19,666</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41,397</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40,013</w:t>
            </w:r>
          </w:p>
        </w:tc>
        <w:tc>
          <w:tcPr>
            <w:tcW w:w="204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120,711</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116,836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6,894</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6,927</w:t>
            </w:r>
          </w:p>
        </w:tc>
        <w:tc>
          <w:tcPr>
            <w:tcW w:w="20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127,605</w:t>
            </w:r>
          </w:p>
        </w:tc>
        <w:tc>
          <w:tcPr>
            <w:tcW w:w="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123,763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8,023</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9,523</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245.08</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240.20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167.54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157.56</w:t>
            </w:r>
          </w:p>
        </w:tc>
        <w:tc>
          <w:tcPr>
            <w:tcW w:w="20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331.95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350.56</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295.74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301.52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125.18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123.10</w:t>
            </w:r>
          </w:p>
        </w:tc>
        <w:tc>
          <w:tcPr>
            <w:tcW w:w="20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$1.6 million of stock-based compensation expense for both the six months ended January 31, 2018 and 2017.</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Lodging Reported EBITDA decreased $1.5 million, or 15.8%, primarily due to a decrease in ADR and ancillary revenue at our Colorado lodging properties and a reduction in operating results from CME. These decreases were attributable to historically low snowfall at our Colorado resorts, which adversely impacted visitation during the three months ended January 31, 2018 (as discussed in the Mountain segment).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owned hotel rooms increased $0.9 million, or 3.1%, primarily due to an increase in occupancy at Flagg Ranch, which incurred an early closure in the prior fiscal year period as a result of a forest fire in Grand Teton National Park, as well as an increase in revenue at GTLC, partially offset by decreased revenue at our owned Colorado lodging properties as a result of lower winter visitation. Revenue from managed condominium rooms increased $2.0 million, or 6.4%, primarily due to incremental</w:t>
      </w:r>
    </w:p>
    <w:p>
      <w:pPr>
        <w:sectPr>
          <w:pgSz w:w="11900" w:h="16838" w:orient="portrait"/>
          <w:cols w:equalWidth="0" w:num="1">
            <w:col w:w="11420"/>
          </w:cols>
          <w:pgMar w:left="240" w:top="80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800" w:right="239" w:bottom="1440" w:gutter="0" w:footer="0" w:header="0"/>
          <w:type w:val="continuous"/>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revenue from Whistler Blackcomb and increased revenue at our Colorado managed properties primarily as a result of increased occupancy during the three months ended October 31, 2017.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Dining revenue decreased $0.3 million, or 1.3%, primarily due to decreased dining revenue generated at our Colorado lodging properties, partially offset by increases in revenue at Park City and GTLC. Transportation revenue decreased $0.8 million, or 7.4%, primarily due to decreased passenger volume. Other revenue increased $0.5 million, or 2.4%, primarily due to increases in ancillary services, conference services and lodging retail, partially offset by the recording of business interruption insurance recovery in the prior year related to the early closure of our Flagg Ranch property in September 2016.</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 (excluding reimbursed payroll costs) increased 3.3%. Labor and labor-related benefits increased 4.1%, primarily resulting from incremental expenses from Whistler Blackcomb, normal wage increases and higher labor expense for Flagg Ranch, which was closed for a portion of the prior year period. Other expense increased 3.5%, primarily due to increases in variable operating expenses, as well as an increase in property taxes.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2018 compared to the three months ended January 31,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January 31, 2018 and 2017 are presented by category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8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Three Months Ended January 31,</w:t>
            </w:r>
          </w:p>
        </w:tc>
        <w:tc>
          <w:tcPr>
            <w:tcW w:w="640" w:type="dxa"/>
            <w:vAlign w:val="bottom"/>
          </w:tcPr>
          <w:p>
            <w:pPr>
              <w:spacing w:after="0"/>
              <w:rPr>
                <w:sz w:val="14"/>
                <w:szCs w:val="14"/>
                <w:color w:val="auto"/>
              </w:rPr>
            </w:pPr>
          </w:p>
        </w:tc>
        <w:tc>
          <w:tcPr>
            <w:tcW w:w="20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124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1,207</w:t>
            </w:r>
          </w:p>
        </w:tc>
        <w:tc>
          <w:tcPr>
            <w:tcW w:w="1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1,207</w:t>
            </w: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515</w:t>
            </w:r>
          </w:p>
        </w:tc>
        <w:tc>
          <w:tcPr>
            <w:tcW w:w="1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4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
        </w:trPr>
        <w:tc>
          <w:tcPr>
            <w:tcW w:w="5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 Estate Reported EBITDA included a gain on sale of real property of $0.5 million for the sale of a land parcel.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$1.2 million was primarily comprised of general and administrative costs, such as labor and labor-related benefits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2017</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Estate segment net revenue for the three months ended January 31, 2017 was primarily driven by the closing of one condominium unit at The Ritz-Carlton Residences, Vail ($2.8 million of revenue and a price per square foot of $1,569) and two condominium units at One Ski Hill Place in Breckenridge ($2.3 million of revenue with an average price per square foot of $983). The average price per square foot of both of these projects is driven by their premier location and the comprehensive and exclusive amenities related to these projects.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for the three months ended January 31, 2017 included cost of sales of $4.3 million resulting from the closing of one condominium unit at The Ritz-Carlton Residences, Vail (average cost per square foot of $1,317) and two condominium units at One Ski Hill Place Breckenridge (average cost per square foot of $838). The cost per square foot for these projects reflects the high-end features and amenities and high construction costs associated with mountain resort development. Additionally, sales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commissions of approximately $0.3 million were incurred commensurate with revenue recognized. Other operating expense of $1.2 million for the three months ended January 31, 2017 was primarily comprised of general and administrative costs, carrying costs for units available for sale and overhead costs, such as labor and labor-related benefits and allocated corporate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2018 compared to the six months ended January 31,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six months ended January 31, 2018 and 2017 are presented by category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8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Six Months Ended January 31,</w:t>
            </w:r>
          </w:p>
        </w:tc>
        <w:tc>
          <w:tcPr>
            <w:tcW w:w="640" w:type="dxa"/>
            <w:vAlign w:val="bottom"/>
          </w:tcPr>
          <w:p>
            <w:pPr>
              <w:spacing w:after="0"/>
              <w:rPr>
                <w:sz w:val="14"/>
                <w:szCs w:val="14"/>
                <w:color w:val="auto"/>
              </w:rPr>
            </w:pPr>
          </w:p>
        </w:tc>
        <w:tc>
          <w:tcPr>
            <w:tcW w:w="20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770</w:t>
            </w:r>
          </w:p>
        </w:tc>
        <w:tc>
          <w:tcPr>
            <w:tcW w:w="124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w:t>
            </w: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2,387</w:t>
            </w:r>
          </w:p>
        </w:tc>
        <w:tc>
          <w:tcPr>
            <w:tcW w:w="1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2,730</w:t>
            </w:r>
          </w:p>
        </w:tc>
        <w:tc>
          <w:tcPr>
            <w:tcW w:w="20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2,898</w:t>
            </w: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515</w:t>
            </w:r>
          </w:p>
        </w:tc>
        <w:tc>
          <w:tcPr>
            <w:tcW w:w="1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6,466</w:t>
            </w:r>
          </w:p>
        </w:tc>
        <w:tc>
          <w:tcPr>
            <w:tcW w:w="204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4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5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2018</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January 31, 2018, we closed on the sale of a development land parcel for $0.5 million which was recorded within Real Estate net revenue. Additionally, Real Estate Reported EBITDA included a gain on sale of real property of $0.5 million for the sale of a land parcel.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$2.4 million was primarily comprised of general and administrative costs, such as labor and labor-related benefits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2017</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Estate segment net revenue for the six months ended January 31, 2017 was primarily driven by the closing of one condominium unit at The Ritz-Carlton Residences, Vail ($2.8 million of revenue and a price per square foot of $1,569) and two condominium units at One Ski Hill Place Breckenridge ($2.3 million of revenue with an average price per square foot of $983). Additionally, we recorded a gain on sale of real property of $6.5 million for a land parcel in Breckenridge which sold for $9.3 million during the three months ended October 31, 2016.</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 for the six months ended January 31, 2017 included cost of sales of $4.3 million resulting from the closing of one condominium unit at The Ritz-Carlton Residences, Vail (average cost per square foot of $1,317) and two condominium units at One Ski Hill Place Breckenridge (average cost per square foot of $838). Additionally, sales commissions of approximately $0.3 million were incurred commensurate with revenue recognized. Other operating expense of $2.7 million for the six months ended January 31, 2017 was primarily comprised of general and administrative costs, carrying costs for units available for sale and overhead costs, such as labor and labor-related benefits and allocated corporate costs.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material items contribute to our overall financial position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3"/>
          </w:tcPr>
          <w:p>
            <w:pPr>
              <w:jc w:val="right"/>
              <w:ind w:right="753"/>
              <w:spacing w:after="0"/>
              <w:rPr>
                <w:sz w:val="20"/>
                <w:szCs w:val="20"/>
                <w:color w:val="auto"/>
              </w:rPr>
            </w:pPr>
            <w:r>
              <w:rPr>
                <w:rFonts w:ascii="Arial" w:cs="Arial" w:eastAsia="Arial" w:hAnsi="Arial"/>
                <w:sz w:val="14"/>
                <w:szCs w:val="14"/>
                <w:b w:val="1"/>
                <w:bCs w:val="1"/>
                <w:color w:val="auto"/>
              </w:rPr>
              <w:t>Six Months Ended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January 31,</w:t>
            </w:r>
          </w:p>
        </w:tc>
        <w:tc>
          <w:tcPr>
            <w:tcW w:w="1020" w:type="dxa"/>
            <w:vAlign w:val="bottom"/>
            <w:tcBorders>
              <w:bottom w:val="single" w:sz="8" w:color="auto"/>
            </w:tcBorders>
          </w:tcPr>
          <w:p>
            <w:pPr>
              <w:spacing w:after="0"/>
              <w:rPr>
                <w:sz w:val="16"/>
                <w:szCs w:val="16"/>
                <w:color w:val="auto"/>
              </w:rPr>
            </w:pPr>
          </w:p>
        </w:tc>
        <w:tc>
          <w:tcPr>
            <w:tcW w:w="13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Increase</w:t>
            </w: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980" w:type="dxa"/>
            <w:vAlign w:val="bottom"/>
            <w:tcBorders>
              <w:bottom w:val="single" w:sz="8" w:color="auto"/>
            </w:tcBorders>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71"/>
        </w:trPr>
        <w:tc>
          <w:tcPr>
            <w:tcW w:w="2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6"/>
                <w:szCs w:val="6"/>
                <w:color w:val="auto"/>
              </w:rPr>
            </w:pPr>
          </w:p>
        </w:tc>
        <w:tc>
          <w:tcPr>
            <w:tcW w:w="10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3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6"/>
                <w:szCs w:val="6"/>
                <w:color w:val="auto"/>
              </w:rPr>
            </w:pPr>
          </w:p>
        </w:tc>
        <w:tc>
          <w:tcPr>
            <w:tcW w:w="9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(51,404)</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(49,626)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(100,028)</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(90,207)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397</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3"/>
              <w:spacing w:after="0"/>
              <w:rPr>
                <w:sz w:val="20"/>
                <w:szCs w:val="20"/>
                <w:color w:val="auto"/>
              </w:rPr>
            </w:pPr>
            <w:r>
              <w:rPr>
                <w:rFonts w:ascii="Arial" w:cs="Arial" w:eastAsia="Arial" w:hAnsi="Arial"/>
                <w:sz w:val="18"/>
                <w:szCs w:val="18"/>
                <w:color w:val="auto"/>
              </w:rPr>
              <w:t>1,148</w:t>
            </w:r>
          </w:p>
        </w:tc>
        <w:tc>
          <w:tcPr>
            <w:tcW w:w="1300" w:type="dxa"/>
            <w:vAlign w:val="bottom"/>
          </w:tcPr>
          <w:p>
            <w:pPr>
              <w:jc w:val="right"/>
              <w:spacing w:after="0"/>
              <w:rPr>
                <w:sz w:val="20"/>
                <w:szCs w:val="20"/>
                <w:color w:val="auto"/>
              </w:rPr>
            </w:pPr>
            <w:r>
              <w:rPr>
                <w:rFonts w:ascii="Arial" w:cs="Arial" w:eastAsia="Arial" w:hAnsi="Arial"/>
                <w:sz w:val="18"/>
                <w:szCs w:val="18"/>
                <w:color w:val="auto"/>
              </w:rPr>
              <w:t>(65.4)%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780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3"/>
              <w:spacing w:after="0"/>
              <w:rPr>
                <w:sz w:val="20"/>
                <w:szCs w:val="20"/>
                <w:color w:val="auto"/>
              </w:rPr>
            </w:pPr>
            <w:r>
              <w:rPr>
                <w:rFonts w:ascii="Arial" w:cs="Arial" w:eastAsia="Arial" w:hAnsi="Arial"/>
                <w:sz w:val="18"/>
                <w:szCs w:val="18"/>
                <w:color w:val="auto"/>
              </w:rPr>
              <w:t>5,671</w:t>
            </w:r>
          </w:p>
        </w:tc>
        <w:tc>
          <w:tcPr>
            <w:tcW w:w="130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Foreign currency gain on intercompany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10,337</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5,166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100.1 %</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2,991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5,166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(15,973)</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(14,214)</w:t>
            </w:r>
          </w:p>
        </w:tc>
        <w:tc>
          <w:tcPr>
            <w:tcW w:w="1300" w:type="dxa"/>
            <w:vAlign w:val="bottom"/>
          </w:tcPr>
          <w:p>
            <w:pPr>
              <w:jc w:val="right"/>
              <w:spacing w:after="0"/>
              <w:rPr>
                <w:sz w:val="20"/>
                <w:szCs w:val="20"/>
                <w:color w:val="auto"/>
              </w:rPr>
            </w:pPr>
            <w:r>
              <w:rPr>
                <w:rFonts w:ascii="Arial" w:cs="Arial" w:eastAsia="Arial" w:hAnsi="Arial"/>
                <w:sz w:val="18"/>
                <w:szCs w:val="18"/>
                <w:color w:val="auto"/>
              </w:rPr>
              <w:t>12.4 %</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(31,147)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(26,178)</w:t>
            </w:r>
          </w:p>
        </w:tc>
        <w:tc>
          <w:tcPr>
            <w:tcW w:w="1300" w:type="dxa"/>
            <w:vAlign w:val="bottom"/>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(Provision) benefit from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(3,594)</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(84,807)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89,810</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(51,298)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Effective tax rate (expense) benefit</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(34.7)%</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(33.3 pts)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w:t>
            </w:r>
          </w:p>
        </w:tc>
        <w:tc>
          <w:tcPr>
            <w:tcW w:w="52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(34.8)%</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(105.6 pts)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for the three and six months ended January 31, 2018 increased $1.8 million and $9.8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compared to the same period in the prior year, primarily due to assets acquired in the Whistler Blackcomb and Stowe acquisitions.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income and other, net. </w:t>
      </w:r>
      <w:r>
        <w:rPr>
          <w:rFonts w:ascii="Arial" w:cs="Arial" w:eastAsia="Arial" w:hAnsi="Arial"/>
          <w:sz w:val="18"/>
          <w:szCs w:val="18"/>
          <w:color w:val="auto"/>
        </w:rPr>
        <w:t>Investment income and other, net for the three and six months ended January 31, 2017 included a $0.9 million gain</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for the sale of a lodging property during the three months ended January 31, 2017, as well as a $3.4 million gain recognized on short-term foreign currency forward contracts that were entered into in conjunction with funding the cash consideration required for the Whistler Blackcomb acquisition and a $0.8 million non-cash gain recognized on an investment in Whistler Blackcomb shares that we held prior to the acquisition during the three months ended October 31, 2016. As a result, investment income and other, net for the three and six months ended January 31, 2018 decreased $0.8 million and $4.9 million, respectively, compared to the same period in the prior year.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Foreign currency gain on intercompany loans. </w:t>
      </w:r>
      <w:r>
        <w:rPr>
          <w:rFonts w:ascii="Arial" w:cs="Arial" w:eastAsia="Arial" w:hAnsi="Arial"/>
          <w:sz w:val="18"/>
          <w:szCs w:val="18"/>
          <w:color w:val="auto"/>
        </w:rPr>
        <w:t>Foreign currency gain on intercompany loans for the three and six months ended January 31, 2018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 and decreased $2.2 million, respectively, and was associated with an intercompany loan from Vail Holdings, Inc. to Whistler Blackcomb in the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for the three and six months ended January 31, 2018 increased $1.8 million and $5.0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the prior year, primarily due to interest expense associated with incremental term loan borrowings under the Vail Holdings Credit Agreement of $509.4 million, which was used to fund the cash consideration portion of the Whistler Blackcomb acquisition, as well as the Whistler Credit Agreement, which was assumed as part of the Whistler Blackcomb acquisition and had $97.6 million (C$120.0 million) outstanding as of January 31, 2018.</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(Provision) benefit from income taxes. </w:t>
      </w:r>
      <w:r>
        <w:rPr>
          <w:rFonts w:ascii="Arial" w:cs="Arial" w:eastAsia="Arial" w:hAnsi="Arial"/>
          <w:sz w:val="18"/>
          <w:szCs w:val="18"/>
          <w:color w:val="auto"/>
        </w:rPr>
        <w:t>The effective tax rate (provision) benefit for the three and six months ended January 31, 2018 was (1.4% ) and 70.8%,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(34.7%) and (34.8%), respectively, for the three and six months ended January 31, 2017. The interim period effective tax rate is primarily driven by anticipated pre-tax book income for the full fiscal year adjusted for items that are deductible/non-deductible for tax purposes only (i.e., permanent items), excess tax benefits from employee share awards and enacted tax legislation, which are both recorded as discrete items, taxable income generated by state and foreign jurisdictions that varies from anticipated consolidated pre-tax book income (loss) and the amount of net income attributable to noncontrolling interests. The decrease in the effective tax rate for the three and six months ended January 31, 2018 compared to the three and six months ended January 31, 2017 was primarily driven by the Tax Act and excess tax benefits from employee share awards that were exercised as further discussed below.</w:t>
      </w:r>
    </w:p>
    <w:p>
      <w:pPr>
        <w:spacing w:after="0" w:line="192" w:lineRule="exact"/>
        <w:rPr>
          <w:sz w:val="20"/>
          <w:szCs w:val="20"/>
          <w:color w:val="auto"/>
        </w:rPr>
      </w:pPr>
    </w:p>
    <w:p>
      <w:pPr>
        <w:jc w:val="both"/>
        <w:ind w:left="60"/>
        <w:spacing w:after="0" w:line="272"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The Tax Act transitions the U.S. tax system to a new territorial system and lowers the statutory federal corporate income tax rate from 35% to 21%. The reduction of the statutory federal corporate tax rate to 21% became effective on January 1, 2018. As a result of the Tax Act, we recorded a one-time, provisional net tax benefit of approximately $64.6 million on our Consolidated Condensed Statements of Operations for the three and six months ended January 31, 2018, or approximately $1.55 per diluted share. Due to the reduction in the federal corporate tax rate, we remeasured our U.S. net deferred tax liabilities as of the effective date of the Tax Act using the reduced statutory federal corporate income tax rate. The U.S. net deferred tax liabilities remeasurement resulted in a one-time tax benefit estimated to be approximately $71.0 million which was recognized as a discrete item and was recorded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jc w:val="both"/>
        <w:ind w:left="60"/>
        <w:spacing w:after="0" w:line="255" w:lineRule="auto"/>
        <w:rPr>
          <w:sz w:val="20"/>
          <w:szCs w:val="20"/>
          <w:color w:val="auto"/>
        </w:rPr>
      </w:pPr>
      <w:r>
        <w:rPr>
          <w:rFonts w:ascii="Arial" w:cs="Arial" w:eastAsia="Arial" w:hAnsi="Arial"/>
          <w:sz w:val="18"/>
          <w:szCs w:val="18"/>
          <w:color w:val="auto"/>
        </w:rPr>
        <w:t>within (provision) benefit from income taxes on our Consolidated Condensed Statement of Operations during the three and six months ended January 31, 2018. Also, in transitioning to the new territorial tax system, the Tax Act requires us to include certain foreign earnings of non-U.S. subsidiaries in our fiscal 2018 taxable income. Such foreign earnings are subject to a one-time tax. The Transition Tax was estimated to be approximately $6.4 million and was recorded during the three and six months ended January 31, 2018. The above-mentioned accounting impacts of the deferred tax remeasurement and Transition Tax are provisional, based on currently available information and technical guidance on the interpretation of the new law. The provisional accounting impacts may change in future reporting periods until the accounting analysis is finalized, which will occur not later than the second quarter of fiscal 2019, as permitted by the SEC.</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the decrease in the effective tax rate during the three and six months ended January 31, 2018 compared to the three and six months ended January 31, 2017 was also due to excess tax benefits from employee share awards that were exercised (stock appreciation awards) and that vested (restricted stock awards), which were recorded within (provision) benefit from income taxes during the three and six months ended January 31, 2018 as a result of new accounting guidance that was adopted prospectively as of August 1, 2017. The new guidance requires excess tax benefits to be recorded in the period realized as a discrete item within earnings rather than within equity. As a result of adopting this guidance, we recorded $1.3 million and $53.1 million, respectively, of excess tax benefits within (provision) benefit from income taxes on our Consolidated Condensed Statements of Operations for the three and six months ended January 31, 2018 (or approximately $0.03 and $1.27 earnings per diluted share,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income attributable to Vail Resorts, Inc.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2700" w:type="dxa"/>
            <w:vAlign w:val="bottom"/>
            <w:gridSpan w:val="3"/>
          </w:tcPr>
          <w:p>
            <w:pPr>
              <w:ind w:left="240"/>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16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305,262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246,825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3,668</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8,023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9,523</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308,930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254,848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4,451</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308,372</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253,235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(51,404)</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(100,028)</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(90,207)</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 of fixed assets and other, net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538</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3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gain on intercompany loans</w:t>
            </w:r>
          </w:p>
        </w:tc>
        <w:tc>
          <w:tcPr>
            <w:tcW w:w="3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10,337</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2,991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5,166</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(15,973)</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(31,147)</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(26,178)</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252,267</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244,535</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126,936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147,408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from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(3,594)</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89,810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(51,298)</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248,673</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159,728</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216,746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96,110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(12,982)</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(9,518)</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235,691</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149,179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207,306</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86,592</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Debt to long-term debt, net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January 31,</w:t>
            </w:r>
          </w:p>
        </w:tc>
        <w:tc>
          <w:tcPr>
            <w:tcW w:w="128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1,182,349</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1,216,721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3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38,433</w:t>
            </w:r>
          </w:p>
        </w:tc>
        <w:tc>
          <w:tcPr>
            <w:tcW w:w="6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38,379</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1,220,782</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1,255,100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3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235,460</w:t>
            </w:r>
          </w:p>
        </w:tc>
        <w:tc>
          <w:tcPr>
            <w:tcW w:w="6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140,909</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3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985,322</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1,114,191</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540" w:type="dxa"/>
            <w:vAlign w:val="bottom"/>
          </w:tcPr>
          <w:p>
            <w:pPr>
              <w:jc w:val="right"/>
              <w:ind w:right="177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six months ended January 31, 2018 and 2017 are presented by categories as follows (in thousands).</w:t>
      </w: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Six Months Ended January 31,</w:t>
            </w:r>
          </w:p>
        </w:tc>
      </w:tr>
      <w:tr>
        <w:trPr>
          <w:trHeight w:val="250"/>
        </w:trPr>
        <w:tc>
          <w:tcPr>
            <w:tcW w:w="7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420,905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329,893</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(81,765)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(591,821)</w:t>
            </w:r>
          </w:p>
        </w:tc>
      </w:tr>
      <w:tr>
        <w:trPr>
          <w:trHeight w:val="27"/>
        </w:trPr>
        <w:tc>
          <w:tcPr>
            <w:tcW w:w="7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(222,148)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335,310</w:t>
            </w:r>
          </w:p>
        </w:tc>
      </w:tr>
      <w:tr>
        <w:trPr>
          <w:trHeight w:val="27"/>
        </w:trPr>
        <w:tc>
          <w:tcPr>
            <w:tcW w:w="7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second and third fiscal quarters historically result in seasonally high cash on hand as our North American mountain resorts and Urban ski areas are generally open for ski operations from mid-November to mid-April, from which we have historically generated a significant portion of our operating cash flows for the fiscal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$235.5 million of cash and cash equivalents as of January 31, 2018, compared to $140.9 million as of January 31, 2017. We currently anticipate that our Mountain and Lodging segment operating results will continue to provide a significant source of future operating cash flows (primarily those generated in our second and third fiscal quarters).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January 31, 2018, we had $299.7 million available under the revolver component of our Vail Holdings Credit Agreement (which represents the total commitment of $400.0 million less borrowings of $30.0 million and certain letters of credit outstanding of $70.3 million). Also, to further support the liquidity needs of Whistler Blackcomb, we had C$179.1 million ($145.6 million) available under the revolver component of our Whistler Credit Agreement (which represents the total commitment of C$300.0 million ($243.9 million) less outstanding borrowings of C$120.0 million ($97.6 million) and a letter of credit outstanding of C$0.9 million ($0.7 million)). We expect that our liquidity needs in the near term will be met by continued use of operating cash flows and borrowings under both the Vail Holdings Credit Agreement and Whistler Credit Agreement, if needed. We believe the Vail Holdings Credit Agreement, which matures in October 2021, provides adequate flexibility and is priced favorably with any new borrowings currently priced at LIBOR plus 1.25%.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2018 compared to the six months ended January 31, 2017</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the adoption of revised accounting guidance related to employee stock based compensation, we prospectively presented excess tax benefits as operating activities on our Consolidated Condensed Statement of Cash Flows for the six months ended January 31, 2018. Additionally, as of August 1, 2017, we retrospectively presented cash paid to taxing authorities on an employee’s behalf as financing activities on our Consolidated Condensed Statements of Cash Flows, which resulted in a $13.0 million decrease to cash provided by financing activities with a corresponding increase to cash provided by operating activities for the six months ended January 31, 2017, as shown below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jc w:val="center"/>
              <w:ind w:right="255"/>
              <w:spacing w:after="0"/>
              <w:rPr>
                <w:sz w:val="20"/>
                <w:szCs w:val="20"/>
                <w:color w:val="auto"/>
              </w:rPr>
            </w:pPr>
            <w:r>
              <w:rPr>
                <w:rFonts w:ascii="Arial" w:cs="Arial" w:eastAsia="Arial" w:hAnsi="Arial"/>
                <w:sz w:val="14"/>
                <w:szCs w:val="14"/>
                <w:b w:val="1"/>
                <w:bCs w:val="1"/>
                <w:color w:val="auto"/>
                <w:w w:val="93"/>
              </w:rPr>
              <w:t>Six Months Ended January 31, 2017</w:t>
            </w:r>
          </w:p>
        </w:tc>
      </w:tr>
      <w:tr>
        <w:trPr>
          <w:trHeight w:val="152"/>
        </w:trPr>
        <w:tc>
          <w:tcPr>
            <w:tcW w:w="4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40" w:type="dxa"/>
            <w:vAlign w:val="bottom"/>
            <w:gridSpan w:val="2"/>
          </w:tcPr>
          <w:p>
            <w:pPr>
              <w:jc w:val="right"/>
              <w:ind w:right="33"/>
              <w:spacing w:after="0" w:line="153" w:lineRule="exact"/>
              <w:rPr>
                <w:sz w:val="20"/>
                <w:szCs w:val="20"/>
                <w:color w:val="auto"/>
              </w:rPr>
            </w:pPr>
            <w:r>
              <w:rPr>
                <w:rFonts w:ascii="Arial" w:cs="Arial" w:eastAsia="Arial" w:hAnsi="Arial"/>
                <w:sz w:val="14"/>
                <w:szCs w:val="14"/>
                <w:b w:val="1"/>
                <w:bCs w:val="1"/>
                <w:color w:val="auto"/>
                <w:w w:val="95"/>
              </w:rPr>
              <w:t>Previously Reported</w:t>
            </w:r>
          </w:p>
        </w:tc>
        <w:tc>
          <w:tcPr>
            <w:tcW w:w="240" w:type="dxa"/>
            <w:vAlign w:val="bottom"/>
          </w:tcPr>
          <w:p>
            <w:pPr>
              <w:spacing w:after="0"/>
              <w:rPr>
                <w:sz w:val="13"/>
                <w:szCs w:val="13"/>
                <w:color w:val="auto"/>
              </w:rPr>
            </w:pPr>
          </w:p>
        </w:tc>
        <w:tc>
          <w:tcPr>
            <w:tcW w:w="124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Tax Payments</w:t>
            </w:r>
          </w:p>
        </w:tc>
        <w:tc>
          <w:tcPr>
            <w:tcW w:w="18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0"/>
              </w:rPr>
              <w:t>Revised Reported</w:t>
            </w:r>
          </w:p>
        </w:tc>
      </w:tr>
      <w:tr>
        <w:trPr>
          <w:trHeight w:val="192"/>
        </w:trPr>
        <w:tc>
          <w:tcPr>
            <w:tcW w:w="49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5"/>
              </w:rPr>
              <w:t>(Previous Guidance)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(New Guidance)</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2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316,918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12,975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329,893</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Cash flows used in investing activities (no change)</w:t>
            </w:r>
          </w:p>
        </w:tc>
        <w:tc>
          <w:tcPr>
            <w:tcW w:w="2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(591,821)</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(591,821)</w:t>
            </w: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financing activities</w:t>
            </w:r>
          </w:p>
        </w:tc>
        <w:tc>
          <w:tcPr>
            <w:tcW w:w="2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348,285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(12,975)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335,310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Effect of exchange rate changes (no change)</w:t>
            </w:r>
          </w:p>
        </w:tc>
        <w:tc>
          <w:tcPr>
            <w:tcW w:w="2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49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 (no change)</w:t>
            </w:r>
          </w:p>
        </w:tc>
        <w:tc>
          <w:tcPr>
            <w:tcW w:w="2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73,012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73,012</w:t>
            </w:r>
          </w:p>
        </w:tc>
      </w:tr>
      <w:tr>
        <w:trPr>
          <w:trHeight w:val="20"/>
        </w:trPr>
        <w:tc>
          <w:tcPr>
            <w:tcW w:w="49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4900" w:type="dxa"/>
            <w:vAlign w:val="bottom"/>
          </w:tcPr>
          <w:p>
            <w:pPr>
              <w:spacing w:after="0"/>
              <w:rPr>
                <w:sz w:val="24"/>
                <w:szCs w:val="24"/>
                <w:color w:val="auto"/>
              </w:rPr>
            </w:pPr>
          </w:p>
        </w:tc>
        <w:tc>
          <w:tcPr>
            <w:tcW w:w="2180" w:type="dxa"/>
            <w:vAlign w:val="bottom"/>
          </w:tcPr>
          <w:p>
            <w:pPr>
              <w:jc w:val="right"/>
              <w:ind w:right="119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The adoption of this revised accounting guidance did not have an impact on our total cash flows for the six months ended January 31, 2018 and 2017.</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generated $420.9 million of cash from operating activities during the six months ended January 31, 2018, an increase of $91.0 million compared to $329.9 million of cash generated during the six months ended January 31, 2017. The increase in operating cash flows was primarily a result of an increase in accounts payable and a decrease in estimated tax payments primarily as a result of an increase in excess tax benefits from employee share awards that vested (restricted stock awards) and were exercised (stock appreciation awards) during the six months ended January 31, 2018, as well as increased North American pass sales for the 2017/2018 North American ski season compared to the 2016/2017 North American ski season, of which only a portion has been reflected as lift revenue in operating results. These increases were partially offset by an increase in cash interest payments during the six months ended January 31, 2018, compared to the six months ended January 31, 2017, from incremental term loan borrowings under our Vail Holdings Credit Agreement and borrowings under the Whistler Credit Agreement assumed by us as a result of the acquisition of Whistler Blackcomb in October 2016. Additionally, we generated $0.5 million of proceeds from real estate development land parcel sales during the six months ended January 31, 2018 compared to $4.9 million in proceeds (net of sales commissions and deposits previously received) from real estate development project closings that occurred in the six months ended January 31, 2017.</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six months ended January 31, 2018 decreased by $510.1 million, primarily due to cash payments related to the acquisition of Whistler Blackcomb during the six months ended January 31, 2017 of $512.3 million, net of cash acquired, and a decrease in capital expenditures of $6.1 million during the six months ended January 31, 2018 compared to the six months ended January 31, 2017, partially offset by a reduction in cash received from the sale of real property.</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used in financing activities increased $557.5 million during the six months ended January 31, 2018, compared to the six months ended January 31, 2017, primarily due to the reduction of net proceeds from borrowings under our Vail Holdings Credit Agreement during the six months ended January 31, 2017, which was used to fund a portion of the cash consideration for the Whistler Blackcomb acquisition. Additionally, dividends paid increased $23.5 million during the six months ended January 31, 2018, compared to January 31, 2017, and cash payments for employee taxes related to exercises of share awards increased $58.7 million. Due to the adoption of revised accounting guidance as discussed above, there was an elimination of excess tax benefits of $13.0 million recorded within financing activities, with a corresponding increase in operating activities, which resulted in a decrease of $13.0 million in financing activities and an increase of $13.0 million in operating activities during the six months ended January 31, 2018, compared to January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Tax Reform</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Beginning with our taxable year ending December 31, 2018, we expect to realize an increase in our operating cash flows as a result of the Tax Act, which will reduce our statutory federal corporate income tax rate from 35% to 21%. We expect that incremental cash flows generated from the reduction of the statutory federal corporate income tax rate and the accelerated deductibility of capital expenditures will be approximately $40.0 million in calendar 2018. We plan to use those incremental cash flows to reinvest in wages for our employees, in capital for our resorts and by increasing our return of capital to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and throughout our owned hotels. We evaluate additional discretionary capital improvements based on an expected level of return on investment. We currently anticipate we will spend approximately $150.0 million on resort capital expenditures during calendar year 2018, excluding anticipated investments for U.S. summer related activities, one-time integration related capital expenditures and capital investments associated with third party reimbursements. This estimated spending includes normal inflation on our capital investments at our resorts. Included in these estimated capital expenditures are approximately $80.0 million of maintenance capital expenditures, which are necessary to maintain appearance and level of service appropriate to our resort operations. Additionally, we plan to make a discretionary investment of approximately $40.0 million (C$52.0 million) at Whistler Blackcomb, as part of an approximate $50.0 million (C$65.0 million) total capital plan at the resort. Discretionary expenditures for calendar year 2018 include, among other projects, a new gondola at Whistler Blackcomb running from the base to the top of Blackcomb Mountain, replacing the Wizard and Solar four person chairs with a single state-of-the-art gondola, and upgrading several other chair lifts at Whistler Blackcomb; upgrading the fixed grip High Meadow chair at Park City to a four person high speed lift; expanding Cloud Dine restaurant at Park City by adding 200 additional seats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upgrading the Park City Mid-Mountain Lodge; replacing the Galaxy two-person chairlift at Heavenly with a three-person chairlift; and upgrading the Leichhardt T-bar at Perisher to a four-person chairlift. We also expect to invest approximately $3.0 million in calendar year 2018 for summer investments. Additionally, we expect to invest approximately $8.0 million in capital for the integration of Stowe and the completion of Whistler Blackcomb integration. Lastly, we plan to spend approximately $6.0 million during calendar year 2018 on capital projects to repair infrastructure that was damaged due to snowfall, including the Heavenly coaster and the Ten Mile Room in Breckenridge. We expect that repair costs will be covered by insurance proceeds. We currently plan to utilize cash on hand, borrowings available under our credit agreements and/or cash flow generated from future operations to provide the cash necessary to complete our capital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Principal payments on the majority of our long-term debt ($1,089.9 million of the total $1,224.5 million debt outstanding as of January 31, 2018) are not due until fiscal 2022 and beyond. As of January 31, 2018 and 2017, total long-term debt, net (including long-term debt due within one year) was $1,220.8 million and $1,255.1 million, respectively. Net Debt (defined as long-term debt, net plus long-term debt due within one year less cash and cash equivalents) decreased from $1,114.2 million as of January 31, 2017 to $985.3 million as of January 31, 2018, primarily due to a reduction in the borrowings outstanding under the term loan of our Vail Holdings Credit Agreement and an increase in cash and cash equivalents. In addition, we exercised our right under the Whistler Credit Agreement, with the consent of the lender parties thereto, to extend the maturity date of our Whistler Credit Agreement to November 2022 during the six months ended January 31, 2018. There were no other changes to the terms of the Whistler Credit Agreement.</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debt service requirements can be impacted by changing interest rates as we had $883.3 million of variable-rate debt outstanding as of January 31, 2018. A 100-basis point change in our borrowing rates would cause our annual interest payments to change by approximately $8.8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on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2018, our Board of Directors approved a 40% increase to our quarterly cash dividend to $1.47 per share (or approximately $59.5 million per quarter based upon shares outstanding as of January 31, 2018). For the six months ended January 31, 2018, we paid cash dividends of $2.106 per share ($85.2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additional Vail Shares (July 16, 2008) and 1,500,000 shares (December 4, 2015), for a total authorization to repurchase up to 7,500,000 Vail Shares. We did not repurchase any Vail Shares during the six months ended January 31, 2018. During the six months ended January 31, 2017, we repurchased 1,317 Vail Shares at a cost of $0.2 million. Since inception of this stock repurchase program through January 31, 2018, we have repurchased 5,436,294 Vail Shares at a cost of approximately $247.2 million. As of January 31, 2018, 2,063,706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January 31, 2018. We expect that we will meet all applicable financial maintenance covenants in our credit agreements throughout the fiscal year ending July 31, 2018.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Whistler Blackcomb, Stowe or future acquisitions;</w:t>
      </w: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tax law, accounting principles, policies or guidelines or adverse determinations by taxing authorities; and</w:t>
      </w: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this Form 10-Q and in Part I, Item 1A “Risk Factors” of the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At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had $883.3 million of variable rate indebtedness, representing approximately 72.1% of our total debt outstanding, at an average interest rate during the three and six months ended January 31, 2018 of 2.8% and 2.6%, respectively. Based on variable-rate borrowings outstanding as of January 31, 2018, a 100-basis point (or 1.0%) change in our borrowing rates would result in our annual interest payments changing by approximately $8.8 million. Our market risk exposure fluctuates based on changes in underlying interest rates.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Perisher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losses, and foreign currency gain on intercompany loans recognized, in comprehensive income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19,603</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gain on intercompany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2,991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5,166</w:t>
            </w:r>
          </w:p>
        </w:tc>
      </w:tr>
      <w:tr>
        <w:trPr>
          <w:trHeight w:val="34"/>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have cooperated with the Regional Water Board staff and the California Department of Fish and Wildlife (“CDFW”) to satisfactorily resolve the matters identified in the NOV.</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On December 13, 2017, Kirkwood entered into a Settlement Agreement and Stipulation for Entry of Administrative Liability Order (“Stipulated Order”) with the Regional Water Board and CDFW. Under the Stipulated Order, Kirkwood agreed to be responsible for monetary penalties and agency costs totaling approximately $0.8 million, of which approximately half will be fulfilled by a supplemental environmental project run by the National Fish and Wildlife Foundation. All of these amounts have been paid by third-party insurance. The remaining remediation work required by the Stipulated Order and requested by the agencies should be completed in calendar year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items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information set forth below and elsewhere in this Form 10-Q, you should carefully consider the factors we previously disclosed in our Annual Report on Form 10-K, filed with the SEC on September 28, 2017, as of and for the year ended July 31, 2017, in addition to the modified factor set forth below. These risks could materially and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accounting and tax regulations, including, but not limited to, the recently enacted changes to U.S. tax law, and use certain accounting estimates and judgments that may differ significantly from actual results.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Implementation of existing and future legislation, rulings, standards and interpretations from the Financial Accounting Standards Board (“FASB”)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many methods, estimates and judgments in applying our accounting policies (see “Critical Accounting Policies” in Item 7 of our Form 10-K as of and for the year ended July 31, 2017).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recent enactment of the Tax Act has significantly changed U.S. federal income taxation of U.S. corporations by reducing the U.S. corporate income tax rate, limiting interest deductions, permitting immediate expensing of certain capital expenditures, adopting elements of a territorial tax system, imposing a one-time Transition Tax on all undistributed earnings and profits of certain U.S. owned foreign corporations, introducing new anti-base erosion provisions, revising the rules governing net operating losses and the rules governing foreign tax credits, repealing the performance-based compensation exception to the $1 million deduction limit on executive compensation and expanding the scope of employees to whom the limit applies, and eliminating the deductibility of certain fringe benefits, among other changes. Many of these changes are effective immediately, without any transition periods or grandfathering for existing transactions. The Tax Act is unclear in many respects and could be subject to potential amendments and technical corrections, as well as interpretations and implementation of regulations by the Treasury Department and Internal Revenue Service,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or how the changes will be viewed by foreign governments.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analysis and interpretation of the Tax Act is preliminary and ongoing, and our implementation may include judgments and estimates that differ from the final IRS regulations and could have a material impact on our financial statements. We have identified the change in the corporate tax rate, including its effects on the remeasurement of our net deferred tax liabilities, as well as the Transition Tax, and the related impact on our consolidated condensed financial statements. There may be other material adverse effects resulting from the legislation that we have not yet identified. While some of the changes made by the Tax Act may adversely affect the Company in one or more reporting periods and prospectively, other changes may be beneficial. We continue to work with our tax advisors to determine the full impact that the recent tax legislation as a whole will have on us.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taxes in multiple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We are also subject to the examination of tax returns and other tax matters by the U.S. Internal Revenue Service (the "IRS") and other tax authorities and governmental bodies. We regularly assesses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84"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72" w:lineRule="auto"/>
        <w:rPr>
          <w:sz w:val="20"/>
          <w:szCs w:val="20"/>
          <w:color w:val="auto"/>
        </w:rPr>
      </w:pPr>
      <w:r>
        <w:rPr>
          <w:rFonts w:ascii="Arial" w:cs="Arial" w:eastAsia="Arial" w:hAnsi="Arial"/>
          <w:sz w:val="17"/>
          <w:szCs w:val="17"/>
          <w:color w:val="auto"/>
        </w:rPr>
        <w:t>As described elsewhere in this report, 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January 31, 2018, 59,586 Exchangeco Shares had not yet been exchanged into Vail Shares.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220" w:type="dxa"/>
            <w:vAlign w:val="bottom"/>
            <w:gridSpan w:val="2"/>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7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bottom w:val="single" w:sz="8" w:color="0000FF"/>
            </w:tcBorders>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420" w:right="20" w:hanging="1385"/>
        <w:spacing w:after="0" w:line="277" w:lineRule="auto"/>
        <w:tabs>
          <w:tab w:leader="none" w:pos="1420" w:val="left"/>
        </w:tabs>
        <w:numPr>
          <w:ilvl w:val="0"/>
          <w:numId w:val="14"/>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906 of the Sarbanes-Oxley Act of 2002.</w:t>
        </w:r>
      </w:hyperlink>
    </w:p>
    <w:p>
      <w:pPr>
        <w:spacing w:after="0" w:line="184" w:lineRule="exact"/>
        <w:rPr>
          <w:rFonts w:ascii="Arial" w:cs="Arial" w:eastAsia="Arial" w:hAnsi="Arial"/>
          <w:sz w:val="18"/>
          <w:szCs w:val="18"/>
          <w:color w:val="auto"/>
        </w:rPr>
      </w:pPr>
    </w:p>
    <w:p>
      <w:pPr>
        <w:jc w:val="both"/>
        <w:ind w:left="1420" w:hanging="1385"/>
        <w:spacing w:after="0" w:line="272"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and six months ended January 31, 2018 formatted in eXtensible Business Reporting Language: (i) Unaudited Consolidated Condensed Balance Sheets as of January 31, 2018, July 31, 2017, and January 31, 2017; (ii) Unaudited Consolidated Condensed Statements of Operations for the three and six months ended January 31, 2018 and 2017; (iii) Unaudited Consolidated Condensed Statements of Comprehensive Income for the three and six months ended January 31, 2018 and 2017; (iv) Unaudited Consolidated Condensed Statements of Stockholders’ Equity for the six months ended January 31, 2018 and 2017; (v) Unaudited Consolidated Condensed Statements of Cash Flows for the six months ended January 31, 2018 and 2017; and (vi) Notes to the Consolidated Condensed Financial Statements.</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77" w:right="259" w:bottom="1440" w:gutter="0" w:footer="0" w:header="0"/>
        </w:sectPr>
      </w:pPr>
    </w:p>
    <w:bookmarkStart w:id="46" w:name="page47"/>
    <w:bookmarkEnd w:id="4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580"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January 31, 2018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32"/>
    </w:lvl>
  </w:abstractNum>
  <w:abstractNum w:abstractNumId="14">
    <w:nsid w:val="6B68079A"/>
    <w:multiLevelType w:val="hybridMultilevel"/>
    <w:lvl w:ilvl="0">
      <w:lvlJc w:val="left"/>
      <w:lvlText w:val="%1"/>
      <w:numFmt w:val="decimal"/>
      <w:start w:val="10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2019-12-28T23:48:48Z</dcterms:created>
  <dcterms:modified xsi:type="dcterms:W3CDTF">2019-12-28T23:48:48Z</dcterms:modified>
</cp:coreProperties>
</file>